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159316" w14:textId="2ED979DF" w:rsidR="00DB1D76" w:rsidRDefault="00DB1D76" w:rsidP="00DB1D76">
      <w:pPr>
        <w:pStyle w:val="Title"/>
      </w:pPr>
      <w:r>
        <w:t xml:space="preserve">                                     Academic Skills: Assessment 3</w:t>
      </w:r>
    </w:p>
    <w:p w14:paraId="2A29A17B" w14:textId="77777777" w:rsidR="00DB1D76" w:rsidRDefault="00DB1D76">
      <w:pPr>
        <w:rPr>
          <w:rFonts w:ascii="Arial" w:hAnsi="Arial" w:cs="Arial"/>
        </w:rPr>
      </w:pPr>
    </w:p>
    <w:p w14:paraId="0B7EC81C" w14:textId="77777777" w:rsidR="00DB1D76" w:rsidRDefault="00DB1D76">
      <w:pPr>
        <w:rPr>
          <w:rFonts w:ascii="Arial" w:hAnsi="Arial" w:cs="Arial"/>
        </w:rPr>
      </w:pPr>
    </w:p>
    <w:p w14:paraId="77B60B87" w14:textId="1A24A947" w:rsidR="00DB1D76" w:rsidRPr="00DB1D76" w:rsidRDefault="00DB1D76">
      <w:pPr>
        <w:rPr>
          <w:rFonts w:ascii="Arial" w:hAnsi="Arial" w:cs="Arial"/>
          <w:sz w:val="24"/>
          <w:szCs w:val="24"/>
        </w:rPr>
      </w:pPr>
      <w:r w:rsidRPr="00DB1D76">
        <w:rPr>
          <w:rFonts w:ascii="Arial" w:hAnsi="Arial" w:cs="Arial"/>
          <w:sz w:val="24"/>
          <w:szCs w:val="24"/>
        </w:rPr>
        <w:t>Module Name: Academic Skills</w:t>
      </w:r>
    </w:p>
    <w:p w14:paraId="4E254E44" w14:textId="1FCDE191" w:rsidR="00DB1D76" w:rsidRPr="00DB1D76" w:rsidRDefault="00DB1D76">
      <w:pPr>
        <w:rPr>
          <w:rFonts w:ascii="Arial" w:hAnsi="Arial" w:cs="Arial"/>
          <w:sz w:val="24"/>
          <w:szCs w:val="24"/>
        </w:rPr>
      </w:pPr>
      <w:r w:rsidRPr="00DB1D76">
        <w:rPr>
          <w:rFonts w:ascii="Arial" w:hAnsi="Arial" w:cs="Arial"/>
          <w:sz w:val="24"/>
          <w:szCs w:val="24"/>
        </w:rPr>
        <w:t>Module Code: 4001</w:t>
      </w:r>
    </w:p>
    <w:p w14:paraId="69B10894" w14:textId="44C59BE6" w:rsidR="00DB1D76" w:rsidRPr="00DB1D76" w:rsidRDefault="00DB1D76">
      <w:pPr>
        <w:rPr>
          <w:rFonts w:ascii="Arial" w:hAnsi="Arial" w:cs="Arial"/>
          <w:sz w:val="24"/>
          <w:szCs w:val="24"/>
        </w:rPr>
      </w:pPr>
      <w:r w:rsidRPr="00DB1D76">
        <w:rPr>
          <w:rFonts w:ascii="Arial" w:hAnsi="Arial" w:cs="Arial"/>
          <w:sz w:val="24"/>
          <w:szCs w:val="24"/>
        </w:rPr>
        <w:t>Student’s Name: Alexandru Florin Paun</w:t>
      </w:r>
    </w:p>
    <w:p w14:paraId="08A8D736" w14:textId="79E03975" w:rsidR="00DB1D76" w:rsidRPr="00DB1D76" w:rsidRDefault="00DB1D76">
      <w:pPr>
        <w:rPr>
          <w:rFonts w:ascii="Arial" w:hAnsi="Arial" w:cs="Arial"/>
          <w:sz w:val="24"/>
          <w:szCs w:val="24"/>
        </w:rPr>
      </w:pPr>
      <w:r w:rsidRPr="00DB1D76">
        <w:rPr>
          <w:rFonts w:ascii="Arial" w:hAnsi="Arial" w:cs="Arial"/>
          <w:sz w:val="24"/>
          <w:szCs w:val="24"/>
        </w:rPr>
        <w:t>Student’s ID: 2411677</w:t>
      </w:r>
    </w:p>
    <w:p w14:paraId="3D8BB1C8" w14:textId="0FCD0969" w:rsidR="00DB1D76" w:rsidRPr="00DB1D76" w:rsidRDefault="00DB1D76">
      <w:pPr>
        <w:rPr>
          <w:rFonts w:ascii="Arial" w:hAnsi="Arial" w:cs="Arial"/>
          <w:sz w:val="24"/>
          <w:szCs w:val="24"/>
        </w:rPr>
      </w:pPr>
      <w:r w:rsidRPr="00DB1D76">
        <w:rPr>
          <w:rFonts w:ascii="Arial" w:hAnsi="Arial" w:cs="Arial"/>
          <w:sz w:val="24"/>
          <w:szCs w:val="24"/>
        </w:rPr>
        <w:t>Group: 3</w:t>
      </w:r>
    </w:p>
    <w:p w14:paraId="2F26204F" w14:textId="69B4B763" w:rsidR="00DB1D76" w:rsidRDefault="00DB1D76">
      <w:pPr>
        <w:rPr>
          <w:rFonts w:ascii="Arial" w:hAnsi="Arial" w:cs="Arial"/>
        </w:rPr>
      </w:pPr>
      <w:r w:rsidRPr="00DB1D76">
        <w:rPr>
          <w:rFonts w:ascii="Arial" w:hAnsi="Arial" w:cs="Arial"/>
          <w:sz w:val="24"/>
          <w:szCs w:val="24"/>
        </w:rPr>
        <w:t xml:space="preserve">Lecturer’s Name: </w:t>
      </w:r>
      <w:r w:rsidRPr="00DB1D76">
        <w:rPr>
          <w:rFonts w:ascii="Arial" w:hAnsi="Arial" w:cs="Arial"/>
          <w:sz w:val="24"/>
          <w:szCs w:val="24"/>
        </w:rPr>
        <w:t>Thomas Adeyemi</w:t>
      </w:r>
    </w:p>
    <w:p w14:paraId="71B7E044" w14:textId="68253D85" w:rsidR="00DB1D76" w:rsidRDefault="00DB1D76">
      <w:pPr>
        <w:rPr>
          <w:rFonts w:ascii="Arial" w:hAnsi="Arial" w:cs="Arial"/>
        </w:rPr>
      </w:pPr>
      <w:r>
        <w:rPr>
          <w:rFonts w:ascii="Arial" w:hAnsi="Arial" w:cs="Arial"/>
        </w:rPr>
        <w:t xml:space="preserve">       </w:t>
      </w:r>
    </w:p>
    <w:p w14:paraId="20ACCED2" w14:textId="77777777" w:rsidR="00DB1D76" w:rsidRDefault="00DB1D76">
      <w:pPr>
        <w:rPr>
          <w:rFonts w:ascii="Arial" w:hAnsi="Arial" w:cs="Arial"/>
        </w:rPr>
      </w:pPr>
    </w:p>
    <w:p w14:paraId="77CE5D30" w14:textId="77777777" w:rsidR="00DB1D76" w:rsidRDefault="00DB1D76">
      <w:pPr>
        <w:rPr>
          <w:rFonts w:ascii="Arial" w:hAnsi="Arial" w:cs="Arial"/>
        </w:rPr>
      </w:pPr>
    </w:p>
    <w:p w14:paraId="4031CEBC" w14:textId="77777777" w:rsidR="00DB1D76" w:rsidRDefault="00DB1D76">
      <w:pPr>
        <w:rPr>
          <w:rFonts w:ascii="Arial" w:hAnsi="Arial" w:cs="Arial"/>
        </w:rPr>
      </w:pPr>
    </w:p>
    <w:p w14:paraId="6EF1122B" w14:textId="77777777" w:rsidR="00DB1D76" w:rsidRDefault="00DB1D76">
      <w:pPr>
        <w:rPr>
          <w:rFonts w:ascii="Arial" w:hAnsi="Arial" w:cs="Arial"/>
        </w:rPr>
      </w:pPr>
    </w:p>
    <w:p w14:paraId="54B6A04D" w14:textId="45B13B25" w:rsidR="00DB1D76" w:rsidRDefault="00DB1D76">
      <w:pPr>
        <w:rPr>
          <w:rFonts w:ascii="Arial" w:hAnsi="Arial" w:cs="Arial"/>
        </w:rPr>
      </w:pPr>
    </w:p>
    <w:p w14:paraId="4B6E1B04" w14:textId="77777777" w:rsidR="00DB1D76" w:rsidRDefault="00DB1D76">
      <w:pPr>
        <w:rPr>
          <w:rFonts w:ascii="Arial" w:hAnsi="Arial" w:cs="Arial"/>
        </w:rPr>
      </w:pPr>
    </w:p>
    <w:p w14:paraId="16AE4613" w14:textId="77777777" w:rsidR="00DB1D76" w:rsidRDefault="00DB1D76">
      <w:pPr>
        <w:rPr>
          <w:rFonts w:ascii="Arial" w:hAnsi="Arial" w:cs="Arial"/>
        </w:rPr>
      </w:pPr>
    </w:p>
    <w:p w14:paraId="74A40386" w14:textId="1EFC8A2E" w:rsidR="00DB1D76" w:rsidRDefault="00DB1D76">
      <w:pPr>
        <w:rPr>
          <w:rFonts w:ascii="Arial" w:hAnsi="Arial" w:cs="Arial"/>
        </w:rPr>
      </w:pPr>
    </w:p>
    <w:p w14:paraId="44EF2874" w14:textId="77777777" w:rsidR="00DB1D76" w:rsidRDefault="00DB1D76">
      <w:pPr>
        <w:rPr>
          <w:rFonts w:ascii="Arial" w:hAnsi="Arial" w:cs="Arial"/>
        </w:rPr>
      </w:pPr>
    </w:p>
    <w:p w14:paraId="7CC508C1" w14:textId="77777777" w:rsidR="00DB1D76" w:rsidRDefault="00DB1D76">
      <w:pPr>
        <w:rPr>
          <w:rFonts w:ascii="Arial" w:hAnsi="Arial" w:cs="Arial"/>
        </w:rPr>
      </w:pPr>
    </w:p>
    <w:p w14:paraId="16EBA547" w14:textId="77777777" w:rsidR="00DB1D76" w:rsidRDefault="00DB1D76">
      <w:pPr>
        <w:rPr>
          <w:rFonts w:ascii="Arial" w:hAnsi="Arial" w:cs="Arial"/>
        </w:rPr>
      </w:pPr>
    </w:p>
    <w:p w14:paraId="7E485A1A" w14:textId="77777777" w:rsidR="00DB1D76" w:rsidRDefault="00DB1D76">
      <w:pPr>
        <w:rPr>
          <w:rFonts w:ascii="Arial" w:hAnsi="Arial" w:cs="Arial"/>
        </w:rPr>
      </w:pPr>
    </w:p>
    <w:p w14:paraId="2A9E606F" w14:textId="77777777" w:rsidR="00DB1D76" w:rsidRDefault="00DB1D76">
      <w:pPr>
        <w:rPr>
          <w:rFonts w:ascii="Arial" w:hAnsi="Arial" w:cs="Arial"/>
        </w:rPr>
      </w:pPr>
    </w:p>
    <w:p w14:paraId="55EF4582" w14:textId="37D2437B" w:rsidR="00DB1D76" w:rsidRDefault="00DB1D76">
      <w:pPr>
        <w:rPr>
          <w:rFonts w:ascii="Arial" w:hAnsi="Arial" w:cs="Arial"/>
        </w:rPr>
      </w:pPr>
    </w:p>
    <w:p w14:paraId="3EEE5428" w14:textId="77777777" w:rsidR="00DB1D76" w:rsidRPr="00DB1D76" w:rsidRDefault="00DB1D76" w:rsidP="00DB1D76">
      <w:pPr>
        <w:rPr>
          <w:rFonts w:ascii="Arial" w:hAnsi="Arial" w:cs="Arial"/>
        </w:rPr>
      </w:pPr>
      <w:r w:rsidRPr="00DB1D76">
        <w:rPr>
          <w:rFonts w:ascii="Arial" w:hAnsi="Arial" w:cs="Arial"/>
        </w:rPr>
        <w:lastRenderedPageBreak/>
        <w:t>(Channell, 2023)</w:t>
      </w:r>
    </w:p>
    <w:p w14:paraId="606A9B9B" w14:textId="77777777" w:rsidR="00DB1D76" w:rsidRDefault="00DB1D76">
      <w:pPr>
        <w:rPr>
          <w:rFonts w:ascii="Arial" w:hAnsi="Arial" w:cs="Arial"/>
        </w:rPr>
      </w:pPr>
    </w:p>
    <w:p w14:paraId="64925D90" w14:textId="77777777" w:rsidR="00DB1D76" w:rsidRDefault="00DB1D76">
      <w:pPr>
        <w:rPr>
          <w:rFonts w:ascii="Arial" w:hAnsi="Arial" w:cs="Arial"/>
        </w:rPr>
      </w:pPr>
    </w:p>
    <w:p w14:paraId="68D488A4" w14:textId="38DD2640" w:rsidR="009534DD" w:rsidRPr="00DB1D76" w:rsidRDefault="009534DD">
      <w:pPr>
        <w:rPr>
          <w:rFonts w:ascii="Arial" w:hAnsi="Arial" w:cs="Arial"/>
        </w:rPr>
      </w:pPr>
      <w:r w:rsidRPr="00DB1D76">
        <w:rPr>
          <w:rFonts w:ascii="Arial" w:hAnsi="Arial" w:cs="Arial"/>
        </w:rPr>
        <w:t xml:space="preserve">This reflective report seeks to evaluate how my experiences during this module have significantly improved my academic abilities, specifically concentrating on skills related to </w:t>
      </w:r>
      <w:r w:rsidR="00DB1D76">
        <w:rPr>
          <w:rFonts w:ascii="Arial" w:hAnsi="Arial" w:cs="Arial"/>
        </w:rPr>
        <w:t>summarising</w:t>
      </w:r>
      <w:r w:rsidRPr="00DB1D76">
        <w:rPr>
          <w:rFonts w:ascii="Arial" w:hAnsi="Arial" w:cs="Arial"/>
        </w:rPr>
        <w:t>, referencing, and reflection. I will use Gibbs’ Reflective Cycle, which includes six stages: Description, Feelings, Evaluation, Analysis, Conclusion, and Action Plan to organi</w:t>
      </w:r>
      <w:r w:rsidR="00DB1D76">
        <w:rPr>
          <w:rFonts w:ascii="Arial" w:hAnsi="Arial" w:cs="Arial"/>
        </w:rPr>
        <w:t>s</w:t>
      </w:r>
      <w:r w:rsidRPr="00DB1D76">
        <w:rPr>
          <w:rFonts w:ascii="Arial" w:hAnsi="Arial" w:cs="Arial"/>
        </w:rPr>
        <w:t>e this reflection.</w:t>
      </w:r>
      <w:r w:rsidR="00DB1D76" w:rsidRPr="00DB1D76">
        <w:rPr>
          <w:rFonts w:ascii="Arial" w:hAnsi="Arial" w:cs="Arial"/>
        </w:rPr>
        <w:t xml:space="preserve"> </w:t>
      </w:r>
    </w:p>
    <w:p w14:paraId="6D55D894" w14:textId="0035C40B" w:rsidR="00DB1D76" w:rsidRPr="00DB1D76" w:rsidRDefault="00DB1D76">
      <w:pPr>
        <w:rPr>
          <w:rFonts w:ascii="Arial" w:hAnsi="Arial" w:cs="Arial"/>
        </w:rPr>
      </w:pPr>
      <w:r w:rsidRPr="00DB1D76">
        <w:rPr>
          <w:rFonts w:ascii="Arial" w:hAnsi="Arial" w:cs="Arial"/>
        </w:rPr>
        <w:t>(Gibbs, 1988)</w:t>
      </w:r>
      <w:r w:rsidRPr="00DB1D76">
        <w:rPr>
          <w:noProof/>
        </w:rPr>
        <w:t xml:space="preserve"> </w:t>
      </w:r>
    </w:p>
    <w:p w14:paraId="6107AFDD" w14:textId="77777777" w:rsidR="00781382" w:rsidRPr="00DB1D76" w:rsidRDefault="00781382">
      <w:pPr>
        <w:rPr>
          <w:rFonts w:ascii="Arial" w:hAnsi="Arial" w:cs="Arial"/>
        </w:rPr>
      </w:pPr>
    </w:p>
    <w:p w14:paraId="59C7162B" w14:textId="77777777" w:rsidR="00DB1D76" w:rsidRDefault="00DB1D76" w:rsidP="00DB1D76">
      <w:pPr>
        <w:pStyle w:val="Heading2"/>
      </w:pPr>
      <w:r>
        <w:rPr>
          <w:noProof/>
        </w:rPr>
        <w:drawing>
          <wp:inline distT="0" distB="0" distL="0" distR="0" wp14:anchorId="3E9D8707" wp14:editId="0FDBED80">
            <wp:extent cx="2224405" cy="1943100"/>
            <wp:effectExtent l="0" t="0" r="4445" b="0"/>
            <wp:docPr id="259695380" name="Picture 1" descr="A diagram of the Gibbs Reflective Cycle illustrating the six stages of 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diagram of the Gibbs Reflective Cycle illustrating the six stages of reflecti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230586" cy="1948499"/>
                    </a:xfrm>
                    <a:prstGeom prst="rect">
                      <a:avLst/>
                    </a:prstGeom>
                    <a:noFill/>
                    <a:ln>
                      <a:noFill/>
                    </a:ln>
                  </pic:spPr>
                </pic:pic>
              </a:graphicData>
            </a:graphic>
          </wp:inline>
        </w:drawing>
      </w:r>
    </w:p>
    <w:p w14:paraId="39B3DB4E" w14:textId="77777777" w:rsidR="00DB1D76" w:rsidRPr="00DB1D76" w:rsidRDefault="00DB1D76" w:rsidP="00DB1D76">
      <w:pPr>
        <w:pStyle w:val="Heading2"/>
        <w:rPr>
          <w:rFonts w:cstheme="majorHAnsi"/>
          <w:sz w:val="22"/>
          <w:szCs w:val="22"/>
        </w:rPr>
      </w:pPr>
      <w:r w:rsidRPr="00DB1D76">
        <w:rPr>
          <w:rFonts w:cstheme="majorHAnsi"/>
          <w:sz w:val="22"/>
          <w:szCs w:val="22"/>
        </w:rPr>
        <w:t>(Channell, 2023)</w:t>
      </w:r>
    </w:p>
    <w:p w14:paraId="34D05780" w14:textId="77777777" w:rsidR="00DB1D76" w:rsidRDefault="00DB1D76" w:rsidP="00DB1D76">
      <w:pPr>
        <w:pStyle w:val="Heading2"/>
      </w:pPr>
    </w:p>
    <w:p w14:paraId="206016CA" w14:textId="77777777" w:rsidR="00DB1D76" w:rsidRDefault="00DB1D76" w:rsidP="00DB1D76">
      <w:pPr>
        <w:pStyle w:val="Heading2"/>
      </w:pPr>
    </w:p>
    <w:p w14:paraId="0886D850" w14:textId="304D4BC2" w:rsidR="00DB1D76" w:rsidRPr="00DB1D76" w:rsidRDefault="009534DD" w:rsidP="00DB1D76">
      <w:pPr>
        <w:pStyle w:val="Heading2"/>
      </w:pPr>
      <w:r w:rsidRPr="00DB1D76">
        <w:t xml:space="preserve">Description </w:t>
      </w:r>
    </w:p>
    <w:p w14:paraId="07A7843E" w14:textId="77777777" w:rsidR="00DB1D76" w:rsidRPr="00DB1D76" w:rsidRDefault="00DB1D76">
      <w:pPr>
        <w:rPr>
          <w:rFonts w:ascii="Arial" w:hAnsi="Arial" w:cs="Arial"/>
        </w:rPr>
      </w:pPr>
    </w:p>
    <w:p w14:paraId="35C98871" w14:textId="3499544B" w:rsidR="009534DD" w:rsidRDefault="009534DD">
      <w:pPr>
        <w:rPr>
          <w:rFonts w:ascii="Arial" w:hAnsi="Arial" w:cs="Arial"/>
        </w:rPr>
      </w:pPr>
      <w:r w:rsidRPr="00DB1D76">
        <w:rPr>
          <w:rFonts w:ascii="Arial" w:hAnsi="Arial" w:cs="Arial"/>
        </w:rPr>
        <w:t>During this module, I participated in activities such as lectures</w:t>
      </w:r>
      <w:r w:rsidR="00DB1D76">
        <w:rPr>
          <w:rFonts w:ascii="Arial" w:hAnsi="Arial" w:cs="Arial"/>
        </w:rPr>
        <w:t xml:space="preserve"> </w:t>
      </w:r>
      <w:r w:rsidRPr="00DB1D76">
        <w:rPr>
          <w:rFonts w:ascii="Arial" w:hAnsi="Arial" w:cs="Arial"/>
        </w:rPr>
        <w:t>and assignments aimed at enhancing my academic skills. A major learning objective was to advance my summarization abilities. At first, summarizing information from lectures and readings felt overwhelming; it was difficult to break down complex content into concise points. I frequently included superfluous details that obscured the main ideas of the material. Another crucial aspect of the module was understanding referencing intricacies. Initially, I faced challenges ensuring that my citations were accurate and correctly formatted. My assignments often received lower marks due to errors related to referencing. Additionally, the module placed significant importance on developing reflection skills. We were encouraged to reflect on our learning experiences regularly, both independently and in group discussions. Initially, I found reflection difficult; I tended to concentrate more on my actions rather than grasping the implications of my experiences and how I could apply these insights in future situations.</w:t>
      </w:r>
    </w:p>
    <w:p w14:paraId="23C3B708" w14:textId="1F9434C5" w:rsidR="00DB1D76" w:rsidRPr="00DB1D76" w:rsidRDefault="00DB1D76">
      <w:pPr>
        <w:rPr>
          <w:rFonts w:ascii="Arial" w:hAnsi="Arial" w:cs="Arial"/>
        </w:rPr>
      </w:pPr>
      <w:r>
        <w:rPr>
          <w:rFonts w:ascii="Arial" w:hAnsi="Arial" w:cs="Arial"/>
        </w:rPr>
        <w:t>(Pears &amp; Shields, 2019)</w:t>
      </w:r>
    </w:p>
    <w:p w14:paraId="3BC8EBF2" w14:textId="77777777" w:rsidR="00781382" w:rsidRPr="00DB1D76" w:rsidRDefault="00781382">
      <w:pPr>
        <w:rPr>
          <w:rFonts w:ascii="Arial" w:hAnsi="Arial" w:cs="Arial"/>
        </w:rPr>
      </w:pPr>
    </w:p>
    <w:p w14:paraId="3DB3998B" w14:textId="77777777" w:rsidR="00DB1D76" w:rsidRPr="00DB1D76" w:rsidRDefault="009534DD" w:rsidP="00DB1D76">
      <w:pPr>
        <w:pStyle w:val="Heading2"/>
      </w:pPr>
      <w:r w:rsidRPr="00DB1D76">
        <w:t>Feelings</w:t>
      </w:r>
    </w:p>
    <w:p w14:paraId="2932F41F" w14:textId="77777777" w:rsidR="00DB1D76" w:rsidRPr="00DB1D76" w:rsidRDefault="00DB1D76">
      <w:pPr>
        <w:rPr>
          <w:rFonts w:ascii="Arial" w:hAnsi="Arial" w:cs="Arial"/>
        </w:rPr>
      </w:pPr>
    </w:p>
    <w:p w14:paraId="6CA4976B" w14:textId="2E165120" w:rsidR="009534DD" w:rsidRDefault="009534DD">
      <w:pPr>
        <w:rPr>
          <w:rFonts w:ascii="Arial" w:hAnsi="Arial" w:cs="Arial"/>
        </w:rPr>
      </w:pPr>
      <w:r w:rsidRPr="00DB1D76">
        <w:rPr>
          <w:rFonts w:ascii="Arial" w:hAnsi="Arial" w:cs="Arial"/>
        </w:rPr>
        <w:t>At the start of the module, I felt inundated by the challenge of effectively summarizing intricate academic texts. My summaries frequently appeared inadequate, leading to frustration regarding my ability to convey the author's intent and argument. Similarly, my early experiences with referencing made me feel uncertain. I worried about the possibility of unintentionally committing plagiarism due to incorrect citations, which caused me to doubt my work. As I engaged further with the module, my feelings began to evolve. With practice and support from instructors, I gradually gained confidence in my summarization abilities. Learning to pinpoint key concepts and arguments in readings made the process less daunting. Likewise, my unease concerning referencing subsided as I developed a better understanding of citation norms and the significance of crediting original authors. My engagement in reflective practices brought about mixed emotions. Although reflecting initially seemed tedious, I came to realize its value for both personal and academic growth. It transformed into a useful tool for evaluating my progress and planning future improvements.</w:t>
      </w:r>
    </w:p>
    <w:p w14:paraId="4222C392" w14:textId="1BA0F025" w:rsidR="00DB1D76" w:rsidRPr="00DB1D76" w:rsidRDefault="00DB1D76">
      <w:pPr>
        <w:rPr>
          <w:rFonts w:ascii="Arial" w:hAnsi="Arial" w:cs="Arial"/>
        </w:rPr>
      </w:pPr>
      <w:r>
        <w:rPr>
          <w:rFonts w:ascii="Arial" w:hAnsi="Arial" w:cs="Arial"/>
        </w:rPr>
        <w:t>(Gibbs, 1988)</w:t>
      </w:r>
    </w:p>
    <w:p w14:paraId="3D8C2FD7" w14:textId="77777777" w:rsidR="009534DD" w:rsidRPr="00DB1D76" w:rsidRDefault="009534DD">
      <w:pPr>
        <w:rPr>
          <w:rFonts w:ascii="Arial" w:hAnsi="Arial" w:cs="Arial"/>
        </w:rPr>
      </w:pPr>
    </w:p>
    <w:p w14:paraId="67F93563" w14:textId="77777777" w:rsidR="00781382" w:rsidRPr="00DB1D76" w:rsidRDefault="00781382">
      <w:pPr>
        <w:rPr>
          <w:rFonts w:ascii="Arial" w:hAnsi="Arial" w:cs="Arial"/>
        </w:rPr>
      </w:pPr>
    </w:p>
    <w:p w14:paraId="1A9E0C99" w14:textId="77777777" w:rsidR="00DB1D76" w:rsidRDefault="00DB1D76">
      <w:pPr>
        <w:rPr>
          <w:rFonts w:ascii="Arial" w:hAnsi="Arial" w:cs="Arial"/>
        </w:rPr>
      </w:pPr>
    </w:p>
    <w:p w14:paraId="063C0E99" w14:textId="77777777" w:rsidR="00DB1D76" w:rsidRDefault="00DB1D76">
      <w:pPr>
        <w:rPr>
          <w:rFonts w:ascii="Arial" w:hAnsi="Arial" w:cs="Arial"/>
        </w:rPr>
      </w:pPr>
    </w:p>
    <w:p w14:paraId="7714B6F9" w14:textId="70BC6358" w:rsidR="00DB1D76" w:rsidRDefault="009534DD" w:rsidP="00DB1D76">
      <w:pPr>
        <w:pStyle w:val="Heading2"/>
      </w:pPr>
      <w:r w:rsidRPr="00DB1D76">
        <w:t>Evaluation</w:t>
      </w:r>
    </w:p>
    <w:p w14:paraId="6F99FE27" w14:textId="77777777" w:rsidR="00DB1D76" w:rsidRDefault="00DB1D76">
      <w:pPr>
        <w:rPr>
          <w:rFonts w:ascii="Arial" w:hAnsi="Arial" w:cs="Arial"/>
        </w:rPr>
      </w:pPr>
    </w:p>
    <w:p w14:paraId="3565F499" w14:textId="4908BF26" w:rsidR="009534DD" w:rsidRDefault="009534DD">
      <w:pPr>
        <w:rPr>
          <w:rFonts w:ascii="Arial" w:hAnsi="Arial" w:cs="Arial"/>
        </w:rPr>
      </w:pPr>
      <w:r w:rsidRPr="00DB1D76">
        <w:rPr>
          <w:rFonts w:ascii="Arial" w:hAnsi="Arial" w:cs="Arial"/>
        </w:rPr>
        <w:t>The significance of the resources and feedback available throughout the module is immense. Workshops on summarization techniques were especially advantageous. I discovered various methods, including the use of bullet points and mind maps, to effectively condense information. Feedback on my summaries suggested that I was beginning to articulate core arguments more succinctly, which marked notable progress. The workshops on referencing were also vital. Our instructor highlighted the necessity of referencing as a way to acknowledge scholarly contributions and prevent plagiarism. The hands-on approach, where we practiced citing various types of sources, reinforced my understanding. Nevertheless, I still made errors in my initial drafts, indicating that I needed to thoroughly review the referencing guidelines. Additionally, the reflective practice incorporated in this module enhanced my overall learning experience. Regular reflection exercises enabled me to critically assess my understanding and skills, identifying areas in need of further development. I recognized that reflection was not merely about recounting my actions but also about analysing my experiences to inform future learning.</w:t>
      </w:r>
    </w:p>
    <w:p w14:paraId="37BC489D" w14:textId="53B46828" w:rsidR="00DB1D76" w:rsidRPr="00DB1D76" w:rsidRDefault="00DB1D76">
      <w:pPr>
        <w:rPr>
          <w:rFonts w:ascii="Arial" w:hAnsi="Arial" w:cs="Arial"/>
        </w:rPr>
      </w:pPr>
      <w:r>
        <w:rPr>
          <w:rFonts w:ascii="Arial" w:hAnsi="Arial" w:cs="Arial"/>
        </w:rPr>
        <w:t>(Baker &amp; McKenzie, 2018)</w:t>
      </w:r>
    </w:p>
    <w:p w14:paraId="024A5D44" w14:textId="77777777" w:rsidR="009534DD" w:rsidRPr="00DB1D76" w:rsidRDefault="009534DD">
      <w:pPr>
        <w:rPr>
          <w:rFonts w:ascii="Arial" w:hAnsi="Arial" w:cs="Arial"/>
        </w:rPr>
      </w:pPr>
    </w:p>
    <w:p w14:paraId="70B10C3F" w14:textId="77777777" w:rsidR="00781382" w:rsidRPr="00DB1D76" w:rsidRDefault="00781382">
      <w:pPr>
        <w:rPr>
          <w:rFonts w:ascii="Arial" w:hAnsi="Arial" w:cs="Arial"/>
        </w:rPr>
      </w:pPr>
    </w:p>
    <w:p w14:paraId="33F99CE3" w14:textId="343CD91F" w:rsidR="00DB1D76" w:rsidRPr="00DB1D76" w:rsidRDefault="009534DD" w:rsidP="00DB1D76">
      <w:pPr>
        <w:pStyle w:val="Heading2"/>
      </w:pPr>
      <w:r w:rsidRPr="00DB1D76">
        <w:lastRenderedPageBreak/>
        <w:t xml:space="preserve"> Analysis</w:t>
      </w:r>
    </w:p>
    <w:p w14:paraId="08F068B5" w14:textId="77777777" w:rsidR="00DB1D76" w:rsidRPr="00DB1D76" w:rsidRDefault="00DB1D76">
      <w:pPr>
        <w:rPr>
          <w:rFonts w:ascii="Arial" w:hAnsi="Arial" w:cs="Arial"/>
        </w:rPr>
      </w:pPr>
    </w:p>
    <w:p w14:paraId="00F09559" w14:textId="40B2F430" w:rsidR="009534DD" w:rsidRDefault="009534DD">
      <w:pPr>
        <w:rPr>
          <w:rFonts w:ascii="Arial" w:hAnsi="Arial" w:cs="Arial"/>
        </w:rPr>
      </w:pPr>
      <w:r w:rsidRPr="00DB1D76">
        <w:rPr>
          <w:rFonts w:ascii="Arial" w:hAnsi="Arial" w:cs="Arial"/>
        </w:rPr>
        <w:t>In analysing my experiences throughout the module, I noticed a considerable advancement in my summarization skills. Research suggests that effective summarization is crucial for understanding and retaining academic content (Baker &amp; McKenzie, 2018). As I learned to identify main ideas and supporting details, my academic performance improved, and I felt more equipped for discussions and assessments. In terms of referencing, the shift from uncertainty to a better grasp of citation practices exemplified a transition from apprehension to competence. Utili</w:t>
      </w:r>
      <w:r w:rsidR="00DB1D76">
        <w:rPr>
          <w:rFonts w:ascii="Arial" w:hAnsi="Arial" w:cs="Arial"/>
        </w:rPr>
        <w:t>s</w:t>
      </w:r>
      <w:r w:rsidRPr="00DB1D76">
        <w:rPr>
          <w:rFonts w:ascii="Arial" w:hAnsi="Arial" w:cs="Arial"/>
        </w:rPr>
        <w:t>ing referencing software like Zotero and Mendeley simplified the process of creating a works cited page, which alleviated some of my previous concerns. This supports the notion that accessible resources can facilitate scholarly practices (Pears &amp; Shields, 2019). Reflecting on my experiences enabled me to incorporate feedback and set goals more effectively. Through structured reflection, I realized that I could enhance my learning by developing actionable strategies based on my evaluations. Furthermore, this allowed me to integrate knowledge and feedback into my ongoing academic growth</w:t>
      </w:r>
      <w:r w:rsidR="00DB1D76" w:rsidRPr="00DB1D76">
        <w:rPr>
          <w:rFonts w:ascii="Arial" w:hAnsi="Arial" w:cs="Arial"/>
        </w:rPr>
        <w:t xml:space="preserve">. </w:t>
      </w:r>
      <w:r w:rsidR="00DB1D76" w:rsidRPr="00DB1D76">
        <w:rPr>
          <w:rFonts w:ascii="Arial" w:hAnsi="Arial" w:cs="Arial"/>
        </w:rPr>
        <w:t>Additionally, my refined referencing skills have elevated the professionalism of my work. By properly acknowledging the contributions of other scholars, I have developed a deep respect for the academic community, which is crucial for my growth as both a researcher and a student. Furthermore, the enhancement of my reflective skills has fostered a commitment to lifelong learning. By reflecting on my experiences, I can continually adapt and improve my study strategies. This ability is vital as it encourages me to celebrate my accomplishments while also recognizing areas for improvement.</w:t>
      </w:r>
    </w:p>
    <w:p w14:paraId="40962FC9" w14:textId="6B5E4F2A" w:rsidR="00DB1D76" w:rsidRPr="00DB1D76" w:rsidRDefault="00DB1D76">
      <w:pPr>
        <w:rPr>
          <w:rFonts w:ascii="Arial" w:hAnsi="Arial" w:cs="Arial"/>
        </w:rPr>
      </w:pPr>
      <w:r>
        <w:rPr>
          <w:rFonts w:ascii="Arial" w:hAnsi="Arial" w:cs="Arial"/>
        </w:rPr>
        <w:t xml:space="preserve">(Baker &amp; McKenzie, 2018), </w:t>
      </w:r>
      <w:r w:rsidRPr="00DB1D76">
        <w:rPr>
          <w:rFonts w:ascii="Arial" w:hAnsi="Arial" w:cs="Arial"/>
        </w:rPr>
        <w:t>(Pears &amp; Shields, 2019)</w:t>
      </w:r>
      <w:r>
        <w:rPr>
          <w:rFonts w:ascii="Arial" w:hAnsi="Arial" w:cs="Arial"/>
        </w:rPr>
        <w:t>, (Moon, 2004)</w:t>
      </w:r>
    </w:p>
    <w:p w14:paraId="74EB4E70" w14:textId="77777777" w:rsidR="00781382" w:rsidRPr="00DB1D76" w:rsidRDefault="00781382" w:rsidP="00781382">
      <w:pPr>
        <w:rPr>
          <w:rFonts w:ascii="Arial" w:hAnsi="Arial" w:cs="Arial"/>
        </w:rPr>
      </w:pPr>
    </w:p>
    <w:p w14:paraId="25BA410C" w14:textId="77777777" w:rsidR="00DB1D76" w:rsidRDefault="00DB1D76" w:rsidP="00781382">
      <w:pPr>
        <w:rPr>
          <w:rFonts w:ascii="Arial" w:hAnsi="Arial" w:cs="Arial"/>
        </w:rPr>
      </w:pPr>
    </w:p>
    <w:p w14:paraId="3895F79E" w14:textId="77777777" w:rsidR="00DB1D76" w:rsidRDefault="00DB1D76" w:rsidP="00781382">
      <w:pPr>
        <w:rPr>
          <w:rFonts w:ascii="Arial" w:hAnsi="Arial" w:cs="Arial"/>
        </w:rPr>
      </w:pPr>
    </w:p>
    <w:p w14:paraId="783B514C" w14:textId="6C494AED" w:rsidR="00DB1D76" w:rsidRDefault="00781382" w:rsidP="00DB1D76">
      <w:pPr>
        <w:pStyle w:val="Heading2"/>
      </w:pPr>
      <w:r w:rsidRPr="00DB1D76">
        <w:t>Conclusion</w:t>
      </w:r>
    </w:p>
    <w:p w14:paraId="15AEB927" w14:textId="77777777" w:rsidR="00DB1D76" w:rsidRDefault="00DB1D76" w:rsidP="00781382">
      <w:pPr>
        <w:rPr>
          <w:rFonts w:ascii="Arial" w:hAnsi="Arial" w:cs="Arial"/>
        </w:rPr>
      </w:pPr>
    </w:p>
    <w:p w14:paraId="09D6F500" w14:textId="51D28E6C" w:rsidR="00781382" w:rsidRDefault="00781382" w:rsidP="00781382">
      <w:pPr>
        <w:rPr>
          <w:rFonts w:ascii="Arial" w:hAnsi="Arial" w:cs="Arial"/>
        </w:rPr>
      </w:pPr>
      <w:r w:rsidRPr="00DB1D76">
        <w:rPr>
          <w:rFonts w:ascii="Arial" w:hAnsi="Arial" w:cs="Arial"/>
        </w:rPr>
        <w:t>Looking back on my overall experience in this module, I appreciate the significant enhancement of my academic skills. My ability to summarise has strengthened, allowing me to convey complex concepts more clearly and efficiently. I have gained an understanding of the importance of precise referencing and its role in upholding academic honesty. Additionally, the practice of reflection has provided me with the tools to critically assess my own learning and to make well-informed decisions about my study methods in the future.</w:t>
      </w:r>
    </w:p>
    <w:p w14:paraId="4780870E" w14:textId="2A53B0E8" w:rsidR="00DB1D76" w:rsidRPr="00DB1D76" w:rsidRDefault="00DB1D76" w:rsidP="00781382">
      <w:pPr>
        <w:rPr>
          <w:rFonts w:ascii="Arial" w:hAnsi="Arial" w:cs="Arial"/>
        </w:rPr>
      </w:pPr>
      <w:r>
        <w:rPr>
          <w:rFonts w:ascii="Arial" w:hAnsi="Arial" w:cs="Arial"/>
        </w:rPr>
        <w:t>(Baker &amp; McKenzie, 2018)</w:t>
      </w:r>
    </w:p>
    <w:p w14:paraId="3D5EAF41" w14:textId="77777777" w:rsidR="00781382" w:rsidRPr="00DB1D76" w:rsidRDefault="00781382" w:rsidP="00781382">
      <w:pPr>
        <w:pStyle w:val="NoSpacing"/>
        <w:rPr>
          <w:rFonts w:ascii="Arial" w:hAnsi="Arial" w:cs="Arial"/>
        </w:rPr>
      </w:pPr>
    </w:p>
    <w:p w14:paraId="17436B5F" w14:textId="77777777" w:rsidR="00781382" w:rsidRPr="00DB1D76" w:rsidRDefault="00781382" w:rsidP="00781382">
      <w:pPr>
        <w:pStyle w:val="NoSpacing"/>
        <w:rPr>
          <w:rFonts w:ascii="Arial" w:hAnsi="Arial" w:cs="Arial"/>
        </w:rPr>
      </w:pPr>
    </w:p>
    <w:p w14:paraId="63EE8E36" w14:textId="77777777" w:rsidR="00DB1D76" w:rsidRDefault="00DB1D76" w:rsidP="00781382">
      <w:pPr>
        <w:pStyle w:val="NoSpacing"/>
        <w:rPr>
          <w:rFonts w:ascii="Arial" w:hAnsi="Arial" w:cs="Arial"/>
        </w:rPr>
      </w:pPr>
    </w:p>
    <w:p w14:paraId="57C10409" w14:textId="2C4EBE7D" w:rsidR="00DB1D76" w:rsidRPr="00DB1D76" w:rsidRDefault="00781382" w:rsidP="00DB1D76">
      <w:pPr>
        <w:pStyle w:val="Heading2"/>
      </w:pPr>
      <w:r w:rsidRPr="00DB1D76">
        <w:t>Action Plan</w:t>
      </w:r>
    </w:p>
    <w:p w14:paraId="70DDC5B7" w14:textId="77777777" w:rsidR="00DB1D76" w:rsidRPr="00DB1D76" w:rsidRDefault="00DB1D76" w:rsidP="00781382">
      <w:pPr>
        <w:pStyle w:val="NoSpacing"/>
        <w:rPr>
          <w:rFonts w:ascii="Arial" w:hAnsi="Arial" w:cs="Arial"/>
        </w:rPr>
      </w:pPr>
    </w:p>
    <w:p w14:paraId="7E4EE574" w14:textId="77777777" w:rsidR="00DB1D76" w:rsidRDefault="00DB1D76" w:rsidP="00781382">
      <w:pPr>
        <w:pStyle w:val="NoSpacing"/>
        <w:rPr>
          <w:rFonts w:ascii="Arial" w:hAnsi="Arial" w:cs="Arial"/>
        </w:rPr>
      </w:pPr>
    </w:p>
    <w:p w14:paraId="63B78A30" w14:textId="77777777" w:rsidR="00DB1D76" w:rsidRDefault="00781382" w:rsidP="00781382">
      <w:pPr>
        <w:pStyle w:val="NoSpacing"/>
        <w:rPr>
          <w:rFonts w:ascii="Arial" w:hAnsi="Arial" w:cs="Arial"/>
        </w:rPr>
      </w:pPr>
      <w:proofErr w:type="gramStart"/>
      <w:r w:rsidRPr="00DB1D76">
        <w:rPr>
          <w:rFonts w:ascii="Arial" w:hAnsi="Arial" w:cs="Arial"/>
        </w:rPr>
        <w:t>In order to</w:t>
      </w:r>
      <w:proofErr w:type="gramEnd"/>
      <w:r w:rsidRPr="00DB1D76">
        <w:rPr>
          <w:rFonts w:ascii="Arial" w:hAnsi="Arial" w:cs="Arial"/>
        </w:rPr>
        <w:t xml:space="preserve"> further enhance these skills, I plan to undertake the following actions:</w:t>
      </w:r>
    </w:p>
    <w:p w14:paraId="31B05868" w14:textId="77777777" w:rsidR="00DB1D76" w:rsidRDefault="00DB1D76" w:rsidP="00781382">
      <w:pPr>
        <w:pStyle w:val="NoSpacing"/>
        <w:rPr>
          <w:rFonts w:ascii="Arial" w:hAnsi="Arial" w:cs="Arial"/>
        </w:rPr>
      </w:pPr>
    </w:p>
    <w:p w14:paraId="471C996A" w14:textId="553C6AEB" w:rsidR="00781382" w:rsidRPr="00DB1D76" w:rsidRDefault="00781382" w:rsidP="00781382">
      <w:pPr>
        <w:pStyle w:val="NoSpacing"/>
        <w:rPr>
          <w:rFonts w:ascii="Arial" w:hAnsi="Arial" w:cs="Arial"/>
        </w:rPr>
      </w:pPr>
      <w:r w:rsidRPr="00DB1D76">
        <w:rPr>
          <w:rFonts w:ascii="Arial" w:hAnsi="Arial" w:cs="Arial"/>
        </w:rPr>
        <w:t>-Summarising Skills: I will keep practising summarising academic materials beyond my coursework. I aim to incorporate summarisation into my daily reading routines, whether it involves news articles or journal papers while focusing on identifying key arguments.</w:t>
      </w:r>
    </w:p>
    <w:p w14:paraId="3A5F8EFF" w14:textId="77777777" w:rsidR="00DB1D76" w:rsidRDefault="00DB1D76" w:rsidP="00781382">
      <w:pPr>
        <w:pStyle w:val="NoSpacing"/>
        <w:rPr>
          <w:rFonts w:ascii="Arial" w:hAnsi="Arial" w:cs="Arial"/>
        </w:rPr>
      </w:pPr>
    </w:p>
    <w:p w14:paraId="5855879D" w14:textId="33C57D2A" w:rsidR="00781382" w:rsidRPr="00DB1D76" w:rsidRDefault="00781382" w:rsidP="00781382">
      <w:pPr>
        <w:pStyle w:val="NoSpacing"/>
        <w:rPr>
          <w:rFonts w:ascii="Arial" w:hAnsi="Arial" w:cs="Arial"/>
        </w:rPr>
      </w:pPr>
      <w:r w:rsidRPr="00DB1D76">
        <w:rPr>
          <w:rFonts w:ascii="Arial" w:hAnsi="Arial" w:cs="Arial"/>
        </w:rPr>
        <w:t>-Referencing Skills: I will allocate time to become familiar with various referencing styles by consulting style guides and using citation management software. I will also maintain an annotated bibliography for my upcoming assignments to reinforce my understanding of different sources.</w:t>
      </w:r>
    </w:p>
    <w:p w14:paraId="535AE4BE" w14:textId="77777777" w:rsidR="00DB1D76" w:rsidRDefault="00DB1D76" w:rsidP="00781382">
      <w:pPr>
        <w:rPr>
          <w:rFonts w:ascii="Arial" w:hAnsi="Arial" w:cs="Arial"/>
        </w:rPr>
      </w:pPr>
    </w:p>
    <w:p w14:paraId="4558FD85" w14:textId="1E7A42A1" w:rsidR="00781382" w:rsidRDefault="00781382" w:rsidP="00781382">
      <w:pPr>
        <w:rPr>
          <w:rFonts w:ascii="Arial" w:hAnsi="Arial" w:cs="Arial"/>
        </w:rPr>
      </w:pPr>
      <w:r w:rsidRPr="00DB1D76">
        <w:rPr>
          <w:rFonts w:ascii="Arial" w:hAnsi="Arial" w:cs="Arial"/>
        </w:rPr>
        <w:t>–Reflection Skills: To improve my reflective practices, I plan to keep a reflective journal throughout my studies. This will function as a tool for recording my learning and promoting ongoing evaluation of my academic progress. Furthermore, I will regularly seek feedback from peers and instructors to enhance my reflective process. In conclusion, I am convinced that by applying these strategies, I will continue to build on the skills gained in this module, promoting both my academic success and personal development.</w:t>
      </w:r>
    </w:p>
    <w:p w14:paraId="2AA4FD95" w14:textId="2AA0080A" w:rsidR="00DB1D76" w:rsidRPr="00DB1D76" w:rsidRDefault="00DB1D76" w:rsidP="00781382">
      <w:pPr>
        <w:rPr>
          <w:rFonts w:ascii="Arial" w:hAnsi="Arial" w:cs="Arial"/>
        </w:rPr>
      </w:pPr>
      <w:r>
        <w:rPr>
          <w:rFonts w:ascii="Arial" w:hAnsi="Arial" w:cs="Arial"/>
        </w:rPr>
        <w:t>(Gibbs, 1988)</w:t>
      </w:r>
    </w:p>
    <w:p w14:paraId="4B71FFB4" w14:textId="77777777" w:rsidR="00DB1D76" w:rsidRDefault="00DB1D76" w:rsidP="00781382"/>
    <w:p w14:paraId="5754F060" w14:textId="77777777" w:rsidR="00DB1D76" w:rsidRDefault="00DB1D76" w:rsidP="00781382"/>
    <w:p w14:paraId="5772A2CB" w14:textId="01C03869" w:rsidR="00781382" w:rsidRDefault="00781382" w:rsidP="00781382"/>
    <w:p w14:paraId="0CA07E02" w14:textId="77777777" w:rsidR="009534DD" w:rsidRDefault="009534DD">
      <w:r>
        <w:t xml:space="preserve">     </w:t>
      </w:r>
    </w:p>
    <w:p w14:paraId="46E06E9A" w14:textId="77777777" w:rsidR="009534DD" w:rsidRDefault="009534DD"/>
    <w:p w14:paraId="333EB556" w14:textId="77777777" w:rsidR="009534DD" w:rsidRDefault="009534DD"/>
    <w:p w14:paraId="55BF9B0B" w14:textId="77777777" w:rsidR="009534DD" w:rsidRDefault="009534DD"/>
    <w:p w14:paraId="7DDEE6CB" w14:textId="399EF4BB" w:rsidR="009534DD" w:rsidRDefault="00DB1D76" w:rsidP="00DB1D76">
      <w:pPr>
        <w:pStyle w:val="Heading1"/>
        <w:jc w:val="left"/>
      </w:pPr>
      <w:r>
        <w:t xml:space="preserve">                           </w:t>
      </w:r>
      <w:r w:rsidR="009534DD" w:rsidRPr="009534DD">
        <w:t>Reference</w:t>
      </w:r>
      <w:r>
        <w:t>s</w:t>
      </w:r>
    </w:p>
    <w:p w14:paraId="706E1127" w14:textId="77777777" w:rsidR="00DB1D76" w:rsidRPr="00DB1D76" w:rsidRDefault="00DB1D76" w:rsidP="00DB1D76"/>
    <w:p w14:paraId="431B3279" w14:textId="055E427C" w:rsidR="009534DD" w:rsidRPr="00781382" w:rsidRDefault="009534DD">
      <w:pPr>
        <w:rPr>
          <w:rFonts w:ascii="Arial" w:hAnsi="Arial" w:cs="Arial"/>
        </w:rPr>
      </w:pPr>
      <w:r w:rsidRPr="00781382">
        <w:rPr>
          <w:rFonts w:ascii="Arial" w:hAnsi="Arial" w:cs="Arial"/>
        </w:rPr>
        <w:t>Baker, L., &amp; McKenzie, L. A. (2018). Summarizing and Note-Taking in Academic Writing: Improving Student Performance. Journal of Higher Education Theory and Practice, 18 (3), 67-75.</w:t>
      </w:r>
    </w:p>
    <w:p w14:paraId="73D06CFB" w14:textId="6414E9BB" w:rsidR="009534DD" w:rsidRPr="00781382" w:rsidRDefault="009534DD">
      <w:pPr>
        <w:rPr>
          <w:rFonts w:ascii="Arial" w:hAnsi="Arial" w:cs="Arial"/>
        </w:rPr>
      </w:pPr>
      <w:r w:rsidRPr="00781382">
        <w:rPr>
          <w:rFonts w:ascii="Arial" w:hAnsi="Arial" w:cs="Arial"/>
        </w:rPr>
        <w:t>Gibbs, G. (1988). Learning by Doing: A Guide to Teaching and Learning Methods. Cheltenham: G. A. Gibbs.</w:t>
      </w:r>
    </w:p>
    <w:p w14:paraId="6BB1B77D" w14:textId="14F37F49" w:rsidR="00260D19" w:rsidRDefault="009534DD">
      <w:pPr>
        <w:rPr>
          <w:rFonts w:ascii="Arial" w:hAnsi="Arial" w:cs="Arial"/>
        </w:rPr>
      </w:pPr>
      <w:r w:rsidRPr="00781382">
        <w:rPr>
          <w:rFonts w:ascii="Arial" w:hAnsi="Arial" w:cs="Arial"/>
        </w:rPr>
        <w:t>Pears, R., &amp; Shields, G. (2019)</w:t>
      </w:r>
      <w:r w:rsidR="00DB1D76">
        <w:rPr>
          <w:rFonts w:ascii="Arial" w:hAnsi="Arial" w:cs="Arial"/>
        </w:rPr>
        <w:t xml:space="preserve"> </w:t>
      </w:r>
      <w:r w:rsidRPr="00781382">
        <w:rPr>
          <w:rFonts w:ascii="Arial" w:hAnsi="Arial" w:cs="Arial"/>
        </w:rPr>
        <w:t>Cite Them Right: The Essential Referencing Guide. London: Red Globe Press. - Schön, D. A. (1983). The Reflective Practitioner: How Professionals Think in Action. New York: Basic Books</w:t>
      </w:r>
    </w:p>
    <w:p w14:paraId="4D0E2C2F" w14:textId="4D2256E9" w:rsidR="00DB1D76" w:rsidRDefault="00DB1D76">
      <w:pPr>
        <w:rPr>
          <w:rFonts w:ascii="Arial" w:hAnsi="Arial" w:cs="Arial"/>
        </w:rPr>
      </w:pPr>
      <w:r w:rsidRPr="00DB1D76">
        <w:rPr>
          <w:rFonts w:ascii="Arial" w:hAnsi="Arial" w:cs="Arial"/>
        </w:rPr>
        <w:t xml:space="preserve">Moon, J. A. (2004) A Handbook of Reflective and Experiential Learning: Theory and Practice. New York: </w:t>
      </w:r>
      <w:proofErr w:type="spellStart"/>
      <w:r w:rsidRPr="00DB1D76">
        <w:rPr>
          <w:rFonts w:ascii="Arial" w:hAnsi="Arial" w:cs="Arial"/>
        </w:rPr>
        <w:t>RoutledgeFalmer</w:t>
      </w:r>
      <w:proofErr w:type="spellEnd"/>
      <w:r w:rsidRPr="00DB1D76">
        <w:rPr>
          <w:rFonts w:ascii="Arial" w:hAnsi="Arial" w:cs="Arial"/>
        </w:rPr>
        <w:t>.</w:t>
      </w:r>
    </w:p>
    <w:p w14:paraId="4FBFBFC0" w14:textId="77777777" w:rsidR="00DB1D76" w:rsidRPr="00DB1D76" w:rsidRDefault="00DB1D76" w:rsidP="00DB1D76">
      <w:pPr>
        <w:rPr>
          <w:rFonts w:ascii="Arial" w:hAnsi="Arial" w:cs="Arial"/>
        </w:rPr>
      </w:pPr>
      <w:r w:rsidRPr="00DB1D76">
        <w:rPr>
          <w:rFonts w:ascii="Arial" w:hAnsi="Arial" w:cs="Arial"/>
        </w:rPr>
        <w:t xml:space="preserve">Channell, M. (2023). </w:t>
      </w:r>
      <w:r w:rsidRPr="00DB1D76">
        <w:rPr>
          <w:rFonts w:ascii="Arial" w:hAnsi="Arial" w:cs="Arial"/>
          <w:i/>
          <w:iCs/>
        </w:rPr>
        <w:t>Gibbs Reflective Cycle – How to Learn from Experience and Become a Better Leader</w:t>
      </w:r>
      <w:r w:rsidRPr="00DB1D76">
        <w:rPr>
          <w:rFonts w:ascii="Arial" w:hAnsi="Arial" w:cs="Arial"/>
        </w:rPr>
        <w:t>. [online] TSW Training. Available at: https://www.tsw.co.uk/blog/leadership-and-management/gibbs-reflective-cycle/ [Accessed Dec. 18AD].</w:t>
      </w:r>
    </w:p>
    <w:p w14:paraId="316ACF1F" w14:textId="77777777" w:rsidR="00DB1D76" w:rsidRPr="00781382" w:rsidRDefault="00DB1D76">
      <w:pPr>
        <w:rPr>
          <w:rFonts w:ascii="Arial" w:hAnsi="Arial" w:cs="Arial"/>
        </w:rPr>
      </w:pPr>
    </w:p>
    <w:sectPr w:rsidR="00DB1D76" w:rsidRPr="007813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008"/>
    <w:rsid w:val="002244F1"/>
    <w:rsid w:val="00260D19"/>
    <w:rsid w:val="00781382"/>
    <w:rsid w:val="009534DD"/>
    <w:rsid w:val="009F0DCA"/>
    <w:rsid w:val="00C67358"/>
    <w:rsid w:val="00DA189A"/>
    <w:rsid w:val="00DB1D76"/>
    <w:rsid w:val="00DF0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E757E1"/>
  <w15:chartTrackingRefBased/>
  <w15:docId w15:val="{0C225EB5-4C85-450A-98F4-EE23C9A58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D76"/>
  </w:style>
  <w:style w:type="paragraph" w:styleId="Heading1">
    <w:name w:val="heading 1"/>
    <w:basedOn w:val="Normal"/>
    <w:next w:val="Normal"/>
    <w:link w:val="Heading1Char"/>
    <w:uiPriority w:val="9"/>
    <w:qFormat/>
    <w:rsid w:val="00DB1D76"/>
    <w:pPr>
      <w:keepNext/>
      <w:keepLines/>
      <w:spacing w:before="320" w:after="80" w:line="240" w:lineRule="auto"/>
      <w:jc w:val="center"/>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unhideWhenUsed/>
    <w:qFormat/>
    <w:rsid w:val="00DB1D76"/>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DB1D76"/>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DB1D76"/>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B1D76"/>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B1D76"/>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B1D76"/>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B1D76"/>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B1D76"/>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D76"/>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rsid w:val="00DB1D7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DB1D7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DB1D76"/>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B1D7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B1D7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B1D7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B1D7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B1D76"/>
    <w:rPr>
      <w:b/>
      <w:bCs/>
      <w:i/>
      <w:iCs/>
    </w:rPr>
  </w:style>
  <w:style w:type="paragraph" w:styleId="Title">
    <w:name w:val="Title"/>
    <w:basedOn w:val="Normal"/>
    <w:next w:val="Normal"/>
    <w:link w:val="TitleChar"/>
    <w:uiPriority w:val="10"/>
    <w:qFormat/>
    <w:rsid w:val="00DB1D76"/>
    <w:pPr>
      <w:pBdr>
        <w:top w:val="single" w:sz="6" w:space="8" w:color="0BD0D9" w:themeColor="accent3"/>
        <w:bottom w:val="single" w:sz="6" w:space="8" w:color="0BD0D9" w:themeColor="accent3"/>
      </w:pBdr>
      <w:spacing w:after="400" w:line="240" w:lineRule="auto"/>
      <w:contextualSpacing/>
      <w:jc w:val="center"/>
    </w:pPr>
    <w:rPr>
      <w:rFonts w:asciiTheme="majorHAnsi" w:eastAsiaTheme="majorEastAsia" w:hAnsiTheme="majorHAnsi" w:cstheme="majorBidi"/>
      <w:caps/>
      <w:color w:val="17406D" w:themeColor="text2"/>
      <w:spacing w:val="30"/>
      <w:sz w:val="72"/>
      <w:szCs w:val="72"/>
    </w:rPr>
  </w:style>
  <w:style w:type="character" w:customStyle="1" w:styleId="TitleChar">
    <w:name w:val="Title Char"/>
    <w:basedOn w:val="DefaultParagraphFont"/>
    <w:link w:val="Title"/>
    <w:uiPriority w:val="10"/>
    <w:rsid w:val="00DB1D76"/>
    <w:rPr>
      <w:rFonts w:asciiTheme="majorHAnsi" w:eastAsiaTheme="majorEastAsia" w:hAnsiTheme="majorHAnsi" w:cstheme="majorBidi"/>
      <w:caps/>
      <w:color w:val="17406D" w:themeColor="text2"/>
      <w:spacing w:val="30"/>
      <w:sz w:val="72"/>
      <w:szCs w:val="72"/>
    </w:rPr>
  </w:style>
  <w:style w:type="paragraph" w:styleId="Subtitle">
    <w:name w:val="Subtitle"/>
    <w:basedOn w:val="Normal"/>
    <w:next w:val="Normal"/>
    <w:link w:val="SubtitleChar"/>
    <w:uiPriority w:val="11"/>
    <w:qFormat/>
    <w:rsid w:val="00DB1D76"/>
    <w:pPr>
      <w:numPr>
        <w:ilvl w:val="1"/>
      </w:numPr>
      <w:jc w:val="center"/>
    </w:pPr>
    <w:rPr>
      <w:color w:val="17406D" w:themeColor="text2"/>
      <w:sz w:val="28"/>
      <w:szCs w:val="28"/>
    </w:rPr>
  </w:style>
  <w:style w:type="character" w:customStyle="1" w:styleId="SubtitleChar">
    <w:name w:val="Subtitle Char"/>
    <w:basedOn w:val="DefaultParagraphFont"/>
    <w:link w:val="Subtitle"/>
    <w:uiPriority w:val="11"/>
    <w:rsid w:val="00DB1D76"/>
    <w:rPr>
      <w:color w:val="17406D" w:themeColor="text2"/>
      <w:sz w:val="28"/>
      <w:szCs w:val="28"/>
    </w:rPr>
  </w:style>
  <w:style w:type="paragraph" w:styleId="Quote">
    <w:name w:val="Quote"/>
    <w:basedOn w:val="Normal"/>
    <w:next w:val="Normal"/>
    <w:link w:val="QuoteChar"/>
    <w:uiPriority w:val="29"/>
    <w:qFormat/>
    <w:rsid w:val="00DB1D76"/>
    <w:pPr>
      <w:spacing w:before="160"/>
      <w:ind w:left="720" w:right="720"/>
      <w:jc w:val="center"/>
    </w:pPr>
    <w:rPr>
      <w:i/>
      <w:iCs/>
      <w:color w:val="089BA2" w:themeColor="accent3" w:themeShade="BF"/>
      <w:sz w:val="24"/>
      <w:szCs w:val="24"/>
    </w:rPr>
  </w:style>
  <w:style w:type="character" w:customStyle="1" w:styleId="QuoteChar">
    <w:name w:val="Quote Char"/>
    <w:basedOn w:val="DefaultParagraphFont"/>
    <w:link w:val="Quote"/>
    <w:uiPriority w:val="29"/>
    <w:rsid w:val="00DB1D76"/>
    <w:rPr>
      <w:i/>
      <w:iCs/>
      <w:color w:val="089BA2" w:themeColor="accent3" w:themeShade="BF"/>
      <w:sz w:val="24"/>
      <w:szCs w:val="24"/>
    </w:rPr>
  </w:style>
  <w:style w:type="paragraph" w:styleId="ListParagraph">
    <w:name w:val="List Paragraph"/>
    <w:basedOn w:val="Normal"/>
    <w:uiPriority w:val="34"/>
    <w:qFormat/>
    <w:rsid w:val="00DF0008"/>
    <w:pPr>
      <w:ind w:left="720"/>
      <w:contextualSpacing/>
    </w:pPr>
  </w:style>
  <w:style w:type="character" w:styleId="IntenseEmphasis">
    <w:name w:val="Intense Emphasis"/>
    <w:basedOn w:val="DefaultParagraphFont"/>
    <w:uiPriority w:val="21"/>
    <w:qFormat/>
    <w:rsid w:val="00DB1D76"/>
    <w:rPr>
      <w:b/>
      <w:bCs/>
      <w:i/>
      <w:iCs/>
      <w:color w:val="auto"/>
    </w:rPr>
  </w:style>
  <w:style w:type="paragraph" w:styleId="IntenseQuote">
    <w:name w:val="Intense Quote"/>
    <w:basedOn w:val="Normal"/>
    <w:next w:val="Normal"/>
    <w:link w:val="IntenseQuoteChar"/>
    <w:uiPriority w:val="30"/>
    <w:qFormat/>
    <w:rsid w:val="00DB1D76"/>
    <w:pPr>
      <w:spacing w:before="160" w:line="276" w:lineRule="auto"/>
      <w:ind w:left="936" w:right="936"/>
      <w:jc w:val="center"/>
    </w:pPr>
    <w:rPr>
      <w:rFonts w:asciiTheme="majorHAnsi" w:eastAsiaTheme="majorEastAsia" w:hAnsiTheme="majorHAnsi" w:cstheme="majorBidi"/>
      <w:caps/>
      <w:color w:val="0B5294" w:themeColor="accent1" w:themeShade="BF"/>
      <w:sz w:val="28"/>
      <w:szCs w:val="28"/>
    </w:rPr>
  </w:style>
  <w:style w:type="character" w:customStyle="1" w:styleId="IntenseQuoteChar">
    <w:name w:val="Intense Quote Char"/>
    <w:basedOn w:val="DefaultParagraphFont"/>
    <w:link w:val="IntenseQuote"/>
    <w:uiPriority w:val="30"/>
    <w:rsid w:val="00DB1D76"/>
    <w:rPr>
      <w:rFonts w:asciiTheme="majorHAnsi" w:eastAsiaTheme="majorEastAsia" w:hAnsiTheme="majorHAnsi" w:cstheme="majorBidi"/>
      <w:caps/>
      <w:color w:val="0B5294" w:themeColor="accent1" w:themeShade="BF"/>
      <w:sz w:val="28"/>
      <w:szCs w:val="28"/>
    </w:rPr>
  </w:style>
  <w:style w:type="character" w:styleId="IntenseReference">
    <w:name w:val="Intense Reference"/>
    <w:basedOn w:val="DefaultParagraphFont"/>
    <w:uiPriority w:val="32"/>
    <w:qFormat/>
    <w:rsid w:val="00DB1D76"/>
    <w:rPr>
      <w:b/>
      <w:bCs/>
      <w:caps w:val="0"/>
      <w:smallCaps/>
      <w:color w:val="auto"/>
      <w:spacing w:val="0"/>
      <w:u w:val="single"/>
    </w:rPr>
  </w:style>
  <w:style w:type="paragraph" w:styleId="NoSpacing">
    <w:name w:val="No Spacing"/>
    <w:uiPriority w:val="1"/>
    <w:qFormat/>
    <w:rsid w:val="00DB1D76"/>
    <w:pPr>
      <w:spacing w:after="0" w:line="240" w:lineRule="auto"/>
    </w:pPr>
  </w:style>
  <w:style w:type="paragraph" w:styleId="Caption">
    <w:name w:val="caption"/>
    <w:basedOn w:val="Normal"/>
    <w:next w:val="Normal"/>
    <w:uiPriority w:val="35"/>
    <w:semiHidden/>
    <w:unhideWhenUsed/>
    <w:qFormat/>
    <w:rsid w:val="00DB1D76"/>
    <w:pPr>
      <w:spacing w:line="240" w:lineRule="auto"/>
    </w:pPr>
    <w:rPr>
      <w:b/>
      <w:bCs/>
      <w:color w:val="404040" w:themeColor="text1" w:themeTint="BF"/>
      <w:sz w:val="16"/>
      <w:szCs w:val="16"/>
    </w:rPr>
  </w:style>
  <w:style w:type="character" w:styleId="Strong">
    <w:name w:val="Strong"/>
    <w:basedOn w:val="DefaultParagraphFont"/>
    <w:uiPriority w:val="22"/>
    <w:qFormat/>
    <w:rsid w:val="00DB1D76"/>
    <w:rPr>
      <w:b/>
      <w:bCs/>
    </w:rPr>
  </w:style>
  <w:style w:type="character" w:styleId="Emphasis">
    <w:name w:val="Emphasis"/>
    <w:basedOn w:val="DefaultParagraphFont"/>
    <w:uiPriority w:val="20"/>
    <w:qFormat/>
    <w:rsid w:val="00DB1D76"/>
    <w:rPr>
      <w:i/>
      <w:iCs/>
      <w:color w:val="000000" w:themeColor="text1"/>
    </w:rPr>
  </w:style>
  <w:style w:type="character" w:styleId="SubtleEmphasis">
    <w:name w:val="Subtle Emphasis"/>
    <w:basedOn w:val="DefaultParagraphFont"/>
    <w:uiPriority w:val="19"/>
    <w:qFormat/>
    <w:rsid w:val="00DB1D76"/>
    <w:rPr>
      <w:i/>
      <w:iCs/>
      <w:color w:val="595959" w:themeColor="text1" w:themeTint="A6"/>
    </w:rPr>
  </w:style>
  <w:style w:type="character" w:styleId="SubtleReference">
    <w:name w:val="Subtle Reference"/>
    <w:basedOn w:val="DefaultParagraphFont"/>
    <w:uiPriority w:val="31"/>
    <w:qFormat/>
    <w:rsid w:val="00DB1D76"/>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DB1D76"/>
    <w:rPr>
      <w:b/>
      <w:bCs/>
      <w:caps w:val="0"/>
      <w:smallCaps/>
      <w:spacing w:val="0"/>
    </w:rPr>
  </w:style>
  <w:style w:type="paragraph" w:styleId="TOCHeading">
    <w:name w:val="TOC Heading"/>
    <w:basedOn w:val="Heading1"/>
    <w:next w:val="Normal"/>
    <w:uiPriority w:val="39"/>
    <w:semiHidden/>
    <w:unhideWhenUsed/>
    <w:qFormat/>
    <w:rsid w:val="00DB1D76"/>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5594900">
      <w:bodyDiv w:val="1"/>
      <w:marLeft w:val="0"/>
      <w:marRight w:val="0"/>
      <w:marTop w:val="0"/>
      <w:marBottom w:val="0"/>
      <w:divBdr>
        <w:top w:val="none" w:sz="0" w:space="0" w:color="auto"/>
        <w:left w:val="none" w:sz="0" w:space="0" w:color="auto"/>
        <w:bottom w:val="none" w:sz="0" w:space="0" w:color="auto"/>
        <w:right w:val="none" w:sz="0" w:space="0" w:color="auto"/>
      </w:divBdr>
    </w:div>
    <w:div w:id="453400795">
      <w:bodyDiv w:val="1"/>
      <w:marLeft w:val="0"/>
      <w:marRight w:val="0"/>
      <w:marTop w:val="0"/>
      <w:marBottom w:val="0"/>
      <w:divBdr>
        <w:top w:val="none" w:sz="0" w:space="0" w:color="auto"/>
        <w:left w:val="none" w:sz="0" w:space="0" w:color="auto"/>
        <w:bottom w:val="none" w:sz="0" w:space="0" w:color="auto"/>
        <w:right w:val="none" w:sz="0" w:space="0" w:color="auto"/>
      </w:divBdr>
      <w:divsChild>
        <w:div w:id="415399760">
          <w:marLeft w:val="0"/>
          <w:marRight w:val="0"/>
          <w:marTop w:val="0"/>
          <w:marBottom w:val="0"/>
          <w:divBdr>
            <w:top w:val="none" w:sz="0" w:space="0" w:color="auto"/>
            <w:left w:val="none" w:sz="0" w:space="0" w:color="auto"/>
            <w:bottom w:val="none" w:sz="0" w:space="0" w:color="auto"/>
            <w:right w:val="none" w:sz="0" w:space="0" w:color="auto"/>
          </w:divBdr>
          <w:divsChild>
            <w:div w:id="1572110255">
              <w:marLeft w:val="0"/>
              <w:marRight w:val="0"/>
              <w:marTop w:val="0"/>
              <w:marBottom w:val="0"/>
              <w:divBdr>
                <w:top w:val="none" w:sz="0" w:space="0" w:color="auto"/>
                <w:left w:val="none" w:sz="0" w:space="0" w:color="auto"/>
                <w:bottom w:val="none" w:sz="0" w:space="0" w:color="auto"/>
                <w:right w:val="none" w:sz="0" w:space="0" w:color="auto"/>
              </w:divBdr>
              <w:divsChild>
                <w:div w:id="1778792761">
                  <w:marLeft w:val="0"/>
                  <w:marRight w:val="0"/>
                  <w:marTop w:val="0"/>
                  <w:marBottom w:val="0"/>
                  <w:divBdr>
                    <w:top w:val="none" w:sz="0" w:space="0" w:color="auto"/>
                    <w:left w:val="none" w:sz="0" w:space="0" w:color="auto"/>
                    <w:bottom w:val="none" w:sz="0" w:space="0" w:color="auto"/>
                    <w:right w:val="none" w:sz="0" w:space="0" w:color="auto"/>
                  </w:divBdr>
                </w:div>
                <w:div w:id="1843083487">
                  <w:marLeft w:val="0"/>
                  <w:marRight w:val="0"/>
                  <w:marTop w:val="0"/>
                  <w:marBottom w:val="0"/>
                  <w:divBdr>
                    <w:top w:val="none" w:sz="0" w:space="0" w:color="auto"/>
                    <w:left w:val="none" w:sz="0" w:space="0" w:color="auto"/>
                    <w:bottom w:val="none" w:sz="0" w:space="0" w:color="auto"/>
                    <w:right w:val="none" w:sz="0" w:space="0" w:color="auto"/>
                  </w:divBdr>
                  <w:divsChild>
                    <w:div w:id="740063597">
                      <w:marLeft w:val="0"/>
                      <w:marRight w:val="0"/>
                      <w:marTop w:val="0"/>
                      <w:marBottom w:val="0"/>
                      <w:divBdr>
                        <w:top w:val="none" w:sz="0" w:space="0" w:color="auto"/>
                        <w:left w:val="none" w:sz="0" w:space="0" w:color="auto"/>
                        <w:bottom w:val="none" w:sz="0" w:space="0" w:color="auto"/>
                        <w:right w:val="none" w:sz="0" w:space="0" w:color="auto"/>
                      </w:divBdr>
                      <w:divsChild>
                        <w:div w:id="976377126">
                          <w:marLeft w:val="0"/>
                          <w:marRight w:val="0"/>
                          <w:marTop w:val="0"/>
                          <w:marBottom w:val="0"/>
                          <w:divBdr>
                            <w:top w:val="none" w:sz="0" w:space="0" w:color="auto"/>
                            <w:left w:val="none" w:sz="0" w:space="0" w:color="auto"/>
                            <w:bottom w:val="none" w:sz="0" w:space="0" w:color="auto"/>
                            <w:right w:val="none" w:sz="0" w:space="0" w:color="auto"/>
                          </w:divBdr>
                          <w:divsChild>
                            <w:div w:id="179721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6728043">
          <w:marLeft w:val="0"/>
          <w:marRight w:val="0"/>
          <w:marTop w:val="0"/>
          <w:marBottom w:val="0"/>
          <w:divBdr>
            <w:top w:val="none" w:sz="0" w:space="0" w:color="auto"/>
            <w:left w:val="none" w:sz="0" w:space="0" w:color="auto"/>
            <w:bottom w:val="none" w:sz="0" w:space="0" w:color="auto"/>
            <w:right w:val="none" w:sz="0" w:space="0" w:color="auto"/>
          </w:divBdr>
          <w:divsChild>
            <w:div w:id="2130970329">
              <w:marLeft w:val="0"/>
              <w:marRight w:val="0"/>
              <w:marTop w:val="0"/>
              <w:marBottom w:val="0"/>
              <w:divBdr>
                <w:top w:val="none" w:sz="0" w:space="0" w:color="auto"/>
                <w:left w:val="none" w:sz="0" w:space="0" w:color="auto"/>
                <w:bottom w:val="none" w:sz="0" w:space="0" w:color="auto"/>
                <w:right w:val="none" w:sz="0" w:space="0" w:color="auto"/>
              </w:divBdr>
              <w:divsChild>
                <w:div w:id="1191723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501564">
      <w:bodyDiv w:val="1"/>
      <w:marLeft w:val="0"/>
      <w:marRight w:val="0"/>
      <w:marTop w:val="0"/>
      <w:marBottom w:val="0"/>
      <w:divBdr>
        <w:top w:val="none" w:sz="0" w:space="0" w:color="auto"/>
        <w:left w:val="none" w:sz="0" w:space="0" w:color="auto"/>
        <w:bottom w:val="none" w:sz="0" w:space="0" w:color="auto"/>
        <w:right w:val="none" w:sz="0" w:space="0" w:color="auto"/>
      </w:divBdr>
      <w:divsChild>
        <w:div w:id="1403136758">
          <w:marLeft w:val="0"/>
          <w:marRight w:val="0"/>
          <w:marTop w:val="0"/>
          <w:marBottom w:val="0"/>
          <w:divBdr>
            <w:top w:val="none" w:sz="0" w:space="0" w:color="auto"/>
            <w:left w:val="none" w:sz="0" w:space="0" w:color="auto"/>
            <w:bottom w:val="none" w:sz="0" w:space="0" w:color="auto"/>
            <w:right w:val="none" w:sz="0" w:space="0" w:color="auto"/>
          </w:divBdr>
        </w:div>
      </w:divsChild>
    </w:div>
    <w:div w:id="1282692549">
      <w:bodyDiv w:val="1"/>
      <w:marLeft w:val="0"/>
      <w:marRight w:val="0"/>
      <w:marTop w:val="0"/>
      <w:marBottom w:val="0"/>
      <w:divBdr>
        <w:top w:val="none" w:sz="0" w:space="0" w:color="auto"/>
        <w:left w:val="none" w:sz="0" w:space="0" w:color="auto"/>
        <w:bottom w:val="none" w:sz="0" w:space="0" w:color="auto"/>
        <w:right w:val="none" w:sz="0" w:space="0" w:color="auto"/>
      </w:divBdr>
    </w:div>
    <w:div w:id="1458067003">
      <w:bodyDiv w:val="1"/>
      <w:marLeft w:val="0"/>
      <w:marRight w:val="0"/>
      <w:marTop w:val="0"/>
      <w:marBottom w:val="0"/>
      <w:divBdr>
        <w:top w:val="none" w:sz="0" w:space="0" w:color="auto"/>
        <w:left w:val="none" w:sz="0" w:space="0" w:color="auto"/>
        <w:bottom w:val="none" w:sz="0" w:space="0" w:color="auto"/>
        <w:right w:val="none" w:sz="0" w:space="0" w:color="auto"/>
      </w:divBdr>
    </w:div>
    <w:div w:id="1756778431">
      <w:bodyDiv w:val="1"/>
      <w:marLeft w:val="0"/>
      <w:marRight w:val="0"/>
      <w:marTop w:val="0"/>
      <w:marBottom w:val="0"/>
      <w:divBdr>
        <w:top w:val="none" w:sz="0" w:space="0" w:color="auto"/>
        <w:left w:val="none" w:sz="0" w:space="0" w:color="auto"/>
        <w:bottom w:val="none" w:sz="0" w:space="0" w:color="auto"/>
        <w:right w:val="none" w:sz="0" w:space="0" w:color="auto"/>
      </w:divBdr>
      <w:divsChild>
        <w:div w:id="391738051">
          <w:marLeft w:val="0"/>
          <w:marRight w:val="0"/>
          <w:marTop w:val="0"/>
          <w:marBottom w:val="0"/>
          <w:divBdr>
            <w:top w:val="none" w:sz="0" w:space="0" w:color="auto"/>
            <w:left w:val="none" w:sz="0" w:space="0" w:color="auto"/>
            <w:bottom w:val="none" w:sz="0" w:space="0" w:color="auto"/>
            <w:right w:val="none" w:sz="0" w:space="0" w:color="auto"/>
          </w:divBdr>
          <w:divsChild>
            <w:div w:id="447548000">
              <w:marLeft w:val="0"/>
              <w:marRight w:val="0"/>
              <w:marTop w:val="0"/>
              <w:marBottom w:val="0"/>
              <w:divBdr>
                <w:top w:val="none" w:sz="0" w:space="0" w:color="auto"/>
                <w:left w:val="none" w:sz="0" w:space="0" w:color="auto"/>
                <w:bottom w:val="none" w:sz="0" w:space="0" w:color="auto"/>
                <w:right w:val="none" w:sz="0" w:space="0" w:color="auto"/>
              </w:divBdr>
              <w:divsChild>
                <w:div w:id="209725898">
                  <w:marLeft w:val="0"/>
                  <w:marRight w:val="0"/>
                  <w:marTop w:val="0"/>
                  <w:marBottom w:val="0"/>
                  <w:divBdr>
                    <w:top w:val="none" w:sz="0" w:space="0" w:color="auto"/>
                    <w:left w:val="none" w:sz="0" w:space="0" w:color="auto"/>
                    <w:bottom w:val="none" w:sz="0" w:space="0" w:color="auto"/>
                    <w:right w:val="none" w:sz="0" w:space="0" w:color="auto"/>
                  </w:divBdr>
                </w:div>
                <w:div w:id="790592922">
                  <w:marLeft w:val="0"/>
                  <w:marRight w:val="0"/>
                  <w:marTop w:val="0"/>
                  <w:marBottom w:val="0"/>
                  <w:divBdr>
                    <w:top w:val="none" w:sz="0" w:space="0" w:color="auto"/>
                    <w:left w:val="none" w:sz="0" w:space="0" w:color="auto"/>
                    <w:bottom w:val="none" w:sz="0" w:space="0" w:color="auto"/>
                    <w:right w:val="none" w:sz="0" w:space="0" w:color="auto"/>
                  </w:divBdr>
                  <w:divsChild>
                    <w:div w:id="17241311">
                      <w:marLeft w:val="0"/>
                      <w:marRight w:val="0"/>
                      <w:marTop w:val="0"/>
                      <w:marBottom w:val="0"/>
                      <w:divBdr>
                        <w:top w:val="none" w:sz="0" w:space="0" w:color="auto"/>
                        <w:left w:val="none" w:sz="0" w:space="0" w:color="auto"/>
                        <w:bottom w:val="none" w:sz="0" w:space="0" w:color="auto"/>
                        <w:right w:val="none" w:sz="0" w:space="0" w:color="auto"/>
                      </w:divBdr>
                      <w:divsChild>
                        <w:div w:id="928466972">
                          <w:marLeft w:val="0"/>
                          <w:marRight w:val="0"/>
                          <w:marTop w:val="0"/>
                          <w:marBottom w:val="0"/>
                          <w:divBdr>
                            <w:top w:val="none" w:sz="0" w:space="0" w:color="auto"/>
                            <w:left w:val="none" w:sz="0" w:space="0" w:color="auto"/>
                            <w:bottom w:val="none" w:sz="0" w:space="0" w:color="auto"/>
                            <w:right w:val="none" w:sz="0" w:space="0" w:color="auto"/>
                          </w:divBdr>
                          <w:divsChild>
                            <w:div w:id="92002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93485281">
          <w:marLeft w:val="0"/>
          <w:marRight w:val="0"/>
          <w:marTop w:val="0"/>
          <w:marBottom w:val="0"/>
          <w:divBdr>
            <w:top w:val="none" w:sz="0" w:space="0" w:color="auto"/>
            <w:left w:val="none" w:sz="0" w:space="0" w:color="auto"/>
            <w:bottom w:val="none" w:sz="0" w:space="0" w:color="auto"/>
            <w:right w:val="none" w:sz="0" w:space="0" w:color="auto"/>
          </w:divBdr>
          <w:divsChild>
            <w:div w:id="1281910274">
              <w:marLeft w:val="0"/>
              <w:marRight w:val="0"/>
              <w:marTop w:val="0"/>
              <w:marBottom w:val="0"/>
              <w:divBdr>
                <w:top w:val="none" w:sz="0" w:space="0" w:color="auto"/>
                <w:left w:val="none" w:sz="0" w:space="0" w:color="auto"/>
                <w:bottom w:val="none" w:sz="0" w:space="0" w:color="auto"/>
                <w:right w:val="none" w:sz="0" w:space="0" w:color="auto"/>
              </w:divBdr>
              <w:divsChild>
                <w:div w:id="106852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159508">
      <w:bodyDiv w:val="1"/>
      <w:marLeft w:val="0"/>
      <w:marRight w:val="0"/>
      <w:marTop w:val="0"/>
      <w:marBottom w:val="0"/>
      <w:divBdr>
        <w:top w:val="none" w:sz="0" w:space="0" w:color="auto"/>
        <w:left w:val="none" w:sz="0" w:space="0" w:color="auto"/>
        <w:bottom w:val="none" w:sz="0" w:space="0" w:color="auto"/>
        <w:right w:val="none" w:sz="0" w:space="0" w:color="auto"/>
      </w:divBdr>
      <w:divsChild>
        <w:div w:id="1107388800">
          <w:marLeft w:val="0"/>
          <w:marRight w:val="0"/>
          <w:marTop w:val="0"/>
          <w:marBottom w:val="0"/>
          <w:divBdr>
            <w:top w:val="none" w:sz="0" w:space="0" w:color="auto"/>
            <w:left w:val="none" w:sz="0" w:space="0" w:color="auto"/>
            <w:bottom w:val="none" w:sz="0" w:space="0" w:color="auto"/>
            <w:right w:val="none" w:sz="0" w:space="0" w:color="auto"/>
          </w:divBdr>
        </w:div>
      </w:divsChild>
    </w:div>
    <w:div w:id="193397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C39D058-7CEB-4689-A3DA-E101DE0939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5493</TotalTime>
  <Pages>6</Pages>
  <Words>1225</Words>
  <Characters>7351</Characters>
  <Application>Microsoft Office Word</Application>
  <DocSecurity>0</DocSecurity>
  <Lines>173</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Florin Paun (2411677)</dc:creator>
  <cp:keywords/>
  <dc:description/>
  <cp:lastModifiedBy>Alexandru Florin Paun (2411677)</cp:lastModifiedBy>
  <cp:revision>1</cp:revision>
  <dcterms:created xsi:type="dcterms:W3CDTF">2024-12-14T09:20:00Z</dcterms:created>
  <dcterms:modified xsi:type="dcterms:W3CDTF">2024-12-18T05:06:00Z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a38b0884-e8f1-4dc7-8a82-605a452e2263</vt:lpwstr>
  </property>
</Properties>
</file>