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C281F6" w14:textId="77777777" w:rsidR="00152881" w:rsidRDefault="00152881"/>
    <w:p w14:paraId="76009E52" w14:textId="77777777" w:rsidR="00152881" w:rsidRDefault="00152881"/>
    <w:p w14:paraId="10C69578" w14:textId="77777777" w:rsidR="00152881" w:rsidRDefault="00152881"/>
    <w:p w14:paraId="2D60E2CE" w14:textId="77777777" w:rsidR="00152881" w:rsidRDefault="00152881"/>
    <w:p w14:paraId="78E9B3E0" w14:textId="77777777" w:rsidR="00152881" w:rsidRDefault="00152881"/>
    <w:p w14:paraId="38A69DAC" w14:textId="77777777" w:rsidR="00152881" w:rsidRDefault="00152881"/>
    <w:p w14:paraId="6AFBAEB7" w14:textId="77777777" w:rsidR="00152881" w:rsidRDefault="00152881" w:rsidP="00152881">
      <w:pPr>
        <w:spacing w:line="360" w:lineRule="auto"/>
        <w:jc w:val="center"/>
        <w:rPr>
          <w:rFonts w:ascii="Times New Roman" w:hAnsi="Times New Roman" w:cs="Times New Roman"/>
          <w:b/>
          <w:sz w:val="40"/>
          <w:u w:val="single"/>
        </w:rPr>
      </w:pPr>
      <w:r>
        <w:rPr>
          <w:rFonts w:ascii="Times New Roman" w:hAnsi="Times New Roman" w:cs="Times New Roman"/>
          <w:b/>
          <w:noProof/>
          <w:sz w:val="96"/>
          <w:szCs w:val="44"/>
        </w:rPr>
        <w:drawing>
          <wp:inline distT="0" distB="0" distL="0" distR="0" wp14:anchorId="769F11F6" wp14:editId="4F810DF1">
            <wp:extent cx="2092038" cy="958850"/>
            <wp:effectExtent l="0" t="0" r="3810" b="0"/>
            <wp:docPr id="3" name="Picture 2">
              <a:extLst xmlns:a="http://schemas.openxmlformats.org/drawingml/2006/main">
                <a:ext uri="{FF2B5EF4-FFF2-40B4-BE49-F238E27FC236}">
                  <a16:creationId xmlns:a16="http://schemas.microsoft.com/office/drawing/2014/main" id="{5379A245-92CE-9A84-31C4-4CC5487D9D7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5379A245-92CE-9A84-31C4-4CC5487D9D75}"/>
                        </a:ext>
                      </a:extLst>
                    </pic:cNvPr>
                    <pic:cNvPicPr>
                      <a:picLocks noChangeAspect="1"/>
                    </pic:cNvPicPr>
                  </pic:nvPicPr>
                  <pic:blipFill>
                    <a:blip r:embed="rId7"/>
                    <a:stretch>
                      <a:fillRect/>
                    </a:stretch>
                  </pic:blipFill>
                  <pic:spPr>
                    <a:xfrm>
                      <a:off x="0" y="0"/>
                      <a:ext cx="2099337" cy="962195"/>
                    </a:xfrm>
                    <a:prstGeom prst="rect">
                      <a:avLst/>
                    </a:prstGeom>
                  </pic:spPr>
                </pic:pic>
              </a:graphicData>
            </a:graphic>
          </wp:inline>
        </w:drawing>
      </w:r>
    </w:p>
    <w:p w14:paraId="546A9D83" w14:textId="77777777" w:rsidR="00152881" w:rsidRPr="00EF7C0B" w:rsidRDefault="00152881" w:rsidP="00152881">
      <w:pPr>
        <w:spacing w:line="360" w:lineRule="auto"/>
        <w:ind w:left="1560"/>
        <w:jc w:val="center"/>
        <w:rPr>
          <w:rFonts w:ascii="Times New Roman" w:hAnsi="Times New Roman" w:cs="Times New Roman"/>
          <w:b/>
          <w:sz w:val="40"/>
          <w:u w:val="single"/>
        </w:rPr>
      </w:pPr>
      <w:r>
        <w:rPr>
          <w:rFonts w:ascii="Times New Roman" w:hAnsi="Times New Roman" w:cs="Times New Roman"/>
          <w:b/>
          <w:sz w:val="40"/>
          <w:u w:val="single"/>
        </w:rPr>
        <w:t>Certificate of Higher Education Skills for the Workplace (Health &amp; Social Care)</w:t>
      </w:r>
    </w:p>
    <w:p w14:paraId="19298E52" w14:textId="77777777" w:rsidR="00152881" w:rsidRPr="00EF7C0B" w:rsidRDefault="00152881" w:rsidP="00152881">
      <w:pPr>
        <w:spacing w:line="360" w:lineRule="auto"/>
        <w:ind w:left="1560"/>
        <w:jc w:val="center"/>
        <w:rPr>
          <w:rFonts w:ascii="Times New Roman" w:hAnsi="Times New Roman" w:cs="Times New Roman"/>
          <w:b/>
          <w:sz w:val="40"/>
          <w:u w:val="single"/>
        </w:rPr>
      </w:pPr>
      <w:r>
        <w:rPr>
          <w:rFonts w:ascii="Times New Roman" w:hAnsi="Times New Roman" w:cs="Times New Roman"/>
          <w:b/>
          <w:sz w:val="40"/>
          <w:u w:val="single"/>
        </w:rPr>
        <w:t>Introduction to Health and Social Care</w:t>
      </w:r>
    </w:p>
    <w:p w14:paraId="6A45B08F" w14:textId="77777777" w:rsidR="00152881" w:rsidRDefault="00152881" w:rsidP="00152881">
      <w:pPr>
        <w:spacing w:line="360" w:lineRule="auto"/>
        <w:ind w:left="1560"/>
        <w:jc w:val="center"/>
        <w:rPr>
          <w:rFonts w:ascii="Times New Roman" w:hAnsi="Times New Roman" w:cs="Times New Roman"/>
          <w:b/>
          <w:sz w:val="40"/>
          <w:u w:val="single"/>
        </w:rPr>
      </w:pPr>
      <w:r>
        <w:rPr>
          <w:rFonts w:ascii="Times New Roman" w:hAnsi="Times New Roman" w:cs="Times New Roman"/>
          <w:b/>
          <w:sz w:val="40"/>
          <w:u w:val="single"/>
        </w:rPr>
        <w:t>LCHS4003</w:t>
      </w:r>
    </w:p>
    <w:p w14:paraId="0E9356D0" w14:textId="77777777" w:rsidR="00152881" w:rsidRPr="00152881" w:rsidRDefault="00152881" w:rsidP="00152881">
      <w:pPr>
        <w:spacing w:line="360" w:lineRule="auto"/>
        <w:ind w:left="1560"/>
        <w:rPr>
          <w:b/>
          <w:sz w:val="40"/>
          <w:szCs w:val="40"/>
          <w:u w:val="single"/>
        </w:rPr>
      </w:pPr>
      <w:r>
        <w:rPr>
          <w:b/>
          <w:sz w:val="40"/>
          <w:szCs w:val="40"/>
          <w:u w:val="single"/>
        </w:rPr>
        <w:t xml:space="preserve">Name: </w:t>
      </w:r>
      <w:hyperlink r:id="rId8" w:history="1">
        <w:r>
          <w:rPr>
            <w:rStyle w:val="Hyperlink"/>
            <w:b/>
            <w:color w:val="222222"/>
            <w:sz w:val="40"/>
            <w:szCs w:val="40"/>
          </w:rPr>
          <w:t>Prince Peter Ojeabulu Okhueidiata</w:t>
        </w:r>
      </w:hyperlink>
    </w:p>
    <w:p w14:paraId="45761C84" w14:textId="77777777" w:rsidR="00152881" w:rsidRPr="00152881" w:rsidRDefault="00152881" w:rsidP="00152881">
      <w:pPr>
        <w:spacing w:line="360" w:lineRule="auto"/>
        <w:ind w:left="1560"/>
        <w:rPr>
          <w:rFonts w:ascii="Times New Roman" w:hAnsi="Times New Roman" w:cs="Times New Roman"/>
          <w:b/>
          <w:sz w:val="40"/>
          <w:u w:val="single"/>
        </w:rPr>
      </w:pPr>
      <w:r>
        <w:rPr>
          <w:rFonts w:ascii="Times New Roman" w:hAnsi="Times New Roman" w:cs="Times New Roman"/>
          <w:b/>
          <w:sz w:val="40"/>
          <w:u w:val="single"/>
        </w:rPr>
        <w:t>Student No: 2509560</w:t>
      </w:r>
    </w:p>
    <w:p w14:paraId="5F30BB35" w14:textId="77777777" w:rsidR="00152881" w:rsidRDefault="00152881" w:rsidP="00152881">
      <w:pPr>
        <w:ind w:left="1560"/>
      </w:pPr>
    </w:p>
    <w:p w14:paraId="6B8AD67D" w14:textId="77777777" w:rsidR="00152881" w:rsidRDefault="00152881"/>
    <w:p w14:paraId="48536B60" w14:textId="77777777" w:rsidR="00152881" w:rsidRDefault="00152881"/>
    <w:p w14:paraId="434B265B" w14:textId="77777777" w:rsidR="00152881" w:rsidRDefault="00152881"/>
    <w:p w14:paraId="350B3ACA" w14:textId="77777777" w:rsidR="00152881" w:rsidRDefault="00152881"/>
    <w:p w14:paraId="0ADB2709" w14:textId="77777777" w:rsidR="00152881" w:rsidRDefault="00152881"/>
    <w:p w14:paraId="14753AF8" w14:textId="77777777" w:rsidR="00152881" w:rsidRDefault="00152881"/>
    <w:p w14:paraId="7064067F" w14:textId="77777777" w:rsidR="00152881" w:rsidRDefault="00152881"/>
    <w:p w14:paraId="485A1E23" w14:textId="77777777" w:rsidR="00152881" w:rsidRDefault="00152881"/>
    <w:p w14:paraId="4443030D" w14:textId="77777777" w:rsidR="00152881" w:rsidRDefault="00152881"/>
    <w:p w14:paraId="59D8D77F" w14:textId="77777777" w:rsidR="00152881" w:rsidRDefault="00152881"/>
    <w:p w14:paraId="6ED011CE" w14:textId="77777777" w:rsidR="00152881" w:rsidRDefault="00152881"/>
    <w:p w14:paraId="3F47F08A" w14:textId="77777777" w:rsidR="00152881" w:rsidRDefault="00152881"/>
    <w:p w14:paraId="45E3BCC4" w14:textId="77777777" w:rsidR="00152881" w:rsidRDefault="00152881"/>
    <w:p w14:paraId="4CCD94DA" w14:textId="77777777" w:rsidR="00152881" w:rsidRDefault="00152881"/>
    <w:tbl>
      <w:tblPr>
        <w:tblW w:w="15398"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398"/>
      </w:tblGrid>
      <w:tr w:rsidR="006C2BBB" w14:paraId="4A188799" w14:textId="77777777">
        <w:tc>
          <w:tcPr>
            <w:tcW w:w="15398" w:type="dxa"/>
            <w:tcBorders>
              <w:top w:val="none" w:sz="0" w:space="0" w:color="FFFFFF"/>
              <w:left w:val="none" w:sz="0" w:space="0" w:color="FFFFFF"/>
              <w:bottom w:val="single" w:sz="12" w:space="0" w:color="7C5CBF"/>
              <w:right w:val="none" w:sz="0" w:space="0" w:color="FFFFFF"/>
            </w:tcBorders>
            <w:shd w:val="clear" w:color="auto" w:fill="FFFFFF"/>
            <w:tcMar>
              <w:top w:w="140" w:type="dxa"/>
              <w:left w:w="200" w:type="dxa"/>
              <w:bottom w:w="120" w:type="dxa"/>
              <w:right w:w="200" w:type="dxa"/>
            </w:tcMar>
          </w:tcPr>
          <w:p w14:paraId="05D44D62" w14:textId="77777777" w:rsidR="006C2BBB" w:rsidRDefault="00FA20CF">
            <w:pPr>
              <w:spacing w:after="60"/>
              <w:jc w:val="center"/>
            </w:pPr>
            <w:r>
              <w:rPr>
                <w:b/>
                <w:bCs/>
                <w:color w:val="2D1F5E"/>
                <w:sz w:val="36"/>
                <w:szCs w:val="36"/>
              </w:rPr>
              <w:lastRenderedPageBreak/>
              <w:t>Community Mental Health Services: Supporting Recovery in the Community</w:t>
            </w:r>
          </w:p>
          <w:p w14:paraId="3CA96871" w14:textId="77777777" w:rsidR="006C2BBB" w:rsidRDefault="006C2BBB">
            <w:pPr>
              <w:spacing w:after="80"/>
              <w:jc w:val="center"/>
            </w:pPr>
          </w:p>
        </w:tc>
      </w:tr>
    </w:tbl>
    <w:p w14:paraId="2A16DC8A" w14:textId="77777777" w:rsidR="006C2BBB" w:rsidRDefault="006C2BBB">
      <w:pPr>
        <w:spacing w:after="120"/>
      </w:pPr>
    </w:p>
    <w:tbl>
      <w:tblPr>
        <w:tblW w:w="15398"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73"/>
        <w:gridCol w:w="5461"/>
        <w:gridCol w:w="4974"/>
      </w:tblGrid>
      <w:tr w:rsidR="006C2BBB" w14:paraId="4E912A42" w14:textId="77777777">
        <w:tc>
          <w:tcPr>
            <w:tcW w:w="4960" w:type="dxa"/>
            <w:tcBorders>
              <w:top w:val="none" w:sz="0" w:space="0" w:color="FFFFFF"/>
              <w:left w:val="none" w:sz="0" w:space="0" w:color="FFFFFF"/>
              <w:bottom w:val="none" w:sz="0" w:space="0" w:color="FFFFFF"/>
              <w:right w:val="none" w:sz="0" w:space="0" w:color="FFFFFF"/>
            </w:tcBorders>
            <w:tcMar>
              <w:top w:w="0" w:type="dxa"/>
              <w:left w:w="0" w:type="dxa"/>
              <w:bottom w:w="0" w:type="dxa"/>
              <w:right w:w="120" w:type="dxa"/>
            </w:tcMar>
          </w:tcPr>
          <w:tbl>
            <w:tblPr>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60"/>
            </w:tblGrid>
            <w:tr w:rsidR="006C2BBB" w14:paraId="39460315" w14:textId="77777777">
              <w:tc>
                <w:tcPr>
                  <w:tcW w:w="4960" w:type="dxa"/>
                  <w:tcBorders>
                    <w:top w:val="single" w:sz="4" w:space="0" w:color="C8B8E8"/>
                    <w:left w:val="single" w:sz="4" w:space="0" w:color="C8B8E8"/>
                    <w:bottom w:val="single" w:sz="4" w:space="0" w:color="C8B8E8"/>
                    <w:right w:val="single" w:sz="4" w:space="0" w:color="C8B8E8"/>
                  </w:tcBorders>
                  <w:shd w:val="clear" w:color="auto" w:fill="EDE8F8"/>
                  <w:tcMar>
                    <w:top w:w="80" w:type="dxa"/>
                    <w:left w:w="120" w:type="dxa"/>
                    <w:bottom w:w="80" w:type="dxa"/>
                    <w:right w:w="120" w:type="dxa"/>
                  </w:tcMar>
                </w:tcPr>
                <w:p w14:paraId="4A175972" w14:textId="77777777" w:rsidR="006C2BBB" w:rsidRDefault="00FA20CF">
                  <w:pPr>
                    <w:spacing w:after="30"/>
                  </w:pPr>
                  <w:r>
                    <w:rPr>
                      <w:b/>
                      <w:bCs/>
                      <w:color w:val="7C5CBF"/>
                      <w:sz w:val="15"/>
                      <w:szCs w:val="15"/>
                    </w:rPr>
                    <w:t>1. Explanation</w:t>
                  </w:r>
                </w:p>
                <w:p w14:paraId="7CCF56E8" w14:textId="77777777" w:rsidR="006C2BBB" w:rsidRDefault="00FA20CF">
                  <w:pPr>
                    <w:spacing w:after="80"/>
                  </w:pPr>
                  <w:r>
                    <w:rPr>
                      <w:b/>
                      <w:bCs/>
                      <w:color w:val="2D1F5E"/>
                      <w:sz w:val="20"/>
                      <w:szCs w:val="20"/>
                    </w:rPr>
                    <w:t>What Are Community Mental Health Services?</w:t>
                  </w:r>
                </w:p>
              </w:tc>
            </w:tr>
            <w:tr w:rsidR="006C2BBB" w14:paraId="1507ACFE" w14:textId="77777777">
              <w:tc>
                <w:tcPr>
                  <w:tcW w:w="4960" w:type="dxa"/>
                  <w:tcBorders>
                    <w:top w:val="single" w:sz="4" w:space="0" w:color="C8B8E8"/>
                    <w:left w:val="single" w:sz="4" w:space="0" w:color="C8B8E8"/>
                    <w:bottom w:val="single" w:sz="4" w:space="0" w:color="C8B8E8"/>
                    <w:right w:val="single" w:sz="4" w:space="0" w:color="C8B8E8"/>
                  </w:tcBorders>
                  <w:shd w:val="clear" w:color="auto" w:fill="FFFFFF"/>
                  <w:tcMar>
                    <w:top w:w="100" w:type="dxa"/>
                    <w:left w:w="130" w:type="dxa"/>
                    <w:bottom w:w="100" w:type="dxa"/>
                    <w:right w:w="130" w:type="dxa"/>
                  </w:tcMar>
                </w:tcPr>
                <w:p w14:paraId="4DF11FC2" w14:textId="77777777" w:rsidR="006C2BBB" w:rsidRDefault="00FA20CF">
                  <w:pPr>
                    <w:spacing w:after="80"/>
                  </w:pPr>
                  <w:r>
                    <w:rPr>
                      <w:color w:val="222222"/>
                      <w:sz w:val="17"/>
                      <w:szCs w:val="17"/>
                    </w:rPr>
                    <w:t>Community Mental Health Services (CMHS) provide specialist mental health care outside hospital settings, enabling individuals to live, recover and participate fully within their communities (NHS England, 2026).</w:t>
                  </w:r>
                </w:p>
                <w:p w14:paraId="365C3B3B" w14:textId="77777777" w:rsidR="006C2BBB" w:rsidRDefault="00FA20CF">
                  <w:pPr>
                    <w:pStyle w:val="ListParagraph"/>
                    <w:numPr>
                      <w:ilvl w:val="0"/>
                      <w:numId w:val="2"/>
                    </w:numPr>
                    <w:spacing w:after="60"/>
                  </w:pPr>
                  <w:r>
                    <w:rPr>
                      <w:b/>
                      <w:bCs/>
                      <w:color w:val="2D1F5E"/>
                      <w:sz w:val="17"/>
                      <w:szCs w:val="17"/>
                    </w:rPr>
                    <w:t xml:space="preserve">Assessment &amp; Care Coordination: </w:t>
                  </w:r>
                  <w:r>
                    <w:rPr>
                      <w:color w:val="222222"/>
                      <w:sz w:val="17"/>
                      <w:szCs w:val="17"/>
                    </w:rPr>
                    <w:t>CMHTs carry out holistic assessments and assign a named care coordinator under the Care Programme Approach (Department of Health, 1991).</w:t>
                  </w:r>
                </w:p>
                <w:p w14:paraId="0B59138A" w14:textId="77777777" w:rsidR="006C2BBB" w:rsidRDefault="00FA20CF">
                  <w:pPr>
                    <w:pStyle w:val="ListParagraph"/>
                    <w:numPr>
                      <w:ilvl w:val="0"/>
                      <w:numId w:val="2"/>
                    </w:numPr>
                    <w:spacing w:after="60"/>
                  </w:pPr>
                  <w:r>
                    <w:rPr>
                      <w:b/>
                      <w:bCs/>
                      <w:color w:val="2D1F5E"/>
                      <w:sz w:val="17"/>
                      <w:szCs w:val="17"/>
                    </w:rPr>
                    <w:t xml:space="preserve">Crisis Support: </w:t>
                  </w:r>
                  <w:r>
                    <w:rPr>
                      <w:color w:val="222222"/>
                      <w:sz w:val="17"/>
                      <w:szCs w:val="17"/>
                    </w:rPr>
                    <w:t>Crisis Resolution and Home Treatment Teams (CRHTTs) offer 24/7 intensive support at home, reducing unnecessary hospital admissions (Johnson et al., 2018).</w:t>
                  </w:r>
                </w:p>
                <w:p w14:paraId="734F4516" w14:textId="77777777" w:rsidR="006C2BBB" w:rsidRDefault="00FA20CF">
                  <w:pPr>
                    <w:pStyle w:val="ListParagraph"/>
                    <w:numPr>
                      <w:ilvl w:val="0"/>
                      <w:numId w:val="2"/>
                    </w:numPr>
                    <w:spacing w:after="60"/>
                  </w:pPr>
                  <w:r>
                    <w:rPr>
                      <w:b/>
                      <w:bCs/>
                      <w:color w:val="2D1F5E"/>
                      <w:sz w:val="17"/>
                      <w:szCs w:val="17"/>
                    </w:rPr>
                    <w:t xml:space="preserve">Psychological Therapies: </w:t>
                  </w:r>
                  <w:r>
                    <w:rPr>
                      <w:color w:val="222222"/>
                      <w:sz w:val="17"/>
                      <w:szCs w:val="17"/>
                    </w:rPr>
                    <w:t>IAPT programmes deliver evidence-based CBT and talking therapies for depression and anxiety (Clark, 2018).</w:t>
                  </w:r>
                </w:p>
                <w:p w14:paraId="431A406C" w14:textId="77777777" w:rsidR="006C2BBB" w:rsidRDefault="00FA20CF">
                  <w:pPr>
                    <w:pStyle w:val="ListParagraph"/>
                    <w:numPr>
                      <w:ilvl w:val="0"/>
                      <w:numId w:val="2"/>
                    </w:numPr>
                    <w:spacing w:after="60"/>
                  </w:pPr>
                  <w:r>
                    <w:rPr>
                      <w:b/>
                      <w:bCs/>
                      <w:color w:val="2D1F5E"/>
                      <w:sz w:val="17"/>
                      <w:szCs w:val="17"/>
                    </w:rPr>
                    <w:t xml:space="preserve">Early Intervention: </w:t>
                  </w:r>
                  <w:r>
                    <w:rPr>
                      <w:color w:val="222222"/>
                      <w:sz w:val="17"/>
                      <w:szCs w:val="17"/>
                    </w:rPr>
                    <w:t>EIP services provide rapid community response for first-episode psychosis, improving long-term recovery outcomes (NICE, 2014).</w:t>
                  </w:r>
                </w:p>
                <w:p w14:paraId="61264A92" w14:textId="77777777" w:rsidR="006C2BBB" w:rsidRDefault="00FA20CF">
                  <w:pPr>
                    <w:pStyle w:val="ListParagraph"/>
                    <w:numPr>
                      <w:ilvl w:val="0"/>
                      <w:numId w:val="2"/>
                    </w:numPr>
                    <w:spacing w:after="60"/>
                  </w:pPr>
                  <w:r>
                    <w:rPr>
                      <w:b/>
                      <w:bCs/>
                      <w:color w:val="2D1F5E"/>
                      <w:sz w:val="17"/>
                      <w:szCs w:val="17"/>
                    </w:rPr>
                    <w:t xml:space="preserve">Social &amp; Vocational Support: </w:t>
                  </w:r>
                  <w:r>
                    <w:rPr>
                      <w:color w:val="222222"/>
                      <w:sz w:val="17"/>
                      <w:szCs w:val="17"/>
                    </w:rPr>
                    <w:t>Services address housing, employment and social inclusion, recognising social determinants of mental health (WHO, 2022).</w:t>
                  </w:r>
                </w:p>
              </w:tc>
            </w:tr>
          </w:tbl>
          <w:p w14:paraId="6284399A" w14:textId="77777777" w:rsidR="006C2BBB" w:rsidRDefault="006C2BBB">
            <w:pPr>
              <w:spacing w:after="100"/>
            </w:pPr>
          </w:p>
          <w:tbl>
            <w:tblPr>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60"/>
            </w:tblGrid>
            <w:tr w:rsidR="006C2BBB" w14:paraId="115EC9BA" w14:textId="77777777">
              <w:tc>
                <w:tcPr>
                  <w:tcW w:w="4960" w:type="dxa"/>
                  <w:tcBorders>
                    <w:top w:val="single" w:sz="4" w:space="0" w:color="C8B8E8"/>
                    <w:left w:val="single" w:sz="4" w:space="0" w:color="C8B8E8"/>
                    <w:bottom w:val="single" w:sz="4" w:space="0" w:color="C8B8E8"/>
                    <w:right w:val="single" w:sz="4" w:space="0" w:color="C8B8E8"/>
                  </w:tcBorders>
                  <w:shd w:val="clear" w:color="auto" w:fill="EDE8F8"/>
                  <w:tcMar>
                    <w:top w:w="80" w:type="dxa"/>
                    <w:left w:w="120" w:type="dxa"/>
                    <w:bottom w:w="80" w:type="dxa"/>
                    <w:right w:w="120" w:type="dxa"/>
                  </w:tcMar>
                </w:tcPr>
                <w:p w14:paraId="05A2C508" w14:textId="77777777" w:rsidR="006C2BBB" w:rsidRDefault="00FA20CF">
                  <w:pPr>
                    <w:spacing w:after="30"/>
                  </w:pPr>
                  <w:r>
                    <w:rPr>
                      <w:b/>
                      <w:bCs/>
                      <w:color w:val="7C5CBF"/>
                      <w:sz w:val="15"/>
                      <w:szCs w:val="15"/>
                    </w:rPr>
                    <w:t>2. Brief History</w:t>
                  </w:r>
                </w:p>
                <w:p w14:paraId="506D6F97" w14:textId="77777777" w:rsidR="006C2BBB" w:rsidRDefault="00FA20CF">
                  <w:pPr>
                    <w:spacing w:after="80"/>
                  </w:pPr>
                  <w:r>
                    <w:rPr>
                      <w:b/>
                      <w:bCs/>
                      <w:color w:val="2D1F5E"/>
                      <w:sz w:val="20"/>
                      <w:szCs w:val="20"/>
                    </w:rPr>
                    <w:t>History of Community Mental Health Services</w:t>
                  </w:r>
                </w:p>
              </w:tc>
            </w:tr>
            <w:tr w:rsidR="006C2BBB" w14:paraId="64775E7D" w14:textId="77777777">
              <w:tc>
                <w:tcPr>
                  <w:tcW w:w="4960" w:type="dxa"/>
                  <w:tcBorders>
                    <w:top w:val="single" w:sz="4" w:space="0" w:color="C8B8E8"/>
                    <w:left w:val="single" w:sz="4" w:space="0" w:color="C8B8E8"/>
                    <w:bottom w:val="single" w:sz="4" w:space="0" w:color="C8B8E8"/>
                    <w:right w:val="single" w:sz="4" w:space="0" w:color="C8B8E8"/>
                  </w:tcBorders>
                  <w:shd w:val="clear" w:color="auto" w:fill="FFFFFF"/>
                  <w:tcMar>
                    <w:top w:w="100" w:type="dxa"/>
                    <w:left w:w="130" w:type="dxa"/>
                    <w:bottom w:w="100" w:type="dxa"/>
                    <w:right w:w="130" w:type="dxa"/>
                  </w:tcMar>
                </w:tcPr>
                <w:p w14:paraId="7C6D9E30" w14:textId="77777777" w:rsidR="006C2BBB" w:rsidRDefault="00FA20CF">
                  <w:pPr>
                    <w:spacing w:after="80"/>
                  </w:pPr>
                  <w:r>
                    <w:rPr>
                      <w:color w:val="222222"/>
                      <w:sz w:val="17"/>
                      <w:szCs w:val="17"/>
                    </w:rPr>
                    <w:t>The modern CMHS model emerged from a fundamental shift away from institutional care in the mid-twentieth century.</w:t>
                  </w:r>
                </w:p>
                <w:p w14:paraId="145A8B6E" w14:textId="77777777" w:rsidR="006C2BBB" w:rsidRDefault="00FA20CF">
                  <w:pPr>
                    <w:pStyle w:val="ListParagraph"/>
                    <w:numPr>
                      <w:ilvl w:val="0"/>
                      <w:numId w:val="2"/>
                    </w:numPr>
                    <w:spacing w:after="60"/>
                  </w:pPr>
                  <w:r>
                    <w:rPr>
                      <w:b/>
                      <w:bCs/>
                      <w:color w:val="2D1F5E"/>
                      <w:sz w:val="17"/>
                      <w:szCs w:val="17"/>
                    </w:rPr>
                    <w:t xml:space="preserve">Pre-1950s: </w:t>
                  </w:r>
                  <w:r>
                    <w:rPr>
                      <w:color w:val="222222"/>
                      <w:sz w:val="17"/>
                      <w:szCs w:val="17"/>
                    </w:rPr>
                    <w:t>Individuals with mental illness were largely confined to large psychiatric asylums with poor conditions and minimal therapeutic input (Thornicroft &amp; Tansella, 2004).</w:t>
                  </w:r>
                </w:p>
                <w:p w14:paraId="70A3B554" w14:textId="77777777" w:rsidR="006C2BBB" w:rsidRDefault="00FA20CF">
                  <w:pPr>
                    <w:pStyle w:val="ListParagraph"/>
                    <w:numPr>
                      <w:ilvl w:val="0"/>
                      <w:numId w:val="2"/>
                    </w:numPr>
                    <w:spacing w:after="60"/>
                  </w:pPr>
                  <w:r>
                    <w:rPr>
                      <w:b/>
                      <w:bCs/>
                      <w:color w:val="2D1F5E"/>
                      <w:sz w:val="17"/>
                      <w:szCs w:val="17"/>
                    </w:rPr>
                    <w:t xml:space="preserve">1959 – Mental Health Act: </w:t>
                  </w:r>
                  <w:r>
                    <w:rPr>
                      <w:color w:val="222222"/>
                      <w:sz w:val="17"/>
                      <w:szCs w:val="17"/>
                    </w:rPr>
                    <w:t>Established a legal framework enabling community-based care and reducing criteria for compulsory detention.</w:t>
                  </w:r>
                </w:p>
                <w:p w14:paraId="53704476" w14:textId="77777777" w:rsidR="006C2BBB" w:rsidRDefault="00FA20CF">
                  <w:pPr>
                    <w:pStyle w:val="ListParagraph"/>
                    <w:numPr>
                      <w:ilvl w:val="0"/>
                      <w:numId w:val="2"/>
                    </w:numPr>
                    <w:spacing w:after="60"/>
                  </w:pPr>
                  <w:r>
                    <w:rPr>
                      <w:b/>
                      <w:bCs/>
                      <w:color w:val="2D1F5E"/>
                      <w:sz w:val="17"/>
                      <w:szCs w:val="17"/>
                    </w:rPr>
                    <w:lastRenderedPageBreak/>
                    <w:t xml:space="preserve">1961 – Water Tower Speech: </w:t>
                  </w:r>
                  <w:r>
                    <w:rPr>
                      <w:color w:val="222222"/>
                      <w:sz w:val="17"/>
                      <w:szCs w:val="17"/>
                    </w:rPr>
                    <w:t>Minister of Health Enoch Powell announced the closure of the large asylums and a commitment to community provision.</w:t>
                  </w:r>
                </w:p>
                <w:p w14:paraId="14FF40E8" w14:textId="77777777" w:rsidR="006C2BBB" w:rsidRDefault="00FA20CF">
                  <w:pPr>
                    <w:pStyle w:val="ListParagraph"/>
                    <w:numPr>
                      <w:ilvl w:val="0"/>
                      <w:numId w:val="2"/>
                    </w:numPr>
                    <w:spacing w:after="60"/>
                  </w:pPr>
                  <w:r>
                    <w:rPr>
                      <w:b/>
                      <w:bCs/>
                      <w:color w:val="2D1F5E"/>
                      <w:sz w:val="17"/>
                      <w:szCs w:val="17"/>
                    </w:rPr>
                    <w:t xml:space="preserve">1990 – NHS &amp; Community Care Act: </w:t>
                  </w:r>
                  <w:r>
                    <w:rPr>
                      <w:color w:val="222222"/>
                      <w:sz w:val="17"/>
                      <w:szCs w:val="17"/>
                    </w:rPr>
                    <w:t>Placed a statutory duty on local authorities to assess and arrange care for vulnerable adults.</w:t>
                  </w:r>
                </w:p>
                <w:p w14:paraId="1F69B630" w14:textId="77777777" w:rsidR="006C2BBB" w:rsidRDefault="00FA20CF">
                  <w:pPr>
                    <w:pStyle w:val="ListParagraph"/>
                    <w:numPr>
                      <w:ilvl w:val="0"/>
                      <w:numId w:val="2"/>
                    </w:numPr>
                    <w:spacing w:after="60"/>
                  </w:pPr>
                  <w:r>
                    <w:rPr>
                      <w:b/>
                      <w:bCs/>
                      <w:color w:val="2D1F5E"/>
                      <w:sz w:val="17"/>
                      <w:szCs w:val="17"/>
                    </w:rPr>
                    <w:t xml:space="preserve">1991 – Care Programme Approach: </w:t>
                  </w:r>
                  <w:r>
                    <w:rPr>
                      <w:color w:val="222222"/>
                      <w:sz w:val="17"/>
                      <w:szCs w:val="17"/>
                    </w:rPr>
                    <w:t>Introduced structured coordination with named coordinators, regular reviews and written care plans (Department of Health, 1991).</w:t>
                  </w:r>
                </w:p>
                <w:p w14:paraId="357F01DD" w14:textId="77777777" w:rsidR="006C2BBB" w:rsidRDefault="00FA20CF">
                  <w:pPr>
                    <w:pStyle w:val="ListParagraph"/>
                    <w:numPr>
                      <w:ilvl w:val="0"/>
                      <w:numId w:val="2"/>
                    </w:numPr>
                    <w:spacing w:after="60"/>
                  </w:pPr>
                  <w:r>
                    <w:rPr>
                      <w:b/>
                      <w:bCs/>
                      <w:color w:val="2D1F5E"/>
                      <w:sz w:val="17"/>
                      <w:szCs w:val="17"/>
                    </w:rPr>
                    <w:t xml:space="preserve">2019 – NHS Long Term Plan: </w:t>
                  </w:r>
                  <w:r>
                    <w:rPr>
                      <w:color w:val="222222"/>
                      <w:sz w:val="17"/>
                      <w:szCs w:val="17"/>
                    </w:rPr>
                    <w:t>Committed £2.3bn additional annual investment, targeting 380,000 more people in community mental health support (NHS England, 2019).</w:t>
                  </w:r>
                </w:p>
              </w:tc>
            </w:tr>
          </w:tbl>
          <w:p w14:paraId="5270CE21" w14:textId="77777777" w:rsidR="006C2BBB" w:rsidRDefault="006C2BBB">
            <w:pPr>
              <w:jc w:val="center"/>
            </w:pPr>
            <w:r>
              <w:rPr>
                <w:noProof/>
              </w:rPr>
              <w:lastRenderedPageBreak/>
              <w:drawing>
                <wp:inline distT="0" distB="0" distL="0" distR="0" wp14:anchorId="2500AEE5" wp14:editId="26424097">
                  <wp:extent cx="4200000" cy="2520000"/>
                  <wp:effectExtent l="0" t="0" r="0" b="0"/>
                  <wp:docPr id="20" name="PosterImg1"/>
                  <wp:cNvGraphicFramePr/>
                  <a:graphic xmlns:a="http://schemas.openxmlformats.org/drawingml/2006/main">
                    <a:graphicData uri="http://schemas.openxmlformats.org/drawingml/2006/picture">
                      <pic:pic xmlns:pic="http://schemas.openxmlformats.org/drawingml/2006/picture">
                        <pic:nvPicPr>
                          <pic:cNvPr id="20" name="img1.jpg"/>
                          <pic:cNvPicPr/>
                        </pic:nvPicPr>
                        <pic:blipFill>
                          <a:blip r:embed="rId9"/>
                          <a:stretch>
                            <a:fillRect/>
                          </a:stretch>
                        </pic:blipFill>
                        <pic:spPr>
                          <a:xfrm>
                            <a:off x="0" y="0"/>
                            <a:ext cx="4200000" cy="2520000"/>
                          </a:xfrm>
                          <a:prstGeom prst="rect">
                            <a:avLst/>
                          </a:prstGeom>
                        </pic:spPr>
                      </pic:pic>
                    </a:graphicData>
                  </a:graphic>
                </wp:inline>
              </w:drawing>
            </w:r>
          </w:p>
        </w:tc>
        <w:tc>
          <w:tcPr>
            <w:tcW w:w="5478" w:type="dxa"/>
            <w:tcBorders>
              <w:top w:val="none" w:sz="0" w:space="0" w:color="FFFFFF"/>
              <w:left w:val="single" w:sz="8" w:space="0" w:color="C8B8E8"/>
              <w:bottom w:val="none" w:sz="0" w:space="0" w:color="FFFFFF"/>
              <w:right w:val="single" w:sz="8" w:space="0" w:color="C8B8E8"/>
            </w:tcBorders>
            <w:shd w:val="clear" w:color="auto" w:fill="FFFFFF"/>
            <w:tcMar>
              <w:top w:w="0" w:type="dxa"/>
              <w:left w:w="120" w:type="dxa"/>
              <w:bottom w:w="0" w:type="dxa"/>
              <w:right w:w="120" w:type="dxa"/>
            </w:tcMar>
          </w:tcPr>
          <w:tbl>
            <w:tblPr>
              <w:tblW w:w="5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5238"/>
            </w:tblGrid>
            <w:tr w:rsidR="006C2BBB" w14:paraId="1989D6F3" w14:textId="77777777">
              <w:tc>
                <w:tcPr>
                  <w:tcW w:w="5238" w:type="dxa"/>
                  <w:tcBorders>
                    <w:top w:val="none" w:sz="0" w:space="0" w:color="FFFFFF"/>
                    <w:left w:val="none" w:sz="0" w:space="0" w:color="FFFFFF"/>
                    <w:bottom w:val="none" w:sz="0" w:space="0" w:color="FFFFFF"/>
                    <w:right w:val="none" w:sz="0" w:space="0" w:color="FFFFFF"/>
                  </w:tcBorders>
                  <w:shd w:val="clear" w:color="auto" w:fill="2D1F5E"/>
                  <w:tcMar>
                    <w:top w:w="120" w:type="dxa"/>
                    <w:left w:w="120" w:type="dxa"/>
                    <w:bottom w:w="100" w:type="dxa"/>
                    <w:right w:w="120" w:type="dxa"/>
                  </w:tcMar>
                </w:tcPr>
                <w:p w14:paraId="4CA0B755" w14:textId="77777777" w:rsidR="006C2BBB" w:rsidRDefault="00FA20CF">
                  <w:pPr>
                    <w:spacing w:after="40"/>
                    <w:jc w:val="center"/>
                  </w:pPr>
                  <w:r>
                    <w:rPr>
                      <w:b/>
                      <w:bCs/>
                      <w:color w:val="FFFFFF"/>
                      <w:sz w:val="22"/>
                      <w:szCs w:val="22"/>
                    </w:rPr>
                    <w:lastRenderedPageBreak/>
                    <w:t>Community Mental Health Services</w:t>
                  </w:r>
                </w:p>
                <w:p w14:paraId="4CA60E92" w14:textId="77777777" w:rsidR="006C2BBB" w:rsidRDefault="00FA20CF">
                  <w:pPr>
                    <w:spacing w:after="80"/>
                    <w:jc w:val="center"/>
                  </w:pPr>
                  <w:r>
                    <w:rPr>
                      <w:color w:val="BBAAEE"/>
                      <w:sz w:val="16"/>
                      <w:szCs w:val="16"/>
                    </w:rPr>
                    <w:t>— Supporting Recovery —</w:t>
                  </w:r>
                </w:p>
              </w:tc>
            </w:tr>
          </w:tbl>
          <w:p w14:paraId="5807EEEF" w14:textId="77777777" w:rsidR="006C2BBB" w:rsidRDefault="006C2BBB">
            <w:pPr>
              <w:spacing w:after="80"/>
            </w:pPr>
          </w:p>
          <w:p w14:paraId="43662BAE" w14:textId="77777777" w:rsidR="006C2BBB" w:rsidRDefault="00FA20CF">
            <w:pPr>
              <w:spacing w:after="60"/>
              <w:jc w:val="center"/>
            </w:pPr>
            <w:r>
              <w:rPr>
                <w:b/>
                <w:bCs/>
                <w:color w:val="7C5CBF"/>
                <w:sz w:val="16"/>
                <w:szCs w:val="16"/>
              </w:rPr>
              <w:t>KEY STATISTICS</w:t>
            </w:r>
          </w:p>
          <w:tbl>
            <w:tblPr>
              <w:tblW w:w="5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19"/>
              <w:gridCol w:w="2619"/>
            </w:tblGrid>
            <w:tr w:rsidR="006C2BBB" w14:paraId="332975A3" w14:textId="77777777">
              <w:tc>
                <w:tcPr>
                  <w:tcW w:w="2619" w:type="dxa"/>
                  <w:tcBorders>
                    <w:top w:val="none" w:sz="0" w:space="0" w:color="FFFFFF"/>
                    <w:left w:val="none" w:sz="0" w:space="0" w:color="FFFFFF"/>
                    <w:bottom w:val="none" w:sz="0" w:space="0" w:color="FFFFFF"/>
                    <w:right w:val="none" w:sz="0" w:space="0" w:color="FFFFFF"/>
                  </w:tcBorders>
                  <w:shd w:val="clear" w:color="auto" w:fill="1A1040"/>
                  <w:tcMar>
                    <w:top w:w="80" w:type="dxa"/>
                    <w:left w:w="80" w:type="dxa"/>
                    <w:bottom w:w="80" w:type="dxa"/>
                    <w:right w:w="40" w:type="dxa"/>
                  </w:tcMar>
                </w:tcPr>
                <w:p w14:paraId="41A6786B" w14:textId="77777777" w:rsidR="006C2BBB" w:rsidRDefault="00FA20CF">
                  <w:pPr>
                    <w:spacing w:after="20"/>
                    <w:jc w:val="center"/>
                  </w:pPr>
                  <w:r>
                    <w:rPr>
                      <w:b/>
                      <w:bCs/>
                      <w:color w:val="C8B8F8"/>
                      <w:sz w:val="32"/>
                      <w:szCs w:val="32"/>
                    </w:rPr>
                    <w:t>1 in 4</w:t>
                  </w:r>
                </w:p>
                <w:p w14:paraId="2A668248" w14:textId="77777777" w:rsidR="006C2BBB" w:rsidRDefault="00FA20CF">
                  <w:pPr>
                    <w:spacing w:after="80"/>
                    <w:jc w:val="center"/>
                  </w:pPr>
                  <w:r>
                    <w:rPr>
                      <w:color w:val="CCCCCC"/>
                      <w:sz w:val="14"/>
                      <w:szCs w:val="14"/>
                    </w:rPr>
                    <w:t>people experience mental illness annually in England</w:t>
                  </w:r>
                </w:p>
              </w:tc>
              <w:tc>
                <w:tcPr>
                  <w:tcW w:w="2619" w:type="dxa"/>
                  <w:tcBorders>
                    <w:top w:val="none" w:sz="0" w:space="0" w:color="FFFFFF"/>
                    <w:left w:val="single" w:sz="4" w:space="0" w:color="444488"/>
                    <w:bottom w:val="none" w:sz="0" w:space="0" w:color="FFFFFF"/>
                    <w:right w:val="none" w:sz="0" w:space="0" w:color="FFFFFF"/>
                  </w:tcBorders>
                  <w:shd w:val="clear" w:color="auto" w:fill="1A1040"/>
                  <w:tcMar>
                    <w:top w:w="80" w:type="dxa"/>
                    <w:left w:w="80" w:type="dxa"/>
                    <w:bottom w:w="80" w:type="dxa"/>
                    <w:right w:w="80" w:type="dxa"/>
                  </w:tcMar>
                </w:tcPr>
                <w:p w14:paraId="39A0BCBA" w14:textId="77777777" w:rsidR="006C2BBB" w:rsidRDefault="00FA20CF">
                  <w:pPr>
                    <w:spacing w:after="20"/>
                    <w:jc w:val="center"/>
                  </w:pPr>
                  <w:r>
                    <w:rPr>
                      <w:b/>
                      <w:bCs/>
                      <w:color w:val="C8B8F8"/>
                      <w:sz w:val="32"/>
                      <w:szCs w:val="32"/>
                    </w:rPr>
                    <w:t>13%</w:t>
                  </w:r>
                </w:p>
                <w:p w14:paraId="66750ABA" w14:textId="77777777" w:rsidR="006C2BBB" w:rsidRDefault="00FA20CF">
                  <w:pPr>
                    <w:spacing w:after="80"/>
                    <w:jc w:val="center"/>
                  </w:pPr>
                  <w:r>
                    <w:rPr>
                      <w:color w:val="CCCCCC"/>
                      <w:sz w:val="14"/>
                      <w:szCs w:val="14"/>
                    </w:rPr>
                    <w:t>of NHS budget allocated to mental health services</w:t>
                  </w:r>
                </w:p>
              </w:tc>
            </w:tr>
            <w:tr w:rsidR="006C2BBB" w14:paraId="5FF42A8A" w14:textId="77777777">
              <w:tc>
                <w:tcPr>
                  <w:tcW w:w="2619" w:type="dxa"/>
                  <w:tcBorders>
                    <w:top w:val="single" w:sz="4" w:space="0" w:color="444488"/>
                    <w:left w:val="none" w:sz="0" w:space="0" w:color="FFFFFF"/>
                    <w:bottom w:val="none" w:sz="0" w:space="0" w:color="FFFFFF"/>
                    <w:right w:val="none" w:sz="0" w:space="0" w:color="FFFFFF"/>
                  </w:tcBorders>
                  <w:shd w:val="clear" w:color="auto" w:fill="1A1040"/>
                  <w:tcMar>
                    <w:top w:w="80" w:type="dxa"/>
                    <w:left w:w="80" w:type="dxa"/>
                    <w:bottom w:w="80" w:type="dxa"/>
                    <w:right w:w="40" w:type="dxa"/>
                  </w:tcMar>
                </w:tcPr>
                <w:p w14:paraId="5892AF8D" w14:textId="77777777" w:rsidR="006C2BBB" w:rsidRDefault="00FA20CF">
                  <w:pPr>
                    <w:spacing w:after="20"/>
                    <w:jc w:val="center"/>
                  </w:pPr>
                  <w:r>
                    <w:rPr>
                      <w:b/>
                      <w:bCs/>
                      <w:color w:val="C8B8F8"/>
                      <w:sz w:val="28"/>
                      <w:szCs w:val="28"/>
                    </w:rPr>
                    <w:t>+380k</w:t>
                  </w:r>
                </w:p>
                <w:p w14:paraId="0E659D0D" w14:textId="77777777" w:rsidR="006C2BBB" w:rsidRDefault="00FA20CF">
                  <w:pPr>
                    <w:spacing w:after="80"/>
                    <w:jc w:val="center"/>
                  </w:pPr>
                  <w:r>
                    <w:rPr>
                      <w:color w:val="CCCCCC"/>
                      <w:sz w:val="14"/>
                      <w:szCs w:val="14"/>
                    </w:rPr>
                    <w:t>more people targeted for CMHS by 2023/24</w:t>
                  </w:r>
                </w:p>
              </w:tc>
              <w:tc>
                <w:tcPr>
                  <w:tcW w:w="2619" w:type="dxa"/>
                  <w:tcBorders>
                    <w:top w:val="single" w:sz="4" w:space="0" w:color="444488"/>
                    <w:left w:val="single" w:sz="4" w:space="0" w:color="444488"/>
                    <w:bottom w:val="none" w:sz="0" w:space="0" w:color="FFFFFF"/>
                    <w:right w:val="none" w:sz="0" w:space="0" w:color="FFFFFF"/>
                  </w:tcBorders>
                  <w:shd w:val="clear" w:color="auto" w:fill="1A1040"/>
                  <w:tcMar>
                    <w:top w:w="80" w:type="dxa"/>
                    <w:left w:w="80" w:type="dxa"/>
                    <w:bottom w:w="80" w:type="dxa"/>
                    <w:right w:w="80" w:type="dxa"/>
                  </w:tcMar>
                </w:tcPr>
                <w:p w14:paraId="6B46B39E" w14:textId="77777777" w:rsidR="006C2BBB" w:rsidRDefault="00FA20CF">
                  <w:pPr>
                    <w:spacing w:after="20"/>
                    <w:jc w:val="center"/>
                  </w:pPr>
                  <w:r>
                    <w:rPr>
                      <w:b/>
                      <w:bCs/>
                      <w:color w:val="C8B8F8"/>
                      <w:sz w:val="32"/>
                      <w:szCs w:val="32"/>
                    </w:rPr>
                    <w:t>10</w:t>
                  </w:r>
                </w:p>
                <w:p w14:paraId="1265A192" w14:textId="77777777" w:rsidR="006C2BBB" w:rsidRDefault="00FA20CF">
                  <w:pPr>
                    <w:spacing w:after="80"/>
                    <w:jc w:val="center"/>
                  </w:pPr>
                  <w:r>
                    <w:rPr>
                      <w:color w:val="CCCCCC"/>
                      <w:sz w:val="14"/>
                      <w:szCs w:val="14"/>
                    </w:rPr>
                    <w:t>NHS Mental Health Trusts across England</w:t>
                  </w:r>
                </w:p>
              </w:tc>
            </w:tr>
          </w:tbl>
          <w:p w14:paraId="3510DB6E" w14:textId="77777777" w:rsidR="006C2BBB" w:rsidRDefault="006C2BBB">
            <w:pPr>
              <w:spacing w:after="100"/>
            </w:pPr>
          </w:p>
          <w:p w14:paraId="62BEE8FF" w14:textId="77777777" w:rsidR="006C2BBB" w:rsidRDefault="00FA20CF">
            <w:pPr>
              <w:spacing w:after="60"/>
              <w:jc w:val="center"/>
            </w:pPr>
            <w:r>
              <w:rPr>
                <w:b/>
                <w:bCs/>
                <w:color w:val="7C5CBF"/>
                <w:sz w:val="16"/>
                <w:szCs w:val="16"/>
              </w:rPr>
              <w:t>TYPES OF SERVICES</w:t>
            </w:r>
          </w:p>
          <w:tbl>
            <w:tblPr>
              <w:tblW w:w="5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2609"/>
              <w:gridCol w:w="2629"/>
            </w:tblGrid>
            <w:tr w:rsidR="006C2BBB" w14:paraId="505066F5" w14:textId="77777777">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50FD56E7" w14:textId="77777777" w:rsidR="006C2BBB" w:rsidRDefault="00FA20CF">
                  <w:pPr>
                    <w:spacing w:after="80"/>
                    <w:jc w:val="center"/>
                  </w:pPr>
                  <w:r>
                    <w:rPr>
                      <w:b/>
                      <w:bCs/>
                      <w:color w:val="2D1F5E"/>
                      <w:sz w:val="14"/>
                      <w:szCs w:val="14"/>
                    </w:rPr>
                    <w:t>Community Mental Health Teams</w:t>
                  </w:r>
                </w:p>
              </w:tc>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21FBB4B6" w14:textId="77777777" w:rsidR="006C2BBB" w:rsidRDefault="00FA20CF">
                  <w:pPr>
                    <w:spacing w:after="80"/>
                    <w:jc w:val="center"/>
                  </w:pPr>
                  <w:r>
                    <w:rPr>
                      <w:b/>
                      <w:bCs/>
                      <w:color w:val="2D1F5E"/>
                      <w:sz w:val="14"/>
                      <w:szCs w:val="14"/>
                    </w:rPr>
                    <w:t>Crisis Resolution &amp; Home Treatment</w:t>
                  </w:r>
                </w:p>
              </w:tc>
            </w:tr>
            <w:tr w:rsidR="006C2BBB" w14:paraId="1168F8EB" w14:textId="77777777">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378AB1BA" w14:textId="77777777" w:rsidR="006C2BBB" w:rsidRDefault="00FA20CF">
                  <w:pPr>
                    <w:spacing w:after="80"/>
                    <w:jc w:val="center"/>
                  </w:pPr>
                  <w:r>
                    <w:rPr>
                      <w:b/>
                      <w:bCs/>
                      <w:color w:val="2D1F5E"/>
                      <w:sz w:val="14"/>
                      <w:szCs w:val="14"/>
                    </w:rPr>
                    <w:t>Early Intervention in Psychosis</w:t>
                  </w:r>
                </w:p>
              </w:tc>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5ED0F58D" w14:textId="77777777" w:rsidR="006C2BBB" w:rsidRDefault="00FA20CF">
                  <w:pPr>
                    <w:spacing w:after="80"/>
                    <w:jc w:val="center"/>
                  </w:pPr>
                  <w:r>
                    <w:rPr>
                      <w:b/>
                      <w:bCs/>
                      <w:color w:val="2D1F5E"/>
                      <w:sz w:val="14"/>
                      <w:szCs w:val="14"/>
                    </w:rPr>
                    <w:t>IAPT Talking Therapies</w:t>
                  </w:r>
                </w:p>
              </w:tc>
            </w:tr>
            <w:tr w:rsidR="006C2BBB" w14:paraId="28D17F67" w14:textId="77777777">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032208EC" w14:textId="77777777" w:rsidR="006C2BBB" w:rsidRDefault="00FA20CF">
                  <w:pPr>
                    <w:spacing w:after="80"/>
                    <w:jc w:val="center"/>
                  </w:pPr>
                  <w:r>
                    <w:rPr>
                      <w:b/>
                      <w:bCs/>
                      <w:color w:val="2D1F5E"/>
                      <w:sz w:val="14"/>
                      <w:szCs w:val="14"/>
                    </w:rPr>
                    <w:t>Assertive Outreach Teams</w:t>
                  </w:r>
                </w:p>
              </w:tc>
              <w:tc>
                <w:tcPr>
                  <w:tcW w:w="2609" w:type="dxa"/>
                  <w:tcBorders>
                    <w:top w:val="single" w:sz="2" w:space="0" w:color="C8B8E8"/>
                    <w:left w:val="single" w:sz="2" w:space="0" w:color="C8B8E8"/>
                    <w:bottom w:val="single" w:sz="2" w:space="0" w:color="C8B8E8"/>
                    <w:right w:val="single" w:sz="2" w:space="0" w:color="C8B8E8"/>
                  </w:tcBorders>
                  <w:shd w:val="clear" w:color="auto" w:fill="EDE8F8"/>
                  <w:tcMar>
                    <w:top w:w="60" w:type="dxa"/>
                    <w:left w:w="60" w:type="dxa"/>
                    <w:bottom w:w="60" w:type="dxa"/>
                    <w:right w:w="60" w:type="dxa"/>
                  </w:tcMar>
                </w:tcPr>
                <w:p w14:paraId="4BBCE607" w14:textId="77777777" w:rsidR="006C2BBB" w:rsidRDefault="00FA20CF">
                  <w:pPr>
                    <w:spacing w:after="80"/>
                    <w:jc w:val="center"/>
                  </w:pPr>
                  <w:r>
                    <w:rPr>
                      <w:b/>
                      <w:bCs/>
                      <w:color w:val="2D1F5E"/>
                      <w:sz w:val="14"/>
                      <w:szCs w:val="14"/>
                    </w:rPr>
                    <w:t>Liaison Psychiatry</w:t>
                  </w:r>
                </w:p>
              </w:tc>
            </w:tr>
            <w:tr w:rsidR="006C2BBB" w14:paraId="1A348E0C" w14:textId="77777777">
              <w:tc>
                <w:tcPr>
                  <w:tcW w:w="5238" w:type="dxa"/>
                  <w:gridSpan w:val="2"/>
                  <w:tcBorders>
                    <w:top w:val="single" w:sz="2" w:space="0" w:color="C8B8E8"/>
                    <w:left w:val="single" w:sz="2" w:space="0" w:color="C8B8E8"/>
                    <w:bottom w:val="single" w:sz="2" w:space="0" w:color="C8B8E8"/>
                    <w:right w:val="single" w:sz="2" w:space="0" w:color="C8B8E8"/>
                  </w:tcBorders>
                  <w:shd w:val="clear" w:color="auto" w:fill="7C5CBF"/>
                  <w:tcMar>
                    <w:top w:w="60" w:type="dxa"/>
                    <w:left w:w="80" w:type="dxa"/>
                    <w:bottom w:w="60" w:type="dxa"/>
                    <w:right w:w="80" w:type="dxa"/>
                  </w:tcMar>
                </w:tcPr>
                <w:p w14:paraId="08114945" w14:textId="77777777" w:rsidR="006C2BBB" w:rsidRDefault="00FA20CF">
                  <w:pPr>
                    <w:spacing w:after="80"/>
                    <w:jc w:val="center"/>
                  </w:pPr>
                  <w:r>
                    <w:rPr>
                      <w:b/>
                      <w:bCs/>
                      <w:color w:val="FFFFFF"/>
                      <w:sz w:val="14"/>
                      <w:szCs w:val="14"/>
                    </w:rPr>
                    <w:t>Perinatal &amp; Specialist Mental Health Services</w:t>
                  </w:r>
                </w:p>
              </w:tc>
            </w:tr>
          </w:tbl>
          <w:p w14:paraId="6D3A1BC1" w14:textId="77777777" w:rsidR="006C2BBB" w:rsidRDefault="006C2BBB">
            <w:pPr>
              <w:spacing w:after="100"/>
            </w:pPr>
          </w:p>
          <w:p w14:paraId="69479A32" w14:textId="77777777" w:rsidR="006C2BBB" w:rsidRDefault="00FA20CF">
            <w:pPr>
              <w:spacing w:after="60"/>
              <w:jc w:val="center"/>
            </w:pPr>
            <w:r>
              <w:rPr>
                <w:b/>
                <w:bCs/>
                <w:color w:val="7C5CBF"/>
                <w:sz w:val="16"/>
                <w:szCs w:val="16"/>
              </w:rPr>
              <w:t>HISTORICAL MILESTONES</w:t>
            </w:r>
          </w:p>
          <w:tbl>
            <w:tblPr>
              <w:tblW w:w="5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209"/>
              <w:gridCol w:w="4029"/>
            </w:tblGrid>
            <w:tr w:rsidR="006C2BBB" w14:paraId="5B321C73" w14:textId="77777777">
              <w:tc>
                <w:tcPr>
                  <w:tcW w:w="600" w:type="dxa"/>
                  <w:tcBorders>
                    <w:top w:val="none" w:sz="0" w:space="0" w:color="FFFFFF"/>
                    <w:left w:val="none" w:sz="0" w:space="0" w:color="FFFFFF"/>
                    <w:bottom w:val="none" w:sz="0" w:space="0" w:color="FFFFFF"/>
                    <w:right w:val="none" w:sz="0" w:space="0" w:color="FFFFFF"/>
                  </w:tcBorders>
                  <w:shd w:val="clear" w:color="auto" w:fill="7C5CBF"/>
                  <w:tcMar>
                    <w:top w:w="60" w:type="dxa"/>
                    <w:left w:w="60" w:type="dxa"/>
                    <w:bottom w:w="60" w:type="dxa"/>
                    <w:right w:w="60" w:type="dxa"/>
                  </w:tcMar>
                  <w:vAlign w:val="center"/>
                </w:tcPr>
                <w:p w14:paraId="7AF35D55" w14:textId="77777777" w:rsidR="006C2BBB" w:rsidRDefault="00FA20CF">
                  <w:pPr>
                    <w:spacing w:after="80"/>
                    <w:jc w:val="center"/>
                  </w:pPr>
                  <w:r>
                    <w:rPr>
                      <w:b/>
                      <w:bCs/>
                      <w:color w:val="FFFFFF"/>
                      <w:sz w:val="14"/>
                      <w:szCs w:val="14"/>
                    </w:rPr>
                    <w:t>Pre- 1950</w:t>
                  </w:r>
                </w:p>
              </w:tc>
              <w:tc>
                <w:tcPr>
                  <w:tcW w:w="2000" w:type="dxa"/>
                  <w:tcBorders>
                    <w:top w:val="none" w:sz="0" w:space="0" w:color="FFFFFF"/>
                    <w:left w:val="none" w:sz="0" w:space="0" w:color="FFFFFF"/>
                    <w:bottom w:val="single" w:sz="2" w:space="0" w:color="C8B8E8"/>
                    <w:right w:val="none" w:sz="0" w:space="0" w:color="FFFFFF"/>
                  </w:tcBorders>
                  <w:shd w:val="clear" w:color="auto" w:fill="F5F0FF"/>
                  <w:tcMar>
                    <w:top w:w="60" w:type="dxa"/>
                    <w:left w:w="80" w:type="dxa"/>
                    <w:bottom w:w="60" w:type="dxa"/>
                    <w:right w:w="60" w:type="dxa"/>
                  </w:tcMar>
                </w:tcPr>
                <w:p w14:paraId="655078AB" w14:textId="77777777" w:rsidR="006C2BBB" w:rsidRDefault="00FA20CF">
                  <w:pPr>
                    <w:spacing w:after="80"/>
                  </w:pPr>
                  <w:r>
                    <w:rPr>
                      <w:color w:val="222222"/>
                      <w:sz w:val="15"/>
                      <w:szCs w:val="15"/>
                    </w:rPr>
                    <w:t>Asylum era — institutional confinement, poor conditions</w:t>
                  </w:r>
                </w:p>
              </w:tc>
            </w:tr>
            <w:tr w:rsidR="006C2BBB" w14:paraId="5FADA1CA" w14:textId="77777777">
              <w:tc>
                <w:tcPr>
                  <w:tcW w:w="600" w:type="dxa"/>
                  <w:tcBorders>
                    <w:top w:val="none" w:sz="0" w:space="0" w:color="FFFFFF"/>
                    <w:left w:val="none" w:sz="0" w:space="0" w:color="FFFFFF"/>
                    <w:bottom w:val="none" w:sz="0" w:space="0" w:color="FFFFFF"/>
                    <w:right w:val="none" w:sz="0" w:space="0" w:color="FFFFFF"/>
                  </w:tcBorders>
                  <w:shd w:val="clear" w:color="auto" w:fill="7C5CBF"/>
                  <w:tcMar>
                    <w:top w:w="60" w:type="dxa"/>
                    <w:left w:w="60" w:type="dxa"/>
                    <w:bottom w:w="60" w:type="dxa"/>
                    <w:right w:w="60" w:type="dxa"/>
                  </w:tcMar>
                  <w:vAlign w:val="center"/>
                </w:tcPr>
                <w:p w14:paraId="2C7A49EF" w14:textId="77777777" w:rsidR="006C2BBB" w:rsidRDefault="00FA20CF">
                  <w:pPr>
                    <w:spacing w:after="80"/>
                    <w:jc w:val="center"/>
                  </w:pPr>
                  <w:r>
                    <w:rPr>
                      <w:b/>
                      <w:bCs/>
                      <w:color w:val="FFFFFF"/>
                      <w:sz w:val="14"/>
                      <w:szCs w:val="14"/>
                    </w:rPr>
                    <w:t>1959</w:t>
                  </w:r>
                </w:p>
              </w:tc>
              <w:tc>
                <w:tcPr>
                  <w:tcW w:w="2000" w:type="dxa"/>
                  <w:tcBorders>
                    <w:top w:val="none" w:sz="0" w:space="0" w:color="FFFFFF"/>
                    <w:left w:val="none" w:sz="0" w:space="0" w:color="FFFFFF"/>
                    <w:bottom w:val="single" w:sz="2" w:space="0" w:color="C8B8E8"/>
                    <w:right w:val="none" w:sz="0" w:space="0" w:color="FFFFFF"/>
                  </w:tcBorders>
                  <w:shd w:val="clear" w:color="auto" w:fill="F5F0FF"/>
                  <w:tcMar>
                    <w:top w:w="60" w:type="dxa"/>
                    <w:left w:w="80" w:type="dxa"/>
                    <w:bottom w:w="60" w:type="dxa"/>
                    <w:right w:w="60" w:type="dxa"/>
                  </w:tcMar>
                </w:tcPr>
                <w:p w14:paraId="6A732DB6" w14:textId="77777777" w:rsidR="006C2BBB" w:rsidRDefault="00FA20CF">
                  <w:pPr>
                    <w:spacing w:after="80"/>
                  </w:pPr>
                  <w:r>
                    <w:rPr>
                      <w:color w:val="222222"/>
                      <w:sz w:val="15"/>
                      <w:szCs w:val="15"/>
                    </w:rPr>
                    <w:t>Mental Health Act — legal shift to community care</w:t>
                  </w:r>
                </w:p>
              </w:tc>
            </w:tr>
            <w:tr w:rsidR="006C2BBB" w14:paraId="6E75BEE4" w14:textId="77777777">
              <w:tc>
                <w:tcPr>
                  <w:tcW w:w="600" w:type="dxa"/>
                  <w:tcBorders>
                    <w:top w:val="none" w:sz="0" w:space="0" w:color="FFFFFF"/>
                    <w:left w:val="none" w:sz="0" w:space="0" w:color="FFFFFF"/>
                    <w:bottom w:val="none" w:sz="0" w:space="0" w:color="FFFFFF"/>
                    <w:right w:val="none" w:sz="0" w:space="0" w:color="FFFFFF"/>
                  </w:tcBorders>
                  <w:shd w:val="clear" w:color="auto" w:fill="7C5CBF"/>
                  <w:tcMar>
                    <w:top w:w="60" w:type="dxa"/>
                    <w:left w:w="60" w:type="dxa"/>
                    <w:bottom w:w="60" w:type="dxa"/>
                    <w:right w:w="60" w:type="dxa"/>
                  </w:tcMar>
                  <w:vAlign w:val="center"/>
                </w:tcPr>
                <w:p w14:paraId="2324BA32" w14:textId="77777777" w:rsidR="006C2BBB" w:rsidRDefault="00FA20CF">
                  <w:pPr>
                    <w:spacing w:after="80"/>
                    <w:jc w:val="center"/>
                  </w:pPr>
                  <w:r>
                    <w:rPr>
                      <w:b/>
                      <w:bCs/>
                      <w:color w:val="FFFFFF"/>
                      <w:sz w:val="14"/>
                      <w:szCs w:val="14"/>
                    </w:rPr>
                    <w:t>1990</w:t>
                  </w:r>
                </w:p>
              </w:tc>
              <w:tc>
                <w:tcPr>
                  <w:tcW w:w="2000" w:type="dxa"/>
                  <w:tcBorders>
                    <w:top w:val="none" w:sz="0" w:space="0" w:color="FFFFFF"/>
                    <w:left w:val="none" w:sz="0" w:space="0" w:color="FFFFFF"/>
                    <w:bottom w:val="single" w:sz="2" w:space="0" w:color="C8B8E8"/>
                    <w:right w:val="none" w:sz="0" w:space="0" w:color="FFFFFF"/>
                  </w:tcBorders>
                  <w:shd w:val="clear" w:color="auto" w:fill="F5F0FF"/>
                  <w:tcMar>
                    <w:top w:w="60" w:type="dxa"/>
                    <w:left w:w="80" w:type="dxa"/>
                    <w:bottom w:w="60" w:type="dxa"/>
                    <w:right w:w="60" w:type="dxa"/>
                  </w:tcMar>
                </w:tcPr>
                <w:p w14:paraId="5307D4A6" w14:textId="77777777" w:rsidR="006C2BBB" w:rsidRDefault="00FA20CF">
                  <w:pPr>
                    <w:spacing w:after="80"/>
                  </w:pPr>
                  <w:r>
                    <w:rPr>
                      <w:color w:val="222222"/>
                      <w:sz w:val="15"/>
                      <w:szCs w:val="15"/>
                    </w:rPr>
                    <w:t>Community Care Act — statutory duty on local authorities</w:t>
                  </w:r>
                </w:p>
              </w:tc>
            </w:tr>
            <w:tr w:rsidR="006C2BBB" w14:paraId="1080FC5B" w14:textId="77777777">
              <w:tc>
                <w:tcPr>
                  <w:tcW w:w="600" w:type="dxa"/>
                  <w:tcBorders>
                    <w:top w:val="none" w:sz="0" w:space="0" w:color="FFFFFF"/>
                    <w:left w:val="none" w:sz="0" w:space="0" w:color="FFFFFF"/>
                    <w:bottom w:val="none" w:sz="0" w:space="0" w:color="FFFFFF"/>
                    <w:right w:val="none" w:sz="0" w:space="0" w:color="FFFFFF"/>
                  </w:tcBorders>
                  <w:shd w:val="clear" w:color="auto" w:fill="7C5CBF"/>
                  <w:tcMar>
                    <w:top w:w="60" w:type="dxa"/>
                    <w:left w:w="60" w:type="dxa"/>
                    <w:bottom w:w="60" w:type="dxa"/>
                    <w:right w:w="60" w:type="dxa"/>
                  </w:tcMar>
                  <w:vAlign w:val="center"/>
                </w:tcPr>
                <w:p w14:paraId="362921D2" w14:textId="77777777" w:rsidR="006C2BBB" w:rsidRDefault="00FA20CF">
                  <w:pPr>
                    <w:spacing w:after="80"/>
                    <w:jc w:val="center"/>
                  </w:pPr>
                  <w:r>
                    <w:rPr>
                      <w:b/>
                      <w:bCs/>
                      <w:color w:val="FFFFFF"/>
                      <w:sz w:val="14"/>
                      <w:szCs w:val="14"/>
                    </w:rPr>
                    <w:t>1991</w:t>
                  </w:r>
                </w:p>
              </w:tc>
              <w:tc>
                <w:tcPr>
                  <w:tcW w:w="2000" w:type="dxa"/>
                  <w:tcBorders>
                    <w:top w:val="none" w:sz="0" w:space="0" w:color="FFFFFF"/>
                    <w:left w:val="none" w:sz="0" w:space="0" w:color="FFFFFF"/>
                    <w:bottom w:val="single" w:sz="2" w:space="0" w:color="C8B8E8"/>
                    <w:right w:val="none" w:sz="0" w:space="0" w:color="FFFFFF"/>
                  </w:tcBorders>
                  <w:shd w:val="clear" w:color="auto" w:fill="F5F0FF"/>
                  <w:tcMar>
                    <w:top w:w="60" w:type="dxa"/>
                    <w:left w:w="80" w:type="dxa"/>
                    <w:bottom w:w="60" w:type="dxa"/>
                    <w:right w:w="60" w:type="dxa"/>
                  </w:tcMar>
                </w:tcPr>
                <w:p w14:paraId="63034BD4" w14:textId="77777777" w:rsidR="006C2BBB" w:rsidRDefault="00FA20CF">
                  <w:pPr>
                    <w:spacing w:after="80"/>
                  </w:pPr>
                  <w:r>
                    <w:rPr>
                      <w:color w:val="222222"/>
                      <w:sz w:val="15"/>
                      <w:szCs w:val="15"/>
                    </w:rPr>
                    <w:t>Care Programme Approach — structured coordination</w:t>
                  </w:r>
                </w:p>
              </w:tc>
            </w:tr>
            <w:tr w:rsidR="006C2BBB" w14:paraId="33D92B68" w14:textId="77777777">
              <w:tc>
                <w:tcPr>
                  <w:tcW w:w="600" w:type="dxa"/>
                  <w:tcBorders>
                    <w:top w:val="none" w:sz="0" w:space="0" w:color="FFFFFF"/>
                    <w:left w:val="none" w:sz="0" w:space="0" w:color="FFFFFF"/>
                    <w:bottom w:val="none" w:sz="0" w:space="0" w:color="FFFFFF"/>
                    <w:right w:val="none" w:sz="0" w:space="0" w:color="FFFFFF"/>
                  </w:tcBorders>
                  <w:shd w:val="clear" w:color="auto" w:fill="7C5CBF"/>
                  <w:tcMar>
                    <w:top w:w="60" w:type="dxa"/>
                    <w:left w:w="60" w:type="dxa"/>
                    <w:bottom w:w="60" w:type="dxa"/>
                    <w:right w:w="60" w:type="dxa"/>
                  </w:tcMar>
                  <w:vAlign w:val="center"/>
                </w:tcPr>
                <w:p w14:paraId="3F5DD798" w14:textId="77777777" w:rsidR="006C2BBB" w:rsidRDefault="00FA20CF">
                  <w:pPr>
                    <w:spacing w:after="80"/>
                    <w:jc w:val="center"/>
                  </w:pPr>
                  <w:r>
                    <w:rPr>
                      <w:b/>
                      <w:bCs/>
                      <w:color w:val="FFFFFF"/>
                      <w:sz w:val="14"/>
                      <w:szCs w:val="14"/>
                    </w:rPr>
                    <w:t>2019</w:t>
                  </w:r>
                </w:p>
              </w:tc>
              <w:tc>
                <w:tcPr>
                  <w:tcW w:w="2000" w:type="dxa"/>
                  <w:tcBorders>
                    <w:top w:val="none" w:sz="0" w:space="0" w:color="FFFFFF"/>
                    <w:left w:val="none" w:sz="0" w:space="0" w:color="FFFFFF"/>
                    <w:bottom w:val="single" w:sz="2" w:space="0" w:color="C8B8E8"/>
                    <w:right w:val="none" w:sz="0" w:space="0" w:color="FFFFFF"/>
                  </w:tcBorders>
                  <w:shd w:val="clear" w:color="auto" w:fill="F5F0FF"/>
                  <w:tcMar>
                    <w:top w:w="60" w:type="dxa"/>
                    <w:left w:w="80" w:type="dxa"/>
                    <w:bottom w:w="60" w:type="dxa"/>
                    <w:right w:w="60" w:type="dxa"/>
                  </w:tcMar>
                </w:tcPr>
                <w:p w14:paraId="0E24C654" w14:textId="77777777" w:rsidR="006C2BBB" w:rsidRDefault="00FA20CF">
                  <w:pPr>
                    <w:spacing w:after="80"/>
                  </w:pPr>
                  <w:r>
                    <w:rPr>
                      <w:color w:val="222222"/>
                      <w:sz w:val="15"/>
                      <w:szCs w:val="15"/>
                    </w:rPr>
                    <w:t>NHS Long Term Plan — £2.3bn invested in CMHS</w:t>
                  </w:r>
                </w:p>
              </w:tc>
            </w:tr>
          </w:tbl>
          <w:p w14:paraId="2D62F2AC" w14:textId="77777777" w:rsidR="006C2BBB" w:rsidRDefault="006C2BBB">
            <w:pPr>
              <w:spacing w:after="100"/>
            </w:pPr>
          </w:p>
          <w:p w14:paraId="48048BAC" w14:textId="77777777" w:rsidR="006C2BBB" w:rsidRDefault="00FA20CF">
            <w:pPr>
              <w:spacing w:after="60"/>
              <w:jc w:val="center"/>
            </w:pPr>
            <w:r>
              <w:rPr>
                <w:b/>
                <w:bCs/>
                <w:color w:val="7C5CBF"/>
                <w:sz w:val="16"/>
                <w:szCs w:val="16"/>
              </w:rPr>
              <w:t>MULTI-DISCIPLINARY TEAM</w:t>
            </w:r>
          </w:p>
          <w:tbl>
            <w:tblPr>
              <w:tblW w:w="52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744"/>
              <w:gridCol w:w="1744"/>
              <w:gridCol w:w="1750"/>
            </w:tblGrid>
            <w:tr w:rsidR="006C2BBB" w14:paraId="72E2A5F8" w14:textId="77777777">
              <w:tc>
                <w:tcPr>
                  <w:tcW w:w="1736"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716F217E" w14:textId="77777777" w:rsidR="006C2BBB" w:rsidRDefault="00FA20CF">
                  <w:pPr>
                    <w:spacing w:after="80"/>
                    <w:jc w:val="center"/>
                  </w:pPr>
                  <w:r>
                    <w:rPr>
                      <w:color w:val="2D1F5E"/>
                      <w:sz w:val="15"/>
                      <w:szCs w:val="15"/>
                    </w:rPr>
                    <w:lastRenderedPageBreak/>
                    <w:t>Psychiatrist</w:t>
                  </w:r>
                </w:p>
              </w:tc>
              <w:tc>
                <w:tcPr>
                  <w:tcW w:w="1736"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4F64E113" w14:textId="77777777" w:rsidR="006C2BBB" w:rsidRDefault="00FA20CF">
                  <w:pPr>
                    <w:spacing w:after="80"/>
                    <w:jc w:val="center"/>
                  </w:pPr>
                  <w:r>
                    <w:rPr>
                      <w:color w:val="2D1F5E"/>
                      <w:sz w:val="15"/>
                      <w:szCs w:val="15"/>
                    </w:rPr>
                    <w:t>Community Psych. Nurse</w:t>
                  </w:r>
                </w:p>
              </w:tc>
              <w:tc>
                <w:tcPr>
                  <w:tcW w:w="1742"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6C1B6AF2" w14:textId="77777777" w:rsidR="006C2BBB" w:rsidRDefault="00FA20CF">
                  <w:pPr>
                    <w:spacing w:after="80"/>
                    <w:jc w:val="center"/>
                  </w:pPr>
                  <w:r>
                    <w:rPr>
                      <w:color w:val="2D1F5E"/>
                      <w:sz w:val="15"/>
                      <w:szCs w:val="15"/>
                    </w:rPr>
                    <w:t>Psychologist</w:t>
                  </w:r>
                </w:p>
              </w:tc>
            </w:tr>
            <w:tr w:rsidR="006C2BBB" w14:paraId="2547200F" w14:textId="77777777">
              <w:tc>
                <w:tcPr>
                  <w:tcW w:w="1736"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7C061633" w14:textId="77777777" w:rsidR="006C2BBB" w:rsidRDefault="00FA20CF">
                  <w:pPr>
                    <w:spacing w:after="80"/>
                    <w:jc w:val="center"/>
                  </w:pPr>
                  <w:r>
                    <w:rPr>
                      <w:color w:val="2D1F5E"/>
                      <w:sz w:val="15"/>
                      <w:szCs w:val="15"/>
                    </w:rPr>
                    <w:t>Occupational Therapist</w:t>
                  </w:r>
                </w:p>
              </w:tc>
              <w:tc>
                <w:tcPr>
                  <w:tcW w:w="1736"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108E8D27" w14:textId="77777777" w:rsidR="006C2BBB" w:rsidRDefault="00FA20CF">
                  <w:pPr>
                    <w:spacing w:after="80"/>
                    <w:jc w:val="center"/>
                  </w:pPr>
                  <w:r>
                    <w:rPr>
                      <w:color w:val="2D1F5E"/>
                      <w:sz w:val="15"/>
                      <w:szCs w:val="15"/>
                    </w:rPr>
                    <w:t>Social Worker</w:t>
                  </w:r>
                </w:p>
              </w:tc>
              <w:tc>
                <w:tcPr>
                  <w:tcW w:w="1742" w:type="dxa"/>
                  <w:tcBorders>
                    <w:top w:val="single" w:sz="2" w:space="0" w:color="C8B8E8"/>
                    <w:left w:val="single" w:sz="2" w:space="0" w:color="C8B8E8"/>
                    <w:bottom w:val="single" w:sz="2" w:space="0" w:color="C8B8E8"/>
                    <w:right w:val="single" w:sz="2" w:space="0" w:color="C8B8E8"/>
                  </w:tcBorders>
                  <w:shd w:val="clear" w:color="auto" w:fill="F5F0FF"/>
                  <w:tcMar>
                    <w:top w:w="60" w:type="dxa"/>
                    <w:left w:w="60" w:type="dxa"/>
                    <w:bottom w:w="60" w:type="dxa"/>
                    <w:right w:w="60" w:type="dxa"/>
                  </w:tcMar>
                </w:tcPr>
                <w:p w14:paraId="47C9D6ED" w14:textId="77777777" w:rsidR="006C2BBB" w:rsidRDefault="00FA20CF">
                  <w:pPr>
                    <w:spacing w:after="80"/>
                    <w:jc w:val="center"/>
                  </w:pPr>
                  <w:r>
                    <w:rPr>
                      <w:color w:val="2D1F5E"/>
                      <w:sz w:val="15"/>
                      <w:szCs w:val="15"/>
                    </w:rPr>
                    <w:t>Peer Support Worker</w:t>
                  </w:r>
                </w:p>
              </w:tc>
            </w:tr>
          </w:tbl>
          <w:p w14:paraId="34A5B0BF" w14:textId="77777777" w:rsidR="006C2BBB" w:rsidRDefault="006C2BBB">
            <w:pPr>
              <w:jc w:val="center"/>
            </w:pPr>
            <w:r>
              <w:rPr>
                <w:noProof/>
              </w:rPr>
              <w:drawing>
                <wp:inline distT="0" distB="0" distL="0" distR="0" wp14:anchorId="56B49993" wp14:editId="6974897F">
                  <wp:extent cx="4500000" cy="2700000"/>
                  <wp:effectExtent l="0" t="0" r="0" b="0"/>
                  <wp:docPr id="21" name="PosterImg2"/>
                  <wp:cNvGraphicFramePr/>
                  <a:graphic xmlns:a="http://schemas.openxmlformats.org/drawingml/2006/main">
                    <a:graphicData uri="http://schemas.openxmlformats.org/drawingml/2006/picture">
                      <pic:pic xmlns:pic="http://schemas.openxmlformats.org/drawingml/2006/picture">
                        <pic:nvPicPr>
                          <pic:cNvPr id="21" name="img2.jpg"/>
                          <pic:cNvPicPr/>
                        </pic:nvPicPr>
                        <pic:blipFill>
                          <a:blip r:embed="rId10"/>
                          <a:stretch>
                            <a:fillRect/>
                          </a:stretch>
                        </pic:blipFill>
                        <pic:spPr>
                          <a:xfrm>
                            <a:off x="0" y="0"/>
                            <a:ext cx="4500000" cy="2700000"/>
                          </a:xfrm>
                          <a:prstGeom prst="rect">
                            <a:avLst/>
                          </a:prstGeom>
                        </pic:spPr>
                      </pic:pic>
                    </a:graphicData>
                  </a:graphic>
                </wp:inline>
              </w:drawing>
            </w:r>
          </w:p>
        </w:tc>
        <w:tc>
          <w:tcPr>
            <w:tcW w:w="4960" w:type="dxa"/>
            <w:tcBorders>
              <w:top w:val="none" w:sz="0" w:space="0" w:color="FFFFFF"/>
              <w:left w:val="none" w:sz="0" w:space="0" w:color="FFFFFF"/>
              <w:bottom w:val="none" w:sz="0" w:space="0" w:color="FFFFFF"/>
              <w:right w:val="none" w:sz="0" w:space="0" w:color="FFFFFF"/>
            </w:tcBorders>
            <w:tcMar>
              <w:top w:w="0" w:type="dxa"/>
              <w:left w:w="120" w:type="dxa"/>
              <w:bottom w:w="0" w:type="dxa"/>
              <w:right w:w="0" w:type="dxa"/>
            </w:tcMar>
          </w:tcPr>
          <w:tbl>
            <w:tblPr>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60"/>
            </w:tblGrid>
            <w:tr w:rsidR="006C2BBB" w14:paraId="0E2DF2EF" w14:textId="77777777">
              <w:tc>
                <w:tcPr>
                  <w:tcW w:w="4960" w:type="dxa"/>
                  <w:tcBorders>
                    <w:top w:val="single" w:sz="4" w:space="0" w:color="C8B8E8"/>
                    <w:left w:val="single" w:sz="4" w:space="0" w:color="C8B8E8"/>
                    <w:bottom w:val="single" w:sz="4" w:space="0" w:color="C8B8E8"/>
                    <w:right w:val="single" w:sz="4" w:space="0" w:color="C8B8E8"/>
                  </w:tcBorders>
                  <w:shd w:val="clear" w:color="auto" w:fill="EDE8F8"/>
                  <w:tcMar>
                    <w:top w:w="80" w:type="dxa"/>
                    <w:left w:w="120" w:type="dxa"/>
                    <w:bottom w:w="80" w:type="dxa"/>
                    <w:right w:w="120" w:type="dxa"/>
                  </w:tcMar>
                </w:tcPr>
                <w:p w14:paraId="537A6C4C" w14:textId="77777777" w:rsidR="006C2BBB" w:rsidRDefault="00FA20CF">
                  <w:pPr>
                    <w:spacing w:after="30"/>
                  </w:pPr>
                  <w:r>
                    <w:rPr>
                      <w:b/>
                      <w:bCs/>
                      <w:color w:val="7C5CBF"/>
                      <w:sz w:val="15"/>
                      <w:szCs w:val="15"/>
                    </w:rPr>
                    <w:lastRenderedPageBreak/>
                    <w:t>3. Current Functioning</w:t>
                  </w:r>
                </w:p>
                <w:p w14:paraId="1A998271" w14:textId="77777777" w:rsidR="006C2BBB" w:rsidRDefault="00FA20CF">
                  <w:pPr>
                    <w:spacing w:after="80"/>
                  </w:pPr>
                  <w:r>
                    <w:rPr>
                      <w:b/>
                      <w:bCs/>
                      <w:color w:val="2D1F5E"/>
                      <w:sz w:val="20"/>
                      <w:szCs w:val="20"/>
                    </w:rPr>
                    <w:t>How Community Mental Health Services Operate Today</w:t>
                  </w:r>
                </w:p>
              </w:tc>
            </w:tr>
            <w:tr w:rsidR="006C2BBB" w14:paraId="388FE57D" w14:textId="77777777">
              <w:tc>
                <w:tcPr>
                  <w:tcW w:w="4960" w:type="dxa"/>
                  <w:tcBorders>
                    <w:top w:val="single" w:sz="4" w:space="0" w:color="C8B8E8"/>
                    <w:left w:val="single" w:sz="4" w:space="0" w:color="C8B8E8"/>
                    <w:bottom w:val="single" w:sz="4" w:space="0" w:color="C8B8E8"/>
                    <w:right w:val="single" w:sz="4" w:space="0" w:color="C8B8E8"/>
                  </w:tcBorders>
                  <w:shd w:val="clear" w:color="auto" w:fill="FFFFFF"/>
                  <w:tcMar>
                    <w:top w:w="100" w:type="dxa"/>
                    <w:left w:w="130" w:type="dxa"/>
                    <w:bottom w:w="100" w:type="dxa"/>
                    <w:right w:w="130" w:type="dxa"/>
                  </w:tcMar>
                </w:tcPr>
                <w:p w14:paraId="13CD720D" w14:textId="77777777" w:rsidR="006C2BBB" w:rsidRDefault="00FA20CF">
                  <w:pPr>
                    <w:spacing w:after="80"/>
                  </w:pPr>
                  <w:r>
                    <w:rPr>
                      <w:color w:val="222222"/>
                      <w:sz w:val="17"/>
                      <w:szCs w:val="17"/>
                    </w:rPr>
                    <w:t>CMHS today operate through NHS Mental Health Trusts, structured around personalised, recovery-focused care (NHS England, 2026).</w:t>
                  </w:r>
                </w:p>
                <w:p w14:paraId="4B9D0B2E" w14:textId="77777777" w:rsidR="006C2BBB" w:rsidRDefault="00FA20CF">
                  <w:pPr>
                    <w:pStyle w:val="ListParagraph"/>
                    <w:numPr>
                      <w:ilvl w:val="0"/>
                      <w:numId w:val="2"/>
                    </w:numPr>
                    <w:spacing w:after="60"/>
                  </w:pPr>
                  <w:r>
                    <w:rPr>
                      <w:b/>
                      <w:bCs/>
                      <w:color w:val="2D1F5E"/>
                      <w:sz w:val="17"/>
                      <w:szCs w:val="17"/>
                    </w:rPr>
                    <w:t xml:space="preserve">Care Programme Approach: </w:t>
                  </w:r>
                  <w:r>
                    <w:rPr>
                      <w:color w:val="222222"/>
                      <w:sz w:val="17"/>
                      <w:szCs w:val="17"/>
                    </w:rPr>
                    <w:t>Individuals with complex needs receive a named care coordinator, a written care plan and regular reviews to ensure continuity (Department of Health, 1991).</w:t>
                  </w:r>
                </w:p>
                <w:p w14:paraId="62C2AEDD" w14:textId="77777777" w:rsidR="006C2BBB" w:rsidRDefault="00FA20CF">
                  <w:pPr>
                    <w:pStyle w:val="ListParagraph"/>
                    <w:numPr>
                      <w:ilvl w:val="0"/>
                      <w:numId w:val="2"/>
                    </w:numPr>
                    <w:spacing w:after="60"/>
                  </w:pPr>
                  <w:r>
                    <w:rPr>
                      <w:b/>
                      <w:bCs/>
                      <w:color w:val="2D1F5E"/>
                      <w:sz w:val="17"/>
                      <w:szCs w:val="17"/>
                    </w:rPr>
                    <w:t xml:space="preserve">Personalised Care: </w:t>
                  </w:r>
                  <w:r>
                    <w:rPr>
                      <w:color w:val="222222"/>
                      <w:sz w:val="17"/>
                      <w:szCs w:val="17"/>
                    </w:rPr>
                    <w:t>NHS transformation programmes embed social prescribing and self-management support to promote individual agency (NHS England, 2019).</w:t>
                  </w:r>
                </w:p>
                <w:p w14:paraId="61BB353E" w14:textId="77777777" w:rsidR="006C2BBB" w:rsidRDefault="00FA20CF">
                  <w:pPr>
                    <w:pStyle w:val="ListParagraph"/>
                    <w:numPr>
                      <w:ilvl w:val="0"/>
                      <w:numId w:val="2"/>
                    </w:numPr>
                    <w:spacing w:after="60"/>
                  </w:pPr>
                  <w:r>
                    <w:rPr>
                      <w:b/>
                      <w:bCs/>
                      <w:color w:val="2D1F5E"/>
                      <w:sz w:val="17"/>
                      <w:szCs w:val="17"/>
                    </w:rPr>
                    <w:t xml:space="preserve">Digital Access: </w:t>
                  </w:r>
                  <w:r>
                    <w:rPr>
                      <w:color w:val="222222"/>
                      <w:sz w:val="17"/>
                      <w:szCs w:val="17"/>
                    </w:rPr>
                    <w:t>Remote consultations, online CBT and NHS 111 triage have expanded access, particularly in rural areas (CQC, 2023).</w:t>
                  </w:r>
                </w:p>
                <w:p w14:paraId="65F66702" w14:textId="77777777" w:rsidR="006C2BBB" w:rsidRDefault="00FA20CF">
                  <w:pPr>
                    <w:pStyle w:val="ListParagraph"/>
                    <w:numPr>
                      <w:ilvl w:val="0"/>
                      <w:numId w:val="2"/>
                    </w:numPr>
                    <w:spacing w:after="60"/>
                  </w:pPr>
                  <w:r>
                    <w:rPr>
                      <w:b/>
                      <w:bCs/>
                      <w:color w:val="2D1F5E"/>
                      <w:sz w:val="17"/>
                      <w:szCs w:val="17"/>
                    </w:rPr>
                    <w:t xml:space="preserve">Integrated Working: </w:t>
                  </w:r>
                  <w:r>
                    <w:rPr>
                      <w:color w:val="222222"/>
                      <w:sz w:val="17"/>
                      <w:szCs w:val="17"/>
                    </w:rPr>
                    <w:t>CMHTs collaborate with GPs, housing services and voluntary organisations, recognising mental health is inseparable from social circumstance (WHO, 2022).</w:t>
                  </w:r>
                </w:p>
                <w:p w14:paraId="38DAAF9D" w14:textId="77777777" w:rsidR="006C2BBB" w:rsidRDefault="00FA20CF">
                  <w:pPr>
                    <w:pStyle w:val="ListParagraph"/>
                    <w:numPr>
                      <w:ilvl w:val="0"/>
                      <w:numId w:val="2"/>
                    </w:numPr>
                    <w:spacing w:after="60"/>
                  </w:pPr>
                  <w:r>
                    <w:rPr>
                      <w:b/>
                      <w:bCs/>
                      <w:color w:val="2D1F5E"/>
                      <w:sz w:val="17"/>
                      <w:szCs w:val="17"/>
                    </w:rPr>
                    <w:t xml:space="preserve">NHS 111 Mental Health: </w:t>
                  </w:r>
                  <w:r>
                    <w:rPr>
                      <w:color w:val="222222"/>
                      <w:sz w:val="17"/>
                      <w:szCs w:val="17"/>
                    </w:rPr>
                    <w:t>24/7 mental health support option routes people to appropriate care without requiring A&amp;E attendance (NHS England, 2026).</w:t>
                  </w:r>
                </w:p>
              </w:tc>
            </w:tr>
          </w:tbl>
          <w:p w14:paraId="0363C2E2" w14:textId="77777777" w:rsidR="006C2BBB" w:rsidRDefault="006C2BBB">
            <w:pPr>
              <w:spacing w:after="100"/>
            </w:pPr>
          </w:p>
          <w:tbl>
            <w:tblPr>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60"/>
            </w:tblGrid>
            <w:tr w:rsidR="006C2BBB" w14:paraId="2C5801BA" w14:textId="77777777">
              <w:tc>
                <w:tcPr>
                  <w:tcW w:w="4960" w:type="dxa"/>
                  <w:tcBorders>
                    <w:top w:val="single" w:sz="4" w:space="0" w:color="C8B8E8"/>
                    <w:left w:val="single" w:sz="4" w:space="0" w:color="C8B8E8"/>
                    <w:bottom w:val="single" w:sz="4" w:space="0" w:color="C8B8E8"/>
                    <w:right w:val="single" w:sz="4" w:space="0" w:color="C8B8E8"/>
                  </w:tcBorders>
                  <w:shd w:val="clear" w:color="auto" w:fill="EDE8F8"/>
                  <w:tcMar>
                    <w:top w:w="80" w:type="dxa"/>
                    <w:left w:w="120" w:type="dxa"/>
                    <w:bottom w:w="80" w:type="dxa"/>
                    <w:right w:w="120" w:type="dxa"/>
                  </w:tcMar>
                </w:tcPr>
                <w:p w14:paraId="2537FCBE" w14:textId="77777777" w:rsidR="006C2BBB" w:rsidRDefault="00FA20CF">
                  <w:pPr>
                    <w:spacing w:after="30"/>
                  </w:pPr>
                  <w:r>
                    <w:rPr>
                      <w:b/>
                      <w:bCs/>
                      <w:color w:val="7C5CBF"/>
                      <w:sz w:val="15"/>
                      <w:szCs w:val="15"/>
                    </w:rPr>
                    <w:t>4. Two Challenges Faced by CMHS</w:t>
                  </w:r>
                </w:p>
                <w:p w14:paraId="6FE7D80B" w14:textId="77777777" w:rsidR="006C2BBB" w:rsidRDefault="00FA20CF">
                  <w:pPr>
                    <w:spacing w:after="80"/>
                  </w:pPr>
                  <w:r>
                    <w:rPr>
                      <w:b/>
                      <w:bCs/>
                      <w:color w:val="2D1F5E"/>
                      <w:sz w:val="20"/>
                      <w:szCs w:val="20"/>
                    </w:rPr>
                    <w:t>Current Challenges</w:t>
                  </w:r>
                </w:p>
              </w:tc>
            </w:tr>
            <w:tr w:rsidR="006C2BBB" w14:paraId="299CE525" w14:textId="77777777">
              <w:tc>
                <w:tcPr>
                  <w:tcW w:w="4960" w:type="dxa"/>
                  <w:tcBorders>
                    <w:top w:val="none" w:sz="0" w:space="0" w:color="FFFFFF"/>
                    <w:left w:val="single" w:sz="12" w:space="0" w:color="7C5CBF"/>
                    <w:bottom w:val="single" w:sz="2" w:space="0" w:color="C8B8E8"/>
                    <w:right w:val="none" w:sz="0" w:space="0" w:color="FFFFFF"/>
                  </w:tcBorders>
                  <w:shd w:val="clear" w:color="auto" w:fill="F5F0FF"/>
                  <w:tcMar>
                    <w:top w:w="100" w:type="dxa"/>
                    <w:left w:w="140" w:type="dxa"/>
                    <w:bottom w:w="100" w:type="dxa"/>
                    <w:right w:w="120" w:type="dxa"/>
                  </w:tcMar>
                </w:tcPr>
                <w:p w14:paraId="47470D6B" w14:textId="77777777" w:rsidR="006C2BBB" w:rsidRDefault="00FA20CF">
                  <w:pPr>
                    <w:spacing w:after="30"/>
                  </w:pPr>
                  <w:r>
                    <w:rPr>
                      <w:b/>
                      <w:bCs/>
                      <w:color w:val="7C5CBF"/>
                      <w:sz w:val="15"/>
                      <w:szCs w:val="15"/>
                    </w:rPr>
                    <w:t>Challenge 1</w:t>
                  </w:r>
                </w:p>
                <w:p w14:paraId="0BDA9B57" w14:textId="77777777" w:rsidR="006C2BBB" w:rsidRDefault="00FA20CF">
                  <w:pPr>
                    <w:spacing w:after="60"/>
                  </w:pPr>
                  <w:r>
                    <w:rPr>
                      <w:b/>
                      <w:bCs/>
                      <w:color w:val="2D1F5E"/>
                      <w:sz w:val="19"/>
                      <w:szCs w:val="19"/>
                    </w:rPr>
                    <w:t>Workforce Crisis &amp; Capacity Pressures</w:t>
                  </w:r>
                </w:p>
                <w:p w14:paraId="5C86076F" w14:textId="77777777" w:rsidR="006C2BBB" w:rsidRDefault="00FA20CF">
                  <w:pPr>
                    <w:spacing w:after="60"/>
                  </w:pPr>
                  <w:r>
                    <w:rPr>
                      <w:color w:val="222222"/>
                      <w:sz w:val="17"/>
                      <w:szCs w:val="17"/>
                    </w:rPr>
                    <w:t>Vacancy rates for mental health nurses are among the highest in the NHS. Staff report operating in persistent crisis mode, with high caseloads compromising the quality of therapeutic relationships (Care Quality Commission, 2023). COVID-19 sharply increased referral volumes while reducing workforce availability.</w:t>
                  </w:r>
                </w:p>
                <w:p w14:paraId="1CD81B52" w14:textId="77777777" w:rsidR="006C2BBB" w:rsidRDefault="00FA20CF">
                  <w:pPr>
                    <w:spacing w:after="80"/>
                  </w:pPr>
                  <w:r>
                    <w:rPr>
                      <w:i/>
                      <w:iCs/>
                      <w:color w:val="555555"/>
                      <w:sz w:val="16"/>
                      <w:szCs w:val="16"/>
                    </w:rPr>
                    <w:lastRenderedPageBreak/>
                    <w:t>Example: The CQC (2023) found many community teams had service users waiting months for a first psychological therapy appointment, directly undermining recovery outcomes.</w:t>
                  </w:r>
                </w:p>
              </w:tc>
            </w:tr>
          </w:tbl>
          <w:p w14:paraId="030F7371" w14:textId="77777777" w:rsidR="006C2BBB" w:rsidRDefault="006C2BBB">
            <w:pPr>
              <w:spacing w:after="80"/>
            </w:pPr>
          </w:p>
          <w:tbl>
            <w:tblPr>
              <w:tblW w:w="49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4960"/>
            </w:tblGrid>
            <w:tr w:rsidR="006C2BBB" w14:paraId="47E939BF" w14:textId="77777777">
              <w:tc>
                <w:tcPr>
                  <w:tcW w:w="4960" w:type="dxa"/>
                  <w:tcBorders>
                    <w:top w:val="none" w:sz="0" w:space="0" w:color="FFFFFF"/>
                    <w:left w:val="single" w:sz="12" w:space="0" w:color="7C5CBF"/>
                    <w:bottom w:val="none" w:sz="0" w:space="0" w:color="FFFFFF"/>
                    <w:right w:val="none" w:sz="0" w:space="0" w:color="FFFFFF"/>
                  </w:tcBorders>
                  <w:shd w:val="clear" w:color="auto" w:fill="F5F0FF"/>
                  <w:tcMar>
                    <w:top w:w="100" w:type="dxa"/>
                    <w:left w:w="140" w:type="dxa"/>
                    <w:bottom w:w="100" w:type="dxa"/>
                    <w:right w:w="120" w:type="dxa"/>
                  </w:tcMar>
                </w:tcPr>
                <w:p w14:paraId="02CC75F8" w14:textId="77777777" w:rsidR="006C2BBB" w:rsidRDefault="00FA20CF">
                  <w:pPr>
                    <w:spacing w:after="30"/>
                  </w:pPr>
                  <w:r>
                    <w:rPr>
                      <w:b/>
                      <w:bCs/>
                      <w:color w:val="7C5CBF"/>
                      <w:sz w:val="15"/>
                      <w:szCs w:val="15"/>
                    </w:rPr>
                    <w:t>Challenge 2</w:t>
                  </w:r>
                </w:p>
                <w:p w14:paraId="78D65C3F" w14:textId="77777777" w:rsidR="006C2BBB" w:rsidRDefault="00FA20CF">
                  <w:pPr>
                    <w:spacing w:after="60"/>
                  </w:pPr>
                  <w:r>
                    <w:rPr>
                      <w:b/>
                      <w:bCs/>
                      <w:color w:val="2D1F5E"/>
                      <w:sz w:val="19"/>
                      <w:szCs w:val="19"/>
                    </w:rPr>
                    <w:t>Inequalities in Access &amp; Social Stigma</w:t>
                  </w:r>
                </w:p>
                <w:p w14:paraId="529DD3B8" w14:textId="77777777" w:rsidR="006C2BBB" w:rsidRDefault="00FA20CF">
                  <w:pPr>
                    <w:spacing w:after="60"/>
                  </w:pPr>
                  <w:r>
                    <w:rPr>
                      <w:color w:val="222222"/>
                      <w:sz w:val="17"/>
                      <w:szCs w:val="17"/>
                    </w:rPr>
                    <w:t>Significant inequalities persist in who can access CMHS. People from Black, Asian and minority ethnic communities are disproportionately more likely to enter mental health services via crisis pathways and less likely to receive talking therapies (NHS Race &amp; Health Observatory, 2023).</w:t>
                  </w:r>
                </w:p>
                <w:p w14:paraId="0BD00F57" w14:textId="77777777" w:rsidR="006C2BBB" w:rsidRDefault="00FA20CF">
                  <w:pPr>
                    <w:spacing w:after="80"/>
                  </w:pPr>
                  <w:r>
                    <w:rPr>
                      <w:i/>
                      <w:iCs/>
                      <w:color w:val="555555"/>
                      <w:sz w:val="16"/>
                      <w:szCs w:val="16"/>
                    </w:rPr>
                    <w:t>Example: NHS Race &amp; Health Observatory (2023) found Black patients were over four times more likely to be detained under the Mental Health Act than white patients, highlighting systemic inequities in provision.</w:t>
                  </w:r>
                </w:p>
              </w:tc>
            </w:tr>
          </w:tbl>
          <w:p w14:paraId="5959369E" w14:textId="77777777" w:rsidR="006C2BBB" w:rsidRDefault="006C2BBB">
            <w:pPr>
              <w:jc w:val="center"/>
            </w:pPr>
            <w:r>
              <w:rPr>
                <w:noProof/>
              </w:rPr>
              <w:drawing>
                <wp:inline distT="0" distB="0" distL="0" distR="0" wp14:anchorId="36CBB8F6" wp14:editId="40837774">
                  <wp:extent cx="4200000" cy="2520000"/>
                  <wp:effectExtent l="0" t="0" r="0" b="0"/>
                  <wp:docPr id="22" name="PosterImg3"/>
                  <wp:cNvGraphicFramePr/>
                  <a:graphic xmlns:a="http://schemas.openxmlformats.org/drawingml/2006/main">
                    <a:graphicData uri="http://schemas.openxmlformats.org/drawingml/2006/picture">
                      <pic:pic xmlns:pic="http://schemas.openxmlformats.org/drawingml/2006/picture">
                        <pic:nvPicPr>
                          <pic:cNvPr id="22" name="img3.jpg"/>
                          <pic:cNvPicPr/>
                        </pic:nvPicPr>
                        <pic:blipFill>
                          <a:blip r:embed="rId11"/>
                          <a:stretch>
                            <a:fillRect/>
                          </a:stretch>
                        </pic:blipFill>
                        <pic:spPr>
                          <a:xfrm>
                            <a:off x="0" y="0"/>
                            <a:ext cx="4200000" cy="2520000"/>
                          </a:xfrm>
                          <a:prstGeom prst="rect">
                            <a:avLst/>
                          </a:prstGeom>
                        </pic:spPr>
                      </pic:pic>
                    </a:graphicData>
                  </a:graphic>
                </wp:inline>
              </w:drawing>
            </w:r>
          </w:p>
        </w:tc>
      </w:tr>
    </w:tbl>
    <w:p w14:paraId="320EFE2B" w14:textId="77777777" w:rsidR="006C2BBB" w:rsidRDefault="006C2BBB">
      <w:pPr>
        <w:spacing w:after="120"/>
      </w:pPr>
    </w:p>
    <w:tbl>
      <w:tblPr>
        <w:tblW w:w="15398" w:type="dxa"/>
        <w:tblInd w:w="-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15398"/>
      </w:tblGrid>
      <w:tr w:rsidR="006C2BBB" w14:paraId="47BE98E9" w14:textId="77777777">
        <w:tc>
          <w:tcPr>
            <w:tcW w:w="15398" w:type="dxa"/>
            <w:tcBorders>
              <w:top w:val="single" w:sz="8" w:space="0" w:color="7C5CBF"/>
              <w:left w:val="none" w:sz="0" w:space="0" w:color="FFFFFF"/>
              <w:bottom w:val="single" w:sz="4" w:space="0" w:color="C8B8E8"/>
              <w:right w:val="none" w:sz="0" w:space="0" w:color="FFFFFF"/>
            </w:tcBorders>
            <w:shd w:val="clear" w:color="auto" w:fill="FFFFFF"/>
            <w:tcMar>
              <w:top w:w="120" w:type="dxa"/>
              <w:left w:w="200" w:type="dxa"/>
              <w:bottom w:w="120" w:type="dxa"/>
              <w:right w:w="200" w:type="dxa"/>
            </w:tcMar>
          </w:tcPr>
          <w:p w14:paraId="04398972" w14:textId="77777777" w:rsidR="006C2BBB" w:rsidRDefault="00FA20CF">
            <w:pPr>
              <w:spacing w:after="120"/>
              <w:jc w:val="center"/>
            </w:pPr>
            <w:r>
              <w:rPr>
                <w:b/>
                <w:bCs/>
                <w:color w:val="2D1F5E"/>
                <w:sz w:val="24"/>
                <w:szCs w:val="24"/>
              </w:rPr>
              <w:t>References</w:t>
            </w:r>
          </w:p>
          <w:tbl>
            <w:tblPr>
              <w:tblW w:w="149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000" w:firstRow="0" w:lastRow="0" w:firstColumn="0" w:lastColumn="0" w:noHBand="0" w:noVBand="0"/>
            </w:tblPr>
            <w:tblGrid>
              <w:gridCol w:w="7499"/>
              <w:gridCol w:w="7499"/>
            </w:tblGrid>
            <w:tr w:rsidR="006C2BBB" w14:paraId="09A1EE92" w14:textId="77777777">
              <w:tc>
                <w:tcPr>
                  <w:tcW w:w="7499" w:type="dxa"/>
                  <w:tcBorders>
                    <w:top w:val="none" w:sz="0" w:space="0" w:color="FFFFFF"/>
                    <w:left w:val="none" w:sz="0" w:space="0" w:color="FFFFFF"/>
                    <w:bottom w:val="none" w:sz="0" w:space="0" w:color="FFFFFF"/>
                    <w:right w:val="single" w:sz="2" w:space="0" w:color="C8B8E8"/>
                  </w:tcBorders>
                  <w:tcMar>
                    <w:top w:w="0" w:type="dxa"/>
                    <w:left w:w="0" w:type="dxa"/>
                    <w:bottom w:w="0" w:type="dxa"/>
                    <w:right w:w="160" w:type="dxa"/>
                  </w:tcMar>
                </w:tcPr>
                <w:p w14:paraId="2E5A9B61" w14:textId="77777777" w:rsidR="006C2BBB" w:rsidRDefault="00FA20CF">
                  <w:pPr>
                    <w:spacing w:after="60"/>
                    <w:ind w:left="360" w:hanging="360"/>
                  </w:pPr>
                  <w:r>
                    <w:rPr>
                      <w:color w:val="444444"/>
                      <w:sz w:val="16"/>
                      <w:szCs w:val="16"/>
                    </w:rPr>
                    <w:t>– Care Quality Commission (2023) Monitoring the Mental Health Act in 2022/23. London: CQC. Available at: https://www.cqc.org.uk [Accessed 12 March 2026].</w:t>
                  </w:r>
                </w:p>
                <w:p w14:paraId="65079E38" w14:textId="77777777" w:rsidR="006C2BBB" w:rsidRDefault="00FA20CF">
                  <w:pPr>
                    <w:spacing w:after="60"/>
                    <w:ind w:left="360" w:hanging="360"/>
                  </w:pPr>
                  <w:r>
                    <w:rPr>
                      <w:color w:val="444444"/>
                      <w:sz w:val="16"/>
                      <w:szCs w:val="16"/>
                    </w:rPr>
                    <w:t>– Clark, D.M. (2018) 'Realizing the mass public benefit of evidence-based psychological therapies: The IAPT program'. Annual Review of Clinical Psychology, 14, pp. 159-183.</w:t>
                  </w:r>
                </w:p>
                <w:p w14:paraId="704DBD35" w14:textId="77777777" w:rsidR="006C2BBB" w:rsidRDefault="00FA20CF">
                  <w:pPr>
                    <w:spacing w:after="60"/>
                    <w:ind w:left="360" w:hanging="360"/>
                  </w:pPr>
                  <w:r>
                    <w:rPr>
                      <w:color w:val="444444"/>
                      <w:sz w:val="16"/>
                      <w:szCs w:val="16"/>
                    </w:rPr>
                    <w:t>– Department of Health (1991) Care Programme Approach for People with a Mental Illness. London: HMSO.</w:t>
                  </w:r>
                </w:p>
                <w:p w14:paraId="7160858C" w14:textId="77777777" w:rsidR="006C2BBB" w:rsidRDefault="00FA20CF">
                  <w:pPr>
                    <w:spacing w:after="60"/>
                    <w:ind w:left="360" w:hanging="360"/>
                  </w:pPr>
                  <w:r>
                    <w:rPr>
                      <w:color w:val="444444"/>
                      <w:sz w:val="16"/>
                      <w:szCs w:val="16"/>
                    </w:rPr>
                    <w:lastRenderedPageBreak/>
                    <w:t>– Department of Health (1990) National Health Service and Community Care Act 1990. London: HMSO.</w:t>
                  </w:r>
                </w:p>
                <w:p w14:paraId="1EF05043" w14:textId="77777777" w:rsidR="006C2BBB" w:rsidRDefault="00FA20CF">
                  <w:pPr>
                    <w:spacing w:after="60"/>
                    <w:ind w:left="360" w:hanging="360"/>
                  </w:pPr>
                  <w:r>
                    <w:rPr>
                      <w:color w:val="444444"/>
                      <w:sz w:val="16"/>
                      <w:szCs w:val="16"/>
                    </w:rPr>
                    <w:t>– Johnson, S. et al. (2018) 'Crisis resolution teams as an alternative to inpatient admission'. British Journal of Psychiatry, 213(1), pp. 3-5.</w:t>
                  </w:r>
                </w:p>
                <w:p w14:paraId="0443CC52" w14:textId="77777777" w:rsidR="006C2BBB" w:rsidRDefault="00FA20CF">
                  <w:pPr>
                    <w:spacing w:after="60"/>
                    <w:ind w:left="360" w:hanging="360"/>
                  </w:pPr>
                  <w:r>
                    <w:rPr>
                      <w:color w:val="444444"/>
                      <w:sz w:val="16"/>
                      <w:szCs w:val="16"/>
                    </w:rPr>
                    <w:t>– NHS England (2019) The NHS Long Term Plan. London: NHS England. Available at: https://www.longtermplan.nhs.uk [Accessed 15 March 2026].</w:t>
                  </w:r>
                </w:p>
              </w:tc>
              <w:tc>
                <w:tcPr>
                  <w:tcW w:w="7499" w:type="dxa"/>
                  <w:tcBorders>
                    <w:top w:val="none" w:sz="0" w:space="0" w:color="FFFFFF"/>
                    <w:left w:val="none" w:sz="0" w:space="0" w:color="FFFFFF"/>
                    <w:bottom w:val="none" w:sz="0" w:space="0" w:color="FFFFFF"/>
                    <w:right w:val="none" w:sz="0" w:space="0" w:color="FFFFFF"/>
                  </w:tcBorders>
                  <w:tcMar>
                    <w:top w:w="0" w:type="dxa"/>
                    <w:left w:w="160" w:type="dxa"/>
                    <w:bottom w:w="0" w:type="dxa"/>
                    <w:right w:w="0" w:type="dxa"/>
                  </w:tcMar>
                </w:tcPr>
                <w:p w14:paraId="38021F2F" w14:textId="77777777" w:rsidR="006C2BBB" w:rsidRDefault="00FA20CF">
                  <w:pPr>
                    <w:spacing w:after="60"/>
                    <w:ind w:left="360" w:hanging="360"/>
                  </w:pPr>
                  <w:r>
                    <w:rPr>
                      <w:color w:val="444444"/>
                      <w:sz w:val="16"/>
                      <w:szCs w:val="16"/>
                    </w:rPr>
                    <w:lastRenderedPageBreak/>
                    <w:t>– NHS England (2026) Community Mental Health Services [online]. Available at: https://www.england.nhs.uk/mental-health/adults/cmhs/ [Accessed 15 March 2026].</w:t>
                  </w:r>
                </w:p>
                <w:p w14:paraId="44732D29" w14:textId="77777777" w:rsidR="006C2BBB" w:rsidRDefault="00FA20CF">
                  <w:pPr>
                    <w:spacing w:after="60"/>
                    <w:ind w:left="360" w:hanging="360"/>
                  </w:pPr>
                  <w:r>
                    <w:rPr>
                      <w:color w:val="444444"/>
                      <w:sz w:val="16"/>
                      <w:szCs w:val="16"/>
                    </w:rPr>
                    <w:t>– NHS Race &amp; Health Observatory (2023) Ethnic Inequalities in Mental Health. London: NHS RHO. Available at: https://www.nhsrho.org [Accessed 15 March 2026].</w:t>
                  </w:r>
                </w:p>
                <w:p w14:paraId="119844A1" w14:textId="77777777" w:rsidR="006C2BBB" w:rsidRDefault="00FA20CF">
                  <w:pPr>
                    <w:spacing w:after="60"/>
                    <w:ind w:left="360" w:hanging="360"/>
                  </w:pPr>
                  <w:r>
                    <w:rPr>
                      <w:color w:val="444444"/>
                      <w:sz w:val="16"/>
                      <w:szCs w:val="16"/>
                    </w:rPr>
                    <w:t>– NICE (2014) Psychosis and schizophrenia in adults: prevention and management. NICE Guideline CG178. London: NICE.</w:t>
                  </w:r>
                </w:p>
                <w:p w14:paraId="198D99F3" w14:textId="77777777" w:rsidR="006C2BBB" w:rsidRDefault="00FA20CF">
                  <w:pPr>
                    <w:spacing w:after="60"/>
                    <w:ind w:left="360" w:hanging="360"/>
                  </w:pPr>
                  <w:r>
                    <w:rPr>
                      <w:color w:val="444444"/>
                      <w:sz w:val="16"/>
                      <w:szCs w:val="16"/>
                    </w:rPr>
                    <w:lastRenderedPageBreak/>
                    <w:t>– Thornicroft, G. and Tansella, M. (2004) 'Components of a modern mental health service'. British Journal of Psychiatry, 185(4), pp. 283-290.</w:t>
                  </w:r>
                </w:p>
                <w:p w14:paraId="6857C15D" w14:textId="77777777" w:rsidR="006C2BBB" w:rsidRDefault="00FA20CF">
                  <w:pPr>
                    <w:spacing w:after="60"/>
                    <w:ind w:left="360" w:hanging="360"/>
                  </w:pPr>
                  <w:r>
                    <w:rPr>
                      <w:color w:val="444444"/>
                      <w:sz w:val="16"/>
                      <w:szCs w:val="16"/>
                    </w:rPr>
                    <w:t>– World Health Organization (2022) World Mental Health Report: Transforming mental health for all. Geneva: WHO. Available at: https://www.who.int [Accessed 15 March 2026].</w:t>
                  </w:r>
                </w:p>
              </w:tc>
            </w:tr>
          </w:tbl>
          <w:p w14:paraId="244A0C17" w14:textId="77777777" w:rsidR="006C2BBB" w:rsidRDefault="006C2BBB"/>
        </w:tc>
      </w:tr>
    </w:tbl>
    <w:p w14:paraId="75FCF237" w14:textId="77777777" w:rsidR="00152881" w:rsidRDefault="00152881"/>
    <w:p w14:paraId="03E52471" w14:textId="77777777" w:rsidR="00152881" w:rsidRDefault="00152881"/>
    <w:p w14:paraId="08B3AB4A" w14:textId="77777777" w:rsidR="00021D40" w:rsidRDefault="00021D40" w:rsidP="00152881">
      <w:pPr>
        <w:spacing w:before="480" w:after="120"/>
        <w:jc w:val="center"/>
        <w:rPr>
          <w:b/>
          <w:bCs/>
          <w:color w:val="1E5C8E"/>
          <w:sz w:val="52"/>
          <w:szCs w:val="52"/>
        </w:rPr>
      </w:pPr>
    </w:p>
    <w:p w14:paraId="6FBEFE1C" w14:textId="77777777" w:rsidR="00021D40" w:rsidRDefault="00021D40" w:rsidP="00152881">
      <w:pPr>
        <w:spacing w:before="480" w:after="120"/>
        <w:jc w:val="center"/>
        <w:rPr>
          <w:b/>
          <w:bCs/>
          <w:color w:val="1E5C8E"/>
          <w:sz w:val="52"/>
          <w:szCs w:val="52"/>
        </w:rPr>
      </w:pPr>
    </w:p>
    <w:p w14:paraId="0D277C46" w14:textId="77777777" w:rsidR="00021D40" w:rsidRDefault="00021D40" w:rsidP="00152881">
      <w:pPr>
        <w:spacing w:before="480" w:after="120"/>
        <w:jc w:val="center"/>
        <w:rPr>
          <w:b/>
          <w:bCs/>
          <w:color w:val="1E5C8E"/>
          <w:sz w:val="52"/>
          <w:szCs w:val="52"/>
        </w:rPr>
      </w:pPr>
    </w:p>
    <w:p w14:paraId="3ED745E6" w14:textId="77777777" w:rsidR="00021D40" w:rsidRDefault="00021D40" w:rsidP="00152881">
      <w:pPr>
        <w:spacing w:before="480" w:after="120"/>
        <w:jc w:val="center"/>
        <w:rPr>
          <w:b/>
          <w:bCs/>
          <w:color w:val="1E5C8E"/>
          <w:sz w:val="52"/>
          <w:szCs w:val="52"/>
        </w:rPr>
      </w:pPr>
    </w:p>
    <w:p w14:paraId="63A1526F" w14:textId="77777777" w:rsidR="00021D40" w:rsidRDefault="00021D40" w:rsidP="00152881">
      <w:pPr>
        <w:spacing w:before="480" w:after="120"/>
        <w:jc w:val="center"/>
        <w:rPr>
          <w:b/>
          <w:bCs/>
          <w:color w:val="1E5C8E"/>
          <w:sz w:val="52"/>
          <w:szCs w:val="52"/>
        </w:rPr>
      </w:pPr>
    </w:p>
    <w:p w14:paraId="3EE449E9" w14:textId="77777777" w:rsidR="00021D40" w:rsidRDefault="00021D40" w:rsidP="00152881">
      <w:pPr>
        <w:spacing w:before="480" w:after="120"/>
        <w:jc w:val="center"/>
        <w:rPr>
          <w:b/>
          <w:bCs/>
          <w:color w:val="1E5C8E"/>
          <w:sz w:val="52"/>
          <w:szCs w:val="52"/>
        </w:rPr>
      </w:pPr>
    </w:p>
    <w:p w14:paraId="73F35461" w14:textId="77777777" w:rsidR="00021D40" w:rsidRDefault="00021D40" w:rsidP="00322E34">
      <w:pPr>
        <w:spacing w:before="480" w:after="120"/>
        <w:rPr>
          <w:b/>
          <w:bCs/>
          <w:color w:val="1E5C8E"/>
          <w:sz w:val="52"/>
          <w:szCs w:val="52"/>
        </w:rPr>
      </w:pPr>
    </w:p>
    <w:p w14:paraId="58F9148F" w14:textId="77777777" w:rsidR="00021D40" w:rsidRDefault="00021D40" w:rsidP="00152881">
      <w:pPr>
        <w:spacing w:before="480" w:after="120"/>
        <w:jc w:val="center"/>
        <w:rPr>
          <w:b/>
          <w:bCs/>
          <w:color w:val="1E5C8E"/>
          <w:sz w:val="52"/>
          <w:szCs w:val="52"/>
        </w:rPr>
        <w:sectPr w:rsidR="00021D40" w:rsidSect="00152881">
          <w:footerReference w:type="default" r:id="rId12"/>
          <w:pgSz w:w="16838" w:h="11906" w:orient="landscape"/>
          <w:pgMar w:top="720" w:right="720" w:bottom="720" w:left="720" w:header="708" w:footer="708" w:gutter="0"/>
          <w:cols w:space="720"/>
          <w:docGrid w:linePitch="360"/>
        </w:sectPr>
      </w:pPr>
    </w:p>
    <w:p w14:paraId="66968D96" w14:textId="77777777" w:rsidR="00152881" w:rsidRDefault="00152881" w:rsidP="00152881">
      <w:pPr>
        <w:spacing w:before="480" w:after="120"/>
        <w:jc w:val="center"/>
      </w:pPr>
      <w:r>
        <w:rPr>
          <w:b/>
          <w:bCs/>
          <w:color w:val="1E5C8E"/>
          <w:sz w:val="52"/>
          <w:szCs w:val="52"/>
        </w:rPr>
        <w:lastRenderedPageBreak/>
        <w:t>Ambulance Services</w:t>
      </w:r>
    </w:p>
    <w:p w14:paraId="38C292F4" w14:textId="77777777" w:rsidR="00152881" w:rsidRDefault="00152881" w:rsidP="00152881">
      <w:pPr>
        <w:spacing w:after="80"/>
        <w:jc w:val="center"/>
      </w:pPr>
      <w:r>
        <w:rPr>
          <w:color w:val="555555"/>
          <w:sz w:val="24"/>
          <w:szCs w:val="24"/>
        </w:rPr>
        <w:t xml:space="preserve">Task 2: </w:t>
      </w:r>
    </w:p>
    <w:p w14:paraId="1B8C5DDB" w14:textId="77777777" w:rsidR="00152881" w:rsidRPr="00152881" w:rsidRDefault="00152881" w:rsidP="00152881">
      <w:pPr>
        <w:pStyle w:val="Heading1"/>
        <w:ind w:left="414" w:firstLine="720"/>
        <w:rPr>
          <w:sz w:val="22"/>
          <w:szCs w:val="22"/>
        </w:rPr>
      </w:pPr>
      <w:r>
        <w:rPr>
          <w:sz w:val="22"/>
          <w:szCs w:val="22"/>
        </w:rPr>
        <w:t>Origins and Historical Context</w:t>
      </w:r>
    </w:p>
    <w:p w14:paraId="72F94B69" w14:textId="77777777" w:rsidR="00152881" w:rsidRPr="00152881" w:rsidRDefault="00152881" w:rsidP="00152881">
      <w:pPr>
        <w:pStyle w:val="Heading1"/>
        <w:ind w:left="414" w:firstLine="720"/>
        <w:rPr>
          <w:sz w:val="22"/>
          <w:szCs w:val="22"/>
        </w:rPr>
      </w:pPr>
    </w:p>
    <w:p w14:paraId="60CEE577" w14:textId="77777777" w:rsidR="00152881" w:rsidRPr="00152881" w:rsidRDefault="00152881" w:rsidP="00152881">
      <w:pPr>
        <w:spacing w:line="360" w:lineRule="auto"/>
        <w:ind w:left="1134"/>
        <w:jc w:val="both"/>
        <w:rPr>
          <w:sz w:val="22"/>
          <w:szCs w:val="22"/>
        </w:rPr>
      </w:pPr>
      <w:r>
        <w:rPr>
          <w:sz w:val="22"/>
          <w:szCs w:val="22"/>
        </w:rPr>
        <w:t>Ambulance services in the UK did not begin as the clinical operations we recognise today they started out as little more than a way of getting sick people off the streets. As far back as 1897, the Metropolitan Asylums Board in London was using horse-drawn vehicles to move patients with infectious diseases to hospital, with no real focus on treating them along the way. These arrangements were patchy, uncoordinated, and entirely transport-focused, with no national oversight or professional standards to speak of (Nicholl et al., 2007).</w:t>
      </w:r>
    </w:p>
    <w:p w14:paraId="7C45FCD7" w14:textId="77777777" w:rsidR="00152881" w:rsidRPr="00152881" w:rsidRDefault="00152881" w:rsidP="00152881">
      <w:pPr>
        <w:spacing w:line="360" w:lineRule="auto"/>
        <w:ind w:left="1134"/>
        <w:jc w:val="both"/>
        <w:rPr>
          <w:sz w:val="22"/>
          <w:szCs w:val="22"/>
        </w:rPr>
      </w:pPr>
      <w:r>
        <w:rPr>
          <w:sz w:val="22"/>
          <w:szCs w:val="22"/>
        </w:rPr>
        <w:t>When the NHS was founded in 1948, ambulance provision finally came under a single public umbrella, though local councils still ran the day-to-day operations for some years. Things shifted again with the NHS Reorganisation Act 1974, which handed responsibility to Regional Health Authorities and pushed the service towards a more consistent national model. Around this same time, there was a growing recognition that ambulance staff could and should do more than drive. Drawing on advances being made in the United States and Canada, the UK began training paramedics through the 1970s and 1980s a real turning point that gave crews the skills to start treatment at the scene, from managing airways to administering medication (Woollard, 2009).</w:t>
      </w:r>
    </w:p>
    <w:p w14:paraId="2401B28D" w14:textId="77777777" w:rsidR="00152881" w:rsidRPr="00152881" w:rsidRDefault="00152881" w:rsidP="00152881">
      <w:pPr>
        <w:spacing w:line="360" w:lineRule="auto"/>
        <w:ind w:left="1134"/>
        <w:jc w:val="both"/>
        <w:rPr>
          <w:sz w:val="22"/>
          <w:szCs w:val="22"/>
        </w:rPr>
      </w:pPr>
      <w:r>
        <w:rPr>
          <w:sz w:val="22"/>
          <w:szCs w:val="22"/>
        </w:rPr>
        <w:t>The publication of the Bradley Report in 1990 gave the profession a further boost. It formally acknowledged the ambulance service as a clinical service in its own right, introduced national response time standards, and made clear that paramedics were there to deliver care, not just provide a taxi to hospital (Department of Health, 1990). It set the tone for everything that followed.</w:t>
      </w:r>
    </w:p>
    <w:p w14:paraId="702B9B2B" w14:textId="77777777" w:rsidR="00152881" w:rsidRPr="00152881" w:rsidRDefault="00152881" w:rsidP="00152881">
      <w:pPr>
        <w:spacing w:line="360" w:lineRule="auto"/>
        <w:jc w:val="both"/>
        <w:rPr>
          <w:sz w:val="22"/>
          <w:szCs w:val="22"/>
        </w:rPr>
      </w:pPr>
    </w:p>
    <w:p w14:paraId="53ECB98E" w14:textId="77777777" w:rsidR="00152881" w:rsidRPr="00152881" w:rsidRDefault="00152881" w:rsidP="00152881">
      <w:pPr>
        <w:spacing w:line="360" w:lineRule="auto"/>
        <w:ind w:left="1134"/>
        <w:jc w:val="both"/>
        <w:rPr>
          <w:sz w:val="22"/>
          <w:szCs w:val="22"/>
        </w:rPr>
      </w:pPr>
    </w:p>
    <w:p w14:paraId="3B975D05" w14:textId="77777777" w:rsidR="00152881" w:rsidRPr="00152881" w:rsidRDefault="00152881" w:rsidP="00152881">
      <w:pPr>
        <w:pStyle w:val="Heading1"/>
        <w:ind w:left="414" w:firstLine="720"/>
        <w:rPr>
          <w:sz w:val="22"/>
          <w:szCs w:val="22"/>
        </w:rPr>
      </w:pPr>
      <w:r>
        <w:rPr>
          <w:sz w:val="22"/>
          <w:szCs w:val="22"/>
        </w:rPr>
        <w:t>Evaluation of Current Services</w:t>
      </w:r>
    </w:p>
    <w:p w14:paraId="38D859E4" w14:textId="77777777" w:rsidR="00152881" w:rsidRPr="00152881" w:rsidRDefault="00152881" w:rsidP="00152881">
      <w:pPr>
        <w:pStyle w:val="Heading1"/>
        <w:ind w:left="414" w:firstLine="720"/>
        <w:rPr>
          <w:sz w:val="22"/>
          <w:szCs w:val="22"/>
        </w:rPr>
      </w:pPr>
    </w:p>
    <w:p w14:paraId="5EFD47D5" w14:textId="77777777" w:rsidR="00152881" w:rsidRPr="00152881" w:rsidRDefault="00152881" w:rsidP="00152881">
      <w:pPr>
        <w:spacing w:line="360" w:lineRule="auto"/>
        <w:ind w:left="1134"/>
        <w:jc w:val="both"/>
        <w:rPr>
          <w:sz w:val="22"/>
          <w:szCs w:val="22"/>
        </w:rPr>
      </w:pPr>
      <w:r>
        <w:rPr>
          <w:sz w:val="22"/>
          <w:szCs w:val="22"/>
        </w:rPr>
        <w:t>At present, ten NHS Ambulance Trusts cover England, collectively handling upwards of 12 million calls each year. When someone dials 999, their call is assessed by a clinical contact centre and placed into one of four categories based on how serious it is. The most critical Category 1, covering things like cardiac arrest comes with a target mean response time of seven minutes. Less severe calls fall into Categories 2 through 4, which allow for longer response windows (NHS England, 2022). In theory, this triage system helps direct the right resources to the right people. In practice, though, the service has been under real strain.</w:t>
      </w:r>
    </w:p>
    <w:p w14:paraId="35B9A593" w14:textId="77777777" w:rsidR="00152881" w:rsidRPr="00152881" w:rsidRDefault="00152881" w:rsidP="00152881">
      <w:pPr>
        <w:spacing w:line="360" w:lineRule="auto"/>
        <w:ind w:left="1134"/>
        <w:jc w:val="both"/>
        <w:rPr>
          <w:sz w:val="22"/>
          <w:szCs w:val="22"/>
        </w:rPr>
      </w:pPr>
      <w:r>
        <w:rPr>
          <w:sz w:val="22"/>
          <w:szCs w:val="22"/>
        </w:rPr>
        <w:t xml:space="preserve">One of the biggest headaches has been the time crews spend waiting outside emergency departments before they can hand a patient over. This is not a minor inconvenience according to the National Audit Office (2022), these delays were costing around 32,000 ambulance hours every single week at their worst, leaving crews stuck at hospital and </w:t>
      </w:r>
      <w:r>
        <w:rPr>
          <w:sz w:val="22"/>
          <w:szCs w:val="22"/>
        </w:rPr>
        <w:lastRenderedPageBreak/>
        <w:t>unable to respond to new emergencies. To tackle this, NHS England has pushed forward with alternative care pathways. ‘See and Treat’ allows paramedics to assess, treat and safely discharge patients without taking them to hospital at all, while ‘Hear and Treat’ let us clinical advisers manage lower-acuity calls entirely over the phone. Both approaches have helped cut unnecessary A&amp;E visits and get the right care to patients more efficiently (NHS England, 2022).</w:t>
      </w:r>
    </w:p>
    <w:p w14:paraId="2E11C129" w14:textId="77777777" w:rsidR="00152881" w:rsidRPr="00152881" w:rsidRDefault="00152881" w:rsidP="00152881">
      <w:pPr>
        <w:spacing w:line="360" w:lineRule="auto"/>
        <w:ind w:left="1134"/>
        <w:jc w:val="both"/>
        <w:rPr>
          <w:sz w:val="22"/>
          <w:szCs w:val="22"/>
        </w:rPr>
      </w:pPr>
    </w:p>
    <w:p w14:paraId="7A2C03AE" w14:textId="77777777" w:rsidR="00152881" w:rsidRPr="00152881" w:rsidRDefault="00152881" w:rsidP="00152881">
      <w:pPr>
        <w:pStyle w:val="Heading1"/>
        <w:ind w:left="414" w:firstLine="720"/>
        <w:rPr>
          <w:sz w:val="22"/>
          <w:szCs w:val="22"/>
        </w:rPr>
      </w:pPr>
      <w:r>
        <w:rPr>
          <w:sz w:val="22"/>
          <w:szCs w:val="22"/>
        </w:rPr>
        <w:t>Significance in Enhancing Quality of Life</w:t>
      </w:r>
    </w:p>
    <w:p w14:paraId="0596167C" w14:textId="77777777" w:rsidR="00152881" w:rsidRPr="00152881" w:rsidRDefault="00152881" w:rsidP="00152881">
      <w:pPr>
        <w:pStyle w:val="Heading1"/>
        <w:ind w:left="414" w:firstLine="720"/>
        <w:rPr>
          <w:sz w:val="22"/>
          <w:szCs w:val="22"/>
        </w:rPr>
      </w:pPr>
    </w:p>
    <w:p w14:paraId="69E958A7" w14:textId="77777777" w:rsidR="00152881" w:rsidRPr="00152881" w:rsidRDefault="00152881" w:rsidP="00152881">
      <w:pPr>
        <w:spacing w:line="360" w:lineRule="auto"/>
        <w:ind w:left="1134"/>
        <w:jc w:val="both"/>
        <w:rPr>
          <w:sz w:val="22"/>
          <w:szCs w:val="22"/>
        </w:rPr>
      </w:pPr>
      <w:r>
        <w:rPr>
          <w:sz w:val="22"/>
          <w:szCs w:val="22"/>
        </w:rPr>
        <w:t>When it comes to saving lives, time is everything. For conditions like cardiac arrest, stroke, and major trauma, the gap between a fast response and a slow one can mean the difference between full recovery and lasting disability or between life and death. Research shows that every minute without defibrillation during a cardiac arrest reduces the chance of survival by around ten per cent (Perkins et al., 2015). Ambulance trusts have taken this seriously, running community CPR training programmes that give ordinary people the confidence to act before a crew arrives. Those initiatives have genuinely saved lives.</w:t>
      </w:r>
    </w:p>
    <w:p w14:paraId="37FAF50E" w14:textId="77777777" w:rsidR="00152881" w:rsidRPr="00152881" w:rsidRDefault="00152881" w:rsidP="00152881">
      <w:pPr>
        <w:spacing w:line="360" w:lineRule="auto"/>
        <w:ind w:left="1134"/>
        <w:jc w:val="both"/>
        <w:rPr>
          <w:sz w:val="22"/>
          <w:szCs w:val="22"/>
        </w:rPr>
      </w:pPr>
      <w:r>
        <w:rPr>
          <w:sz w:val="22"/>
          <w:szCs w:val="22"/>
        </w:rPr>
        <w:t>But the value of ambulance services stretches well beyond the blue lights and the critical calls. Paramedics today take on far more than emergencies. Falls response teams, for instance, work with older patients at home checking whether a fall indicates a wider health issue and referring on to community support rather than automatically heading to A&amp;E. This keeps people out of hospital unnecessarily and helps them stay independent for longer. Mental health co-responder schemes, where paramedics team up with mental health workers, have made a real difference too people in crisis are more likely to get the right kind of help rather than ending up detained under the Mental Health Act (Moll et al., 2021). And for patients nearing the end of their lives, paramedics are increasingly trained to respect advance care plans, meaning people can die at home or in a hospice, with their wishes honoured rather than overridden by default hospital admission.</w:t>
      </w:r>
    </w:p>
    <w:p w14:paraId="3197F3A0" w14:textId="77777777" w:rsidR="00152881" w:rsidRPr="00152881" w:rsidRDefault="00152881" w:rsidP="00152881">
      <w:pPr>
        <w:spacing w:line="360" w:lineRule="auto"/>
        <w:ind w:left="1134"/>
        <w:jc w:val="both"/>
        <w:rPr>
          <w:sz w:val="22"/>
          <w:szCs w:val="22"/>
        </w:rPr>
      </w:pPr>
      <w:r>
        <w:rPr>
          <w:sz w:val="22"/>
          <w:szCs w:val="22"/>
        </w:rPr>
        <w:t>Altogether, the NHS Ambulance Service has come a long way from its origins as a patient transport operation. It now sits at the heart of the healthcare system a first point of contact for millions of people each year, and a service that, at its best, brings skilled, compassionate care to people at their most vulnerable moments.</w:t>
      </w:r>
    </w:p>
    <w:p w14:paraId="2D6A1D4A" w14:textId="77777777" w:rsidR="00152881" w:rsidRPr="00152881" w:rsidRDefault="00152881" w:rsidP="00152881">
      <w:pPr>
        <w:spacing w:line="360" w:lineRule="auto"/>
        <w:ind w:left="1134"/>
        <w:jc w:val="both"/>
        <w:rPr>
          <w:sz w:val="22"/>
          <w:szCs w:val="22"/>
        </w:rPr>
      </w:pPr>
    </w:p>
    <w:p w14:paraId="5AF26364" w14:textId="77777777" w:rsidR="00152881" w:rsidRPr="00152881" w:rsidRDefault="00152881">
      <w:pPr>
        <w:rPr>
          <w:sz w:val="22"/>
          <w:szCs w:val="22"/>
        </w:rPr>
      </w:pPr>
      <w:r>
        <w:rPr>
          <w:sz w:val="22"/>
          <w:szCs w:val="22"/>
        </w:rPr>
        <w:br w:type="page"/>
      </w:r>
    </w:p>
    <w:p w14:paraId="1FDBE66C" w14:textId="77777777" w:rsidR="00152881" w:rsidRPr="00152881" w:rsidRDefault="00152881" w:rsidP="00152881">
      <w:pPr>
        <w:spacing w:line="360" w:lineRule="auto"/>
        <w:ind w:left="1134"/>
        <w:jc w:val="both"/>
        <w:rPr>
          <w:sz w:val="22"/>
          <w:szCs w:val="22"/>
        </w:rPr>
      </w:pPr>
    </w:p>
    <w:p w14:paraId="522370B6" w14:textId="77777777" w:rsidR="00152881" w:rsidRPr="00152881" w:rsidRDefault="00152881" w:rsidP="00152881">
      <w:pPr>
        <w:spacing w:line="360" w:lineRule="auto"/>
        <w:ind w:left="1134"/>
        <w:jc w:val="both"/>
        <w:rPr>
          <w:sz w:val="22"/>
          <w:szCs w:val="22"/>
        </w:rPr>
      </w:pPr>
    </w:p>
    <w:p w14:paraId="34A7C7CA" w14:textId="77777777" w:rsidR="00152881" w:rsidRPr="00152881" w:rsidRDefault="00152881" w:rsidP="00152881">
      <w:pPr>
        <w:spacing w:line="360" w:lineRule="auto"/>
        <w:ind w:left="1134"/>
        <w:jc w:val="both"/>
        <w:rPr>
          <w:sz w:val="22"/>
          <w:szCs w:val="22"/>
        </w:rPr>
      </w:pPr>
    </w:p>
    <w:p w14:paraId="23A869C6" w14:textId="77777777" w:rsidR="00152881" w:rsidRPr="00152881" w:rsidRDefault="00152881" w:rsidP="00152881">
      <w:pPr>
        <w:pStyle w:val="Heading1"/>
        <w:ind w:firstLine="720"/>
        <w:rPr>
          <w:sz w:val="22"/>
          <w:szCs w:val="22"/>
        </w:rPr>
      </w:pPr>
      <w:r>
        <w:rPr>
          <w:sz w:val="22"/>
          <w:szCs w:val="22"/>
        </w:rPr>
        <w:t xml:space="preserve">      References</w:t>
      </w:r>
    </w:p>
    <w:p w14:paraId="0EEE9F28" w14:textId="77777777" w:rsidR="00152881" w:rsidRPr="00152881" w:rsidRDefault="00152881" w:rsidP="00152881">
      <w:pPr>
        <w:pStyle w:val="Heading1"/>
        <w:ind w:left="1985"/>
        <w:rPr>
          <w:sz w:val="22"/>
          <w:szCs w:val="22"/>
        </w:rPr>
      </w:pPr>
    </w:p>
    <w:p w14:paraId="735C8D48" w14:textId="77777777" w:rsidR="00152881" w:rsidRPr="00152881" w:rsidRDefault="00152881" w:rsidP="00152881">
      <w:pPr>
        <w:spacing w:after="160"/>
        <w:ind w:left="1985" w:hanging="720"/>
        <w:rPr>
          <w:sz w:val="22"/>
          <w:szCs w:val="22"/>
        </w:rPr>
      </w:pPr>
      <w:r>
        <w:rPr>
          <w:color w:val="444444"/>
          <w:sz w:val="22"/>
          <w:szCs w:val="22"/>
        </w:rPr>
        <w:t>Association of Ambulance Chief Executives (AACE) (2023) NHS Ambulance Services Annual Statistics Report 2022/23. London: AACE.</w:t>
      </w:r>
    </w:p>
    <w:p w14:paraId="40A4F57F" w14:textId="77777777" w:rsidR="00152881" w:rsidRPr="00152881" w:rsidRDefault="00152881" w:rsidP="00152881">
      <w:pPr>
        <w:spacing w:after="160"/>
        <w:ind w:left="1985" w:hanging="720"/>
        <w:rPr>
          <w:sz w:val="22"/>
          <w:szCs w:val="22"/>
        </w:rPr>
      </w:pPr>
      <w:r>
        <w:rPr>
          <w:color w:val="444444"/>
          <w:sz w:val="22"/>
          <w:szCs w:val="22"/>
        </w:rPr>
        <w:t>Department of Health (1974) NHS Reorganisation Act 1974. London: HMSO.</w:t>
      </w:r>
    </w:p>
    <w:p w14:paraId="136AEA2C" w14:textId="77777777" w:rsidR="00152881" w:rsidRPr="00152881" w:rsidRDefault="00152881" w:rsidP="00152881">
      <w:pPr>
        <w:spacing w:after="160"/>
        <w:ind w:left="1985" w:hanging="720"/>
        <w:rPr>
          <w:sz w:val="22"/>
          <w:szCs w:val="22"/>
        </w:rPr>
      </w:pPr>
      <w:r>
        <w:rPr>
          <w:color w:val="444444"/>
          <w:sz w:val="22"/>
          <w:szCs w:val="22"/>
        </w:rPr>
        <w:t>Department of Health (1990) Review of Ambulance Performance Standards: Final Report of the Steering Group (Bradley Report). London: HMSO.</w:t>
      </w:r>
    </w:p>
    <w:p w14:paraId="07A65615" w14:textId="77777777" w:rsidR="00152881" w:rsidRPr="00152881" w:rsidRDefault="00152881" w:rsidP="00152881">
      <w:pPr>
        <w:spacing w:after="160"/>
        <w:ind w:left="1985" w:hanging="720"/>
        <w:rPr>
          <w:sz w:val="22"/>
          <w:szCs w:val="22"/>
        </w:rPr>
      </w:pPr>
      <w:r>
        <w:rPr>
          <w:color w:val="444444"/>
          <w:sz w:val="22"/>
          <w:szCs w:val="22"/>
        </w:rPr>
        <w:t>Moll, S., Wyndham-West, M., Mulvale, G., Park, S., Butt, G., Bruce, E. and VanderBeek, S. (2021) ‘Impacts of co-responding police-mental health programmes: a systematic review’. BMJ Open, 11(10), p.e049060. doi: https://doi.org/10.1136/bmjopen-2021-049060.</w:t>
      </w:r>
    </w:p>
    <w:p w14:paraId="13410AAB" w14:textId="77777777" w:rsidR="00152881" w:rsidRPr="00152881" w:rsidRDefault="00152881" w:rsidP="00152881">
      <w:pPr>
        <w:spacing w:after="160"/>
        <w:ind w:left="1985" w:hanging="720"/>
        <w:rPr>
          <w:sz w:val="22"/>
          <w:szCs w:val="22"/>
        </w:rPr>
      </w:pPr>
      <w:r>
        <w:rPr>
          <w:color w:val="444444"/>
          <w:sz w:val="22"/>
          <w:szCs w:val="22"/>
        </w:rPr>
        <w:t>National Audit Office (NAO) (2022) NHS Ambulance Services. London: NAO. Available at: https://www.nao.org.uk/report/nhs-ambulance-services/ [Accessed 15 March 2026].</w:t>
      </w:r>
    </w:p>
    <w:p w14:paraId="41430DF3" w14:textId="77777777" w:rsidR="00152881" w:rsidRPr="00152881" w:rsidRDefault="00152881" w:rsidP="00152881">
      <w:pPr>
        <w:spacing w:after="160"/>
        <w:ind w:left="1985" w:hanging="720"/>
        <w:rPr>
          <w:sz w:val="22"/>
          <w:szCs w:val="22"/>
        </w:rPr>
      </w:pPr>
      <w:r>
        <w:rPr>
          <w:color w:val="444444"/>
          <w:sz w:val="22"/>
          <w:szCs w:val="22"/>
        </w:rPr>
        <w:t>NHS England (2022) Ambulance Quality Indicators: System Indicator Data 2021/22. London: NHS England. Available at: https://www.england.nhs.uk/statistics/statistical-work-areas/ambulance-quality-indicators/ [Accessed 15 March 2026].</w:t>
      </w:r>
    </w:p>
    <w:p w14:paraId="447AF639" w14:textId="77777777" w:rsidR="00152881" w:rsidRPr="00152881" w:rsidRDefault="00152881" w:rsidP="00152881">
      <w:pPr>
        <w:spacing w:after="160"/>
        <w:ind w:left="1985" w:hanging="720"/>
        <w:rPr>
          <w:sz w:val="22"/>
          <w:szCs w:val="22"/>
        </w:rPr>
      </w:pPr>
      <w:r>
        <w:rPr>
          <w:color w:val="444444"/>
          <w:sz w:val="22"/>
          <w:szCs w:val="22"/>
        </w:rPr>
        <w:t>NHS England (2019) The NHS Long Term Plan. London: NHS England. Available at: https://www.longtermplan.nhs.uk [Accessed 15 March 2026].</w:t>
      </w:r>
    </w:p>
    <w:p w14:paraId="3C44C578" w14:textId="77777777" w:rsidR="00152881" w:rsidRPr="00152881" w:rsidRDefault="00152881" w:rsidP="00152881">
      <w:pPr>
        <w:spacing w:after="160"/>
        <w:ind w:left="1985" w:hanging="720"/>
        <w:rPr>
          <w:sz w:val="22"/>
          <w:szCs w:val="22"/>
        </w:rPr>
      </w:pPr>
      <w:r>
        <w:rPr>
          <w:color w:val="444444"/>
          <w:sz w:val="22"/>
          <w:szCs w:val="22"/>
        </w:rPr>
        <w:t>Nicholl, J., Coleman, P. and Turner, J. (2007) ‘The costs and benefits of paramedic skills in pre-hospital trauma care’. Health Technology Assessment, 2(17), pp. 1–72.</w:t>
      </w:r>
    </w:p>
    <w:p w14:paraId="3558617D" w14:textId="77777777" w:rsidR="00152881" w:rsidRPr="00152881" w:rsidRDefault="00152881" w:rsidP="00152881">
      <w:pPr>
        <w:spacing w:after="160"/>
        <w:ind w:left="1985" w:hanging="720"/>
        <w:rPr>
          <w:sz w:val="22"/>
          <w:szCs w:val="22"/>
        </w:rPr>
      </w:pPr>
      <w:r>
        <w:rPr>
          <w:color w:val="444444"/>
          <w:sz w:val="22"/>
          <w:szCs w:val="22"/>
        </w:rPr>
        <w:t>Perkins, G.D., Handley, A.J., Koster, R.W., Castren, M., Smyth, M.A., Olasveengen, T., Monsieurs, K.G., Raffay, V., Grasner, J.T., Wenzel, V. and Ristagno, G. (2015) ‘European Resuscitation Council Guidelines for Resuscitation 2015: Section 2. Adult basic life support and automated external defibrillation’. Resuscitation, 95, pp. 81–99. doi: https://doi.org/10.1016/j.resuscitation.2015.07.015.</w:t>
      </w:r>
    </w:p>
    <w:p w14:paraId="1AA0CA89" w14:textId="77777777" w:rsidR="00152881" w:rsidRPr="00152881" w:rsidRDefault="00152881" w:rsidP="00152881">
      <w:pPr>
        <w:spacing w:after="160"/>
        <w:ind w:left="1985" w:hanging="720"/>
        <w:rPr>
          <w:sz w:val="22"/>
          <w:szCs w:val="22"/>
        </w:rPr>
      </w:pPr>
      <w:r>
        <w:rPr>
          <w:color w:val="444444"/>
          <w:sz w:val="22"/>
          <w:szCs w:val="22"/>
        </w:rPr>
        <w:t>Woollard, M. (2009) ‘The role of the paramedic practitioner in the UK’. Emergency Medicine Journal, 23(3), pp. 172–173. doi: https://doi.org/10.1136/emj.2005.028373.</w:t>
      </w:r>
    </w:p>
    <w:p w14:paraId="2586A03F" w14:textId="77777777" w:rsidR="00152881" w:rsidRPr="00152881" w:rsidRDefault="00152881" w:rsidP="00152881">
      <w:pPr>
        <w:pStyle w:val="Heading1"/>
        <w:ind w:left="1985"/>
        <w:rPr>
          <w:sz w:val="22"/>
          <w:szCs w:val="22"/>
        </w:rPr>
      </w:pPr>
    </w:p>
    <w:p w14:paraId="38BE4663" w14:textId="77777777" w:rsidR="00152881" w:rsidRPr="00152881" w:rsidRDefault="00152881" w:rsidP="00152881">
      <w:pPr>
        <w:spacing w:line="360" w:lineRule="auto"/>
        <w:ind w:left="1985"/>
        <w:jc w:val="both"/>
        <w:rPr>
          <w:sz w:val="22"/>
          <w:szCs w:val="22"/>
        </w:rPr>
      </w:pPr>
    </w:p>
    <w:sectPr w:rsidR="00152881" w:rsidRPr="00152881" w:rsidSect="00021D40">
      <w:pgSz w:w="11906" w:h="16838"/>
      <w:pgMar w:top="720" w:right="1274" w:bottom="720" w:left="72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5880BD" w14:textId="77777777" w:rsidR="003A7611" w:rsidRDefault="003A7611">
      <w:r>
        <w:separator/>
      </w:r>
    </w:p>
  </w:endnote>
  <w:endnote w:type="continuationSeparator" w:id="0">
    <w:p w14:paraId="4BC7887D" w14:textId="77777777" w:rsidR="003A7611" w:rsidRDefault="003A761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C18E86" w14:textId="77777777" w:rsidR="006C2BBB" w:rsidRDefault="006C2BBB">
    <w:pPr>
      <w:pBdr>
        <w:top w:val="single" w:sz="4" w:space="4" w:color="7C5CBF"/>
      </w:pBdr>
      <w:spacing w:before="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A68B4A" w14:textId="77777777" w:rsidR="003A7611" w:rsidRDefault="003A7611">
      <w:r>
        <w:separator/>
      </w:r>
    </w:p>
  </w:footnote>
  <w:footnote w:type="continuationSeparator" w:id="0">
    <w:p w14:paraId="111F7D70" w14:textId="77777777" w:rsidR="003A7611" w:rsidRDefault="003A761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8E31F3E"/>
    <w:multiLevelType w:val="hybridMultilevel"/>
    <w:tmpl w:val="9E42EA00"/>
    <w:lvl w:ilvl="0" w:tplc="B7281610">
      <w:start w:val="1"/>
      <w:numFmt w:val="bullet"/>
      <w:lvlText w:val="●"/>
      <w:lvlJc w:val="left"/>
      <w:pPr>
        <w:ind w:left="720" w:hanging="360"/>
      </w:pPr>
    </w:lvl>
    <w:lvl w:ilvl="1" w:tplc="A9081A94">
      <w:start w:val="1"/>
      <w:numFmt w:val="bullet"/>
      <w:lvlText w:val="○"/>
      <w:lvlJc w:val="left"/>
      <w:pPr>
        <w:ind w:left="1440" w:hanging="360"/>
      </w:pPr>
    </w:lvl>
    <w:lvl w:ilvl="2" w:tplc="1FDA483A">
      <w:start w:val="1"/>
      <w:numFmt w:val="bullet"/>
      <w:lvlText w:val="■"/>
      <w:lvlJc w:val="left"/>
      <w:pPr>
        <w:ind w:left="2160" w:hanging="360"/>
      </w:pPr>
    </w:lvl>
    <w:lvl w:ilvl="3" w:tplc="6F5CB9D2">
      <w:start w:val="1"/>
      <w:numFmt w:val="bullet"/>
      <w:lvlText w:val="●"/>
      <w:lvlJc w:val="left"/>
      <w:pPr>
        <w:ind w:left="2880" w:hanging="360"/>
      </w:pPr>
    </w:lvl>
    <w:lvl w:ilvl="4" w:tplc="40323A76">
      <w:start w:val="1"/>
      <w:numFmt w:val="bullet"/>
      <w:lvlText w:val="○"/>
      <w:lvlJc w:val="left"/>
      <w:pPr>
        <w:ind w:left="3600" w:hanging="360"/>
      </w:pPr>
    </w:lvl>
    <w:lvl w:ilvl="5" w:tplc="4850A532">
      <w:start w:val="1"/>
      <w:numFmt w:val="bullet"/>
      <w:lvlText w:val="■"/>
      <w:lvlJc w:val="left"/>
      <w:pPr>
        <w:ind w:left="4320" w:hanging="360"/>
      </w:pPr>
    </w:lvl>
    <w:lvl w:ilvl="6" w:tplc="DF80EF78">
      <w:start w:val="1"/>
      <w:numFmt w:val="bullet"/>
      <w:lvlText w:val="●"/>
      <w:lvlJc w:val="left"/>
      <w:pPr>
        <w:ind w:left="5040" w:hanging="360"/>
      </w:pPr>
    </w:lvl>
    <w:lvl w:ilvl="7" w:tplc="8062A2C6">
      <w:start w:val="1"/>
      <w:numFmt w:val="bullet"/>
      <w:lvlText w:val="●"/>
      <w:lvlJc w:val="left"/>
      <w:pPr>
        <w:ind w:left="5760" w:hanging="360"/>
      </w:pPr>
    </w:lvl>
    <w:lvl w:ilvl="8" w:tplc="3184FA32">
      <w:start w:val="1"/>
      <w:numFmt w:val="bullet"/>
      <w:lvlText w:val="●"/>
      <w:lvlJc w:val="left"/>
      <w:pPr>
        <w:ind w:left="6480" w:hanging="360"/>
      </w:pPr>
    </w:lvl>
  </w:abstractNum>
  <w:abstractNum w:abstractNumId="1" w15:restartNumberingAfterBreak="0">
    <w:nsid w:val="79352897"/>
    <w:multiLevelType w:val="hybridMultilevel"/>
    <w:tmpl w:val="D5E2E9F4"/>
    <w:lvl w:ilvl="0" w:tplc="E7A6820E">
      <w:start w:val="1"/>
      <w:numFmt w:val="bullet"/>
      <w:lvlText w:val="▸"/>
      <w:lvlJc w:val="left"/>
      <w:pPr>
        <w:ind w:left="440" w:hanging="280"/>
      </w:pPr>
      <w:rPr>
        <w:rFonts w:ascii="Arial" w:eastAsia="Arial" w:hAnsi="Arial" w:cs="Arial"/>
        <w:color w:val="7C5CBF"/>
        <w:sz w:val="17"/>
        <w:szCs w:val="17"/>
      </w:rPr>
    </w:lvl>
    <w:lvl w:ilvl="1" w:tplc="F724D6A8">
      <w:numFmt w:val="decimal"/>
      <w:lvlText w:val=""/>
      <w:lvlJc w:val="left"/>
    </w:lvl>
    <w:lvl w:ilvl="2" w:tplc="72CC9E40">
      <w:numFmt w:val="decimal"/>
      <w:lvlText w:val=""/>
      <w:lvlJc w:val="left"/>
    </w:lvl>
    <w:lvl w:ilvl="3" w:tplc="74D6D370">
      <w:numFmt w:val="decimal"/>
      <w:lvlText w:val=""/>
      <w:lvlJc w:val="left"/>
    </w:lvl>
    <w:lvl w:ilvl="4" w:tplc="21A8A386">
      <w:numFmt w:val="decimal"/>
      <w:lvlText w:val=""/>
      <w:lvlJc w:val="left"/>
    </w:lvl>
    <w:lvl w:ilvl="5" w:tplc="C062070E">
      <w:numFmt w:val="decimal"/>
      <w:lvlText w:val=""/>
      <w:lvlJc w:val="left"/>
    </w:lvl>
    <w:lvl w:ilvl="6" w:tplc="E57E941E">
      <w:numFmt w:val="decimal"/>
      <w:lvlText w:val=""/>
      <w:lvlJc w:val="left"/>
    </w:lvl>
    <w:lvl w:ilvl="7" w:tplc="DB305D9A">
      <w:numFmt w:val="decimal"/>
      <w:lvlText w:val=""/>
      <w:lvlJc w:val="left"/>
    </w:lvl>
    <w:lvl w:ilvl="8" w:tplc="38463752">
      <w:numFmt w:val="decimal"/>
      <w:lvlText w:val=""/>
      <w:lvlJc w:val="left"/>
    </w:lvl>
  </w:abstractNum>
  <w:num w:numId="1" w16cid:durableId="641811590">
    <w:abstractNumId w:val="0"/>
    <w:lvlOverride w:ilvl="0">
      <w:startOverride w:val="1"/>
    </w:lvlOverride>
  </w:num>
  <w:num w:numId="2" w16cid:durableId="1210874690">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C2BBB"/>
    <w:rsid w:val="00021D40"/>
    <w:rsid w:val="00152881"/>
    <w:rsid w:val="001911DD"/>
    <w:rsid w:val="002B3B33"/>
    <w:rsid w:val="00322E34"/>
    <w:rsid w:val="003A7611"/>
    <w:rsid w:val="006C2BBB"/>
    <w:rsid w:val="00FA20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37B805"/>
  <w15:docId w15:val="{C83398E5-9970-4884-948F-8C0C033EAE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18"/>
        <w:szCs w:val="18"/>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qFormat/>
    <w:pPr>
      <w:outlineLvl w:val="0"/>
    </w:pPr>
    <w:rPr>
      <w:color w:val="2E74B5"/>
      <w:sz w:val="32"/>
      <w:szCs w:val="32"/>
    </w:rPr>
  </w:style>
  <w:style w:type="paragraph" w:styleId="Heading2">
    <w:name w:val="heading 2"/>
    <w:qFormat/>
    <w:pPr>
      <w:outlineLvl w:val="1"/>
    </w:pPr>
    <w:rPr>
      <w:color w:val="2E74B5"/>
      <w:sz w:val="26"/>
      <w:szCs w:val="26"/>
    </w:rPr>
  </w:style>
  <w:style w:type="paragraph" w:styleId="Heading3">
    <w:name w:val="heading 3"/>
    <w:qFormat/>
    <w:pPr>
      <w:outlineLvl w:val="2"/>
    </w:pPr>
    <w:rPr>
      <w:color w:val="1F4D78"/>
      <w:sz w:val="24"/>
      <w:szCs w:val="24"/>
    </w:rPr>
  </w:style>
  <w:style w:type="paragraph" w:styleId="Heading4">
    <w:name w:val="heading 4"/>
    <w:qFormat/>
    <w:pPr>
      <w:outlineLvl w:val="3"/>
    </w:pPr>
    <w:rPr>
      <w:i/>
      <w:iCs/>
      <w:color w:val="2E74B5"/>
    </w:rPr>
  </w:style>
  <w:style w:type="paragraph" w:styleId="Heading5">
    <w:name w:val="heading 5"/>
    <w:qFormat/>
    <w:pPr>
      <w:outlineLvl w:val="4"/>
    </w:pPr>
    <w:rPr>
      <w:color w:val="2E74B5"/>
    </w:rPr>
  </w:style>
  <w:style w:type="paragraph" w:styleId="Heading6">
    <w:name w:val="heading 6"/>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paragraph" w:styleId="Header">
    <w:name w:val="header"/>
    <w:basedOn w:val="Normal"/>
    <w:link w:val="HeaderChar"/>
    <w:uiPriority w:val="99"/>
    <w:unhideWhenUsed/>
    <w:rsid w:val="00152881"/>
    <w:pPr>
      <w:tabs>
        <w:tab w:val="center" w:pos="4513"/>
        <w:tab w:val="right" w:pos="9026"/>
      </w:tabs>
    </w:pPr>
  </w:style>
  <w:style w:type="character" w:customStyle="1" w:styleId="HeaderChar">
    <w:name w:val="Header Char"/>
    <w:basedOn w:val="DefaultParagraphFont"/>
    <w:link w:val="Header"/>
    <w:uiPriority w:val="99"/>
    <w:rsid w:val="00152881"/>
  </w:style>
  <w:style w:type="paragraph" w:styleId="Footer">
    <w:name w:val="footer"/>
    <w:basedOn w:val="Normal"/>
    <w:link w:val="FooterChar"/>
    <w:uiPriority w:val="99"/>
    <w:unhideWhenUsed/>
    <w:rsid w:val="00152881"/>
    <w:pPr>
      <w:tabs>
        <w:tab w:val="center" w:pos="4513"/>
        <w:tab w:val="right" w:pos="9026"/>
      </w:tabs>
    </w:pPr>
  </w:style>
  <w:style w:type="character" w:customStyle="1" w:styleId="FooterChar">
    <w:name w:val="Footer Char"/>
    <w:basedOn w:val="DefaultParagraphFont"/>
    <w:link w:val="Footer"/>
    <w:uiPriority w:val="99"/>
    <w:rsid w:val="0015288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moodle.uwtsd.ac.uk/user/view.php?id=67828&amp;course=11828"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4.png"/><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7</Pages>
  <Words>2035</Words>
  <Characters>12154</Characters>
  <Application>Microsoft Office Word</Application>
  <DocSecurity>0</DocSecurity>
  <Lines>328</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Prince Peter Ojeabulu Okhueidiata (2509560)</cp:lastModifiedBy>
  <cp:revision>4</cp:revision>
  <dcterms:created xsi:type="dcterms:W3CDTF">2026-03-22T13:08:00Z</dcterms:created>
  <dcterms:modified xsi:type="dcterms:W3CDTF">2026-03-23T09:38:00Z</dcterms:modified>
</cp:coreProperties>
</file>