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26057573"/>
        <w:docPartObj>
          <w:docPartGallery w:val="Cover Pages"/>
          <w:docPartUnique/>
        </w:docPartObj>
      </w:sdtPr>
      <w:sdtEndPr>
        <w:rPr>
          <w:rFonts w:eastAsiaTheme="minorHAnsi" w:cstheme="minorHAnsi"/>
          <w:color w:val="auto"/>
          <w:lang w:val="en-GB"/>
        </w:rPr>
      </w:sdtEndPr>
      <w:sdtContent>
        <w:p w14:paraId="138D2F6A" w14:textId="247EBF3B" w:rsidR="003275C0" w:rsidRDefault="003275C0">
          <w:pPr>
            <w:pStyle w:val="NoSpacing"/>
            <w:spacing w:before="1540" w:after="240"/>
            <w:jc w:val="center"/>
            <w:rPr>
              <w:color w:val="4472C4" w:themeColor="accent1"/>
            </w:rPr>
          </w:pPr>
          <w:r>
            <w:rPr>
              <w:noProof/>
              <w:color w:val="4472C4" w:themeColor="accent1"/>
            </w:rPr>
            <w:drawing>
              <wp:inline distT="0" distB="0" distL="0" distR="0" wp14:anchorId="1D3EFCDB" wp14:editId="14772BC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4CAD0DC187D46EA9F08649EE13B407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60C23C" w14:textId="2859EC43" w:rsidR="003275C0" w:rsidRDefault="005D14C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Legal process           Assignment 2</w:t>
              </w:r>
            </w:p>
          </w:sdtContent>
        </w:sdt>
        <w:sdt>
          <w:sdtPr>
            <w:rPr>
              <w:color w:val="4472C4" w:themeColor="accent1"/>
              <w:sz w:val="28"/>
              <w:szCs w:val="28"/>
            </w:rPr>
            <w:alias w:val="Subtitle"/>
            <w:tag w:val=""/>
            <w:id w:val="328029620"/>
            <w:placeholder>
              <w:docPart w:val="C4DE850820E94F59BE5384C9B96D0544"/>
            </w:placeholder>
            <w:dataBinding w:prefixMappings="xmlns:ns0='http://purl.org/dc/elements/1.1/' xmlns:ns1='http://schemas.openxmlformats.org/package/2006/metadata/core-properties' " w:xpath="/ns1:coreProperties[1]/ns0:subject[1]" w:storeItemID="{6C3C8BC8-F283-45AE-878A-BAB7291924A1}"/>
            <w:text/>
          </w:sdtPr>
          <w:sdtContent>
            <w:p w14:paraId="5D0851A2" w14:textId="492CDB26" w:rsidR="003275C0" w:rsidRDefault="005D14C4">
              <w:pPr>
                <w:pStyle w:val="NoSpacing"/>
                <w:jc w:val="center"/>
                <w:rPr>
                  <w:color w:val="4472C4" w:themeColor="accent1"/>
                  <w:sz w:val="28"/>
                  <w:szCs w:val="28"/>
                </w:rPr>
              </w:pPr>
              <w:r>
                <w:rPr>
                  <w:color w:val="4472C4" w:themeColor="accent1"/>
                  <w:sz w:val="28"/>
                  <w:szCs w:val="28"/>
                </w:rPr>
                <w:t>BML</w:t>
              </w:r>
              <w:r w:rsidR="00D97AE2">
                <w:rPr>
                  <w:color w:val="4472C4" w:themeColor="accent1"/>
                  <w:sz w:val="28"/>
                  <w:szCs w:val="28"/>
                </w:rPr>
                <w:t>W400</w:t>
              </w:r>
              <w:r w:rsidR="0075703F">
                <w:rPr>
                  <w:color w:val="4472C4" w:themeColor="accent1"/>
                  <w:sz w:val="28"/>
                  <w:szCs w:val="28"/>
                </w:rPr>
                <w:t>5</w:t>
              </w:r>
              <w:r w:rsidR="00D97AE2">
                <w:rPr>
                  <w:color w:val="4472C4" w:themeColor="accent1"/>
                  <w:sz w:val="28"/>
                  <w:szCs w:val="28"/>
                </w:rPr>
                <w:t>-Jake Weeks</w:t>
              </w:r>
            </w:p>
          </w:sdtContent>
        </w:sdt>
        <w:p w14:paraId="2330ABE4" w14:textId="4FFB01BE" w:rsidR="003275C0" w:rsidRDefault="003275C0">
          <w:pPr>
            <w:pStyle w:val="NoSpacing"/>
            <w:spacing w:before="480"/>
            <w:jc w:val="center"/>
            <w:rPr>
              <w:color w:val="4472C4" w:themeColor="accent1"/>
            </w:rPr>
          </w:pPr>
          <w:r>
            <w:rPr>
              <w:noProof/>
              <w:color w:val="4472C4" w:themeColor="accent1"/>
            </w:rPr>
            <w:drawing>
              <wp:inline distT="0" distB="0" distL="0" distR="0" wp14:anchorId="51A6712A" wp14:editId="248CDA3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34935F" w14:textId="6328C41C" w:rsidR="003275C0" w:rsidRDefault="003275C0">
          <w:pPr>
            <w:rPr>
              <w:rFonts w:cstheme="minorHAnsi"/>
            </w:rPr>
          </w:pPr>
          <w:r>
            <w:rPr>
              <w:rFonts w:cstheme="minorHAnsi"/>
            </w:rPr>
            <w:br w:type="page"/>
          </w:r>
        </w:p>
      </w:sdtContent>
    </w:sdt>
    <w:p w14:paraId="03F55137" w14:textId="5E667F2A" w:rsidR="000E4E10" w:rsidRPr="00497B69" w:rsidRDefault="000E4E10" w:rsidP="004E5929">
      <w:pPr>
        <w:spacing w:line="480" w:lineRule="auto"/>
        <w:rPr>
          <w:rFonts w:cstheme="minorHAnsi"/>
          <w:iCs/>
          <w:color w:val="2A2A2A"/>
          <w:bdr w:val="none" w:sz="0" w:space="0" w:color="auto" w:frame="1"/>
          <w:shd w:val="clear" w:color="auto" w:fill="FFFFFF"/>
        </w:rPr>
      </w:pPr>
      <w:r w:rsidRPr="00D43183">
        <w:rPr>
          <w:rFonts w:cstheme="minorHAnsi"/>
        </w:rPr>
        <w:lastRenderedPageBreak/>
        <w:t>Throughout this essay</w:t>
      </w:r>
      <w:r w:rsidR="00D800D6">
        <w:rPr>
          <w:rFonts w:cstheme="minorHAnsi"/>
        </w:rPr>
        <w:t>,</w:t>
      </w:r>
      <w:r w:rsidRPr="00D43183">
        <w:rPr>
          <w:rFonts w:cstheme="minorHAnsi"/>
        </w:rPr>
        <w:t xml:space="preserve"> it will be discussed if statutory interpretation diminishes the status of legislation as the primary source of law within the United Kingdom. </w:t>
      </w:r>
      <w:r w:rsidRPr="00D43183">
        <w:rPr>
          <w:rFonts w:cstheme="minorHAnsi"/>
          <w:shd w:val="clear" w:color="auto" w:fill="FFFFFF"/>
        </w:rPr>
        <w:t xml:space="preserve">Statutory interpretation assists in concluding </w:t>
      </w:r>
      <w:r w:rsidR="00D800D6">
        <w:rPr>
          <w:rFonts w:cstheme="minorHAnsi"/>
          <w:shd w:val="clear" w:color="auto" w:fill="FFFFFF"/>
        </w:rPr>
        <w:t xml:space="preserve">towards a </w:t>
      </w:r>
      <w:r w:rsidRPr="00D43183">
        <w:rPr>
          <w:rFonts w:cstheme="minorHAnsi"/>
          <w:shd w:val="clear" w:color="auto" w:fill="FFFFFF"/>
        </w:rPr>
        <w:t xml:space="preserve">definite meaning of a statute, with it only being rarely done. It helps establish </w:t>
      </w:r>
      <w:r w:rsidR="00D800D6">
        <w:rPr>
          <w:rFonts w:cstheme="minorHAnsi"/>
          <w:shd w:val="clear" w:color="auto" w:fill="FFFFFF"/>
        </w:rPr>
        <w:t>whether</w:t>
      </w:r>
      <w:r w:rsidRPr="00D43183">
        <w:rPr>
          <w:rFonts w:cstheme="minorHAnsi"/>
          <w:shd w:val="clear" w:color="auto" w:fill="FFFFFF"/>
        </w:rPr>
        <w:t xml:space="preserve"> a given statute has bearing on a certain case</w:t>
      </w:r>
      <w:r w:rsidR="00F5219E" w:rsidRPr="00D43183">
        <w:rPr>
          <w:rFonts w:cstheme="minorHAnsi"/>
          <w:shd w:val="clear" w:color="auto" w:fill="FFFFFF"/>
        </w:rPr>
        <w:t xml:space="preserve"> </w:t>
      </w:r>
      <w:r w:rsidR="00F5219E" w:rsidRPr="00D43183">
        <w:rPr>
          <w:rFonts w:cstheme="minorHAnsi"/>
          <w:color w:val="18110A"/>
          <w:shd w:val="clear" w:color="auto" w:fill="FFFFFF"/>
        </w:rPr>
        <w:t>(</w:t>
      </w:r>
      <w:proofErr w:type="spellStart"/>
      <w:proofErr w:type="gramStart"/>
      <w:r w:rsidR="00F5219E" w:rsidRPr="00D43183">
        <w:rPr>
          <w:rFonts w:cstheme="minorHAnsi"/>
          <w:color w:val="18110A"/>
          <w:shd w:val="clear" w:color="auto" w:fill="FFFFFF"/>
        </w:rPr>
        <w:t>M.Smits</w:t>
      </w:r>
      <w:proofErr w:type="spellEnd"/>
      <w:proofErr w:type="gramEnd"/>
      <w:r w:rsidR="00F5219E" w:rsidRPr="00D43183">
        <w:rPr>
          <w:rFonts w:cstheme="minorHAnsi"/>
          <w:color w:val="18110A"/>
          <w:shd w:val="clear" w:color="auto" w:fill="FFFFFF"/>
        </w:rPr>
        <w:t>, 2012, p.826-838)</w:t>
      </w:r>
      <w:r w:rsidRPr="00D43183">
        <w:rPr>
          <w:rFonts w:cstheme="minorHAnsi"/>
          <w:shd w:val="clear" w:color="auto" w:fill="FFFFFF"/>
        </w:rPr>
        <w:t xml:space="preserve">. English literature is sometimes proven to be complex as several words in legislation </w:t>
      </w:r>
      <w:r w:rsidR="00497B69">
        <w:rPr>
          <w:rFonts w:cstheme="minorHAnsi"/>
          <w:shd w:val="clear" w:color="auto" w:fill="FFFFFF"/>
        </w:rPr>
        <w:t>have</w:t>
      </w:r>
      <w:r w:rsidRPr="00D43183">
        <w:rPr>
          <w:rFonts w:cstheme="minorHAnsi"/>
          <w:shd w:val="clear" w:color="auto" w:fill="FFFFFF"/>
        </w:rPr>
        <w:t xml:space="preserve"> different meanings, statutory interpretation can assist in justifying a suitable conclusion in court to avoid an outlandish outcome. Statutory interpretation over time has grown closer to a common law practice </w:t>
      </w:r>
      <w:r w:rsidR="00953EB4" w:rsidRPr="00D43183">
        <w:rPr>
          <w:rStyle w:val="Emphasis"/>
          <w:rFonts w:cstheme="minorHAnsi"/>
          <w:i w:val="0"/>
          <w:iCs w:val="0"/>
          <w:color w:val="2A2A2A"/>
          <w:bdr w:val="none" w:sz="0" w:space="0" w:color="auto" w:frame="1"/>
          <w:shd w:val="clear" w:color="auto" w:fill="FFFFFF"/>
        </w:rPr>
        <w:t>(Wilson et al. 2020, p</w:t>
      </w:r>
      <w:r w:rsidR="00953EB4" w:rsidRPr="00497B69">
        <w:rPr>
          <w:rStyle w:val="Emphasis"/>
          <w:rFonts w:cstheme="minorHAnsi"/>
          <w:i w:val="0"/>
          <w:iCs w:val="0"/>
          <w:bdr w:val="none" w:sz="0" w:space="0" w:color="auto" w:frame="1"/>
          <w:shd w:val="clear" w:color="auto" w:fill="FFFFFF"/>
        </w:rPr>
        <w:t>.120)</w:t>
      </w:r>
      <w:r w:rsidR="00953EB4" w:rsidRPr="00497B69">
        <w:rPr>
          <w:rStyle w:val="Emphasis"/>
          <w:rFonts w:cstheme="minorHAnsi"/>
          <w:i w:val="0"/>
          <w:bdr w:val="none" w:sz="0" w:space="0" w:color="auto" w:frame="1"/>
          <w:shd w:val="clear" w:color="auto" w:fill="FFFFFF"/>
        </w:rPr>
        <w:t xml:space="preserve">. </w:t>
      </w:r>
      <w:r w:rsidRPr="00D43183">
        <w:rPr>
          <w:rFonts w:cstheme="minorHAnsi"/>
          <w:shd w:val="clear" w:color="auto" w:fill="FFFFFF"/>
        </w:rPr>
        <w:t xml:space="preserve">Legislation is the predominant set of rules that are followed within the United Kingdom. </w:t>
      </w:r>
      <w:r w:rsidRPr="00D43183">
        <w:rPr>
          <w:rFonts w:cstheme="minorHAnsi"/>
        </w:rPr>
        <w:t>“</w:t>
      </w:r>
      <w:r w:rsidRPr="00D43183">
        <w:rPr>
          <w:rFonts w:cstheme="minorHAnsi"/>
          <w:shd w:val="clear" w:color="auto" w:fill="FFFFFF"/>
        </w:rPr>
        <w:t xml:space="preserve">Legislation is a law or a set of </w:t>
      </w:r>
      <w:r w:rsidRPr="00D43183">
        <w:rPr>
          <w:rFonts w:cstheme="minorHAnsi"/>
          <w:color w:val="000000"/>
          <w:shd w:val="clear" w:color="auto" w:fill="FFFFFF"/>
        </w:rPr>
        <w:t>laws that have been passed by Parliament. The word is also used to describe the act of making a new law.” (UK Parliament, 2022). Courts are not able to revoke any primary legislation that parliament has passed (Hogarth, 20</w:t>
      </w:r>
      <w:r w:rsidR="00E23041" w:rsidRPr="00D43183">
        <w:rPr>
          <w:rFonts w:cstheme="minorHAnsi"/>
          <w:color w:val="000000"/>
          <w:shd w:val="clear" w:color="auto" w:fill="FFFFFF"/>
        </w:rPr>
        <w:t>19</w:t>
      </w:r>
      <w:r w:rsidRPr="00D43183">
        <w:rPr>
          <w:rFonts w:cstheme="minorHAnsi"/>
          <w:color w:val="000000"/>
          <w:shd w:val="clear" w:color="auto" w:fill="FFFFFF"/>
        </w:rPr>
        <w:t>). Unless excluded by a statute, judicial review can challenge secondary legislation. This shows how prestigious the legislation of the United Kingdom is and where the controversy of statutory interpretation comes from, as judges can alter and adjust words within statutes.</w:t>
      </w:r>
      <w:r w:rsidRPr="00D43183">
        <w:rPr>
          <w:rFonts w:cstheme="minorHAnsi"/>
          <w:color w:val="FF0000"/>
          <w:shd w:val="clear" w:color="auto" w:fill="FFFFFF"/>
        </w:rPr>
        <w:t xml:space="preserve"> </w:t>
      </w:r>
    </w:p>
    <w:p w14:paraId="3273FC80" w14:textId="771F5511" w:rsidR="000E4E10" w:rsidRPr="00D43183" w:rsidRDefault="000E4E10" w:rsidP="004E5929">
      <w:pPr>
        <w:spacing w:line="480" w:lineRule="auto"/>
        <w:rPr>
          <w:rFonts w:cstheme="minorHAnsi"/>
          <w:iCs/>
          <w:color w:val="2A2A2A"/>
          <w:bdr w:val="none" w:sz="0" w:space="0" w:color="auto" w:frame="1"/>
          <w:shd w:val="clear" w:color="auto" w:fill="FFFFFF"/>
        </w:rPr>
      </w:pPr>
      <w:r w:rsidRPr="00D43183">
        <w:rPr>
          <w:rFonts w:cstheme="minorHAnsi"/>
        </w:rPr>
        <w:t xml:space="preserve">Statutory interpretation is introduced when doubt and uncertainty are issued towards the way the law applies to certain situations, which leads to a new solution to be found with statutory interpretation </w:t>
      </w:r>
      <w:r w:rsidR="00953EB4" w:rsidRPr="00D43183">
        <w:rPr>
          <w:rStyle w:val="Emphasis"/>
          <w:rFonts w:cstheme="minorHAnsi"/>
          <w:i w:val="0"/>
          <w:iCs w:val="0"/>
          <w:color w:val="2A2A2A"/>
          <w:bdr w:val="none" w:sz="0" w:space="0" w:color="auto" w:frame="1"/>
          <w:shd w:val="clear" w:color="auto" w:fill="FFFFFF"/>
        </w:rPr>
        <w:t>(Wilson et al. 2020, p.120)</w:t>
      </w:r>
      <w:r w:rsidR="00953EB4" w:rsidRPr="00D43183">
        <w:rPr>
          <w:rStyle w:val="Emphasis"/>
          <w:rFonts w:cstheme="minorHAnsi"/>
          <w:i w:val="0"/>
          <w:iCs w:val="0"/>
          <w:color w:val="2A2A2A"/>
          <w:bdr w:val="none" w:sz="0" w:space="0" w:color="auto" w:frame="1"/>
          <w:shd w:val="clear" w:color="auto" w:fill="FFFFFF"/>
        </w:rPr>
        <w:t>.</w:t>
      </w:r>
      <w:r w:rsidR="00953EB4" w:rsidRPr="00D43183">
        <w:rPr>
          <w:rStyle w:val="Emphasis"/>
          <w:rFonts w:cstheme="minorHAnsi"/>
          <w:i w:val="0"/>
          <w:color w:val="2A2A2A"/>
          <w:bdr w:val="none" w:sz="0" w:space="0" w:color="auto" w:frame="1"/>
          <w:shd w:val="clear" w:color="auto" w:fill="FFFFFF"/>
        </w:rPr>
        <w:t xml:space="preserve"> </w:t>
      </w:r>
      <w:r w:rsidRPr="00D43183">
        <w:rPr>
          <w:rFonts w:cstheme="minorHAnsi"/>
        </w:rPr>
        <w:t xml:space="preserve">Statutory interpretation is necessary where statutes are not specific to a certain case and the meaning of the statute is uncertain. Some examples can be that legislative loopholes can be created by the defendants’ lawyer, a change in the use of language in the present day or that some of the included words within the statute have various meanings. </w:t>
      </w:r>
      <w:r w:rsidR="00AE09B2" w:rsidRPr="00D43183">
        <w:rPr>
          <w:rFonts w:cstheme="minorHAnsi"/>
        </w:rPr>
        <w:t xml:space="preserve">With the </w:t>
      </w:r>
      <w:r w:rsidR="00BD6068" w:rsidRPr="00D43183">
        <w:rPr>
          <w:rFonts w:cstheme="minorHAnsi"/>
        </w:rPr>
        <w:t xml:space="preserve">trouble </w:t>
      </w:r>
      <w:r w:rsidR="00242990" w:rsidRPr="00D43183">
        <w:rPr>
          <w:rFonts w:cstheme="minorHAnsi"/>
        </w:rPr>
        <w:t xml:space="preserve">and confusion </w:t>
      </w:r>
      <w:r w:rsidR="00BD6068" w:rsidRPr="00D43183">
        <w:rPr>
          <w:rFonts w:cstheme="minorHAnsi"/>
        </w:rPr>
        <w:t>of many statutes</w:t>
      </w:r>
      <w:r w:rsidR="00242990" w:rsidRPr="00D43183">
        <w:rPr>
          <w:rFonts w:cstheme="minorHAnsi"/>
        </w:rPr>
        <w:t xml:space="preserve"> not entirely having a </w:t>
      </w:r>
      <w:r w:rsidR="007442D3" w:rsidRPr="00D43183">
        <w:rPr>
          <w:rFonts w:cstheme="minorHAnsi"/>
        </w:rPr>
        <w:t xml:space="preserve">definitive </w:t>
      </w:r>
      <w:r w:rsidR="00225EDA" w:rsidRPr="00D43183">
        <w:rPr>
          <w:rFonts w:cstheme="minorHAnsi"/>
        </w:rPr>
        <w:t xml:space="preserve">meaning, statutory interpretation helps aid </w:t>
      </w:r>
      <w:r w:rsidR="009276B7" w:rsidRPr="00D43183">
        <w:rPr>
          <w:rFonts w:cstheme="minorHAnsi"/>
        </w:rPr>
        <w:t xml:space="preserve">this </w:t>
      </w:r>
      <w:r w:rsidR="006E5C0C" w:rsidRPr="00D43183">
        <w:rPr>
          <w:rFonts w:cstheme="minorHAnsi"/>
        </w:rPr>
        <w:t>issue</w:t>
      </w:r>
      <w:r w:rsidR="00297172" w:rsidRPr="00D43183">
        <w:rPr>
          <w:rFonts w:cstheme="minorHAnsi"/>
        </w:rPr>
        <w:t xml:space="preserve"> </w:t>
      </w:r>
      <w:r w:rsidR="0092770B" w:rsidRPr="00D43183">
        <w:rPr>
          <w:rFonts w:cstheme="minorHAnsi"/>
          <w:shd w:val="clear" w:color="auto" w:fill="FFFFFF"/>
        </w:rPr>
        <w:t xml:space="preserve">(Rt Hon Lord Justice Sales, 2017, p.125-132). </w:t>
      </w:r>
      <w:r w:rsidRPr="00D43183">
        <w:rPr>
          <w:rFonts w:cstheme="minorHAnsi"/>
        </w:rPr>
        <w:t>This shows how statutory interpretation can work alongside UK legislation, with it</w:t>
      </w:r>
      <w:r w:rsidR="00C855D2" w:rsidRPr="00D43183">
        <w:rPr>
          <w:rFonts w:cstheme="minorHAnsi"/>
        </w:rPr>
        <w:t xml:space="preserve"> b</w:t>
      </w:r>
      <w:r w:rsidRPr="00D43183">
        <w:rPr>
          <w:rFonts w:cstheme="minorHAnsi"/>
        </w:rPr>
        <w:t>eing able to stop numerous flaws and gaps in the current laws</w:t>
      </w:r>
      <w:r w:rsidR="005A76D9" w:rsidRPr="00D43183">
        <w:rPr>
          <w:rFonts w:cstheme="minorHAnsi"/>
        </w:rPr>
        <w:t xml:space="preserve">, with the confusion of many </w:t>
      </w:r>
      <w:proofErr w:type="gramStart"/>
      <w:r w:rsidR="005A76D9" w:rsidRPr="00D43183">
        <w:rPr>
          <w:rFonts w:cstheme="minorHAnsi"/>
        </w:rPr>
        <w:t>statutes</w:t>
      </w:r>
      <w:proofErr w:type="gramEnd"/>
      <w:r w:rsidR="005A76D9" w:rsidRPr="00D43183">
        <w:rPr>
          <w:rFonts w:cstheme="minorHAnsi"/>
        </w:rPr>
        <w:t xml:space="preserve"> literature</w:t>
      </w:r>
      <w:r w:rsidRPr="00D43183">
        <w:rPr>
          <w:rFonts w:cstheme="minorHAnsi"/>
        </w:rPr>
        <w:t xml:space="preserve">. Statutory interpretation can be the difference between an individual being wrongly accused or charged with the correct sentence, allowing for the legal system to be far more functional than if just the legislation set out by </w:t>
      </w:r>
      <w:r w:rsidRPr="00D43183">
        <w:rPr>
          <w:rFonts w:cstheme="minorHAnsi"/>
        </w:rPr>
        <w:lastRenderedPageBreak/>
        <w:t>parliament was final.</w:t>
      </w:r>
      <w:r w:rsidR="005A3AF4" w:rsidRPr="00D43183">
        <w:rPr>
          <w:rFonts w:cstheme="minorHAnsi"/>
        </w:rPr>
        <w:t xml:space="preserve"> </w:t>
      </w:r>
      <w:r w:rsidR="0000570E" w:rsidRPr="00D43183">
        <w:rPr>
          <w:rFonts w:cstheme="minorHAnsi"/>
        </w:rPr>
        <w:t xml:space="preserve">Statutory </w:t>
      </w:r>
      <w:r w:rsidR="000800F9" w:rsidRPr="00D43183">
        <w:rPr>
          <w:rFonts w:cstheme="minorHAnsi"/>
        </w:rPr>
        <w:t xml:space="preserve">interpretation has proven to be of great use rather than a </w:t>
      </w:r>
      <w:r w:rsidR="00624240" w:rsidRPr="00D43183">
        <w:rPr>
          <w:rFonts w:cstheme="minorHAnsi"/>
        </w:rPr>
        <w:t>hindrance</w:t>
      </w:r>
      <w:r w:rsidR="000800F9" w:rsidRPr="00D43183">
        <w:rPr>
          <w:rFonts w:cstheme="minorHAnsi"/>
        </w:rPr>
        <w:t xml:space="preserve"> to the </w:t>
      </w:r>
      <w:r w:rsidR="00624240" w:rsidRPr="00D43183">
        <w:rPr>
          <w:rFonts w:cstheme="minorHAnsi"/>
        </w:rPr>
        <w:t>legitimacy of the United Kingdom’s legislation, as shown in</w:t>
      </w:r>
      <w:r w:rsidR="00AB6BB4" w:rsidRPr="00D43183">
        <w:rPr>
          <w:rFonts w:cstheme="minorHAnsi"/>
        </w:rPr>
        <w:t xml:space="preserve"> the case of </w:t>
      </w:r>
      <w:proofErr w:type="spellStart"/>
      <w:r w:rsidR="00AB6BB4" w:rsidRPr="00D43183">
        <w:rPr>
          <w:rFonts w:cstheme="minorHAnsi"/>
        </w:rPr>
        <w:t>Clotman</w:t>
      </w:r>
      <w:proofErr w:type="spellEnd"/>
      <w:r w:rsidR="00AB6BB4" w:rsidRPr="00D43183">
        <w:rPr>
          <w:rFonts w:cstheme="minorHAnsi"/>
        </w:rPr>
        <w:t xml:space="preserve"> v Bibby (</w:t>
      </w:r>
      <w:r w:rsidR="00F854CF" w:rsidRPr="00D43183">
        <w:rPr>
          <w:rFonts w:cstheme="minorHAnsi"/>
        </w:rPr>
        <w:t>1988)</w:t>
      </w:r>
      <w:r w:rsidR="006B7A98" w:rsidRPr="00D43183">
        <w:rPr>
          <w:rFonts w:cstheme="minorHAnsi"/>
        </w:rPr>
        <w:t xml:space="preserve">. </w:t>
      </w:r>
      <w:r w:rsidRPr="00D43183">
        <w:rPr>
          <w:rFonts w:cstheme="minorHAnsi"/>
        </w:rPr>
        <w:t xml:space="preserve">There are rules that have been created that allow for a basic but important outline of statutory interpretation. “The principles which have thus evolved are sometimes called rules, but it would be more accurate to describe them as different approaches to interpretation” </w:t>
      </w:r>
      <w:r w:rsidR="00A57C45" w:rsidRPr="00D43183">
        <w:rPr>
          <w:rFonts w:cstheme="minorHAnsi"/>
        </w:rPr>
        <w:t>(The Law Commission, 1969, p 77-78)</w:t>
      </w:r>
      <w:r w:rsidR="00A57C45" w:rsidRPr="00D43183">
        <w:rPr>
          <w:rFonts w:cstheme="minorHAnsi"/>
        </w:rPr>
        <w:t xml:space="preserve">. </w:t>
      </w:r>
      <w:r w:rsidRPr="00D43183">
        <w:rPr>
          <w:rFonts w:cstheme="minorHAnsi"/>
        </w:rPr>
        <w:t xml:space="preserve">The rules of English law can be defined as the Mischief Rule, the Literal Rule, and the Golden rule. </w:t>
      </w:r>
    </w:p>
    <w:p w14:paraId="4D2235DB" w14:textId="137ADAD3" w:rsidR="000F7915" w:rsidRPr="00D43183" w:rsidRDefault="000E4E10" w:rsidP="004E5929">
      <w:pPr>
        <w:spacing w:line="480" w:lineRule="auto"/>
        <w:rPr>
          <w:rFonts w:cstheme="minorHAnsi"/>
        </w:rPr>
      </w:pPr>
      <w:r w:rsidRPr="00D43183">
        <w:rPr>
          <w:rFonts w:cstheme="minorHAnsi"/>
        </w:rPr>
        <w:t xml:space="preserve">Furthermore, the literal rule allows for all words in a statute to have their original meaning, with the intent that it will be more convenient to use the word’s natural meaning to carry out the </w:t>
      </w:r>
      <w:r w:rsidR="007B2BE6" w:rsidRPr="00D43183">
        <w:rPr>
          <w:rFonts w:cstheme="minorHAnsi"/>
        </w:rPr>
        <w:t>Parliament’s</w:t>
      </w:r>
      <w:r w:rsidRPr="00D43183">
        <w:rPr>
          <w:rFonts w:cstheme="minorHAnsi"/>
        </w:rPr>
        <w:t xml:space="preserve"> will. This rule allows for the courts to have a designated role in the decision-making process of a case, allows for no bias of the judges to interfere and allows for the power of the parliament to be respected</w:t>
      </w:r>
      <w:r w:rsidR="00FB67CF" w:rsidRPr="00D43183">
        <w:rPr>
          <w:rFonts w:cstheme="minorHAnsi"/>
        </w:rPr>
        <w:t xml:space="preserve"> </w:t>
      </w:r>
      <w:r w:rsidR="00FB67CF" w:rsidRPr="00D43183">
        <w:rPr>
          <w:rFonts w:cstheme="minorHAnsi"/>
        </w:rPr>
        <w:t>(</w:t>
      </w:r>
      <w:proofErr w:type="spellStart"/>
      <w:r w:rsidR="00FB67CF" w:rsidRPr="00D43183">
        <w:rPr>
          <w:rFonts w:cstheme="minorHAnsi"/>
        </w:rPr>
        <w:t>Allbon</w:t>
      </w:r>
      <w:proofErr w:type="spellEnd"/>
      <w:r w:rsidR="00FB67CF" w:rsidRPr="00D43183">
        <w:rPr>
          <w:rFonts w:cstheme="minorHAnsi"/>
        </w:rPr>
        <w:t xml:space="preserve"> and </w:t>
      </w:r>
      <w:proofErr w:type="spellStart"/>
      <w:r w:rsidR="00FB67CF" w:rsidRPr="00D43183">
        <w:rPr>
          <w:rFonts w:cstheme="minorHAnsi"/>
        </w:rPr>
        <w:t>Dua</w:t>
      </w:r>
      <w:proofErr w:type="spellEnd"/>
      <w:r w:rsidR="00FB67CF" w:rsidRPr="00D43183">
        <w:rPr>
          <w:rFonts w:cstheme="minorHAnsi"/>
        </w:rPr>
        <w:t>, 2018, p.69-73)</w:t>
      </w:r>
      <w:r w:rsidRPr="00D43183">
        <w:rPr>
          <w:rFonts w:cstheme="minorHAnsi"/>
        </w:rPr>
        <w:t xml:space="preserve">. The court will always begin with the literal rule. However, if it is ineffective in making a clear judgment on the case, the golden rule would then be introduced. An example of the literal rule being used was in the Fisher v Bell case (1960), where the individual was able to avoid conviction due to </w:t>
      </w:r>
      <w:r w:rsidR="004463E3">
        <w:rPr>
          <w:rFonts w:cstheme="minorHAnsi"/>
        </w:rPr>
        <w:t>the</w:t>
      </w:r>
      <w:r w:rsidRPr="00D43183">
        <w:rPr>
          <w:rFonts w:cstheme="minorHAnsi"/>
        </w:rPr>
        <w:t xml:space="preserve"> literal meaning of the </w:t>
      </w:r>
      <w:r w:rsidR="004E598E" w:rsidRPr="00D43183">
        <w:rPr>
          <w:rFonts w:cstheme="minorHAnsi"/>
        </w:rPr>
        <w:t>statute</w:t>
      </w:r>
      <w:r w:rsidRPr="00D43183">
        <w:rPr>
          <w:rFonts w:cstheme="minorHAnsi"/>
        </w:rPr>
        <w:t xml:space="preserve"> used. </w:t>
      </w:r>
      <w:r w:rsidR="000F7915" w:rsidRPr="00D43183">
        <w:rPr>
          <w:rFonts w:cstheme="minorHAnsi"/>
        </w:rPr>
        <w:t xml:space="preserve">If </w:t>
      </w:r>
      <w:r w:rsidR="004E598E" w:rsidRPr="00D43183">
        <w:rPr>
          <w:rFonts w:cstheme="minorHAnsi"/>
        </w:rPr>
        <w:t>the golden rule approach was taken, then the outcome may have been very different.</w:t>
      </w:r>
    </w:p>
    <w:p w14:paraId="7640BF59" w14:textId="4EA68573" w:rsidR="000E4E10" w:rsidRPr="00D43183" w:rsidRDefault="000E4E10" w:rsidP="004E5929">
      <w:pPr>
        <w:spacing w:line="480" w:lineRule="auto"/>
        <w:rPr>
          <w:rFonts w:cstheme="minorHAnsi"/>
        </w:rPr>
      </w:pPr>
      <w:r w:rsidRPr="00D43183">
        <w:rPr>
          <w:rFonts w:cstheme="minorHAnsi"/>
        </w:rPr>
        <w:t xml:space="preserve">The golden rule is </w:t>
      </w:r>
      <w:r w:rsidR="000A3DC8" w:rsidRPr="00D43183">
        <w:rPr>
          <w:rFonts w:cstheme="minorHAnsi"/>
        </w:rPr>
        <w:t xml:space="preserve">for </w:t>
      </w:r>
      <w:r w:rsidRPr="00D43183">
        <w:rPr>
          <w:rFonts w:cstheme="minorHAnsi"/>
        </w:rPr>
        <w:t xml:space="preserve">an instance where the literal rule concludes to an unusual result that the Parliament did not </w:t>
      </w:r>
      <w:r w:rsidR="000A3DC8" w:rsidRPr="00D43183">
        <w:rPr>
          <w:rFonts w:cstheme="minorHAnsi"/>
        </w:rPr>
        <w:t>intend</w:t>
      </w:r>
      <w:r w:rsidRPr="00D43183">
        <w:rPr>
          <w:rFonts w:cstheme="minorHAnsi"/>
        </w:rPr>
        <w:t xml:space="preserve"> for. This rule was first applied by Lord Wensleydale in the case of </w:t>
      </w:r>
      <w:proofErr w:type="gramStart"/>
      <w:r w:rsidRPr="00D43183">
        <w:rPr>
          <w:rFonts w:cstheme="minorHAnsi"/>
        </w:rPr>
        <w:t>Grey</w:t>
      </w:r>
      <w:proofErr w:type="gramEnd"/>
      <w:r w:rsidRPr="00D43183">
        <w:rPr>
          <w:rFonts w:cstheme="minorHAnsi"/>
        </w:rPr>
        <w:t xml:space="preserve"> v Pearson (1857). It is used when</w:t>
      </w:r>
      <w:r w:rsidR="000A3DC8" w:rsidRPr="00D43183">
        <w:rPr>
          <w:rFonts w:cstheme="minorHAnsi"/>
        </w:rPr>
        <w:t xml:space="preserve"> “</w:t>
      </w:r>
      <w:r w:rsidRPr="00D43183">
        <w:rPr>
          <w:rFonts w:cstheme="minorHAnsi"/>
        </w:rPr>
        <w:t>t</w:t>
      </w:r>
      <w:r w:rsidRPr="00D43183">
        <w:rPr>
          <w:rFonts w:cstheme="minorHAnsi"/>
          <w:shd w:val="clear" w:color="auto" w:fill="FFFFFF"/>
        </w:rPr>
        <w:t>he literal interpretation of words would lead to a manifest absurdity”</w:t>
      </w:r>
      <w:r w:rsidR="009E29E3" w:rsidRPr="00D43183">
        <w:rPr>
          <w:rFonts w:cstheme="minorHAnsi"/>
        </w:rPr>
        <w:t xml:space="preserve"> </w:t>
      </w:r>
      <w:r w:rsidR="009E29E3" w:rsidRPr="00D43183">
        <w:rPr>
          <w:rFonts w:cstheme="minorHAnsi"/>
        </w:rPr>
        <w:t>(Lowe and Potter, 2018, p.95)</w:t>
      </w:r>
      <w:r w:rsidRPr="00D43183">
        <w:rPr>
          <w:rFonts w:cstheme="minorHAnsi"/>
          <w:color w:val="000000"/>
          <w:shd w:val="clear" w:color="auto" w:fill="FFFFFF"/>
        </w:rPr>
        <w:t xml:space="preserve">. </w:t>
      </w:r>
      <w:r w:rsidRPr="00D43183">
        <w:rPr>
          <w:rFonts w:cstheme="minorHAnsi"/>
        </w:rPr>
        <w:t>A notable feature of the golden rule is that it gives the specific authority to the interpreter to handle the boundaries on the appropriate and adequate outcomes of enforcing the legislation to a specific set of</w:t>
      </w:r>
      <w:r w:rsidR="00267E67">
        <w:rPr>
          <w:rFonts w:cstheme="minorHAnsi"/>
        </w:rPr>
        <w:t xml:space="preserve"> rules</w:t>
      </w:r>
      <w:r w:rsidR="009E29E3" w:rsidRPr="00D43183">
        <w:rPr>
          <w:rFonts w:cstheme="minorHAnsi"/>
        </w:rPr>
        <w:t xml:space="preserve"> </w:t>
      </w:r>
      <w:r w:rsidR="009E29E3" w:rsidRPr="00D43183">
        <w:rPr>
          <w:rFonts w:cstheme="minorHAnsi"/>
        </w:rPr>
        <w:t>(Feldman, 2014, p. 473-497)</w:t>
      </w:r>
      <w:r w:rsidRPr="00D43183">
        <w:rPr>
          <w:rFonts w:cstheme="minorHAnsi"/>
        </w:rPr>
        <w:t xml:space="preserve">. </w:t>
      </w:r>
      <w:r w:rsidRPr="00D43183">
        <w:rPr>
          <w:rFonts w:cstheme="minorHAnsi"/>
          <w:color w:val="000000"/>
          <w:shd w:val="clear" w:color="auto" w:fill="FFFFFF"/>
        </w:rPr>
        <w:t xml:space="preserve">An example of where the golden rule was used was in the case of Re Sigsworth (1935), where a son had killed their mother that had not made a will. The son </w:t>
      </w:r>
      <w:r w:rsidR="004D67A4" w:rsidRPr="00D43183">
        <w:rPr>
          <w:rFonts w:cstheme="minorHAnsi"/>
          <w:color w:val="000000"/>
          <w:shd w:val="clear" w:color="auto" w:fill="FFFFFF"/>
        </w:rPr>
        <w:t>then</w:t>
      </w:r>
      <w:r w:rsidRPr="00D43183">
        <w:rPr>
          <w:rFonts w:cstheme="minorHAnsi"/>
          <w:color w:val="000000"/>
          <w:shd w:val="clear" w:color="auto" w:fill="FFFFFF"/>
        </w:rPr>
        <w:t xml:space="preserve"> made the attempt to inherit her belongings</w:t>
      </w:r>
      <w:r w:rsidR="004463E3">
        <w:rPr>
          <w:rFonts w:cstheme="minorHAnsi"/>
          <w:color w:val="000000"/>
          <w:shd w:val="clear" w:color="auto" w:fill="FFFFFF"/>
        </w:rPr>
        <w:t xml:space="preserve">. </w:t>
      </w:r>
      <w:r w:rsidR="004463E3" w:rsidRPr="00D43183">
        <w:rPr>
          <w:rFonts w:cstheme="minorHAnsi"/>
          <w:color w:val="000000"/>
          <w:shd w:val="clear" w:color="auto" w:fill="FFFFFF"/>
        </w:rPr>
        <w:t>H</w:t>
      </w:r>
      <w:r w:rsidRPr="00D43183">
        <w:rPr>
          <w:rFonts w:cstheme="minorHAnsi"/>
          <w:color w:val="000000"/>
          <w:shd w:val="clear" w:color="auto" w:fill="FFFFFF"/>
        </w:rPr>
        <w:t>owever</w:t>
      </w:r>
      <w:r w:rsidR="004463E3">
        <w:rPr>
          <w:rFonts w:cstheme="minorHAnsi"/>
          <w:color w:val="000000"/>
          <w:shd w:val="clear" w:color="auto" w:fill="FFFFFF"/>
        </w:rPr>
        <w:t>,</w:t>
      </w:r>
      <w:r w:rsidR="004D67A4" w:rsidRPr="00D43183">
        <w:rPr>
          <w:rFonts w:cstheme="minorHAnsi"/>
          <w:color w:val="000000"/>
          <w:shd w:val="clear" w:color="auto" w:fill="FFFFFF"/>
        </w:rPr>
        <w:t xml:space="preserve"> </w:t>
      </w:r>
      <w:r w:rsidRPr="00D43183">
        <w:rPr>
          <w:rFonts w:cstheme="minorHAnsi"/>
          <w:color w:val="000000"/>
          <w:shd w:val="clear" w:color="auto" w:fill="FFFFFF"/>
        </w:rPr>
        <w:t xml:space="preserve">the court applied the golden rule to lead the son to be qualified for nothing of </w:t>
      </w:r>
      <w:r w:rsidRPr="00D43183">
        <w:rPr>
          <w:rFonts w:cstheme="minorHAnsi"/>
          <w:color w:val="000000"/>
          <w:shd w:val="clear" w:color="auto" w:fill="FFFFFF"/>
        </w:rPr>
        <w:lastRenderedPageBreak/>
        <w:t>the mother’s belongings. The court applied the golden rule over the literal to avoid a result whereby the son would unfairly take claim to the property. The golden rule is an effective and sensible rule that allows for an absurd decision to be avoided. If the</w:t>
      </w:r>
      <w:r w:rsidR="009B0B8E" w:rsidRPr="00D43183">
        <w:rPr>
          <w:rFonts w:cstheme="minorHAnsi"/>
          <w:color w:val="000000"/>
          <w:shd w:val="clear" w:color="auto" w:fill="FFFFFF"/>
        </w:rPr>
        <w:t xml:space="preserve"> literal rule </w:t>
      </w:r>
      <w:r w:rsidRPr="00D43183">
        <w:rPr>
          <w:rFonts w:cstheme="minorHAnsi"/>
          <w:color w:val="000000"/>
          <w:shd w:val="clear" w:color="auto" w:fill="FFFFFF"/>
        </w:rPr>
        <w:t>were to be used</w:t>
      </w:r>
      <w:r w:rsidR="00336C39" w:rsidRPr="00D43183">
        <w:rPr>
          <w:rFonts w:cstheme="minorHAnsi"/>
          <w:color w:val="000000"/>
          <w:shd w:val="clear" w:color="auto" w:fill="FFFFFF"/>
        </w:rPr>
        <w:t xml:space="preserve"> and the words were used in their </w:t>
      </w:r>
      <w:r w:rsidR="0086383B" w:rsidRPr="00D43183">
        <w:rPr>
          <w:rFonts w:cstheme="minorHAnsi"/>
          <w:color w:val="000000"/>
          <w:shd w:val="clear" w:color="auto" w:fill="FFFFFF"/>
        </w:rPr>
        <w:t>original meaning</w:t>
      </w:r>
      <w:r w:rsidRPr="00D43183">
        <w:rPr>
          <w:rFonts w:cstheme="minorHAnsi"/>
          <w:color w:val="000000"/>
          <w:shd w:val="clear" w:color="auto" w:fill="FFFFFF"/>
        </w:rPr>
        <w:t xml:space="preserve"> </w:t>
      </w:r>
      <w:r w:rsidR="00416C22">
        <w:rPr>
          <w:rFonts w:cstheme="minorHAnsi"/>
          <w:color w:val="000000"/>
          <w:shd w:val="clear" w:color="auto" w:fill="FFFFFF"/>
        </w:rPr>
        <w:t>in</w:t>
      </w:r>
      <w:r w:rsidRPr="00D43183">
        <w:rPr>
          <w:rFonts w:cstheme="minorHAnsi"/>
          <w:color w:val="000000"/>
          <w:shd w:val="clear" w:color="auto" w:fill="FFFFFF"/>
        </w:rPr>
        <w:t xml:space="preserve"> this case, an unjust decision would have been made. </w:t>
      </w:r>
      <w:r w:rsidRPr="00D43183">
        <w:rPr>
          <w:rFonts w:cstheme="minorHAnsi"/>
          <w:shd w:val="clear" w:color="auto" w:fill="FFFFFF"/>
        </w:rPr>
        <w:t>The positive outcome of this case shows that statutory interpretation does not diminish the status of legislation as the primary source of law in the UK</w:t>
      </w:r>
      <w:r w:rsidR="007F7BD7" w:rsidRPr="00D43183">
        <w:rPr>
          <w:rFonts w:cstheme="minorHAnsi"/>
          <w:shd w:val="clear" w:color="auto" w:fill="FFFFFF"/>
        </w:rPr>
        <w:t xml:space="preserve">, thus once again helping </w:t>
      </w:r>
      <w:r w:rsidR="00934CA8" w:rsidRPr="00D43183">
        <w:rPr>
          <w:rFonts w:cstheme="minorHAnsi"/>
          <w:shd w:val="clear" w:color="auto" w:fill="FFFFFF"/>
        </w:rPr>
        <w:t xml:space="preserve">to conclude to a </w:t>
      </w:r>
      <w:r w:rsidR="00C855D2" w:rsidRPr="00D43183">
        <w:rPr>
          <w:rFonts w:cstheme="minorHAnsi"/>
          <w:shd w:val="clear" w:color="auto" w:fill="FFFFFF"/>
        </w:rPr>
        <w:t>far more reasonable result.</w:t>
      </w:r>
    </w:p>
    <w:p w14:paraId="012D6718" w14:textId="59C69520" w:rsidR="000E4E10" w:rsidRPr="00497B69" w:rsidRDefault="00C855D2" w:rsidP="00497B69">
      <w:pPr>
        <w:spacing w:line="480" w:lineRule="auto"/>
        <w:rPr>
          <w:rFonts w:cstheme="minorHAnsi"/>
        </w:rPr>
      </w:pPr>
      <w:r w:rsidRPr="00D43183">
        <w:rPr>
          <w:rFonts w:cstheme="minorHAnsi"/>
          <w:shd w:val="clear" w:color="auto" w:fill="FFFFFF"/>
        </w:rPr>
        <w:t>The final of the three rules is</w:t>
      </w:r>
      <w:r w:rsidR="000E4E10" w:rsidRPr="00D43183">
        <w:rPr>
          <w:rFonts w:cstheme="minorHAnsi"/>
          <w:color w:val="000000"/>
          <w:shd w:val="clear" w:color="auto" w:fill="FFFFFF"/>
        </w:rPr>
        <w:t xml:space="preserve"> the mischief rule</w:t>
      </w:r>
      <w:r w:rsidRPr="00D43183">
        <w:rPr>
          <w:rFonts w:cstheme="minorHAnsi"/>
          <w:color w:val="000000"/>
          <w:shd w:val="clear" w:color="auto" w:fill="FFFFFF"/>
        </w:rPr>
        <w:t>.</w:t>
      </w:r>
      <w:r w:rsidR="000E4E10" w:rsidRPr="00D43183">
        <w:rPr>
          <w:rFonts w:cstheme="minorHAnsi"/>
          <w:color w:val="000000"/>
          <w:shd w:val="clear" w:color="auto" w:fill="FFFFFF"/>
        </w:rPr>
        <w:t xml:space="preserve"> </w:t>
      </w:r>
      <w:r w:rsidRPr="00D43183">
        <w:rPr>
          <w:rFonts w:cstheme="minorHAnsi"/>
          <w:color w:val="000000"/>
          <w:shd w:val="clear" w:color="auto" w:fill="FFFFFF"/>
        </w:rPr>
        <w:t>F</w:t>
      </w:r>
      <w:r w:rsidR="000E4E10" w:rsidRPr="00D43183">
        <w:rPr>
          <w:rFonts w:cstheme="minorHAnsi"/>
          <w:color w:val="000000"/>
          <w:shd w:val="clear" w:color="auto" w:fill="FFFFFF"/>
        </w:rPr>
        <w:t>irst introduced</w:t>
      </w:r>
      <w:r w:rsidR="00771B84" w:rsidRPr="00D43183">
        <w:rPr>
          <w:rFonts w:cstheme="minorHAnsi"/>
          <w:color w:val="000000"/>
          <w:shd w:val="clear" w:color="auto" w:fill="FFFFFF"/>
        </w:rPr>
        <w:t xml:space="preserve"> in</w:t>
      </w:r>
      <w:r w:rsidR="000E4E10" w:rsidRPr="00D43183">
        <w:rPr>
          <w:rFonts w:cstheme="minorHAnsi"/>
          <w:color w:val="000000"/>
          <w:shd w:val="clear" w:color="auto" w:fill="FFFFFF"/>
        </w:rPr>
        <w:t xml:space="preserve"> Heydon’s case </w:t>
      </w:r>
      <w:r w:rsidR="00771B84" w:rsidRPr="00D43183">
        <w:rPr>
          <w:rFonts w:cstheme="minorHAnsi"/>
          <w:color w:val="000000"/>
          <w:shd w:val="clear" w:color="auto" w:fill="FFFFFF"/>
        </w:rPr>
        <w:t>(</w:t>
      </w:r>
      <w:r w:rsidR="000E4E10" w:rsidRPr="00D43183">
        <w:rPr>
          <w:rFonts w:cstheme="minorHAnsi"/>
          <w:color w:val="000000"/>
          <w:shd w:val="clear" w:color="auto" w:fill="FFFFFF"/>
        </w:rPr>
        <w:t>1584</w:t>
      </w:r>
      <w:r w:rsidR="00771B84" w:rsidRPr="00D43183">
        <w:rPr>
          <w:rFonts w:cstheme="minorHAnsi"/>
          <w:color w:val="000000"/>
          <w:shd w:val="clear" w:color="auto" w:fill="FFFFFF"/>
        </w:rPr>
        <w:t>)</w:t>
      </w:r>
      <w:r w:rsidR="000E4E10" w:rsidRPr="00D43183">
        <w:rPr>
          <w:rFonts w:cstheme="minorHAnsi"/>
          <w:color w:val="000000"/>
          <w:shd w:val="clear" w:color="auto" w:fill="FFFFFF"/>
        </w:rPr>
        <w:t xml:space="preserve">, </w:t>
      </w:r>
      <w:r w:rsidRPr="00D43183">
        <w:rPr>
          <w:rFonts w:cstheme="minorHAnsi"/>
          <w:color w:val="000000"/>
          <w:shd w:val="clear" w:color="auto" w:fill="FFFFFF"/>
        </w:rPr>
        <w:t xml:space="preserve">it </w:t>
      </w:r>
      <w:r w:rsidR="000E4E10" w:rsidRPr="00D43183">
        <w:rPr>
          <w:rFonts w:cstheme="minorHAnsi"/>
          <w:color w:val="000000"/>
          <w:shd w:val="clear" w:color="auto" w:fill="FFFFFF"/>
        </w:rPr>
        <w:t xml:space="preserve">provides judges with three separate factors to consider. The first being- what the previous law was before the statute was passed, </w:t>
      </w:r>
      <w:r w:rsidR="000E4E10" w:rsidRPr="00D43183">
        <w:rPr>
          <w:rFonts w:cstheme="minorHAnsi"/>
        </w:rPr>
        <w:t xml:space="preserve">what issue, or 'mischief,' the statute intended to address, and finally what solution parliament was putting forward </w:t>
      </w:r>
      <w:r w:rsidR="000D591C" w:rsidRPr="00D43183">
        <w:rPr>
          <w:rFonts w:cstheme="minorHAnsi"/>
        </w:rPr>
        <w:t>(</w:t>
      </w:r>
      <w:proofErr w:type="spellStart"/>
      <w:r w:rsidR="000D591C" w:rsidRPr="00D43183">
        <w:rPr>
          <w:rFonts w:cstheme="minorHAnsi"/>
        </w:rPr>
        <w:t>Allbon</w:t>
      </w:r>
      <w:proofErr w:type="spellEnd"/>
      <w:r w:rsidR="000D591C" w:rsidRPr="00D43183">
        <w:rPr>
          <w:rFonts w:cstheme="minorHAnsi"/>
        </w:rPr>
        <w:t xml:space="preserve"> and </w:t>
      </w:r>
      <w:proofErr w:type="spellStart"/>
      <w:r w:rsidR="000D591C" w:rsidRPr="00D43183">
        <w:rPr>
          <w:rFonts w:cstheme="minorHAnsi"/>
        </w:rPr>
        <w:t>Dua</w:t>
      </w:r>
      <w:proofErr w:type="spellEnd"/>
      <w:r w:rsidR="000D591C" w:rsidRPr="00D43183">
        <w:rPr>
          <w:rFonts w:cstheme="minorHAnsi"/>
        </w:rPr>
        <w:t>, 2018, p.69-73)</w:t>
      </w:r>
      <w:r w:rsidR="000D591C" w:rsidRPr="00D43183">
        <w:rPr>
          <w:rFonts w:cstheme="minorHAnsi"/>
        </w:rPr>
        <w:t xml:space="preserve">. </w:t>
      </w:r>
      <w:r w:rsidR="000E4E10" w:rsidRPr="00D43183">
        <w:rPr>
          <w:rFonts w:cstheme="minorHAnsi"/>
        </w:rPr>
        <w:t xml:space="preserve">An example of the mischief rule being used in court is in the case of </w:t>
      </w:r>
      <w:proofErr w:type="spellStart"/>
      <w:r w:rsidR="000E4E10" w:rsidRPr="00D43183">
        <w:rPr>
          <w:rFonts w:cstheme="minorHAnsi"/>
        </w:rPr>
        <w:t>Gorris</w:t>
      </w:r>
      <w:proofErr w:type="spellEnd"/>
      <w:r w:rsidR="000E4E10" w:rsidRPr="00D43183">
        <w:rPr>
          <w:rFonts w:cstheme="minorHAnsi"/>
        </w:rPr>
        <w:t xml:space="preserve"> v Scott (1874), where the defendant's sheep were to be transported by sea by the defendant per a contract between the parties. The sheep were swept overboard during the journey due to them not being not fenced up as specified by the Contagious Diseases (Animals) Act 1869. However, the claim was dismissed because the act was intended to prevent the spread of disease rather than the loss of animals overboard. If the rules of legislation were followed here and with no help from statutory interpretation, a possible incorrect decision would have been made here that would have left the defendant charged or worse. This </w:t>
      </w:r>
      <w:r w:rsidR="008C1395" w:rsidRPr="00D43183">
        <w:rPr>
          <w:rFonts w:cstheme="minorHAnsi"/>
        </w:rPr>
        <w:t xml:space="preserve">once again </w:t>
      </w:r>
      <w:r w:rsidR="000E4E10" w:rsidRPr="00D43183">
        <w:rPr>
          <w:rFonts w:cstheme="minorHAnsi"/>
        </w:rPr>
        <w:t xml:space="preserve">proves that statutory interpretation is not diminishing any of the United </w:t>
      </w:r>
      <w:r w:rsidR="004463E3">
        <w:rPr>
          <w:rFonts w:cstheme="minorHAnsi"/>
        </w:rPr>
        <w:t>Kingdom’s</w:t>
      </w:r>
      <w:r w:rsidR="000E4E10" w:rsidRPr="00D43183">
        <w:rPr>
          <w:rFonts w:cstheme="minorHAnsi"/>
        </w:rPr>
        <w:t xml:space="preserve"> </w:t>
      </w:r>
      <w:proofErr w:type="gramStart"/>
      <w:r w:rsidR="007D0082" w:rsidRPr="00D43183">
        <w:rPr>
          <w:rFonts w:cstheme="minorHAnsi"/>
        </w:rPr>
        <w:t>law</w:t>
      </w:r>
      <w:r w:rsidR="004463E3">
        <w:rPr>
          <w:rFonts w:cstheme="minorHAnsi"/>
        </w:rPr>
        <w:t>,</w:t>
      </w:r>
      <w:r w:rsidR="007D0082" w:rsidRPr="00D43183">
        <w:rPr>
          <w:rFonts w:cstheme="minorHAnsi"/>
        </w:rPr>
        <w:t xml:space="preserve"> but</w:t>
      </w:r>
      <w:proofErr w:type="gramEnd"/>
      <w:r w:rsidR="000E4E10" w:rsidRPr="00D43183">
        <w:rPr>
          <w:rFonts w:cstheme="minorHAnsi"/>
        </w:rPr>
        <w:t xml:space="preserve"> helping by working alongside it to improve the outcome of numerous cases. </w:t>
      </w:r>
    </w:p>
    <w:p w14:paraId="238EC6A5" w14:textId="6627D770" w:rsidR="000E4E10" w:rsidRPr="00D43183" w:rsidRDefault="000E4E10" w:rsidP="004E5929">
      <w:pPr>
        <w:spacing w:line="480" w:lineRule="auto"/>
        <w:rPr>
          <w:rFonts w:cstheme="minorHAnsi"/>
          <w:shd w:val="clear" w:color="auto" w:fill="FFFFFF"/>
        </w:rPr>
      </w:pPr>
      <w:r w:rsidRPr="00D43183">
        <w:rPr>
          <w:rFonts w:cstheme="minorHAnsi"/>
        </w:rPr>
        <w:t xml:space="preserve">There are numerous laws that are heavily outdated, with the oldest being The Statue of Marlborough </w:t>
      </w:r>
      <w:r w:rsidR="004463E3">
        <w:rPr>
          <w:rFonts w:cstheme="minorHAnsi"/>
        </w:rPr>
        <w:t>which</w:t>
      </w:r>
      <w:r w:rsidRPr="00D43183">
        <w:rPr>
          <w:rFonts w:cstheme="minorHAnsi"/>
        </w:rPr>
        <w:t xml:space="preserve"> is a set of laws approved by Parliament in the year 1267 (legislation.gov.uk, 2022). This leaves the problem of various words being outdated, </w:t>
      </w:r>
      <w:r w:rsidR="004463E3">
        <w:rPr>
          <w:rFonts w:cstheme="minorHAnsi"/>
        </w:rPr>
        <w:t>which</w:t>
      </w:r>
      <w:r w:rsidRPr="00D43183">
        <w:rPr>
          <w:rFonts w:cstheme="minorHAnsi"/>
        </w:rPr>
        <w:t xml:space="preserve"> could have developed multiple meanings as the English language has developed</w:t>
      </w:r>
      <w:r w:rsidRPr="00D43183">
        <w:rPr>
          <w:rFonts w:cstheme="minorHAnsi"/>
          <w:color w:val="FF0000"/>
        </w:rPr>
        <w:t xml:space="preserve">. </w:t>
      </w:r>
      <w:r w:rsidRPr="00D43183">
        <w:rPr>
          <w:rFonts w:cstheme="minorHAnsi"/>
        </w:rPr>
        <w:t xml:space="preserve">Also, it is evident that currently, </w:t>
      </w:r>
      <w:r w:rsidR="004463E3">
        <w:rPr>
          <w:rFonts w:cstheme="minorHAnsi"/>
        </w:rPr>
        <w:t>lawmakers</w:t>
      </w:r>
      <w:r w:rsidRPr="00D43183">
        <w:rPr>
          <w:rFonts w:cstheme="minorHAnsi"/>
        </w:rPr>
        <w:t xml:space="preserve"> will still have a problem regarding different words having a variety of different terms, </w:t>
      </w:r>
      <w:r w:rsidRPr="00D43183">
        <w:rPr>
          <w:rFonts w:cstheme="minorHAnsi"/>
        </w:rPr>
        <w:lastRenderedPageBreak/>
        <w:t xml:space="preserve">that have been used in statutes. In addition, with the issue of wordings in statutes, judges are trained to take on these situations when interpreting statutes to find the most suitable outcome. With it not being an ideal solution to rewrite all laws to make the expressions clearer, statutory interpretation is not diminishing legislation but simply working with it so judges can make the most sensible decision. </w:t>
      </w:r>
      <w:r w:rsidR="00933AAB" w:rsidRPr="00D43183">
        <w:rPr>
          <w:rFonts w:cstheme="minorHAnsi"/>
          <w:color w:val="000000"/>
          <w:shd w:val="clear" w:color="auto" w:fill="FFFFFF"/>
        </w:rPr>
        <w:t>Judges still must use the texts given by parliament and work within the lines set out by parliament when interpreting statutes for given cases</w:t>
      </w:r>
      <w:r w:rsidR="007D0082" w:rsidRPr="00D43183">
        <w:rPr>
          <w:rFonts w:cstheme="minorHAnsi"/>
          <w:color w:val="000000"/>
          <w:shd w:val="clear" w:color="auto" w:fill="FFFFFF"/>
        </w:rPr>
        <w:t xml:space="preserve"> </w:t>
      </w:r>
      <w:r w:rsidR="007D0082" w:rsidRPr="00D43183">
        <w:rPr>
          <w:rFonts w:cstheme="minorHAnsi"/>
          <w:shd w:val="clear" w:color="auto" w:fill="FFFFFF"/>
        </w:rPr>
        <w:t>(Partington, 2016, p.55)</w:t>
      </w:r>
      <w:r w:rsidR="00933AAB" w:rsidRPr="00D43183">
        <w:rPr>
          <w:rFonts w:cstheme="minorHAnsi"/>
          <w:color w:val="000000"/>
          <w:shd w:val="clear" w:color="auto" w:fill="FFFFFF"/>
        </w:rPr>
        <w:t xml:space="preserve">, showing respect to the foundations of parliament and keeping the integrity of the law </w:t>
      </w:r>
      <w:r w:rsidR="00371851" w:rsidRPr="00D43183">
        <w:rPr>
          <w:rFonts w:cstheme="minorHAnsi"/>
          <w:color w:val="000000"/>
          <w:shd w:val="clear" w:color="auto" w:fill="FFFFFF"/>
        </w:rPr>
        <w:t>in</w:t>
      </w:r>
      <w:r w:rsidR="00933AAB" w:rsidRPr="00D43183">
        <w:rPr>
          <w:rFonts w:cstheme="minorHAnsi"/>
          <w:color w:val="000000"/>
          <w:shd w:val="clear" w:color="auto" w:fill="FFFFFF"/>
        </w:rPr>
        <w:t xml:space="preserve"> mind.</w:t>
      </w:r>
    </w:p>
    <w:p w14:paraId="3CB5C6C1" w14:textId="2735BB12" w:rsidR="006E3301" w:rsidRPr="00D43183" w:rsidRDefault="000E4E10" w:rsidP="004E5929">
      <w:pPr>
        <w:spacing w:line="480" w:lineRule="auto"/>
        <w:rPr>
          <w:rFonts w:cstheme="minorHAnsi"/>
          <w:shd w:val="clear" w:color="auto" w:fill="FFFFFF"/>
        </w:rPr>
      </w:pPr>
      <w:r w:rsidRPr="00D43183">
        <w:rPr>
          <w:rFonts w:cstheme="minorHAnsi"/>
          <w:color w:val="000000"/>
          <w:shd w:val="clear" w:color="auto" w:fill="FFFFFF"/>
        </w:rPr>
        <w:t xml:space="preserve">Statutory interpretation </w:t>
      </w:r>
      <w:r w:rsidR="003E3DD5">
        <w:rPr>
          <w:rFonts w:cstheme="minorHAnsi"/>
          <w:color w:val="000000"/>
          <w:shd w:val="clear" w:color="auto" w:fill="FFFFFF"/>
        </w:rPr>
        <w:t>should</w:t>
      </w:r>
      <w:r w:rsidRPr="00D43183">
        <w:rPr>
          <w:rFonts w:cstheme="minorHAnsi"/>
          <w:color w:val="000000"/>
          <w:shd w:val="clear" w:color="auto" w:fill="FFFFFF"/>
        </w:rPr>
        <w:t xml:space="preserve"> be looked at positively</w:t>
      </w:r>
      <w:r w:rsidR="00B651F7" w:rsidRPr="00D43183">
        <w:rPr>
          <w:rFonts w:cstheme="minorHAnsi"/>
          <w:color w:val="000000"/>
          <w:shd w:val="clear" w:color="auto" w:fill="FFFFFF"/>
        </w:rPr>
        <w:t xml:space="preserve"> and as an improvement to the </w:t>
      </w:r>
      <w:r w:rsidR="006F72CD" w:rsidRPr="00D43183">
        <w:rPr>
          <w:rFonts w:cstheme="minorHAnsi"/>
          <w:color w:val="000000"/>
          <w:shd w:val="clear" w:color="auto" w:fill="FFFFFF"/>
        </w:rPr>
        <w:t xml:space="preserve">justice system in the United Kingdom. </w:t>
      </w:r>
      <w:r w:rsidRPr="00D43183">
        <w:rPr>
          <w:rFonts w:cstheme="minorHAnsi"/>
          <w:color w:val="000000"/>
          <w:shd w:val="clear" w:color="auto" w:fill="FFFFFF"/>
        </w:rPr>
        <w:t>Th</w:t>
      </w:r>
      <w:r w:rsidR="00681E1E" w:rsidRPr="00D43183">
        <w:rPr>
          <w:rFonts w:cstheme="minorHAnsi"/>
          <w:color w:val="000000"/>
          <w:shd w:val="clear" w:color="auto" w:fill="FFFFFF"/>
        </w:rPr>
        <w:t xml:space="preserve">e </w:t>
      </w:r>
      <w:r w:rsidR="00865790" w:rsidRPr="00D43183">
        <w:rPr>
          <w:rFonts w:cstheme="minorHAnsi"/>
          <w:color w:val="000000"/>
          <w:shd w:val="clear" w:color="auto" w:fill="FFFFFF"/>
        </w:rPr>
        <w:t>belief that</w:t>
      </w:r>
      <w:r w:rsidRPr="00D43183">
        <w:rPr>
          <w:rFonts w:cstheme="minorHAnsi"/>
          <w:color w:val="000000"/>
          <w:shd w:val="clear" w:color="auto" w:fill="FFFFFF"/>
        </w:rPr>
        <w:t xml:space="preserve"> statutory interpretation is diminishing the status of legislation as the primary set of laws within the United Kingdom</w:t>
      </w:r>
      <w:r w:rsidR="00865790" w:rsidRPr="00D43183">
        <w:rPr>
          <w:rFonts w:cstheme="minorHAnsi"/>
          <w:color w:val="000000"/>
          <w:shd w:val="clear" w:color="auto" w:fill="FFFFFF"/>
        </w:rPr>
        <w:t xml:space="preserve"> is a </w:t>
      </w:r>
      <w:r w:rsidR="00F6703D" w:rsidRPr="00D43183">
        <w:rPr>
          <w:rFonts w:cstheme="minorHAnsi"/>
          <w:color w:val="000000"/>
          <w:shd w:val="clear" w:color="auto" w:fill="FFFFFF"/>
        </w:rPr>
        <w:t>narrow-minded</w:t>
      </w:r>
      <w:r w:rsidR="00865790" w:rsidRPr="00D43183">
        <w:rPr>
          <w:rFonts w:cstheme="minorHAnsi"/>
          <w:color w:val="000000"/>
          <w:shd w:val="clear" w:color="auto" w:fill="FFFFFF"/>
        </w:rPr>
        <w:t xml:space="preserve"> view</w:t>
      </w:r>
      <w:r w:rsidR="00F6703D" w:rsidRPr="00D43183">
        <w:rPr>
          <w:rFonts w:cstheme="minorHAnsi"/>
          <w:color w:val="000000"/>
          <w:shd w:val="clear" w:color="auto" w:fill="FFFFFF"/>
        </w:rPr>
        <w:t xml:space="preserve">, where the bigger picture </w:t>
      </w:r>
      <w:r w:rsidR="00170182" w:rsidRPr="00D43183">
        <w:rPr>
          <w:rFonts w:cstheme="minorHAnsi"/>
          <w:color w:val="000000"/>
          <w:shd w:val="clear" w:color="auto" w:fill="FFFFFF"/>
        </w:rPr>
        <w:t>is not being looked</w:t>
      </w:r>
      <w:r w:rsidR="00F6703D" w:rsidRPr="00D43183">
        <w:rPr>
          <w:rFonts w:cstheme="minorHAnsi"/>
          <w:color w:val="000000"/>
          <w:shd w:val="clear" w:color="auto" w:fill="FFFFFF"/>
        </w:rPr>
        <w:t xml:space="preserve"> upon</w:t>
      </w:r>
      <w:r w:rsidRPr="00D43183">
        <w:rPr>
          <w:rFonts w:cstheme="minorHAnsi"/>
          <w:color w:val="000000"/>
          <w:shd w:val="clear" w:color="auto" w:fill="FFFFFF"/>
        </w:rPr>
        <w:t>.</w:t>
      </w:r>
      <w:r w:rsidR="00752948">
        <w:rPr>
          <w:rFonts w:cstheme="minorHAnsi"/>
          <w:color w:val="000000"/>
          <w:shd w:val="clear" w:color="auto" w:fill="FFFFFF"/>
        </w:rPr>
        <w:t xml:space="preserve"> If the legislation of the United Kingdom wa</w:t>
      </w:r>
      <w:r w:rsidR="00312A12">
        <w:rPr>
          <w:rFonts w:cstheme="minorHAnsi"/>
          <w:color w:val="000000"/>
          <w:shd w:val="clear" w:color="auto" w:fill="FFFFFF"/>
        </w:rPr>
        <w:t xml:space="preserve">s more in touch with modern society, then </w:t>
      </w:r>
      <w:r w:rsidR="009573F8">
        <w:rPr>
          <w:rFonts w:cstheme="minorHAnsi"/>
          <w:color w:val="000000"/>
          <w:shd w:val="clear" w:color="auto" w:fill="FFFFFF"/>
        </w:rPr>
        <w:t>statutory</w:t>
      </w:r>
      <w:r w:rsidR="00312A12">
        <w:rPr>
          <w:rFonts w:cstheme="minorHAnsi"/>
          <w:color w:val="000000"/>
          <w:shd w:val="clear" w:color="auto" w:fill="FFFFFF"/>
        </w:rPr>
        <w:t xml:space="preserve"> </w:t>
      </w:r>
      <w:r w:rsidR="009573F8">
        <w:rPr>
          <w:rFonts w:cstheme="minorHAnsi"/>
          <w:color w:val="000000"/>
          <w:shd w:val="clear" w:color="auto" w:fill="FFFFFF"/>
        </w:rPr>
        <w:t xml:space="preserve">interpretation wouldn’t </w:t>
      </w:r>
      <w:r w:rsidR="00127C14">
        <w:rPr>
          <w:rFonts w:cstheme="minorHAnsi"/>
          <w:color w:val="000000"/>
          <w:shd w:val="clear" w:color="auto" w:fill="FFFFFF"/>
        </w:rPr>
        <w:t>be required.</w:t>
      </w:r>
      <w:r w:rsidR="00F45F44" w:rsidRPr="00D43183">
        <w:rPr>
          <w:rFonts w:cstheme="minorHAnsi"/>
          <w:color w:val="000000"/>
          <w:shd w:val="clear" w:color="auto" w:fill="FFFFFF"/>
        </w:rPr>
        <w:t xml:space="preserve"> </w:t>
      </w:r>
      <w:r w:rsidRPr="00D43183">
        <w:rPr>
          <w:rFonts w:cstheme="minorHAnsi"/>
          <w:color w:val="000000"/>
          <w:shd w:val="clear" w:color="auto" w:fill="FFFFFF"/>
        </w:rPr>
        <w:t xml:space="preserve">Statutory interpretation doesn’t completely disregard and dimmish the status of legislation, if anything it improves the United </w:t>
      </w:r>
      <w:r w:rsidR="001C2372" w:rsidRPr="00D43183">
        <w:rPr>
          <w:rFonts w:cstheme="minorHAnsi"/>
          <w:color w:val="000000"/>
          <w:shd w:val="clear" w:color="auto" w:fill="FFFFFF"/>
        </w:rPr>
        <w:t>Kingdom</w:t>
      </w:r>
      <w:r w:rsidR="00FF5E32" w:rsidRPr="00D43183">
        <w:rPr>
          <w:rFonts w:cstheme="minorHAnsi"/>
          <w:color w:val="000000"/>
          <w:shd w:val="clear" w:color="auto" w:fill="FFFFFF"/>
        </w:rPr>
        <w:t>’</w:t>
      </w:r>
      <w:r w:rsidR="001C2372" w:rsidRPr="00D43183">
        <w:rPr>
          <w:rFonts w:cstheme="minorHAnsi"/>
          <w:color w:val="000000"/>
          <w:shd w:val="clear" w:color="auto" w:fill="FFFFFF"/>
        </w:rPr>
        <w:t>s</w:t>
      </w:r>
      <w:r w:rsidRPr="00D43183">
        <w:rPr>
          <w:rFonts w:cstheme="minorHAnsi"/>
          <w:color w:val="000000"/>
          <w:shd w:val="clear" w:color="auto" w:fill="FFFFFF"/>
        </w:rPr>
        <w:t xml:space="preserve"> legal system making it far more trusted and reliable.</w:t>
      </w:r>
      <w:r w:rsidR="0043187C">
        <w:rPr>
          <w:rFonts w:cstheme="minorHAnsi"/>
          <w:color w:val="000000"/>
          <w:shd w:val="clear" w:color="auto" w:fill="FFFFFF"/>
        </w:rPr>
        <w:t xml:space="preserve"> It is allowing for both </w:t>
      </w:r>
      <w:r w:rsidR="00800757">
        <w:rPr>
          <w:rFonts w:cstheme="minorHAnsi"/>
          <w:color w:val="000000"/>
          <w:shd w:val="clear" w:color="auto" w:fill="FFFFFF"/>
        </w:rPr>
        <w:t>victim’s</w:t>
      </w:r>
      <w:r w:rsidR="000D4871">
        <w:rPr>
          <w:rFonts w:cstheme="minorHAnsi"/>
          <w:color w:val="000000"/>
          <w:shd w:val="clear" w:color="auto" w:fill="FFFFFF"/>
        </w:rPr>
        <w:t xml:space="preserve"> and </w:t>
      </w:r>
      <w:r w:rsidR="00800757">
        <w:rPr>
          <w:rFonts w:cstheme="minorHAnsi"/>
          <w:color w:val="000000"/>
          <w:shd w:val="clear" w:color="auto" w:fill="FFFFFF"/>
        </w:rPr>
        <w:t>defendant’s</w:t>
      </w:r>
      <w:r w:rsidR="000D4871">
        <w:rPr>
          <w:rFonts w:cstheme="minorHAnsi"/>
          <w:color w:val="000000"/>
          <w:shd w:val="clear" w:color="auto" w:fill="FFFFFF"/>
        </w:rPr>
        <w:t xml:space="preserve"> </w:t>
      </w:r>
      <w:r w:rsidR="00800757">
        <w:rPr>
          <w:rFonts w:cstheme="minorHAnsi"/>
          <w:color w:val="000000"/>
          <w:shd w:val="clear" w:color="auto" w:fill="FFFFFF"/>
        </w:rPr>
        <w:t>chances</w:t>
      </w:r>
      <w:r w:rsidR="008E5B03">
        <w:rPr>
          <w:rFonts w:cstheme="minorHAnsi"/>
          <w:color w:val="000000"/>
          <w:shd w:val="clear" w:color="auto" w:fill="FFFFFF"/>
        </w:rPr>
        <w:t xml:space="preserve"> in the courtroom to be far more e</w:t>
      </w:r>
      <w:r w:rsidR="00800757">
        <w:rPr>
          <w:rFonts w:cstheme="minorHAnsi"/>
          <w:color w:val="000000"/>
          <w:shd w:val="clear" w:color="auto" w:fill="FFFFFF"/>
        </w:rPr>
        <w:t xml:space="preserve">quitable. </w:t>
      </w:r>
      <w:r w:rsidR="004D1F7C">
        <w:rPr>
          <w:rFonts w:cstheme="minorHAnsi"/>
          <w:color w:val="000000"/>
          <w:shd w:val="clear" w:color="auto" w:fill="FFFFFF"/>
        </w:rPr>
        <w:t>Statutory interpre</w:t>
      </w:r>
      <w:r w:rsidR="001C5D1A">
        <w:rPr>
          <w:rFonts w:cstheme="minorHAnsi"/>
          <w:color w:val="000000"/>
          <w:shd w:val="clear" w:color="auto" w:fill="FFFFFF"/>
        </w:rPr>
        <w:t xml:space="preserve">tation allows the heavily outdated laws of the United Kingdom to </w:t>
      </w:r>
      <w:r w:rsidR="00E12D4F">
        <w:rPr>
          <w:rFonts w:cstheme="minorHAnsi"/>
          <w:color w:val="000000"/>
          <w:shd w:val="clear" w:color="auto" w:fill="FFFFFF"/>
        </w:rPr>
        <w:t>be brought to the prev</w:t>
      </w:r>
      <w:r w:rsidR="009E321A">
        <w:rPr>
          <w:rFonts w:cstheme="minorHAnsi"/>
          <w:color w:val="000000"/>
          <w:shd w:val="clear" w:color="auto" w:fill="FFFFFF"/>
        </w:rPr>
        <w:t>alent time</w:t>
      </w:r>
      <w:r w:rsidR="00CB3C8E">
        <w:rPr>
          <w:rFonts w:cstheme="minorHAnsi"/>
          <w:color w:val="000000"/>
          <w:shd w:val="clear" w:color="auto" w:fill="FFFFFF"/>
        </w:rPr>
        <w:t xml:space="preserve">. If statutory interpretation wasn’t being utilised within the </w:t>
      </w:r>
      <w:r w:rsidR="00A97414">
        <w:rPr>
          <w:rFonts w:cstheme="minorHAnsi"/>
          <w:color w:val="000000"/>
          <w:shd w:val="clear" w:color="auto" w:fill="FFFFFF"/>
        </w:rPr>
        <w:t>courtroom</w:t>
      </w:r>
      <w:r w:rsidR="00CB3C8E">
        <w:rPr>
          <w:rFonts w:cstheme="minorHAnsi"/>
          <w:color w:val="000000"/>
          <w:shd w:val="clear" w:color="auto" w:fill="FFFFFF"/>
        </w:rPr>
        <w:t xml:space="preserve">, </w:t>
      </w:r>
      <w:r w:rsidR="001B7F11">
        <w:rPr>
          <w:rFonts w:cstheme="minorHAnsi"/>
          <w:color w:val="000000"/>
          <w:shd w:val="clear" w:color="auto" w:fill="FFFFFF"/>
        </w:rPr>
        <w:t xml:space="preserve">countless absurd and poor </w:t>
      </w:r>
      <w:r w:rsidR="00A97414">
        <w:rPr>
          <w:rFonts w:cstheme="minorHAnsi"/>
          <w:color w:val="000000"/>
          <w:shd w:val="clear" w:color="auto" w:fill="FFFFFF"/>
        </w:rPr>
        <w:t>decisions</w:t>
      </w:r>
      <w:r w:rsidR="001B7F11">
        <w:rPr>
          <w:rFonts w:cstheme="minorHAnsi"/>
          <w:color w:val="000000"/>
          <w:shd w:val="clear" w:color="auto" w:fill="FFFFFF"/>
        </w:rPr>
        <w:t xml:space="preserve"> would be made, leading to a</w:t>
      </w:r>
      <w:r w:rsidR="00A97414">
        <w:rPr>
          <w:rFonts w:cstheme="minorHAnsi"/>
          <w:color w:val="000000"/>
          <w:shd w:val="clear" w:color="auto" w:fill="FFFFFF"/>
        </w:rPr>
        <w:t xml:space="preserve">n immensely faulty legal system. </w:t>
      </w:r>
    </w:p>
    <w:p w14:paraId="7ECD7D0C" w14:textId="0F8106F7" w:rsidR="00B64487" w:rsidRPr="006E3301" w:rsidRDefault="00530403" w:rsidP="004E5929">
      <w:pPr>
        <w:spacing w:line="480" w:lineRule="auto"/>
        <w:rPr>
          <w:rFonts w:cstheme="minorHAnsi"/>
          <w:b/>
          <w:bCs/>
          <w:u w:val="single"/>
        </w:rPr>
      </w:pPr>
      <w:r w:rsidRPr="006E3301">
        <w:rPr>
          <w:rFonts w:cstheme="minorHAnsi"/>
          <w:b/>
          <w:bCs/>
          <w:u w:val="single"/>
        </w:rPr>
        <w:t xml:space="preserve">References </w:t>
      </w:r>
    </w:p>
    <w:p w14:paraId="768CD4E1" w14:textId="77777777" w:rsidR="006E3301" w:rsidRDefault="00C158D3" w:rsidP="004E5929">
      <w:pPr>
        <w:spacing w:line="480" w:lineRule="auto"/>
        <w:rPr>
          <w:rFonts w:cstheme="minorHAnsi"/>
        </w:rPr>
      </w:pPr>
      <w:proofErr w:type="spellStart"/>
      <w:r w:rsidRPr="006E3301">
        <w:rPr>
          <w:rFonts w:cstheme="minorHAnsi"/>
        </w:rPr>
        <w:t>Allbon</w:t>
      </w:r>
      <w:proofErr w:type="spellEnd"/>
      <w:r w:rsidRPr="006E3301">
        <w:rPr>
          <w:rFonts w:cstheme="minorHAnsi"/>
        </w:rPr>
        <w:t xml:space="preserve">, E and </w:t>
      </w:r>
      <w:proofErr w:type="spellStart"/>
      <w:r w:rsidRPr="006E3301">
        <w:rPr>
          <w:rFonts w:cstheme="minorHAnsi"/>
        </w:rPr>
        <w:t>Dua</w:t>
      </w:r>
      <w:proofErr w:type="spellEnd"/>
      <w:r w:rsidRPr="006E3301">
        <w:rPr>
          <w:rFonts w:cstheme="minorHAnsi"/>
        </w:rPr>
        <w:t xml:space="preserve">, S. (2018) Elliott and Quinn’s English Legal System. 20th </w:t>
      </w:r>
      <w:proofErr w:type="spellStart"/>
      <w:r w:rsidRPr="006E3301">
        <w:rPr>
          <w:rFonts w:cstheme="minorHAnsi"/>
        </w:rPr>
        <w:t>edn</w:t>
      </w:r>
      <w:proofErr w:type="spellEnd"/>
      <w:r w:rsidRPr="006E3301">
        <w:rPr>
          <w:rFonts w:cstheme="minorHAnsi"/>
        </w:rPr>
        <w:t>. London: Pearson Education.</w:t>
      </w:r>
    </w:p>
    <w:p w14:paraId="6053ED72" w14:textId="77777777" w:rsidR="00E113F1" w:rsidRDefault="00E113F1" w:rsidP="004E5929">
      <w:pPr>
        <w:spacing w:line="480" w:lineRule="auto"/>
        <w:rPr>
          <w:rFonts w:cstheme="minorHAnsi"/>
        </w:rPr>
      </w:pPr>
    </w:p>
    <w:p w14:paraId="4311D0B8" w14:textId="58BD0B35" w:rsidR="00C158D3" w:rsidRDefault="00C158D3" w:rsidP="004E5929">
      <w:pPr>
        <w:spacing w:line="480" w:lineRule="auto"/>
        <w:rPr>
          <w:rFonts w:cstheme="minorHAnsi"/>
        </w:rPr>
      </w:pPr>
      <w:r w:rsidRPr="006E3301">
        <w:rPr>
          <w:rFonts w:cstheme="minorHAnsi"/>
        </w:rPr>
        <w:lastRenderedPageBreak/>
        <w:t xml:space="preserve">Feldman, D. (2014) ‘Statutory Interpretation and Constitutional Legislation’. Law Quarterly Review, 130, pp. 473-497. </w:t>
      </w:r>
      <w:proofErr w:type="spellStart"/>
      <w:r w:rsidRPr="006E3301">
        <w:rPr>
          <w:rFonts w:cstheme="minorHAnsi"/>
        </w:rPr>
        <w:t>doi</w:t>
      </w:r>
      <w:proofErr w:type="spellEnd"/>
      <w:r w:rsidRPr="006E3301">
        <w:rPr>
          <w:rFonts w:cstheme="minorHAnsi"/>
        </w:rPr>
        <w:t xml:space="preserve">: </w:t>
      </w:r>
      <w:hyperlink r:id="rId10" w:history="1">
        <w:r w:rsidRPr="006E3301">
          <w:rPr>
            <w:rStyle w:val="Hyperlink"/>
            <w:rFonts w:cstheme="minorHAnsi"/>
          </w:rPr>
          <w:t>https://www.repository.cam.ac.uk/handle/1810/246176</w:t>
        </w:r>
      </w:hyperlink>
      <w:r w:rsidRPr="006E3301">
        <w:rPr>
          <w:rFonts w:cstheme="minorHAnsi"/>
        </w:rPr>
        <w:t xml:space="preserve"> Accessed </w:t>
      </w:r>
      <w:r w:rsidR="00E317EC" w:rsidRPr="006E3301">
        <w:rPr>
          <w:rFonts w:cstheme="minorHAnsi"/>
        </w:rPr>
        <w:t>at:</w:t>
      </w:r>
      <w:r w:rsidRPr="006E3301">
        <w:rPr>
          <w:rFonts w:cstheme="minorHAnsi"/>
        </w:rPr>
        <w:t xml:space="preserve"> 28/04/2022</w:t>
      </w:r>
    </w:p>
    <w:p w14:paraId="2430354D" w14:textId="77777777" w:rsidR="006E3301" w:rsidRPr="006E3301" w:rsidRDefault="006E3301" w:rsidP="004E5929">
      <w:pPr>
        <w:spacing w:line="480" w:lineRule="auto"/>
        <w:rPr>
          <w:rFonts w:cstheme="minorHAnsi"/>
        </w:rPr>
      </w:pPr>
    </w:p>
    <w:p w14:paraId="784DD889" w14:textId="35CAFFB6" w:rsidR="00C158D3" w:rsidRDefault="00C158D3" w:rsidP="004E5929">
      <w:pPr>
        <w:spacing w:line="480" w:lineRule="auto"/>
        <w:rPr>
          <w:rFonts w:cstheme="minorHAnsi"/>
        </w:rPr>
      </w:pPr>
      <w:r w:rsidRPr="006E3301">
        <w:rPr>
          <w:rFonts w:cstheme="minorHAnsi"/>
        </w:rPr>
        <w:t xml:space="preserve">Hogarth, R. (2019) ‘Judicial review’, Institute </w:t>
      </w:r>
      <w:proofErr w:type="gramStart"/>
      <w:r w:rsidRPr="006E3301">
        <w:rPr>
          <w:rFonts w:cstheme="minorHAnsi"/>
        </w:rPr>
        <w:t>For</w:t>
      </w:r>
      <w:proofErr w:type="gramEnd"/>
      <w:r w:rsidRPr="006E3301">
        <w:rPr>
          <w:rFonts w:cstheme="minorHAnsi"/>
        </w:rPr>
        <w:t xml:space="preserve"> Government. </w:t>
      </w:r>
      <w:proofErr w:type="spellStart"/>
      <w:r w:rsidRPr="006E3301">
        <w:rPr>
          <w:rFonts w:cstheme="minorHAnsi"/>
        </w:rPr>
        <w:t>doi</w:t>
      </w:r>
      <w:proofErr w:type="spellEnd"/>
      <w:r w:rsidRPr="006E3301">
        <w:rPr>
          <w:rFonts w:cstheme="minorHAnsi"/>
        </w:rPr>
        <w:t xml:space="preserve">: </w:t>
      </w:r>
      <w:hyperlink r:id="rId11" w:history="1">
        <w:r w:rsidRPr="006E3301">
          <w:rPr>
            <w:rStyle w:val="Hyperlink"/>
            <w:rFonts w:cstheme="minorHAnsi"/>
          </w:rPr>
          <w:t>https://www.instituteforgovernment.org.uk/explainers/judicial-review</w:t>
        </w:r>
      </w:hyperlink>
      <w:r w:rsidRPr="006E3301">
        <w:rPr>
          <w:rFonts w:cstheme="minorHAnsi"/>
        </w:rPr>
        <w:t xml:space="preserve"> Accessed at: 29/04/2022</w:t>
      </w:r>
    </w:p>
    <w:p w14:paraId="1B44CD4D" w14:textId="77777777" w:rsidR="006E3301" w:rsidRPr="006E3301" w:rsidRDefault="006E3301" w:rsidP="004E5929">
      <w:pPr>
        <w:spacing w:line="480" w:lineRule="auto"/>
        <w:rPr>
          <w:rFonts w:cstheme="minorHAnsi"/>
        </w:rPr>
      </w:pPr>
    </w:p>
    <w:p w14:paraId="065CC112" w14:textId="288B4173" w:rsidR="00C158D3" w:rsidRDefault="00C158D3" w:rsidP="004E5929">
      <w:pPr>
        <w:spacing w:line="480" w:lineRule="auto"/>
        <w:rPr>
          <w:rFonts w:cstheme="minorHAnsi"/>
        </w:rPr>
      </w:pPr>
      <w:r w:rsidRPr="006E3301">
        <w:rPr>
          <w:rFonts w:cstheme="minorHAnsi"/>
        </w:rPr>
        <w:t xml:space="preserve">Lowe, D and Potter, C. (2018) Understanding Legislation: A Practical Guide to Statutory Interpretation. 1st </w:t>
      </w:r>
      <w:proofErr w:type="spellStart"/>
      <w:r w:rsidRPr="006E3301">
        <w:rPr>
          <w:rFonts w:cstheme="minorHAnsi"/>
        </w:rPr>
        <w:t>edn</w:t>
      </w:r>
      <w:proofErr w:type="spellEnd"/>
      <w:r w:rsidRPr="006E3301">
        <w:rPr>
          <w:rFonts w:cstheme="minorHAnsi"/>
        </w:rPr>
        <w:t>. Oxford: Hart Publishing.</w:t>
      </w:r>
    </w:p>
    <w:p w14:paraId="350FF7AA" w14:textId="77777777" w:rsidR="006E3301" w:rsidRPr="006E3301" w:rsidRDefault="006E3301" w:rsidP="004E5929">
      <w:pPr>
        <w:spacing w:line="480" w:lineRule="auto"/>
        <w:rPr>
          <w:rFonts w:cstheme="minorHAnsi"/>
        </w:rPr>
      </w:pPr>
    </w:p>
    <w:p w14:paraId="2F9033D8" w14:textId="3403A9F9" w:rsidR="00C158D3" w:rsidRDefault="00C158D3" w:rsidP="004E5929">
      <w:pPr>
        <w:spacing w:line="480" w:lineRule="auto"/>
        <w:rPr>
          <w:rFonts w:cstheme="minorHAnsi"/>
        </w:rPr>
      </w:pPr>
      <w:proofErr w:type="spellStart"/>
      <w:r w:rsidRPr="006E3301">
        <w:rPr>
          <w:rFonts w:cstheme="minorHAnsi"/>
        </w:rPr>
        <w:t>M.Smits</w:t>
      </w:r>
      <w:proofErr w:type="spellEnd"/>
      <w:r w:rsidRPr="006E3301">
        <w:rPr>
          <w:rFonts w:cstheme="minorHAnsi"/>
        </w:rPr>
        <w:t xml:space="preserve">, J. (2012) Elgar </w:t>
      </w:r>
      <w:proofErr w:type="spellStart"/>
      <w:r w:rsidRPr="006E3301">
        <w:rPr>
          <w:rFonts w:cstheme="minorHAnsi"/>
        </w:rPr>
        <w:t>Encyclopedia</w:t>
      </w:r>
      <w:proofErr w:type="spellEnd"/>
      <w:r w:rsidRPr="006E3301">
        <w:rPr>
          <w:rFonts w:cstheme="minorHAnsi"/>
        </w:rPr>
        <w:t xml:space="preserve"> of Comparative Law. 2nd </w:t>
      </w:r>
      <w:proofErr w:type="spellStart"/>
      <w:r w:rsidRPr="006E3301">
        <w:rPr>
          <w:rFonts w:cstheme="minorHAnsi"/>
        </w:rPr>
        <w:t>edn</w:t>
      </w:r>
      <w:proofErr w:type="spellEnd"/>
      <w:r w:rsidRPr="006E3301">
        <w:rPr>
          <w:rFonts w:cstheme="minorHAnsi"/>
        </w:rPr>
        <w:t>. Cheltenham: Edward Elgar Publishing.</w:t>
      </w:r>
    </w:p>
    <w:p w14:paraId="61B392DE" w14:textId="77777777" w:rsidR="006E3301" w:rsidRPr="006E3301" w:rsidRDefault="006E3301" w:rsidP="004E5929">
      <w:pPr>
        <w:spacing w:line="480" w:lineRule="auto"/>
        <w:rPr>
          <w:rFonts w:cstheme="minorHAnsi"/>
        </w:rPr>
      </w:pPr>
    </w:p>
    <w:p w14:paraId="0A02FEE7" w14:textId="4DC371F2" w:rsidR="00C158D3" w:rsidRDefault="00C158D3" w:rsidP="004E5929">
      <w:pPr>
        <w:spacing w:line="480" w:lineRule="auto"/>
        <w:rPr>
          <w:rFonts w:cstheme="minorHAnsi"/>
        </w:rPr>
      </w:pPr>
      <w:r w:rsidRPr="006E3301">
        <w:rPr>
          <w:rFonts w:cstheme="minorHAnsi"/>
        </w:rPr>
        <w:t xml:space="preserve">Partington, M. (2016) An introduction to the English legal system. 15th </w:t>
      </w:r>
      <w:proofErr w:type="spellStart"/>
      <w:r w:rsidRPr="006E3301">
        <w:rPr>
          <w:rFonts w:cstheme="minorHAnsi"/>
        </w:rPr>
        <w:t>edn</w:t>
      </w:r>
      <w:proofErr w:type="spellEnd"/>
      <w:r w:rsidRPr="006E3301">
        <w:rPr>
          <w:rFonts w:cstheme="minorHAnsi"/>
        </w:rPr>
        <w:t>. Oxford: Oxford University Press.</w:t>
      </w:r>
    </w:p>
    <w:p w14:paraId="0D7D4E29" w14:textId="77777777" w:rsidR="006E3301" w:rsidRPr="006E3301" w:rsidRDefault="006E3301" w:rsidP="004E5929">
      <w:pPr>
        <w:spacing w:line="480" w:lineRule="auto"/>
        <w:rPr>
          <w:rFonts w:cstheme="minorHAnsi"/>
        </w:rPr>
      </w:pPr>
    </w:p>
    <w:p w14:paraId="16656187" w14:textId="56616E6A" w:rsidR="00C158D3" w:rsidRDefault="00C158D3" w:rsidP="004E5929">
      <w:pPr>
        <w:spacing w:line="480" w:lineRule="auto"/>
        <w:rPr>
          <w:rFonts w:cstheme="minorHAnsi"/>
        </w:rPr>
      </w:pPr>
      <w:r w:rsidRPr="006E3301">
        <w:rPr>
          <w:rFonts w:cstheme="minorHAnsi"/>
        </w:rPr>
        <w:t>Rt Hon Lord Justice Sales. (2017) Modern Statutory Interpretation, Statute Law Review, 38 (2), pp. 125–132.</w:t>
      </w:r>
    </w:p>
    <w:p w14:paraId="06FEFB14" w14:textId="77777777" w:rsidR="006E3301" w:rsidRPr="006E3301" w:rsidRDefault="006E3301" w:rsidP="004E5929">
      <w:pPr>
        <w:spacing w:line="480" w:lineRule="auto"/>
        <w:rPr>
          <w:rFonts w:cstheme="minorHAnsi"/>
        </w:rPr>
      </w:pPr>
    </w:p>
    <w:p w14:paraId="29789E45" w14:textId="4AC9F177" w:rsidR="00C158D3" w:rsidRDefault="00C158D3" w:rsidP="004E5929">
      <w:pPr>
        <w:spacing w:line="480" w:lineRule="auto"/>
        <w:rPr>
          <w:rFonts w:cstheme="minorHAnsi"/>
        </w:rPr>
      </w:pPr>
      <w:r w:rsidRPr="006E3301">
        <w:rPr>
          <w:rFonts w:cstheme="minorHAnsi"/>
        </w:rPr>
        <w:t>The Law Commission (1969), The Interpretation of Statutes HC 256. Available at:</w:t>
      </w:r>
      <w:hyperlink r:id="rId12" w:history="1">
        <w:r w:rsidRPr="006E3301">
          <w:rPr>
            <w:rStyle w:val="Hyperlink"/>
            <w:rFonts w:cstheme="minorHAnsi"/>
          </w:rPr>
          <w:t>https://assets.publishing.service.gov.uk/government/uploads/system/uploads/attachment_data/file/228894/0256.pdf</w:t>
        </w:r>
      </w:hyperlink>
      <w:r w:rsidRPr="006E3301">
        <w:rPr>
          <w:rFonts w:cstheme="minorHAnsi"/>
        </w:rPr>
        <w:t xml:space="preserve"> Accessed at: 28/04/2022</w:t>
      </w:r>
    </w:p>
    <w:p w14:paraId="46CDE791" w14:textId="77777777" w:rsidR="006E3301" w:rsidRPr="006E3301" w:rsidRDefault="006E3301" w:rsidP="004E5929">
      <w:pPr>
        <w:spacing w:line="480" w:lineRule="auto"/>
        <w:rPr>
          <w:rFonts w:cstheme="minorHAnsi"/>
        </w:rPr>
      </w:pPr>
    </w:p>
    <w:p w14:paraId="60FF407F" w14:textId="15DB196F" w:rsidR="00C158D3" w:rsidRDefault="00C158D3" w:rsidP="004E5929">
      <w:pPr>
        <w:spacing w:line="480" w:lineRule="auto"/>
        <w:rPr>
          <w:rFonts w:cstheme="minorHAnsi"/>
        </w:rPr>
      </w:pPr>
      <w:r w:rsidRPr="006E3301">
        <w:rPr>
          <w:rFonts w:cstheme="minorHAnsi"/>
        </w:rPr>
        <w:t xml:space="preserve">The Statute of Marlborough 1267 c. 1. Available at: </w:t>
      </w:r>
      <w:hyperlink r:id="rId13" w:history="1">
        <w:r w:rsidRPr="006E3301">
          <w:rPr>
            <w:rStyle w:val="Hyperlink"/>
            <w:rFonts w:cstheme="minorHAnsi"/>
          </w:rPr>
          <w:t>https://www.legislation.gov.uk/aep/Hen3cc1415/52/1/contents</w:t>
        </w:r>
      </w:hyperlink>
      <w:r w:rsidRPr="006E3301">
        <w:rPr>
          <w:rFonts w:cstheme="minorHAnsi"/>
        </w:rPr>
        <w:t xml:space="preserve"> Accessed at: 27/04/2022</w:t>
      </w:r>
    </w:p>
    <w:p w14:paraId="0C314463" w14:textId="77777777" w:rsidR="006E3301" w:rsidRPr="006E3301" w:rsidRDefault="006E3301" w:rsidP="004E5929">
      <w:pPr>
        <w:spacing w:line="480" w:lineRule="auto"/>
        <w:rPr>
          <w:rFonts w:cstheme="minorHAnsi"/>
        </w:rPr>
      </w:pPr>
    </w:p>
    <w:p w14:paraId="0E2F0A77" w14:textId="14791DE6" w:rsidR="00C158D3" w:rsidRDefault="00C158D3" w:rsidP="004E5929">
      <w:pPr>
        <w:spacing w:line="480" w:lineRule="auto"/>
        <w:rPr>
          <w:rFonts w:cstheme="minorHAnsi"/>
        </w:rPr>
      </w:pPr>
      <w:r w:rsidRPr="006E3301">
        <w:rPr>
          <w:rFonts w:cstheme="minorHAnsi"/>
        </w:rPr>
        <w:t xml:space="preserve">UK Parliament (2022), Legislation. Available at: </w:t>
      </w:r>
      <w:hyperlink r:id="rId14" w:history="1">
        <w:r w:rsidRPr="006E3301">
          <w:rPr>
            <w:rStyle w:val="Hyperlink"/>
            <w:rFonts w:cstheme="minorHAnsi"/>
          </w:rPr>
          <w:t>https://www.parliament.uk/site-information/glossary/legislation/</w:t>
        </w:r>
      </w:hyperlink>
      <w:r w:rsidRPr="006E3301">
        <w:rPr>
          <w:rFonts w:cstheme="minorHAnsi"/>
        </w:rPr>
        <w:t xml:space="preserve"> Accessed at: 27/04/2022</w:t>
      </w:r>
    </w:p>
    <w:p w14:paraId="3AD50D03" w14:textId="77777777" w:rsidR="006E3301" w:rsidRPr="006E3301" w:rsidRDefault="006E3301" w:rsidP="004E5929">
      <w:pPr>
        <w:spacing w:line="480" w:lineRule="auto"/>
        <w:rPr>
          <w:rFonts w:cstheme="minorHAnsi"/>
        </w:rPr>
      </w:pPr>
    </w:p>
    <w:p w14:paraId="5B40D706" w14:textId="4C84836F" w:rsidR="009F437C" w:rsidRPr="006E3301" w:rsidRDefault="00C158D3" w:rsidP="004E5929">
      <w:pPr>
        <w:spacing w:line="480" w:lineRule="auto"/>
        <w:rPr>
          <w:rFonts w:cstheme="minorHAnsi"/>
        </w:rPr>
      </w:pPr>
      <w:r w:rsidRPr="006E3301">
        <w:rPr>
          <w:rFonts w:cstheme="minorHAnsi"/>
        </w:rPr>
        <w:t xml:space="preserve">Wilson, S et al. (2020) English legal system. 4th </w:t>
      </w:r>
      <w:proofErr w:type="spellStart"/>
      <w:r w:rsidRPr="006E3301">
        <w:rPr>
          <w:rFonts w:cstheme="minorHAnsi"/>
        </w:rPr>
        <w:t>edn</w:t>
      </w:r>
      <w:proofErr w:type="spellEnd"/>
      <w:r w:rsidRPr="006E3301">
        <w:rPr>
          <w:rFonts w:cstheme="minorHAnsi"/>
        </w:rPr>
        <w:t>. Oxford: Oxford University 2020.</w:t>
      </w:r>
    </w:p>
    <w:p w14:paraId="4717BEDD" w14:textId="1163376F" w:rsidR="00DC484E" w:rsidRPr="006E3301" w:rsidRDefault="00DC484E" w:rsidP="004E5929">
      <w:pPr>
        <w:spacing w:line="480" w:lineRule="auto"/>
        <w:rPr>
          <w:rFonts w:cstheme="minorHAnsi"/>
          <w:b/>
          <w:bCs/>
          <w:u w:val="single"/>
          <w:shd w:val="clear" w:color="auto" w:fill="FFFFFF"/>
        </w:rPr>
      </w:pPr>
      <w:r w:rsidRPr="006E3301">
        <w:rPr>
          <w:rFonts w:cstheme="minorHAnsi"/>
          <w:b/>
          <w:bCs/>
          <w:u w:val="single"/>
          <w:shd w:val="clear" w:color="auto" w:fill="FFFFFF"/>
        </w:rPr>
        <w:t>Cases studies</w:t>
      </w:r>
    </w:p>
    <w:p w14:paraId="372103D6" w14:textId="77777777" w:rsidR="006E3301" w:rsidRDefault="006E3301" w:rsidP="006E3301">
      <w:pPr>
        <w:rPr>
          <w:rFonts w:cstheme="minorHAnsi"/>
          <w:color w:val="2A2A2A"/>
          <w:shd w:val="clear" w:color="auto" w:fill="FFFFFF"/>
        </w:rPr>
      </w:pPr>
      <w:proofErr w:type="spellStart"/>
      <w:r w:rsidRPr="006E3301">
        <w:rPr>
          <w:rFonts w:cstheme="minorHAnsi"/>
          <w:color w:val="2A2A2A"/>
          <w:shd w:val="clear" w:color="auto" w:fill="FFFFFF"/>
        </w:rPr>
        <w:t>Coltman</w:t>
      </w:r>
      <w:proofErr w:type="spellEnd"/>
      <w:r w:rsidRPr="006E3301">
        <w:rPr>
          <w:rFonts w:cstheme="minorHAnsi"/>
          <w:color w:val="2A2A2A"/>
          <w:shd w:val="clear" w:color="auto" w:fill="FFFFFF"/>
        </w:rPr>
        <w:t xml:space="preserve"> v Bibby [1987] AC 276</w:t>
      </w:r>
    </w:p>
    <w:p w14:paraId="17FC43D3" w14:textId="77777777" w:rsidR="006E3301" w:rsidRPr="006E3301" w:rsidRDefault="006E3301" w:rsidP="006E3301">
      <w:pPr>
        <w:rPr>
          <w:rFonts w:cstheme="minorHAnsi"/>
          <w:color w:val="2A2A2A"/>
          <w:shd w:val="clear" w:color="auto" w:fill="FFFFFF"/>
        </w:rPr>
      </w:pPr>
    </w:p>
    <w:p w14:paraId="089CF446" w14:textId="77777777" w:rsidR="006E3301" w:rsidRDefault="006E3301" w:rsidP="006E3301">
      <w:pPr>
        <w:rPr>
          <w:rFonts w:cstheme="minorHAnsi"/>
          <w:color w:val="2A2A2A"/>
          <w:shd w:val="clear" w:color="auto" w:fill="FFFFFF"/>
        </w:rPr>
      </w:pPr>
      <w:r w:rsidRPr="006E3301">
        <w:rPr>
          <w:rFonts w:cstheme="minorHAnsi"/>
          <w:color w:val="2A2A2A"/>
          <w:shd w:val="clear" w:color="auto" w:fill="FFFFFF"/>
        </w:rPr>
        <w:t>Fisher v Bell [1961] 1 QB 394</w:t>
      </w:r>
    </w:p>
    <w:p w14:paraId="1F54D7DA" w14:textId="77777777" w:rsidR="006E3301" w:rsidRPr="006E3301" w:rsidRDefault="006E3301" w:rsidP="006E3301">
      <w:pPr>
        <w:rPr>
          <w:rFonts w:cstheme="minorHAnsi"/>
          <w:color w:val="2A2A2A"/>
          <w:shd w:val="clear" w:color="auto" w:fill="FFFFFF"/>
        </w:rPr>
      </w:pPr>
    </w:p>
    <w:p w14:paraId="0853D881" w14:textId="77777777" w:rsidR="006E3301" w:rsidRDefault="006E3301" w:rsidP="006E3301">
      <w:pPr>
        <w:rPr>
          <w:rFonts w:cstheme="minorHAnsi"/>
          <w:color w:val="2A2A2A"/>
          <w:shd w:val="clear" w:color="auto" w:fill="FFFFFF"/>
        </w:rPr>
      </w:pPr>
      <w:proofErr w:type="spellStart"/>
      <w:r w:rsidRPr="006E3301">
        <w:rPr>
          <w:rFonts w:cstheme="minorHAnsi"/>
          <w:color w:val="2A2A2A"/>
          <w:shd w:val="clear" w:color="auto" w:fill="FFFFFF"/>
        </w:rPr>
        <w:t>Gorris</w:t>
      </w:r>
      <w:proofErr w:type="spellEnd"/>
      <w:r w:rsidRPr="006E3301">
        <w:rPr>
          <w:rFonts w:cstheme="minorHAnsi"/>
          <w:color w:val="2A2A2A"/>
          <w:shd w:val="clear" w:color="auto" w:fill="FFFFFF"/>
        </w:rPr>
        <w:t xml:space="preserve"> v Scott [1874] LR 9 </w:t>
      </w:r>
      <w:proofErr w:type="spellStart"/>
      <w:r w:rsidRPr="006E3301">
        <w:rPr>
          <w:rFonts w:cstheme="minorHAnsi"/>
          <w:color w:val="2A2A2A"/>
          <w:shd w:val="clear" w:color="auto" w:fill="FFFFFF"/>
        </w:rPr>
        <w:t>Exch</w:t>
      </w:r>
      <w:proofErr w:type="spellEnd"/>
      <w:r w:rsidRPr="006E3301">
        <w:rPr>
          <w:rFonts w:cstheme="minorHAnsi"/>
          <w:color w:val="2A2A2A"/>
          <w:shd w:val="clear" w:color="auto" w:fill="FFFFFF"/>
        </w:rPr>
        <w:t xml:space="preserve"> 125</w:t>
      </w:r>
    </w:p>
    <w:p w14:paraId="5C100B9A" w14:textId="77777777" w:rsidR="006E3301" w:rsidRPr="006E3301" w:rsidRDefault="006E3301" w:rsidP="006E3301">
      <w:pPr>
        <w:rPr>
          <w:rFonts w:cstheme="minorHAnsi"/>
          <w:color w:val="2A2A2A"/>
          <w:shd w:val="clear" w:color="auto" w:fill="FFFFFF"/>
        </w:rPr>
      </w:pPr>
    </w:p>
    <w:p w14:paraId="13A593C0" w14:textId="77777777" w:rsidR="006E3301" w:rsidRDefault="006E3301" w:rsidP="006E3301">
      <w:pPr>
        <w:rPr>
          <w:rFonts w:cstheme="minorHAnsi"/>
          <w:color w:val="2A2A2A"/>
          <w:shd w:val="clear" w:color="auto" w:fill="FFFFFF"/>
        </w:rPr>
      </w:pPr>
      <w:r w:rsidRPr="006E3301">
        <w:rPr>
          <w:rFonts w:cstheme="minorHAnsi"/>
          <w:color w:val="2A2A2A"/>
          <w:shd w:val="clear" w:color="auto" w:fill="FFFFFF"/>
        </w:rPr>
        <w:t>Grey v Pearson (1857) 6 HL Cas 61</w:t>
      </w:r>
    </w:p>
    <w:p w14:paraId="2622BE65" w14:textId="77777777" w:rsidR="006E3301" w:rsidRPr="006E3301" w:rsidRDefault="006E3301" w:rsidP="006E3301">
      <w:pPr>
        <w:rPr>
          <w:rFonts w:cstheme="minorHAnsi"/>
          <w:color w:val="2A2A2A"/>
          <w:shd w:val="clear" w:color="auto" w:fill="FFFFFF"/>
        </w:rPr>
      </w:pPr>
    </w:p>
    <w:p w14:paraId="5221D9C8" w14:textId="77777777" w:rsidR="006E3301" w:rsidRDefault="006E3301" w:rsidP="006E3301">
      <w:pPr>
        <w:rPr>
          <w:rFonts w:cstheme="minorHAnsi"/>
          <w:color w:val="2A2A2A"/>
          <w:shd w:val="clear" w:color="auto" w:fill="FFFFFF"/>
        </w:rPr>
      </w:pPr>
      <w:r w:rsidRPr="006E3301">
        <w:rPr>
          <w:rFonts w:cstheme="minorHAnsi"/>
          <w:color w:val="2A2A2A"/>
          <w:shd w:val="clear" w:color="auto" w:fill="FFFFFF"/>
        </w:rPr>
        <w:t xml:space="preserve">Heydon’s case [1584] EWHC </w:t>
      </w:r>
      <w:proofErr w:type="spellStart"/>
      <w:r w:rsidRPr="006E3301">
        <w:rPr>
          <w:rFonts w:cstheme="minorHAnsi"/>
          <w:color w:val="2A2A2A"/>
          <w:shd w:val="clear" w:color="auto" w:fill="FFFFFF"/>
        </w:rPr>
        <w:t>Exch</w:t>
      </w:r>
      <w:proofErr w:type="spellEnd"/>
      <w:r w:rsidRPr="006E3301">
        <w:rPr>
          <w:rFonts w:cstheme="minorHAnsi"/>
          <w:color w:val="2A2A2A"/>
          <w:shd w:val="clear" w:color="auto" w:fill="FFFFFF"/>
        </w:rPr>
        <w:t xml:space="preserve"> J36</w:t>
      </w:r>
    </w:p>
    <w:p w14:paraId="728F0C1D" w14:textId="77777777" w:rsidR="006E3301" w:rsidRPr="006E3301" w:rsidRDefault="006E3301" w:rsidP="006E3301">
      <w:pPr>
        <w:rPr>
          <w:rFonts w:cstheme="minorHAnsi"/>
          <w:color w:val="2A2A2A"/>
          <w:shd w:val="clear" w:color="auto" w:fill="FFFFFF"/>
        </w:rPr>
      </w:pPr>
    </w:p>
    <w:p w14:paraId="040495D3" w14:textId="77ACADDC" w:rsidR="00A70E4D" w:rsidRDefault="006E3301" w:rsidP="006E3301">
      <w:pPr>
        <w:rPr>
          <w:rFonts w:cstheme="minorHAnsi"/>
          <w:color w:val="2A2A2A"/>
          <w:shd w:val="clear" w:color="auto" w:fill="FFFFFF"/>
        </w:rPr>
      </w:pPr>
      <w:r w:rsidRPr="006E3301">
        <w:rPr>
          <w:rFonts w:cstheme="minorHAnsi"/>
          <w:color w:val="2A2A2A"/>
          <w:shd w:val="clear" w:color="auto" w:fill="FFFFFF"/>
        </w:rPr>
        <w:t>Re Sigsworth [1935] 1 Ch 98</w:t>
      </w:r>
    </w:p>
    <w:p w14:paraId="045F57AC" w14:textId="77777777" w:rsidR="006E3301" w:rsidRPr="006E3301" w:rsidRDefault="006E3301" w:rsidP="006E3301">
      <w:pPr>
        <w:rPr>
          <w:rFonts w:cstheme="minorHAnsi"/>
          <w:color w:val="2A2A2A"/>
          <w:shd w:val="clear" w:color="auto" w:fill="FFFFFF"/>
        </w:rPr>
      </w:pPr>
    </w:p>
    <w:p w14:paraId="45AC0B3C" w14:textId="3544BBA5" w:rsidR="00A70E4D" w:rsidRPr="00427CFA" w:rsidRDefault="00A70E4D" w:rsidP="00A70E4D"/>
    <w:sectPr w:rsidR="00A70E4D" w:rsidRPr="00427CFA" w:rsidSect="003275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A04"/>
    <w:rsid w:val="00002A28"/>
    <w:rsid w:val="0000570E"/>
    <w:rsid w:val="00006840"/>
    <w:rsid w:val="00013810"/>
    <w:rsid w:val="0001572E"/>
    <w:rsid w:val="00021486"/>
    <w:rsid w:val="0002633C"/>
    <w:rsid w:val="0003056F"/>
    <w:rsid w:val="00031801"/>
    <w:rsid w:val="00036889"/>
    <w:rsid w:val="000415A0"/>
    <w:rsid w:val="00041924"/>
    <w:rsid w:val="00043CCB"/>
    <w:rsid w:val="00062D9A"/>
    <w:rsid w:val="00064741"/>
    <w:rsid w:val="0007155F"/>
    <w:rsid w:val="00071652"/>
    <w:rsid w:val="000760AE"/>
    <w:rsid w:val="000800F9"/>
    <w:rsid w:val="00097958"/>
    <w:rsid w:val="000A3DC8"/>
    <w:rsid w:val="000B7B98"/>
    <w:rsid w:val="000B7D8A"/>
    <w:rsid w:val="000C3212"/>
    <w:rsid w:val="000C574E"/>
    <w:rsid w:val="000D4871"/>
    <w:rsid w:val="000D591C"/>
    <w:rsid w:val="000E134F"/>
    <w:rsid w:val="000E4E10"/>
    <w:rsid w:val="000F1B61"/>
    <w:rsid w:val="000F2729"/>
    <w:rsid w:val="000F7915"/>
    <w:rsid w:val="00111AC2"/>
    <w:rsid w:val="00114722"/>
    <w:rsid w:val="00127C14"/>
    <w:rsid w:val="00131E86"/>
    <w:rsid w:val="0013507E"/>
    <w:rsid w:val="001350D7"/>
    <w:rsid w:val="00142F0A"/>
    <w:rsid w:val="00143FB5"/>
    <w:rsid w:val="00144454"/>
    <w:rsid w:val="00160088"/>
    <w:rsid w:val="0016086E"/>
    <w:rsid w:val="00170182"/>
    <w:rsid w:val="0017146E"/>
    <w:rsid w:val="00174323"/>
    <w:rsid w:val="001760C6"/>
    <w:rsid w:val="00182FE5"/>
    <w:rsid w:val="001979E5"/>
    <w:rsid w:val="001A0A84"/>
    <w:rsid w:val="001A230D"/>
    <w:rsid w:val="001B29D3"/>
    <w:rsid w:val="001B4CA6"/>
    <w:rsid w:val="001B7F11"/>
    <w:rsid w:val="001C0A04"/>
    <w:rsid w:val="001C2372"/>
    <w:rsid w:val="001C4B9D"/>
    <w:rsid w:val="001C58DC"/>
    <w:rsid w:val="001C5985"/>
    <w:rsid w:val="001C5D1A"/>
    <w:rsid w:val="001C7D75"/>
    <w:rsid w:val="001D4CC6"/>
    <w:rsid w:val="001D5084"/>
    <w:rsid w:val="001F7764"/>
    <w:rsid w:val="0020090F"/>
    <w:rsid w:val="00205914"/>
    <w:rsid w:val="00205BF0"/>
    <w:rsid w:val="00215752"/>
    <w:rsid w:val="0022313C"/>
    <w:rsid w:val="00225A68"/>
    <w:rsid w:val="00225EDA"/>
    <w:rsid w:val="002354F1"/>
    <w:rsid w:val="00235CAF"/>
    <w:rsid w:val="0023614A"/>
    <w:rsid w:val="0024003E"/>
    <w:rsid w:val="00242943"/>
    <w:rsid w:val="00242990"/>
    <w:rsid w:val="00243431"/>
    <w:rsid w:val="00244DCC"/>
    <w:rsid w:val="00246386"/>
    <w:rsid w:val="00252F03"/>
    <w:rsid w:val="00254AC0"/>
    <w:rsid w:val="00264C20"/>
    <w:rsid w:val="00267E67"/>
    <w:rsid w:val="0027457F"/>
    <w:rsid w:val="00275F71"/>
    <w:rsid w:val="002833F4"/>
    <w:rsid w:val="002924A1"/>
    <w:rsid w:val="002938E4"/>
    <w:rsid w:val="00293CE2"/>
    <w:rsid w:val="002966AE"/>
    <w:rsid w:val="00296B56"/>
    <w:rsid w:val="00297172"/>
    <w:rsid w:val="002976D1"/>
    <w:rsid w:val="002A3F4A"/>
    <w:rsid w:val="002A6503"/>
    <w:rsid w:val="002C0EC1"/>
    <w:rsid w:val="002C737D"/>
    <w:rsid w:val="002C7551"/>
    <w:rsid w:val="002D149A"/>
    <w:rsid w:val="002D48DB"/>
    <w:rsid w:val="002E15DB"/>
    <w:rsid w:val="002E70C1"/>
    <w:rsid w:val="002F19EC"/>
    <w:rsid w:val="0030026A"/>
    <w:rsid w:val="003018C6"/>
    <w:rsid w:val="003023D1"/>
    <w:rsid w:val="00306725"/>
    <w:rsid w:val="003115EB"/>
    <w:rsid w:val="0031282C"/>
    <w:rsid w:val="00312A12"/>
    <w:rsid w:val="00314C18"/>
    <w:rsid w:val="0031682D"/>
    <w:rsid w:val="003211B8"/>
    <w:rsid w:val="0032736A"/>
    <w:rsid w:val="003275C0"/>
    <w:rsid w:val="00331A8C"/>
    <w:rsid w:val="00334577"/>
    <w:rsid w:val="00336C39"/>
    <w:rsid w:val="003374B9"/>
    <w:rsid w:val="003552D9"/>
    <w:rsid w:val="0035689D"/>
    <w:rsid w:val="003575C3"/>
    <w:rsid w:val="00363DB9"/>
    <w:rsid w:val="00371851"/>
    <w:rsid w:val="003739B5"/>
    <w:rsid w:val="00374773"/>
    <w:rsid w:val="00377657"/>
    <w:rsid w:val="003777EF"/>
    <w:rsid w:val="003860D6"/>
    <w:rsid w:val="00390AEE"/>
    <w:rsid w:val="00391023"/>
    <w:rsid w:val="0039580B"/>
    <w:rsid w:val="00395C9D"/>
    <w:rsid w:val="003A6FFE"/>
    <w:rsid w:val="003B28A5"/>
    <w:rsid w:val="003B2A1E"/>
    <w:rsid w:val="003B2B21"/>
    <w:rsid w:val="003B4C78"/>
    <w:rsid w:val="003C4BC4"/>
    <w:rsid w:val="003C4CD4"/>
    <w:rsid w:val="003C5284"/>
    <w:rsid w:val="003C675C"/>
    <w:rsid w:val="003D15C6"/>
    <w:rsid w:val="003E3DD5"/>
    <w:rsid w:val="003E4B05"/>
    <w:rsid w:val="003F240F"/>
    <w:rsid w:val="003F449F"/>
    <w:rsid w:val="00400023"/>
    <w:rsid w:val="00401660"/>
    <w:rsid w:val="004059F8"/>
    <w:rsid w:val="00405D0A"/>
    <w:rsid w:val="0041437F"/>
    <w:rsid w:val="00416C22"/>
    <w:rsid w:val="00422E80"/>
    <w:rsid w:val="004255DC"/>
    <w:rsid w:val="00427CFA"/>
    <w:rsid w:val="0043187C"/>
    <w:rsid w:val="00440D17"/>
    <w:rsid w:val="004457CB"/>
    <w:rsid w:val="004463E3"/>
    <w:rsid w:val="00447188"/>
    <w:rsid w:val="004646C2"/>
    <w:rsid w:val="00465E38"/>
    <w:rsid w:val="00475FBF"/>
    <w:rsid w:val="00485487"/>
    <w:rsid w:val="0048652B"/>
    <w:rsid w:val="004901E0"/>
    <w:rsid w:val="0049454B"/>
    <w:rsid w:val="00494738"/>
    <w:rsid w:val="00497B69"/>
    <w:rsid w:val="004A12EB"/>
    <w:rsid w:val="004A140A"/>
    <w:rsid w:val="004A6FD8"/>
    <w:rsid w:val="004B47F2"/>
    <w:rsid w:val="004B59AE"/>
    <w:rsid w:val="004C2690"/>
    <w:rsid w:val="004C4DAE"/>
    <w:rsid w:val="004D1F7C"/>
    <w:rsid w:val="004D67A4"/>
    <w:rsid w:val="004E3130"/>
    <w:rsid w:val="004E5929"/>
    <w:rsid w:val="004E598E"/>
    <w:rsid w:val="004E7B40"/>
    <w:rsid w:val="004F25E2"/>
    <w:rsid w:val="004F2DD4"/>
    <w:rsid w:val="004F5FEE"/>
    <w:rsid w:val="005023CB"/>
    <w:rsid w:val="0050724E"/>
    <w:rsid w:val="0050741E"/>
    <w:rsid w:val="00511EC5"/>
    <w:rsid w:val="005237A6"/>
    <w:rsid w:val="00530403"/>
    <w:rsid w:val="005338A3"/>
    <w:rsid w:val="00541167"/>
    <w:rsid w:val="00552771"/>
    <w:rsid w:val="005568B4"/>
    <w:rsid w:val="00560284"/>
    <w:rsid w:val="005604DB"/>
    <w:rsid w:val="00561CB8"/>
    <w:rsid w:val="005732C4"/>
    <w:rsid w:val="0058198C"/>
    <w:rsid w:val="0058353F"/>
    <w:rsid w:val="005A0E2F"/>
    <w:rsid w:val="005A11A7"/>
    <w:rsid w:val="005A3AF4"/>
    <w:rsid w:val="005A6E12"/>
    <w:rsid w:val="005A76D9"/>
    <w:rsid w:val="005B21EF"/>
    <w:rsid w:val="005C4549"/>
    <w:rsid w:val="005C62F2"/>
    <w:rsid w:val="005D021E"/>
    <w:rsid w:val="005D14C4"/>
    <w:rsid w:val="005D2496"/>
    <w:rsid w:val="005D2548"/>
    <w:rsid w:val="005E508D"/>
    <w:rsid w:val="005E5775"/>
    <w:rsid w:val="0061003B"/>
    <w:rsid w:val="00610551"/>
    <w:rsid w:val="0061133D"/>
    <w:rsid w:val="00611A87"/>
    <w:rsid w:val="00617CEB"/>
    <w:rsid w:val="006237A4"/>
    <w:rsid w:val="00624240"/>
    <w:rsid w:val="006269ED"/>
    <w:rsid w:val="00627003"/>
    <w:rsid w:val="00633CA8"/>
    <w:rsid w:val="00644C8B"/>
    <w:rsid w:val="00645170"/>
    <w:rsid w:val="00645386"/>
    <w:rsid w:val="00646C87"/>
    <w:rsid w:val="00650017"/>
    <w:rsid w:val="0065710C"/>
    <w:rsid w:val="00661E79"/>
    <w:rsid w:val="00663504"/>
    <w:rsid w:val="00663EF6"/>
    <w:rsid w:val="00664DB4"/>
    <w:rsid w:val="0068195F"/>
    <w:rsid w:val="00681E1E"/>
    <w:rsid w:val="006A17E4"/>
    <w:rsid w:val="006A24FD"/>
    <w:rsid w:val="006A31C7"/>
    <w:rsid w:val="006A738B"/>
    <w:rsid w:val="006A7EA1"/>
    <w:rsid w:val="006B50F7"/>
    <w:rsid w:val="006B5CE9"/>
    <w:rsid w:val="006B7A98"/>
    <w:rsid w:val="006C2A45"/>
    <w:rsid w:val="006C54C1"/>
    <w:rsid w:val="006E3301"/>
    <w:rsid w:val="006E5C0C"/>
    <w:rsid w:val="006F72CD"/>
    <w:rsid w:val="00704620"/>
    <w:rsid w:val="007074A8"/>
    <w:rsid w:val="007139E3"/>
    <w:rsid w:val="00714212"/>
    <w:rsid w:val="00715F16"/>
    <w:rsid w:val="00717EE3"/>
    <w:rsid w:val="00727F30"/>
    <w:rsid w:val="00734B6B"/>
    <w:rsid w:val="007369F3"/>
    <w:rsid w:val="007442D3"/>
    <w:rsid w:val="0074475B"/>
    <w:rsid w:val="00752948"/>
    <w:rsid w:val="007531D8"/>
    <w:rsid w:val="0075703F"/>
    <w:rsid w:val="00763699"/>
    <w:rsid w:val="00771B84"/>
    <w:rsid w:val="0077359B"/>
    <w:rsid w:val="00777226"/>
    <w:rsid w:val="007840D0"/>
    <w:rsid w:val="007862B2"/>
    <w:rsid w:val="007873F6"/>
    <w:rsid w:val="00793EEA"/>
    <w:rsid w:val="00795149"/>
    <w:rsid w:val="007A11C9"/>
    <w:rsid w:val="007A2EDD"/>
    <w:rsid w:val="007A5052"/>
    <w:rsid w:val="007B0F57"/>
    <w:rsid w:val="007B0F73"/>
    <w:rsid w:val="007B131F"/>
    <w:rsid w:val="007B2BE6"/>
    <w:rsid w:val="007C4942"/>
    <w:rsid w:val="007C7A7B"/>
    <w:rsid w:val="007D0082"/>
    <w:rsid w:val="007D0A36"/>
    <w:rsid w:val="007D5D2C"/>
    <w:rsid w:val="007E3452"/>
    <w:rsid w:val="007E4AC6"/>
    <w:rsid w:val="007E6857"/>
    <w:rsid w:val="007F15F4"/>
    <w:rsid w:val="007F73FE"/>
    <w:rsid w:val="007F7BD7"/>
    <w:rsid w:val="00800757"/>
    <w:rsid w:val="00803202"/>
    <w:rsid w:val="008035FA"/>
    <w:rsid w:val="00803AD8"/>
    <w:rsid w:val="00804E1F"/>
    <w:rsid w:val="00811D05"/>
    <w:rsid w:val="0082049B"/>
    <w:rsid w:val="0082433F"/>
    <w:rsid w:val="0082464F"/>
    <w:rsid w:val="008252C7"/>
    <w:rsid w:val="00842DED"/>
    <w:rsid w:val="0084369D"/>
    <w:rsid w:val="0084564E"/>
    <w:rsid w:val="00850BB4"/>
    <w:rsid w:val="0085138A"/>
    <w:rsid w:val="008517FB"/>
    <w:rsid w:val="00853A9A"/>
    <w:rsid w:val="0086383B"/>
    <w:rsid w:val="00865790"/>
    <w:rsid w:val="00865B7F"/>
    <w:rsid w:val="008666EF"/>
    <w:rsid w:val="00866884"/>
    <w:rsid w:val="008675B6"/>
    <w:rsid w:val="008738A3"/>
    <w:rsid w:val="008738C0"/>
    <w:rsid w:val="008740EB"/>
    <w:rsid w:val="0088228E"/>
    <w:rsid w:val="00883483"/>
    <w:rsid w:val="008921C4"/>
    <w:rsid w:val="00893346"/>
    <w:rsid w:val="008958A2"/>
    <w:rsid w:val="008A3108"/>
    <w:rsid w:val="008C1395"/>
    <w:rsid w:val="008C4187"/>
    <w:rsid w:val="008C42D3"/>
    <w:rsid w:val="008D6576"/>
    <w:rsid w:val="008D7D4B"/>
    <w:rsid w:val="008E1F28"/>
    <w:rsid w:val="008E5B03"/>
    <w:rsid w:val="008F64C3"/>
    <w:rsid w:val="00901CFF"/>
    <w:rsid w:val="00911331"/>
    <w:rsid w:val="00925936"/>
    <w:rsid w:val="009276B7"/>
    <w:rsid w:val="0092770B"/>
    <w:rsid w:val="00933AAB"/>
    <w:rsid w:val="00934784"/>
    <w:rsid w:val="00934CA8"/>
    <w:rsid w:val="00941594"/>
    <w:rsid w:val="009477D3"/>
    <w:rsid w:val="0095121D"/>
    <w:rsid w:val="009517B8"/>
    <w:rsid w:val="00953EB4"/>
    <w:rsid w:val="009559E6"/>
    <w:rsid w:val="009573F8"/>
    <w:rsid w:val="00966D90"/>
    <w:rsid w:val="00966DCE"/>
    <w:rsid w:val="00980A59"/>
    <w:rsid w:val="00982BD6"/>
    <w:rsid w:val="009847B0"/>
    <w:rsid w:val="0098537E"/>
    <w:rsid w:val="0098796D"/>
    <w:rsid w:val="009A5872"/>
    <w:rsid w:val="009A67E6"/>
    <w:rsid w:val="009A7267"/>
    <w:rsid w:val="009A77E2"/>
    <w:rsid w:val="009B0B8E"/>
    <w:rsid w:val="009C1F12"/>
    <w:rsid w:val="009D099C"/>
    <w:rsid w:val="009D198A"/>
    <w:rsid w:val="009D33FC"/>
    <w:rsid w:val="009E0567"/>
    <w:rsid w:val="009E29E3"/>
    <w:rsid w:val="009E321A"/>
    <w:rsid w:val="009E51D0"/>
    <w:rsid w:val="009F437C"/>
    <w:rsid w:val="009F45AD"/>
    <w:rsid w:val="009F777D"/>
    <w:rsid w:val="00A00500"/>
    <w:rsid w:val="00A04B83"/>
    <w:rsid w:val="00A05E68"/>
    <w:rsid w:val="00A14FF1"/>
    <w:rsid w:val="00A2025F"/>
    <w:rsid w:val="00A236E0"/>
    <w:rsid w:val="00A30865"/>
    <w:rsid w:val="00A35727"/>
    <w:rsid w:val="00A455F1"/>
    <w:rsid w:val="00A45820"/>
    <w:rsid w:val="00A46DE0"/>
    <w:rsid w:val="00A52C5F"/>
    <w:rsid w:val="00A5694B"/>
    <w:rsid w:val="00A56C2F"/>
    <w:rsid w:val="00A57C45"/>
    <w:rsid w:val="00A621FC"/>
    <w:rsid w:val="00A632AE"/>
    <w:rsid w:val="00A642A2"/>
    <w:rsid w:val="00A666A5"/>
    <w:rsid w:val="00A70E4D"/>
    <w:rsid w:val="00A719F4"/>
    <w:rsid w:val="00A72CE5"/>
    <w:rsid w:val="00A74ECB"/>
    <w:rsid w:val="00A75E36"/>
    <w:rsid w:val="00A86882"/>
    <w:rsid w:val="00A86B31"/>
    <w:rsid w:val="00A8732A"/>
    <w:rsid w:val="00A928FD"/>
    <w:rsid w:val="00A94C32"/>
    <w:rsid w:val="00A95D3B"/>
    <w:rsid w:val="00A96654"/>
    <w:rsid w:val="00A96A86"/>
    <w:rsid w:val="00A97414"/>
    <w:rsid w:val="00AA3C3C"/>
    <w:rsid w:val="00AB0308"/>
    <w:rsid w:val="00AB6BB4"/>
    <w:rsid w:val="00AC3460"/>
    <w:rsid w:val="00AC66C8"/>
    <w:rsid w:val="00AD3988"/>
    <w:rsid w:val="00AE09B2"/>
    <w:rsid w:val="00AE132F"/>
    <w:rsid w:val="00AF0CB1"/>
    <w:rsid w:val="00AF21D3"/>
    <w:rsid w:val="00AF2693"/>
    <w:rsid w:val="00AF57AE"/>
    <w:rsid w:val="00B04DE6"/>
    <w:rsid w:val="00B111F8"/>
    <w:rsid w:val="00B129E8"/>
    <w:rsid w:val="00B13B58"/>
    <w:rsid w:val="00B25383"/>
    <w:rsid w:val="00B437B2"/>
    <w:rsid w:val="00B46F07"/>
    <w:rsid w:val="00B46F16"/>
    <w:rsid w:val="00B50F02"/>
    <w:rsid w:val="00B5525B"/>
    <w:rsid w:val="00B64487"/>
    <w:rsid w:val="00B651F7"/>
    <w:rsid w:val="00B65F97"/>
    <w:rsid w:val="00B70ADC"/>
    <w:rsid w:val="00B75C6D"/>
    <w:rsid w:val="00B81F4A"/>
    <w:rsid w:val="00B8306C"/>
    <w:rsid w:val="00B92B09"/>
    <w:rsid w:val="00B93DB1"/>
    <w:rsid w:val="00B95653"/>
    <w:rsid w:val="00BA194F"/>
    <w:rsid w:val="00BA2A37"/>
    <w:rsid w:val="00BB2BEA"/>
    <w:rsid w:val="00BC0617"/>
    <w:rsid w:val="00BC2F8A"/>
    <w:rsid w:val="00BC4D2A"/>
    <w:rsid w:val="00BD6068"/>
    <w:rsid w:val="00BE12F1"/>
    <w:rsid w:val="00BE15CC"/>
    <w:rsid w:val="00BF043F"/>
    <w:rsid w:val="00BF2B01"/>
    <w:rsid w:val="00BF2B4B"/>
    <w:rsid w:val="00BF3661"/>
    <w:rsid w:val="00BF42C9"/>
    <w:rsid w:val="00C158D3"/>
    <w:rsid w:val="00C2114E"/>
    <w:rsid w:val="00C21CBF"/>
    <w:rsid w:val="00C258A4"/>
    <w:rsid w:val="00C41484"/>
    <w:rsid w:val="00C42132"/>
    <w:rsid w:val="00C50614"/>
    <w:rsid w:val="00C53EC9"/>
    <w:rsid w:val="00C57D8B"/>
    <w:rsid w:val="00C70C5E"/>
    <w:rsid w:val="00C74D87"/>
    <w:rsid w:val="00C855D2"/>
    <w:rsid w:val="00C862A6"/>
    <w:rsid w:val="00C873A2"/>
    <w:rsid w:val="00C92869"/>
    <w:rsid w:val="00C95C07"/>
    <w:rsid w:val="00CA1265"/>
    <w:rsid w:val="00CB0DA0"/>
    <w:rsid w:val="00CB2CC2"/>
    <w:rsid w:val="00CB31FE"/>
    <w:rsid w:val="00CB3C8E"/>
    <w:rsid w:val="00CB3D87"/>
    <w:rsid w:val="00CE2CD2"/>
    <w:rsid w:val="00CE352E"/>
    <w:rsid w:val="00CF461C"/>
    <w:rsid w:val="00CF7091"/>
    <w:rsid w:val="00D01170"/>
    <w:rsid w:val="00D0270B"/>
    <w:rsid w:val="00D078AE"/>
    <w:rsid w:val="00D11072"/>
    <w:rsid w:val="00D112F9"/>
    <w:rsid w:val="00D136B5"/>
    <w:rsid w:val="00D43183"/>
    <w:rsid w:val="00D445EE"/>
    <w:rsid w:val="00D465CC"/>
    <w:rsid w:val="00D52B54"/>
    <w:rsid w:val="00D56074"/>
    <w:rsid w:val="00D61EDF"/>
    <w:rsid w:val="00D63622"/>
    <w:rsid w:val="00D64C99"/>
    <w:rsid w:val="00D6753C"/>
    <w:rsid w:val="00D676F6"/>
    <w:rsid w:val="00D67735"/>
    <w:rsid w:val="00D75CAE"/>
    <w:rsid w:val="00D800D6"/>
    <w:rsid w:val="00D819B4"/>
    <w:rsid w:val="00D868C2"/>
    <w:rsid w:val="00D931B2"/>
    <w:rsid w:val="00D949BD"/>
    <w:rsid w:val="00D94DF9"/>
    <w:rsid w:val="00D97AE2"/>
    <w:rsid w:val="00DA4804"/>
    <w:rsid w:val="00DC484E"/>
    <w:rsid w:val="00DC4B17"/>
    <w:rsid w:val="00DD36C7"/>
    <w:rsid w:val="00DD5A49"/>
    <w:rsid w:val="00DF2DAB"/>
    <w:rsid w:val="00DF3FDD"/>
    <w:rsid w:val="00DF4BEA"/>
    <w:rsid w:val="00DF7B11"/>
    <w:rsid w:val="00E04B2E"/>
    <w:rsid w:val="00E0526D"/>
    <w:rsid w:val="00E05AED"/>
    <w:rsid w:val="00E06262"/>
    <w:rsid w:val="00E113F1"/>
    <w:rsid w:val="00E12D4F"/>
    <w:rsid w:val="00E2042C"/>
    <w:rsid w:val="00E21D84"/>
    <w:rsid w:val="00E23041"/>
    <w:rsid w:val="00E25670"/>
    <w:rsid w:val="00E317EC"/>
    <w:rsid w:val="00E37C23"/>
    <w:rsid w:val="00E51245"/>
    <w:rsid w:val="00E520C9"/>
    <w:rsid w:val="00E54808"/>
    <w:rsid w:val="00E57CF4"/>
    <w:rsid w:val="00E61D34"/>
    <w:rsid w:val="00E62014"/>
    <w:rsid w:val="00E624EA"/>
    <w:rsid w:val="00E65EDB"/>
    <w:rsid w:val="00E66089"/>
    <w:rsid w:val="00E770EA"/>
    <w:rsid w:val="00E80493"/>
    <w:rsid w:val="00E83D60"/>
    <w:rsid w:val="00E915D3"/>
    <w:rsid w:val="00E928B5"/>
    <w:rsid w:val="00E93325"/>
    <w:rsid w:val="00EA55F0"/>
    <w:rsid w:val="00EA5F3E"/>
    <w:rsid w:val="00EA731C"/>
    <w:rsid w:val="00EB3741"/>
    <w:rsid w:val="00EB6C03"/>
    <w:rsid w:val="00EB7A25"/>
    <w:rsid w:val="00EC2FFB"/>
    <w:rsid w:val="00EC5CE7"/>
    <w:rsid w:val="00EC7379"/>
    <w:rsid w:val="00EE3849"/>
    <w:rsid w:val="00EF200F"/>
    <w:rsid w:val="00EF3A51"/>
    <w:rsid w:val="00F0285A"/>
    <w:rsid w:val="00F144E4"/>
    <w:rsid w:val="00F14DFD"/>
    <w:rsid w:val="00F2116F"/>
    <w:rsid w:val="00F2293E"/>
    <w:rsid w:val="00F2629A"/>
    <w:rsid w:val="00F27591"/>
    <w:rsid w:val="00F27698"/>
    <w:rsid w:val="00F30DD2"/>
    <w:rsid w:val="00F314FE"/>
    <w:rsid w:val="00F31976"/>
    <w:rsid w:val="00F31CEE"/>
    <w:rsid w:val="00F40411"/>
    <w:rsid w:val="00F45F44"/>
    <w:rsid w:val="00F5219E"/>
    <w:rsid w:val="00F536C6"/>
    <w:rsid w:val="00F55308"/>
    <w:rsid w:val="00F6164A"/>
    <w:rsid w:val="00F6703D"/>
    <w:rsid w:val="00F70C66"/>
    <w:rsid w:val="00F854CF"/>
    <w:rsid w:val="00F93D69"/>
    <w:rsid w:val="00FA308C"/>
    <w:rsid w:val="00FA42E2"/>
    <w:rsid w:val="00FA7B77"/>
    <w:rsid w:val="00FB67CF"/>
    <w:rsid w:val="00FC75F5"/>
    <w:rsid w:val="00FD11B7"/>
    <w:rsid w:val="00FD77D2"/>
    <w:rsid w:val="00FD7E95"/>
    <w:rsid w:val="00FE0615"/>
    <w:rsid w:val="00FE3652"/>
    <w:rsid w:val="00FE4019"/>
    <w:rsid w:val="00FF0156"/>
    <w:rsid w:val="00FF5E32"/>
    <w:rsid w:val="00FF5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D637"/>
  <w15:chartTrackingRefBased/>
  <w15:docId w15:val="{54648611-750D-41E3-8876-91E9B08FA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8D3"/>
  </w:style>
  <w:style w:type="paragraph" w:styleId="Heading3">
    <w:name w:val="heading 3"/>
    <w:basedOn w:val="Normal"/>
    <w:link w:val="Heading3Char"/>
    <w:uiPriority w:val="9"/>
    <w:qFormat/>
    <w:rsid w:val="0001381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1381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138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13810"/>
    <w:rPr>
      <w:b/>
      <w:bCs/>
    </w:rPr>
  </w:style>
  <w:style w:type="character" w:styleId="Hyperlink">
    <w:name w:val="Hyperlink"/>
    <w:basedOn w:val="DefaultParagraphFont"/>
    <w:uiPriority w:val="99"/>
    <w:unhideWhenUsed/>
    <w:rsid w:val="003F449F"/>
    <w:rPr>
      <w:color w:val="0000FF"/>
      <w:u w:val="single"/>
    </w:rPr>
  </w:style>
  <w:style w:type="character" w:styleId="UnresolvedMention">
    <w:name w:val="Unresolved Mention"/>
    <w:basedOn w:val="DefaultParagraphFont"/>
    <w:uiPriority w:val="99"/>
    <w:semiHidden/>
    <w:unhideWhenUsed/>
    <w:rsid w:val="00A56C2F"/>
    <w:rPr>
      <w:color w:val="605E5C"/>
      <w:shd w:val="clear" w:color="auto" w:fill="E1DFDD"/>
    </w:rPr>
  </w:style>
  <w:style w:type="character" w:styleId="FollowedHyperlink">
    <w:name w:val="FollowedHyperlink"/>
    <w:basedOn w:val="DefaultParagraphFont"/>
    <w:uiPriority w:val="99"/>
    <w:semiHidden/>
    <w:unhideWhenUsed/>
    <w:rsid w:val="00A719F4"/>
    <w:rPr>
      <w:color w:val="954F72" w:themeColor="followedHyperlink"/>
      <w:u w:val="single"/>
    </w:rPr>
  </w:style>
  <w:style w:type="character" w:styleId="Emphasis">
    <w:name w:val="Emphasis"/>
    <w:basedOn w:val="DefaultParagraphFont"/>
    <w:uiPriority w:val="20"/>
    <w:qFormat/>
    <w:rsid w:val="00BE12F1"/>
    <w:rPr>
      <w:i/>
      <w:iCs/>
    </w:rPr>
  </w:style>
  <w:style w:type="paragraph" w:styleId="NoSpacing">
    <w:name w:val="No Spacing"/>
    <w:link w:val="NoSpacingChar"/>
    <w:uiPriority w:val="1"/>
    <w:qFormat/>
    <w:rsid w:val="003275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75C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3301">
      <w:bodyDiv w:val="1"/>
      <w:marLeft w:val="0"/>
      <w:marRight w:val="0"/>
      <w:marTop w:val="0"/>
      <w:marBottom w:val="0"/>
      <w:divBdr>
        <w:top w:val="none" w:sz="0" w:space="0" w:color="auto"/>
        <w:left w:val="none" w:sz="0" w:space="0" w:color="auto"/>
        <w:bottom w:val="none" w:sz="0" w:space="0" w:color="auto"/>
        <w:right w:val="none" w:sz="0" w:space="0" w:color="auto"/>
      </w:divBdr>
    </w:div>
    <w:div w:id="161860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aep/Hen3cc1415/52/1/conten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228894/0256.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stituteforgovernment.org.uk/explainers/judicial-review"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repository.cam.ac.uk/handle/1810/246176"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parliament.uk/site-information/glossary/legisl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CAD0DC187D46EA9F08649EE13B4070"/>
        <w:category>
          <w:name w:val="General"/>
          <w:gallery w:val="placeholder"/>
        </w:category>
        <w:types>
          <w:type w:val="bbPlcHdr"/>
        </w:types>
        <w:behaviors>
          <w:behavior w:val="content"/>
        </w:behaviors>
        <w:guid w:val="{06A51FAE-890B-4455-ACD1-883F0AA49B1A}"/>
      </w:docPartPr>
      <w:docPartBody>
        <w:p w:rsidR="00000000" w:rsidRDefault="006958D2" w:rsidP="006958D2">
          <w:pPr>
            <w:pStyle w:val="B4CAD0DC187D46EA9F08649EE13B4070"/>
          </w:pPr>
          <w:r>
            <w:rPr>
              <w:rFonts w:asciiTheme="majorHAnsi" w:eastAsiaTheme="majorEastAsia" w:hAnsiTheme="majorHAnsi" w:cstheme="majorBidi"/>
              <w:caps/>
              <w:color w:val="4472C4" w:themeColor="accent1"/>
              <w:sz w:val="80"/>
              <w:szCs w:val="80"/>
            </w:rPr>
            <w:t>[Document title]</w:t>
          </w:r>
        </w:p>
      </w:docPartBody>
    </w:docPart>
    <w:docPart>
      <w:docPartPr>
        <w:name w:val="C4DE850820E94F59BE5384C9B96D0544"/>
        <w:category>
          <w:name w:val="General"/>
          <w:gallery w:val="placeholder"/>
        </w:category>
        <w:types>
          <w:type w:val="bbPlcHdr"/>
        </w:types>
        <w:behaviors>
          <w:behavior w:val="content"/>
        </w:behaviors>
        <w:guid w:val="{CF1E265F-5701-4511-962D-DAEFF8CE7566}"/>
      </w:docPartPr>
      <w:docPartBody>
        <w:p w:rsidR="00000000" w:rsidRDefault="006958D2" w:rsidP="006958D2">
          <w:pPr>
            <w:pStyle w:val="C4DE850820E94F59BE5384C9B96D054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8D2"/>
    <w:rsid w:val="00695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CAD0DC187D46EA9F08649EE13B4070">
    <w:name w:val="B4CAD0DC187D46EA9F08649EE13B4070"/>
    <w:rsid w:val="006958D2"/>
  </w:style>
  <w:style w:type="paragraph" w:customStyle="1" w:styleId="C4DE850820E94F59BE5384C9B96D0544">
    <w:name w:val="C4DE850820E94F59BE5384C9B96D0544"/>
    <w:rsid w:val="006958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032F0C-5031-4C05-BED5-4C526219E9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E8483E-525B-49BE-9C58-EB3C07F8B21D}">
  <ds:schemaRefs>
    <ds:schemaRef ds:uri="http://purl.org/dc/dcmitype/"/>
    <ds:schemaRef ds:uri="http://schemas.microsoft.com/office/2006/documentManagement/types"/>
    <ds:schemaRef ds:uri="http://purl.org/dc/terms/"/>
    <ds:schemaRef ds:uri="http://purl.org/dc/elements/1.1/"/>
    <ds:schemaRef ds:uri="http://schemas.microsoft.com/office/infopath/2007/PartnerControls"/>
    <ds:schemaRef ds:uri="http://schemas.openxmlformats.org/package/2006/metadata/core-properties"/>
    <ds:schemaRef ds:uri="be49ff73-cec0-4379-9da8-63ff3cc411bb"/>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C70229EB-B1F1-471D-8379-7A07939401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1671</Words>
  <Characters>9527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11176</CharactersWithSpaces>
  <SharedDoc>false</SharedDoc>
  <HLinks>
    <vt:vector size="36" baseType="variant">
      <vt:variant>
        <vt:i4>5242890</vt:i4>
      </vt:variant>
      <vt:variant>
        <vt:i4>15</vt:i4>
      </vt:variant>
      <vt:variant>
        <vt:i4>0</vt:i4>
      </vt:variant>
      <vt:variant>
        <vt:i4>5</vt:i4>
      </vt:variant>
      <vt:variant>
        <vt:lpwstr>https://www.instituteforgovernment.org.uk/explainers/judicial-review</vt:lpwstr>
      </vt:variant>
      <vt:variant>
        <vt:lpwstr/>
      </vt:variant>
      <vt:variant>
        <vt:i4>5767246</vt:i4>
      </vt:variant>
      <vt:variant>
        <vt:i4>12</vt:i4>
      </vt:variant>
      <vt:variant>
        <vt:i4>0</vt:i4>
      </vt:variant>
      <vt:variant>
        <vt:i4>5</vt:i4>
      </vt:variant>
      <vt:variant>
        <vt:lpwstr>https://www.elgaronline.com/view/edcoll/9781849804158/9781849804158.00071.xml</vt:lpwstr>
      </vt:variant>
      <vt:variant>
        <vt:lpwstr/>
      </vt:variant>
      <vt:variant>
        <vt:i4>6881317</vt:i4>
      </vt:variant>
      <vt:variant>
        <vt:i4>9</vt:i4>
      </vt:variant>
      <vt:variant>
        <vt:i4>0</vt:i4>
      </vt:variant>
      <vt:variant>
        <vt:i4>5</vt:i4>
      </vt:variant>
      <vt:variant>
        <vt:lpwstr>https://www.repository.cam.ac.uk/handle/1810/246176</vt:lpwstr>
      </vt:variant>
      <vt:variant>
        <vt:lpwstr/>
      </vt:variant>
      <vt:variant>
        <vt:i4>6094973</vt:i4>
      </vt:variant>
      <vt:variant>
        <vt:i4>6</vt:i4>
      </vt:variant>
      <vt:variant>
        <vt:i4>0</vt:i4>
      </vt:variant>
      <vt:variant>
        <vt:i4>5</vt:i4>
      </vt:variant>
      <vt:variant>
        <vt:lpwstr>https://assets.publishing.service.gov.uk/government/uploads/system/uploads/attachment_data/file/228894/0256.pdf</vt:lpwstr>
      </vt:variant>
      <vt:variant>
        <vt:lpwstr/>
      </vt:variant>
      <vt:variant>
        <vt:i4>655366</vt:i4>
      </vt:variant>
      <vt:variant>
        <vt:i4>3</vt:i4>
      </vt:variant>
      <vt:variant>
        <vt:i4>0</vt:i4>
      </vt:variant>
      <vt:variant>
        <vt:i4>5</vt:i4>
      </vt:variant>
      <vt:variant>
        <vt:lpwstr>https://www.parliament.uk/site-information/glossary/legislation/</vt:lpwstr>
      </vt:variant>
      <vt:variant>
        <vt:lpwstr/>
      </vt:variant>
      <vt:variant>
        <vt:i4>7536683</vt:i4>
      </vt:variant>
      <vt:variant>
        <vt:i4>0</vt:i4>
      </vt:variant>
      <vt:variant>
        <vt:i4>0</vt:i4>
      </vt:variant>
      <vt:variant>
        <vt:i4>5</vt:i4>
      </vt:variant>
      <vt:variant>
        <vt:lpwstr>https://www.legislation.gov.uk/aep/Hen3cc1415/52/1/contents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           Assignment 2</dc:title>
  <dc:subject>BMLW4005-Jake Weeks</dc:subject>
  <dc:creator>Jake Weeks</dc:creator>
  <cp:keywords/>
  <dc:description/>
  <cp:lastModifiedBy>Jake Weeks (2101207)</cp:lastModifiedBy>
  <cp:revision>2</cp:revision>
  <dcterms:created xsi:type="dcterms:W3CDTF">2022-05-03T18:45:00Z</dcterms:created>
  <dcterms:modified xsi:type="dcterms:W3CDTF">2022-05-03T18:45:00Z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