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1C463" w14:textId="77777777" w:rsidR="00C558B0" w:rsidRDefault="00C558B0" w:rsidP="00C558B0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554C8C17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74A7306F" w14:textId="77777777" w:rsidR="00C558B0" w:rsidRDefault="00C558B0" w:rsidP="00C558B0">
      <w:pPr>
        <w:spacing w:line="360" w:lineRule="auto"/>
        <w:rPr>
          <w:rFonts w:ascii="Arial" w:hAnsi="Arial" w:cs="Arial"/>
        </w:rPr>
      </w:pPr>
    </w:p>
    <w:p w14:paraId="4CFA099C" w14:textId="77777777" w:rsidR="00C558B0" w:rsidRDefault="00C558B0" w:rsidP="00C55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54AA30A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78F34EE5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81C4007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3A1BDF5E" w14:textId="77777777" w:rsidR="004F4E70" w:rsidRDefault="004F4E70" w:rsidP="00C558B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2F4F861B" w14:textId="7ED12F98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Student name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="00B10470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>Ekaterina</w:t>
      </w:r>
      <w:proofErr w:type="spellEnd"/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Kist </w:t>
      </w:r>
    </w:p>
    <w:p w14:paraId="18D88AE2" w14:textId="1175A5DA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Student ID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="005021A2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2336279</w:t>
      </w:r>
    </w:p>
    <w:p w14:paraId="4654C81C" w14:textId="77777777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</w:p>
    <w:p w14:paraId="1111199E" w14:textId="77777777" w:rsid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r w:rsidRPr="004F4E70">
        <w:rPr>
          <w:rFonts w:ascii="Arial" w:hAnsi="Arial" w:cs="Arial"/>
          <w:bCs/>
          <w:sz w:val="28"/>
          <w:szCs w:val="28"/>
          <w:lang w:val="nl-NL"/>
        </w:rPr>
        <w:t>Module name</w:t>
      </w:r>
      <w:r w:rsidRPr="004F4E70">
        <w:rPr>
          <w:rFonts w:ascii="Arial" w:hAnsi="Arial" w:cs="Arial"/>
          <w:sz w:val="28"/>
          <w:szCs w:val="28"/>
          <w:lang w:val="nl-NL"/>
        </w:rPr>
        <w:t>:</w:t>
      </w:r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Protecting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and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>Supporting</w:t>
      </w:r>
      <w:proofErr w:type="spellEnd"/>
      <w:r w:rsidR="00213857"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Families</w:t>
      </w:r>
    </w:p>
    <w:p w14:paraId="3D8DA301" w14:textId="08B818DF" w:rsidR="00C558B0" w:rsidRDefault="00213857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  <w:proofErr w:type="gramStart"/>
      <w:r w:rsidRPr="004F4E70">
        <w:rPr>
          <w:rFonts w:ascii="Arial Black" w:hAnsi="Arial Black" w:cs="Arial"/>
          <w:b/>
          <w:sz w:val="28"/>
          <w:szCs w:val="28"/>
          <w:lang w:val="nl-NL"/>
        </w:rPr>
        <w:t>in</w:t>
      </w:r>
      <w:proofErr w:type="gram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Health </w:t>
      </w:r>
      <w:proofErr w:type="spellStart"/>
      <w:r w:rsidRPr="004F4E70">
        <w:rPr>
          <w:rFonts w:ascii="Arial Black" w:hAnsi="Arial Black" w:cs="Arial"/>
          <w:b/>
          <w:sz w:val="28"/>
          <w:szCs w:val="28"/>
          <w:lang w:val="nl-NL"/>
        </w:rPr>
        <w:t>and</w:t>
      </w:r>
      <w:proofErr w:type="spell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</w:t>
      </w:r>
      <w:proofErr w:type="spellStart"/>
      <w:r w:rsidRPr="004F4E70">
        <w:rPr>
          <w:rFonts w:ascii="Arial Black" w:hAnsi="Arial Black" w:cs="Arial"/>
          <w:b/>
          <w:sz w:val="28"/>
          <w:szCs w:val="28"/>
          <w:lang w:val="nl-NL"/>
        </w:rPr>
        <w:t>Social</w:t>
      </w:r>
      <w:proofErr w:type="spellEnd"/>
      <w:r w:rsidRPr="004F4E70">
        <w:rPr>
          <w:rFonts w:ascii="Arial Black" w:hAnsi="Arial Black" w:cs="Arial"/>
          <w:b/>
          <w:sz w:val="28"/>
          <w:szCs w:val="28"/>
          <w:lang w:val="nl-NL"/>
        </w:rPr>
        <w:t xml:space="preserve"> Care </w:t>
      </w:r>
      <w:bookmarkStart w:id="0" w:name="_GoBack"/>
      <w:bookmarkEnd w:id="0"/>
    </w:p>
    <w:p w14:paraId="199EE15B" w14:textId="77777777" w:rsidR="004F4E70" w:rsidRPr="004F4E70" w:rsidRDefault="004F4E7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  <w:lang w:val="nl-NL"/>
        </w:rPr>
      </w:pPr>
    </w:p>
    <w:p w14:paraId="7DB3261D" w14:textId="7F381854" w:rsidR="00C558B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  <w:r w:rsidRPr="004F4E70">
        <w:rPr>
          <w:rFonts w:ascii="Arial" w:hAnsi="Arial" w:cs="Arial"/>
          <w:bCs/>
          <w:sz w:val="28"/>
          <w:szCs w:val="28"/>
        </w:rPr>
        <w:t>Module code</w:t>
      </w:r>
      <w:r w:rsidRPr="004F4E70">
        <w:rPr>
          <w:rFonts w:ascii="Arial" w:hAnsi="Arial" w:cs="Arial"/>
          <w:sz w:val="28"/>
          <w:szCs w:val="28"/>
        </w:rPr>
        <w:t>:</w:t>
      </w:r>
      <w:r w:rsidR="00213857" w:rsidRPr="004F4E70">
        <w:rPr>
          <w:rFonts w:ascii="Arial Black" w:hAnsi="Arial Black" w:cs="Arial"/>
          <w:b/>
          <w:sz w:val="28"/>
          <w:szCs w:val="28"/>
        </w:rPr>
        <w:t xml:space="preserve"> BMHP5021</w:t>
      </w:r>
    </w:p>
    <w:p w14:paraId="260A382B" w14:textId="77777777" w:rsidR="004F4E70" w:rsidRPr="004F4E70" w:rsidRDefault="004F4E7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</w:p>
    <w:p w14:paraId="5CCA350C" w14:textId="6290200E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  <w:r w:rsidRPr="004F4E70">
        <w:rPr>
          <w:rFonts w:ascii="Arial" w:hAnsi="Arial" w:cs="Arial"/>
          <w:bCs/>
          <w:sz w:val="28"/>
          <w:szCs w:val="28"/>
        </w:rPr>
        <w:t>Lecturer name</w:t>
      </w:r>
      <w:r w:rsidRPr="004F4E70">
        <w:rPr>
          <w:rFonts w:ascii="Arial" w:hAnsi="Arial" w:cs="Arial"/>
          <w:sz w:val="28"/>
          <w:szCs w:val="28"/>
        </w:rPr>
        <w:t>:</w:t>
      </w:r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  <w:proofErr w:type="spellStart"/>
      <w:r w:rsidR="00CA03D6" w:rsidRPr="004F4E70">
        <w:rPr>
          <w:rFonts w:ascii="Arial Black" w:hAnsi="Arial Black" w:cs="Arial"/>
          <w:b/>
          <w:sz w:val="28"/>
          <w:szCs w:val="28"/>
        </w:rPr>
        <w:t>Diola</w:t>
      </w:r>
      <w:proofErr w:type="spellEnd"/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  <w:proofErr w:type="spellStart"/>
      <w:r w:rsidR="00CA03D6" w:rsidRPr="004F4E70">
        <w:rPr>
          <w:rFonts w:ascii="Arial Black" w:hAnsi="Arial Black" w:cs="Arial"/>
          <w:b/>
          <w:sz w:val="28"/>
          <w:szCs w:val="28"/>
        </w:rPr>
        <w:t>Bijlhout</w:t>
      </w:r>
      <w:proofErr w:type="spellEnd"/>
      <w:r w:rsidR="00CA03D6" w:rsidRPr="004F4E70">
        <w:rPr>
          <w:rFonts w:ascii="Arial Black" w:hAnsi="Arial Black" w:cs="Arial"/>
          <w:b/>
          <w:sz w:val="28"/>
          <w:szCs w:val="28"/>
        </w:rPr>
        <w:t xml:space="preserve"> </w:t>
      </w:r>
    </w:p>
    <w:p w14:paraId="5461F9C8" w14:textId="77777777" w:rsidR="00C558B0" w:rsidRPr="004F4E70" w:rsidRDefault="00C558B0" w:rsidP="00C558B0">
      <w:pPr>
        <w:tabs>
          <w:tab w:val="left" w:pos="6540"/>
        </w:tabs>
        <w:spacing w:line="360" w:lineRule="auto"/>
        <w:rPr>
          <w:rFonts w:ascii="Arial Black" w:hAnsi="Arial Black" w:cs="Arial"/>
          <w:b/>
          <w:sz w:val="28"/>
          <w:szCs w:val="28"/>
        </w:rPr>
      </w:pPr>
    </w:p>
    <w:p w14:paraId="79C715ED" w14:textId="16914D07" w:rsidR="006D2F2D" w:rsidRPr="004F4E70" w:rsidRDefault="006D2F2D" w:rsidP="004A5A64">
      <w:pPr>
        <w:spacing w:line="360" w:lineRule="auto"/>
        <w:rPr>
          <w:rFonts w:ascii="Arial Black" w:hAnsi="Arial Black"/>
          <w:b/>
          <w:sz w:val="23"/>
          <w:szCs w:val="23"/>
        </w:rPr>
      </w:pPr>
      <w:r w:rsidRPr="004F4E70">
        <w:rPr>
          <w:rFonts w:ascii="Arial Black" w:hAnsi="Arial Black"/>
          <w:b/>
          <w:sz w:val="23"/>
          <w:szCs w:val="23"/>
        </w:rPr>
        <w:br w:type="page"/>
      </w:r>
    </w:p>
    <w:p w14:paraId="7E3191B0" w14:textId="77777777" w:rsidR="004F4E70" w:rsidRDefault="004F4E70" w:rsidP="004F4E70">
      <w:pPr>
        <w:spacing w:line="360" w:lineRule="auto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lastRenderedPageBreak/>
        <w:t>Component 1: Presentation</w:t>
      </w:r>
      <w:r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 </w:t>
      </w: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 </w:t>
      </w:r>
    </w:p>
    <w:p w14:paraId="00A1854C" w14:textId="4F83611E" w:rsidR="004F4E70" w:rsidRPr="004F4E70" w:rsidRDefault="004F4E70" w:rsidP="004F4E70">
      <w:pPr>
        <w:spacing w:line="360" w:lineRule="auto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>(Round-the-table group discussion)</w:t>
      </w:r>
    </w:p>
    <w:p w14:paraId="448B2A5A" w14:textId="0EDE48F5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0DBFC159" w14:textId="77777777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2E13B896" w14:textId="77777777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</w:p>
    <w:p w14:paraId="2FF2922F" w14:textId="387B78E8" w:rsidR="004F4E70" w:rsidRPr="004F4E70" w:rsidRDefault="004F4E70" w:rsidP="004F4E70">
      <w:pPr>
        <w:spacing w:line="360" w:lineRule="auto"/>
        <w:jc w:val="both"/>
        <w:rPr>
          <w:rFonts w:ascii="Arial Black" w:hAnsi="Arial Black" w:cs="Arial"/>
          <w:b/>
          <w:color w:val="000000" w:themeColor="text1"/>
          <w:sz w:val="28"/>
          <w:szCs w:val="28"/>
        </w:rPr>
      </w:pPr>
      <w:r w:rsidRPr="004F4E70">
        <w:rPr>
          <w:rFonts w:ascii="Arial Black" w:hAnsi="Arial Black" w:cs="Arial"/>
          <w:b/>
          <w:color w:val="000000" w:themeColor="text1"/>
          <w:sz w:val="28"/>
          <w:szCs w:val="28"/>
        </w:rPr>
        <w:t xml:space="preserve">Reference List: </w:t>
      </w:r>
    </w:p>
    <w:p w14:paraId="2236EB6E" w14:textId="77777777" w:rsidR="004F4E70" w:rsidRDefault="004F4E70" w:rsidP="004F4E70">
      <w:pPr>
        <w:spacing w:line="360" w:lineRule="auto"/>
        <w:rPr>
          <w:rFonts w:ascii="Arial" w:hAnsi="Arial" w:cs="Arial"/>
          <w:color w:val="000000" w:themeColor="text1"/>
          <w:sz w:val="23"/>
          <w:szCs w:val="23"/>
        </w:rPr>
      </w:pPr>
    </w:p>
    <w:p w14:paraId="212145C0" w14:textId="147D941F" w:rsidR="00D1337F" w:rsidRDefault="00D1337F" w:rsidP="004A5A64">
      <w:pPr>
        <w:spacing w:line="360" w:lineRule="auto"/>
        <w:rPr>
          <w:rFonts w:ascii="Arial" w:hAnsi="Arial" w:cs="Arial"/>
          <w:color w:val="000000" w:themeColor="text1"/>
          <w:sz w:val="23"/>
          <w:szCs w:val="23"/>
        </w:rPr>
      </w:pPr>
    </w:p>
    <w:p w14:paraId="53CCF3B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Children Act 1989</w:t>
      </w:r>
      <w:r w:rsidRPr="00F064AF">
        <w:rPr>
          <w:rFonts w:ascii="Arial" w:hAnsi="Arial" w:cs="Arial"/>
          <w:sz w:val="22"/>
          <w:szCs w:val="22"/>
        </w:rPr>
        <w:t xml:space="preserve"> (1989) </w:t>
      </w:r>
      <w:r w:rsidRPr="00F064AF">
        <w:rPr>
          <w:rFonts w:ascii="Arial" w:hAnsi="Arial" w:cs="Arial"/>
          <w:i/>
          <w:iCs/>
          <w:sz w:val="22"/>
          <w:szCs w:val="22"/>
        </w:rPr>
        <w:t>Section 17: Provision of services for children in need, their families and others</w:t>
      </w:r>
      <w:r w:rsidRPr="00F064AF">
        <w:rPr>
          <w:rFonts w:ascii="Arial" w:hAnsi="Arial" w:cs="Arial"/>
          <w:sz w:val="22"/>
          <w:szCs w:val="22"/>
        </w:rPr>
        <w:t xml:space="preserve">. London: HMSO. Available at: </w:t>
      </w:r>
      <w:hyperlink r:id="rId9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https://www.le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g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islation.gov.uk/ukpga/1989/41/section/17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78ADE15B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(2022) </w:t>
      </w:r>
      <w:r w:rsidRPr="00F064AF">
        <w:rPr>
          <w:rFonts w:ascii="Arial" w:hAnsi="Arial" w:cs="Arial"/>
          <w:i/>
          <w:iCs/>
          <w:sz w:val="22"/>
          <w:szCs w:val="22"/>
        </w:rPr>
        <w:t>Principles for maintaining continuity of care when moving across borders within the United Kingdom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0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https://www.gov.uk/government/publications/continuity-of-care-when-moving-across-borders-within-uk/principles-for-maintaining-continuity-of-care-when-moving-across-bo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r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ders-within-the-united-kingdom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41AB5D44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(2023) </w:t>
      </w:r>
      <w:r w:rsidRPr="00F064AF">
        <w:rPr>
          <w:rFonts w:ascii="Arial" w:hAnsi="Arial" w:cs="Arial"/>
          <w:i/>
          <w:iCs/>
          <w:sz w:val="22"/>
          <w:szCs w:val="22"/>
        </w:rPr>
        <w:t>Working Together to Safeguard Children: A guide to inter-agency working to safeguard and promote the welfare of children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1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https://assets.publishing.service.gov.uk/media/6849a7b67cba25f610c7db3f/Working_together_to_safeguard_childr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e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n_2023_-_statutory_guidance.pdf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6625C14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Department for Education (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DfE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)</w:t>
      </w:r>
      <w:r w:rsidRPr="00F064AF">
        <w:rPr>
          <w:rFonts w:ascii="Arial" w:hAnsi="Arial" w:cs="Arial"/>
          <w:sz w:val="22"/>
          <w:szCs w:val="22"/>
        </w:rPr>
        <w:t xml:space="preserve"> (n.d.) </w:t>
      </w:r>
      <w:r w:rsidRPr="00F064AF">
        <w:rPr>
          <w:rFonts w:ascii="Arial" w:hAnsi="Arial" w:cs="Arial"/>
          <w:i/>
          <w:iCs/>
          <w:sz w:val="22"/>
          <w:szCs w:val="22"/>
        </w:rPr>
        <w:t>Multi-agency safeguarding and domestic abuse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2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https://assets.publi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s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hing.service.gov.uk/media/63344c9d8fa8f506587dd138/14.149_DFE_Child_safeguarding_Domestic_PB2_v4a.pdf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5173ECB9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NICE</w:t>
      </w:r>
      <w:r w:rsidRPr="00F064AF">
        <w:rPr>
          <w:rFonts w:ascii="Arial" w:hAnsi="Arial" w:cs="Arial"/>
          <w:sz w:val="22"/>
          <w:szCs w:val="22"/>
        </w:rPr>
        <w:t xml:space="preserve"> (2015) </w:t>
      </w:r>
      <w:r w:rsidRPr="00F064AF">
        <w:rPr>
          <w:rFonts w:ascii="Arial" w:hAnsi="Arial" w:cs="Arial"/>
          <w:i/>
          <w:iCs/>
          <w:sz w:val="22"/>
          <w:szCs w:val="22"/>
        </w:rPr>
        <w:t>Diabetes (type 1 and type 2) in children and young people: diagnosis and management (NG18)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3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https://www.nice.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o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rg.uk/guidance/ng18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674D56B0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NICE</w:t>
      </w:r>
      <w:r w:rsidRPr="00F064AF">
        <w:rPr>
          <w:rFonts w:ascii="Arial" w:hAnsi="Arial" w:cs="Arial"/>
          <w:sz w:val="22"/>
          <w:szCs w:val="22"/>
        </w:rPr>
        <w:t xml:space="preserve"> (2016) </w:t>
      </w:r>
      <w:r w:rsidRPr="00F064AF">
        <w:rPr>
          <w:rFonts w:ascii="Arial" w:hAnsi="Arial" w:cs="Arial"/>
          <w:i/>
          <w:iCs/>
          <w:sz w:val="22"/>
          <w:szCs w:val="22"/>
        </w:rPr>
        <w:t>Diabetes in children and young people: Quality standard (QS125)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4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https://www.nice.org.uk/guida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n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ce/qs125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1D0383D8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lastRenderedPageBreak/>
        <w:t xml:space="preserve">Robinson, L. E.,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Drotar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, D., Harris, M. A.</w:t>
      </w:r>
      <w:r w:rsidRPr="00F064AF">
        <w:rPr>
          <w:rFonts w:ascii="Arial" w:hAnsi="Arial" w:cs="Arial"/>
          <w:sz w:val="22"/>
          <w:szCs w:val="22"/>
        </w:rPr>
        <w:t xml:space="preserve"> (2016) ‘Stressors in teens with Type 1 diabetes and their parents: Immediate and long-term implications for transition to self-management’, </w:t>
      </w:r>
      <w:r w:rsidRPr="00F064AF">
        <w:rPr>
          <w:rFonts w:ascii="Arial" w:hAnsi="Arial" w:cs="Arial"/>
          <w:i/>
          <w:iCs/>
          <w:sz w:val="22"/>
          <w:szCs w:val="22"/>
        </w:rPr>
        <w:t xml:space="preserve">Journal of </w:t>
      </w:r>
      <w:proofErr w:type="spellStart"/>
      <w:r w:rsidRPr="00F064AF">
        <w:rPr>
          <w:rFonts w:ascii="Arial" w:hAnsi="Arial" w:cs="Arial"/>
          <w:i/>
          <w:iCs/>
          <w:sz w:val="22"/>
          <w:szCs w:val="22"/>
        </w:rPr>
        <w:t>Pediatric</w:t>
      </w:r>
      <w:proofErr w:type="spellEnd"/>
      <w:r w:rsidRPr="00F064AF">
        <w:rPr>
          <w:rFonts w:ascii="Arial" w:hAnsi="Arial" w:cs="Arial"/>
          <w:i/>
          <w:iCs/>
          <w:sz w:val="22"/>
          <w:szCs w:val="22"/>
        </w:rPr>
        <w:t xml:space="preserve"> Nursing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5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https://pu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b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med.ncbi.nlm.nih.gov/26831378/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2AE5AA25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StatPearls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 xml:space="preserve"> Publishing</w:t>
      </w:r>
      <w:r w:rsidRPr="00F064AF">
        <w:rPr>
          <w:rFonts w:ascii="Arial" w:hAnsi="Arial" w:cs="Arial"/>
          <w:sz w:val="22"/>
          <w:szCs w:val="22"/>
        </w:rPr>
        <w:t xml:space="preserve"> (2023) </w:t>
      </w:r>
      <w:r w:rsidRPr="00F064AF">
        <w:rPr>
          <w:rFonts w:ascii="Arial" w:hAnsi="Arial" w:cs="Arial"/>
          <w:i/>
          <w:iCs/>
          <w:sz w:val="22"/>
          <w:szCs w:val="22"/>
        </w:rPr>
        <w:t>Paediatric Diabetic Ketoacidosis</w:t>
      </w:r>
      <w:r w:rsidRPr="00F064AF">
        <w:rPr>
          <w:rFonts w:ascii="Arial" w:hAnsi="Arial" w:cs="Arial"/>
          <w:sz w:val="22"/>
          <w:szCs w:val="22"/>
        </w:rPr>
        <w:t xml:space="preserve">. Available at: </w:t>
      </w:r>
      <w:hyperlink r:id="rId16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https://www.n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bi.nlm.nih.gov/books/NBK470282/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47BD1B84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 xml:space="preserve">van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Bijleveld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 xml:space="preserve">, C.C.J.H. and van der </w:t>
      </w:r>
      <w:proofErr w:type="spellStart"/>
      <w:r w:rsidRPr="00F064AF">
        <w:rPr>
          <w:rFonts w:ascii="Arial" w:hAnsi="Arial" w:cs="Arial"/>
          <w:b/>
          <w:bCs/>
          <w:sz w:val="22"/>
          <w:szCs w:val="22"/>
        </w:rPr>
        <w:t>Sloot</w:t>
      </w:r>
      <w:proofErr w:type="spellEnd"/>
      <w:r w:rsidRPr="00F064AF">
        <w:rPr>
          <w:rFonts w:ascii="Arial" w:hAnsi="Arial" w:cs="Arial"/>
          <w:b/>
          <w:bCs/>
          <w:sz w:val="22"/>
          <w:szCs w:val="22"/>
        </w:rPr>
        <w:t>, B.</w:t>
      </w:r>
      <w:r w:rsidRPr="00F064AF">
        <w:rPr>
          <w:rFonts w:ascii="Arial" w:hAnsi="Arial" w:cs="Arial"/>
          <w:sz w:val="22"/>
          <w:szCs w:val="22"/>
        </w:rPr>
        <w:t xml:space="preserve"> (2018) ‘The Child’s Guardian – Listening and Giving Weight to Children’s Views’, </w:t>
      </w:r>
      <w:r w:rsidRPr="00F064AF">
        <w:rPr>
          <w:rFonts w:ascii="Arial" w:hAnsi="Arial" w:cs="Arial"/>
          <w:i/>
          <w:iCs/>
          <w:sz w:val="22"/>
          <w:szCs w:val="22"/>
        </w:rPr>
        <w:t>The International Journal of Children's Rights</w:t>
      </w:r>
      <w:r w:rsidRPr="00F064AF">
        <w:rPr>
          <w:rFonts w:ascii="Arial" w:hAnsi="Arial" w:cs="Arial"/>
          <w:sz w:val="22"/>
          <w:szCs w:val="22"/>
        </w:rPr>
        <w:t xml:space="preserve">, 26(1), pp. 117–143. Available at: </w:t>
      </w:r>
      <w:hyperlink r:id="rId17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https://brill-com.ezproxy.uwtsd.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a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c.uk/view/journals/chil/26/1/article-p117_117.pdf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3CD57B22" w14:textId="77777777" w:rsidR="004F4E70" w:rsidRPr="00F064AF" w:rsidRDefault="004F4E70" w:rsidP="004F4E70">
      <w:pPr>
        <w:spacing w:before="100" w:beforeAutospacing="1" w:after="100" w:afterAutospacing="1" w:line="360" w:lineRule="auto"/>
        <w:rPr>
          <w:rFonts w:ascii="Arial" w:hAnsi="Arial" w:cs="Arial"/>
          <w:sz w:val="22"/>
          <w:szCs w:val="22"/>
        </w:rPr>
      </w:pPr>
      <w:r w:rsidRPr="00F064AF">
        <w:rPr>
          <w:rFonts w:ascii="Arial" w:hAnsi="Arial" w:cs="Arial"/>
          <w:b/>
          <w:bCs/>
          <w:sz w:val="22"/>
          <w:szCs w:val="22"/>
        </w:rPr>
        <w:t>Wales Safeguarding Procedures Research</w:t>
      </w:r>
      <w:r w:rsidRPr="00F064AF">
        <w:rPr>
          <w:rFonts w:ascii="Arial" w:hAnsi="Arial" w:cs="Arial"/>
          <w:sz w:val="22"/>
          <w:szCs w:val="22"/>
        </w:rPr>
        <w:t xml:space="preserve"> (2021) ‘Working together to safeguard children: challenges and changes in multi-agency co-ordination in child protection’. Available at: </w:t>
      </w:r>
      <w:hyperlink r:id="rId18" w:tgtFrame="_new" w:history="1"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https://research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-</w:t>
        </w:r>
        <w:r w:rsidRPr="00F064AF">
          <w:rPr>
            <w:rFonts w:ascii="Arial" w:hAnsi="Arial" w:cs="Arial"/>
            <w:color w:val="0000FF"/>
            <w:sz w:val="22"/>
            <w:szCs w:val="22"/>
            <w:u w:val="single"/>
          </w:rPr>
          <w:t>ebsco-com.ezproxy.uwtsd.ac.uk/c/onvpsy/viewer/pdf/hs7ojiv44v</w:t>
        </w:r>
      </w:hyperlink>
      <w:r w:rsidRPr="00F064AF">
        <w:rPr>
          <w:rFonts w:ascii="Arial" w:hAnsi="Arial" w:cs="Arial"/>
          <w:sz w:val="22"/>
          <w:szCs w:val="22"/>
        </w:rPr>
        <w:t xml:space="preserve"> (Accessed: 25 November 2025).</w:t>
      </w:r>
    </w:p>
    <w:p w14:paraId="3CA6C6B3" w14:textId="3FEBCAB9" w:rsidR="003A53A6" w:rsidRPr="00033596" w:rsidRDefault="003A53A6" w:rsidP="004A5A64">
      <w:pPr>
        <w:spacing w:line="360" w:lineRule="auto"/>
        <w:rPr>
          <w:rFonts w:ascii="Arial" w:hAnsi="Arial" w:cs="Arial"/>
          <w:color w:val="000000" w:themeColor="text1"/>
        </w:rPr>
      </w:pPr>
    </w:p>
    <w:sectPr w:rsidR="003A53A6" w:rsidRPr="00033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E64F5" w14:textId="77777777" w:rsidR="006427FA" w:rsidRDefault="006427FA" w:rsidP="00032A5B">
      <w:r>
        <w:separator/>
      </w:r>
    </w:p>
  </w:endnote>
  <w:endnote w:type="continuationSeparator" w:id="0">
    <w:p w14:paraId="753D3E22" w14:textId="77777777" w:rsidR="006427FA" w:rsidRDefault="006427FA" w:rsidP="0003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70A18" w14:textId="77777777" w:rsidR="006427FA" w:rsidRDefault="006427FA" w:rsidP="00032A5B">
      <w:r>
        <w:separator/>
      </w:r>
    </w:p>
  </w:footnote>
  <w:footnote w:type="continuationSeparator" w:id="0">
    <w:p w14:paraId="7B9912AD" w14:textId="77777777" w:rsidR="006427FA" w:rsidRDefault="006427FA" w:rsidP="00032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86956"/>
    <w:multiLevelType w:val="multilevel"/>
    <w:tmpl w:val="C232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43053"/>
    <w:multiLevelType w:val="multilevel"/>
    <w:tmpl w:val="535C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817794"/>
    <w:multiLevelType w:val="multilevel"/>
    <w:tmpl w:val="8980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7505ED"/>
    <w:multiLevelType w:val="multilevel"/>
    <w:tmpl w:val="2C762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9F0F57"/>
    <w:multiLevelType w:val="multilevel"/>
    <w:tmpl w:val="70AE3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E56A1B"/>
    <w:multiLevelType w:val="hybridMultilevel"/>
    <w:tmpl w:val="D8827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41EE1"/>
    <w:multiLevelType w:val="multilevel"/>
    <w:tmpl w:val="D0C6E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CF60DB"/>
    <w:multiLevelType w:val="hybridMultilevel"/>
    <w:tmpl w:val="01E051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280691"/>
    <w:multiLevelType w:val="hybridMultilevel"/>
    <w:tmpl w:val="1604F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2260D5"/>
    <w:multiLevelType w:val="multilevel"/>
    <w:tmpl w:val="300CB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DB5629"/>
    <w:multiLevelType w:val="multilevel"/>
    <w:tmpl w:val="34D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B12F78"/>
    <w:multiLevelType w:val="multilevel"/>
    <w:tmpl w:val="96F48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D6C72"/>
    <w:multiLevelType w:val="multilevel"/>
    <w:tmpl w:val="265C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13"/>
  </w:num>
  <w:num w:numId="9">
    <w:abstractNumId w:val="15"/>
  </w:num>
  <w:num w:numId="10">
    <w:abstractNumId w:val="6"/>
  </w:num>
  <w:num w:numId="11">
    <w:abstractNumId w:val="12"/>
  </w:num>
  <w:num w:numId="12">
    <w:abstractNumId w:val="4"/>
  </w:num>
  <w:num w:numId="13">
    <w:abstractNumId w:val="14"/>
  </w:num>
  <w:num w:numId="14">
    <w:abstractNumId w:val="0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32A5B"/>
    <w:rsid w:val="00033596"/>
    <w:rsid w:val="00096439"/>
    <w:rsid w:val="000B4C7A"/>
    <w:rsid w:val="001333C2"/>
    <w:rsid w:val="001E70A8"/>
    <w:rsid w:val="001F55FE"/>
    <w:rsid w:val="00213857"/>
    <w:rsid w:val="002765DD"/>
    <w:rsid w:val="00317E3D"/>
    <w:rsid w:val="0032791E"/>
    <w:rsid w:val="00376933"/>
    <w:rsid w:val="003A53A6"/>
    <w:rsid w:val="003E4ED4"/>
    <w:rsid w:val="00441EED"/>
    <w:rsid w:val="004A5A64"/>
    <w:rsid w:val="004F4E70"/>
    <w:rsid w:val="005021A2"/>
    <w:rsid w:val="00504B07"/>
    <w:rsid w:val="00532B74"/>
    <w:rsid w:val="0058218C"/>
    <w:rsid w:val="006035E6"/>
    <w:rsid w:val="006427FA"/>
    <w:rsid w:val="006524ED"/>
    <w:rsid w:val="006A3E63"/>
    <w:rsid w:val="006D2F2D"/>
    <w:rsid w:val="006E1FF9"/>
    <w:rsid w:val="007159FD"/>
    <w:rsid w:val="00740218"/>
    <w:rsid w:val="00755C82"/>
    <w:rsid w:val="00785886"/>
    <w:rsid w:val="007F3A6A"/>
    <w:rsid w:val="00950AC4"/>
    <w:rsid w:val="009D0C7C"/>
    <w:rsid w:val="009E71F3"/>
    <w:rsid w:val="00A14675"/>
    <w:rsid w:val="00A73B53"/>
    <w:rsid w:val="00B10470"/>
    <w:rsid w:val="00B13761"/>
    <w:rsid w:val="00B379B7"/>
    <w:rsid w:val="00B65CD1"/>
    <w:rsid w:val="00B90614"/>
    <w:rsid w:val="00BC79FE"/>
    <w:rsid w:val="00BD25A7"/>
    <w:rsid w:val="00C558B0"/>
    <w:rsid w:val="00C7152D"/>
    <w:rsid w:val="00CA03D6"/>
    <w:rsid w:val="00D1337F"/>
    <w:rsid w:val="00D545BA"/>
    <w:rsid w:val="00DA5661"/>
    <w:rsid w:val="00E63D4C"/>
    <w:rsid w:val="00E65DFC"/>
    <w:rsid w:val="00E81204"/>
    <w:rsid w:val="00E9668F"/>
    <w:rsid w:val="00EB4F6C"/>
    <w:rsid w:val="00F157EB"/>
    <w:rsid w:val="00F3601E"/>
    <w:rsid w:val="00F706E9"/>
    <w:rsid w:val="00F81510"/>
    <w:rsid w:val="00FA1054"/>
    <w:rsid w:val="00FA2DAE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01E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104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1047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B10470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spacing w:after="160" w:line="256" w:lineRule="auto"/>
      <w:ind w:left="720"/>
      <w:contextualSpacing/>
    </w:pPr>
    <w:rPr>
      <w:rFonts w:eastAsiaTheme="minorHAnsi" w:cstheme="minorBidi"/>
      <w:szCs w:val="22"/>
    </w:rPr>
  </w:style>
  <w:style w:type="paragraph" w:styleId="Header">
    <w:name w:val="header"/>
    <w:basedOn w:val="Normal"/>
    <w:link w:val="HeaderChar"/>
    <w:uiPriority w:val="99"/>
    <w:unhideWhenUsed/>
    <w:rsid w:val="00032A5B"/>
    <w:pPr>
      <w:tabs>
        <w:tab w:val="center" w:pos="4513"/>
        <w:tab w:val="right" w:pos="9026"/>
      </w:tabs>
    </w:pPr>
    <w:rPr>
      <w:rFonts w:eastAsia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32A5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32A5B"/>
    <w:pPr>
      <w:tabs>
        <w:tab w:val="center" w:pos="4513"/>
        <w:tab w:val="right" w:pos="9026"/>
      </w:tabs>
    </w:pPr>
    <w:rPr>
      <w:rFonts w:eastAsia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32A5B"/>
    <w:rPr>
      <w:rFonts w:ascii="Times New Roman" w:hAnsi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1047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047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B1047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B1047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047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504B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4B0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360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sually-hidden">
    <w:name w:val="visually-hidden"/>
    <w:basedOn w:val="DefaultParagraphFont"/>
    <w:rsid w:val="001E70A8"/>
  </w:style>
  <w:style w:type="character" w:styleId="FollowedHyperlink">
    <w:name w:val="FollowedHyperlink"/>
    <w:basedOn w:val="DefaultParagraphFont"/>
    <w:uiPriority w:val="99"/>
    <w:semiHidden/>
    <w:unhideWhenUsed/>
    <w:rsid w:val="00033596"/>
    <w:rPr>
      <w:color w:val="954F72" w:themeColor="followedHyperlink"/>
      <w:u w:val="single"/>
    </w:rPr>
  </w:style>
  <w:style w:type="character" w:customStyle="1" w:styleId="title">
    <w:name w:val="title"/>
    <w:basedOn w:val="DefaultParagraphFont"/>
    <w:rsid w:val="00532B74"/>
  </w:style>
  <w:style w:type="character" w:customStyle="1" w:styleId="title-text">
    <w:name w:val="title-text"/>
    <w:basedOn w:val="DefaultParagraphFont"/>
    <w:rsid w:val="00376933"/>
  </w:style>
  <w:style w:type="character" w:styleId="Emphasis">
    <w:name w:val="Emphasis"/>
    <w:basedOn w:val="DefaultParagraphFont"/>
    <w:uiPriority w:val="20"/>
    <w:qFormat/>
    <w:rsid w:val="003A53A6"/>
    <w:rPr>
      <w:i/>
      <w:iCs/>
    </w:rPr>
  </w:style>
  <w:style w:type="character" w:customStyle="1" w:styleId="whitespace-normal">
    <w:name w:val="whitespace-normal"/>
    <w:basedOn w:val="DefaultParagraphFont"/>
    <w:rsid w:val="003A5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nice.org.uk/guidance/ng18" TargetMode="External"/><Relationship Id="rId18" Type="http://schemas.openxmlformats.org/officeDocument/2006/relationships/hyperlink" Target="https://research-ebsco-com.ezproxy.uwtsd.ac.uk/c/onvpsy/viewer/pdf/hs7ojiv44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assets.publishing.service.gov.uk/media/63344c9d8fa8f506587dd138/14.149_DFE_Child_safeguarding_Domestic_PB2_v4a.pdf" TargetMode="External"/><Relationship Id="rId17" Type="http://schemas.openxmlformats.org/officeDocument/2006/relationships/hyperlink" Target="https://brill-com.ezproxy.uwtsd.ac.uk/view/journals/chil/26/1/article-p117_117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books/NBK470282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ubmed.ncbi.nlm.nih.gov/26831378/" TargetMode="External"/><Relationship Id="rId10" Type="http://schemas.openxmlformats.org/officeDocument/2006/relationships/hyperlink" Target="https://www.gov.uk/government/publications/continuity-of-care-when-moving-across-borders-within-uk/principles-for-maintaining-continuity-of-care-when-moving-across-borders-within-the-united-kingd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1989/41/section/17" TargetMode="External"/><Relationship Id="rId14" Type="http://schemas.openxmlformats.org/officeDocument/2006/relationships/hyperlink" Target="https://www.nice.org.uk/guidance/qs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Ekaterina Kist (2336279)</cp:lastModifiedBy>
  <cp:revision>2</cp:revision>
  <dcterms:created xsi:type="dcterms:W3CDTF">2025-11-26T12:39:00Z</dcterms:created>
  <dcterms:modified xsi:type="dcterms:W3CDTF">2025-11-26T12:39:00Z</dcterms:modified>
</cp:coreProperties>
</file>