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Ronke Olomola</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highlight w:val="black"/>
              </w:rPr>
            </w:pPr>
            <w:sdt>
              <w:sdtPr>
                <w:tag w:val="goog_rdk_3"/>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Inner City Learning</w:t>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1916047@student.uwstd.ac.uk</w:t>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07426710492</w:t>
            </w:r>
          </w:p>
        </w:tc>
      </w:tr>
      <w:tr>
        <w:trPr>
          <w:cantSplit w:val="0"/>
          <w:tblHeader w:val="0"/>
        </w:trPr>
        <w:tc>
          <w:tcPr>
            <w:shd w:fill="bfbfbf" w:val="clear"/>
            <w:vAlign w:val="center"/>
          </w:tcPr>
          <w:p w:rsidR="00000000" w:rsidDel="00000000" w:rsidP="00000000" w:rsidRDefault="00000000" w:rsidRPr="00000000" w14:paraId="00000044">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1916047</w:t>
            </w:r>
          </w:p>
        </w:tc>
      </w:tr>
      <w:tr>
        <w:trPr>
          <w:cantSplit w:val="0"/>
          <w:trHeight w:val="549"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MSc Public Health in Social Care Practice</w:t>
            </w:r>
          </w:p>
        </w:tc>
      </w:tr>
      <w:tr>
        <w:trPr>
          <w:cantSplit w:val="0"/>
          <w:trHeight w:val="557" w:hRule="atLeast"/>
          <w:tblHeader w:val="0"/>
        </w:trPr>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F">
            <w:pPr>
              <w:widowControl w:val="0"/>
              <w:spacing w:line="360" w:lineRule="auto"/>
              <w:jc w:val="both"/>
              <w:rPr>
                <w:rFonts w:ascii="Arial" w:cs="Arial" w:eastAsia="Arial" w:hAnsi="Arial"/>
                <w:sz w:val="22"/>
                <w:szCs w:val="22"/>
              </w:rPr>
            </w:pPr>
            <w:r w:rsidDel="00000000" w:rsidR="00000000" w:rsidRPr="00000000">
              <w:rPr>
                <w:rFonts w:ascii="Arial" w:cs="Arial" w:eastAsia="Arial" w:hAnsi="Arial"/>
                <w:b w:val="1"/>
                <w:rtl w:val="0"/>
              </w:rPr>
              <w:t xml:space="preserve">Bianca Sanfilippo</w:t>
            </w:r>
            <w:r w:rsidDel="00000000" w:rsidR="00000000" w:rsidRPr="00000000">
              <w:rPr>
                <w:rtl w:val="0"/>
              </w:rPr>
            </w:r>
          </w:p>
        </w:tc>
      </w:tr>
    </w:tbl>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9">
            <w:pPr>
              <w:jc w:val="center"/>
              <w:rPr>
                <w:rFonts w:ascii="Arial" w:cs="Arial" w:eastAsia="Arial" w:hAnsi="Arial"/>
                <w:b w:val="1"/>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1">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7">
            <w:pPr>
              <w:jc w:val="center"/>
              <w:rPr>
                <w:rFonts w:ascii="Arial" w:cs="Arial" w:eastAsia="Arial" w:hAnsi="Arial"/>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E">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6">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7">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9">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F">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8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Y</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2">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3">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Y</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6">
            <w:pPr>
              <w:jc w:val="center"/>
              <w:rPr>
                <w:rFonts w:ascii="Arial" w:cs="Arial" w:eastAsia="Arial" w:hAnsi="Arial"/>
                <w:i w:val="1"/>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7">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9">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9">
            <w:pPr>
              <w:jc w:val="center"/>
              <w:rPr>
                <w:rFonts w:ascii="Arial" w:cs="Arial" w:eastAsia="Arial" w:hAnsi="Arial"/>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C">
            <w:pPr>
              <w:jc w:val="center"/>
              <w:rPr>
                <w:rFonts w:ascii="Arial" w:cs="Arial" w:eastAsia="Arial" w:hAnsi="Arial"/>
                <w:sz w:val="22"/>
                <w:szCs w:val="22"/>
                <w:highlight w:val="black"/>
              </w:rPr>
            </w:pPr>
            <w:sdt>
              <w:sdtPr>
                <w:tag w:val="goog_rdk_12"/>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1">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highlight w:val="black"/>
              </w:rPr>
            </w:pPr>
            <w:sdt>
              <w:sdtPr>
                <w:tag w:val="goog_rdk_14"/>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9">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B">
            <w:pPr>
              <w:jc w:val="center"/>
              <w:rPr>
                <w:rFonts w:ascii="Arial" w:cs="Arial" w:eastAsia="Arial" w:hAnsi="Arial"/>
                <w:sz w:val="22"/>
                <w:szCs w:val="22"/>
                <w:highlight w:val="black"/>
              </w:rPr>
            </w:pPr>
            <w:sdt>
              <w:sdtPr>
                <w:tag w:val="goog_rdk_16"/>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1">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3">
            <w:pPr>
              <w:jc w:val="center"/>
              <w:rPr>
                <w:rFonts w:ascii="Arial" w:cs="Arial" w:eastAsia="Arial" w:hAnsi="Arial"/>
                <w:sz w:val="22"/>
                <w:szCs w:val="22"/>
                <w:highlight w:val="black"/>
              </w:rPr>
            </w:pPr>
            <w:sdt>
              <w:sdtPr>
                <w:tag w:val="goog_rdk_18"/>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9">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C">
            <w:pPr>
              <w:jc w:val="center"/>
              <w:rPr>
                <w:rFonts w:ascii="Arial" w:cs="Arial" w:eastAsia="Arial" w:hAnsi="Arial"/>
                <w:sz w:val="22"/>
                <w:szCs w:val="22"/>
                <w:highlight w:val="black"/>
              </w:rPr>
            </w:pPr>
            <w:sdt>
              <w:sdtPr>
                <w:tag w:val="goog_rdk_20"/>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2">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5">
            <w:pPr>
              <w:jc w:val="center"/>
              <w:rPr>
                <w:rFonts w:ascii="Arial" w:cs="Arial" w:eastAsia="Arial" w:hAnsi="Arial"/>
                <w:sz w:val="22"/>
                <w:szCs w:val="22"/>
                <w:highlight w:val="black"/>
              </w:rPr>
            </w:pPr>
            <w:sdt>
              <w:sdtPr>
                <w:tag w:val="goog_rdk_22"/>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bl>
    <w:p w:rsidR="00000000" w:rsidDel="00000000" w:rsidP="00000000" w:rsidRDefault="00000000" w:rsidRPr="00000000" w14:paraId="000000D6">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E">
            <w:pPr>
              <w:jc w:val="center"/>
              <w:rPr>
                <w:rFonts w:ascii="Arial" w:cs="Arial" w:eastAsia="Arial" w:hAnsi="Arial"/>
                <w:sz w:val="22"/>
                <w:szCs w:val="22"/>
                <w:highlight w:val="black"/>
              </w:rPr>
            </w:pPr>
            <w:sdt>
              <w:sdtPr>
                <w:tag w:val="goog_rdk_24"/>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 N/A</w:t>
            </w:r>
          </w:p>
          <w:p w:rsidR="00000000" w:rsidDel="00000000" w:rsidP="00000000" w:rsidRDefault="00000000" w:rsidRPr="00000000" w14:paraId="000000E2">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7">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The connection between anorexia nervosa and self-harming in young people and how the current screening tools used to diagnose young people with these conditions can be improved. (A Systematic Review)</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07/10/2024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05/02/2024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3">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6">
            <w:pPr>
              <w:numPr>
                <w:ilvl w:val="0"/>
                <w:numId w:val="2"/>
              </w:numPr>
              <w:pBdr>
                <w:top w:space="0" w:sz="0" w:val="nil"/>
                <w:left w:space="0" w:sz="0" w:val="nil"/>
                <w:bottom w:space="0" w:sz="0" w:val="nil"/>
                <w:right w:space="0" w:sz="0" w:val="nil"/>
                <w:between w:space="0" w:sz="0" w:val="nil"/>
              </w:pBdr>
              <w:ind w:left="0" w:hanging="360"/>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Purpose of Research Activity</w:t>
            </w:r>
          </w:p>
          <w:p w:rsidR="00000000" w:rsidDel="00000000" w:rsidP="00000000" w:rsidRDefault="00000000" w:rsidRPr="00000000" w14:paraId="000000F7">
            <w:pPr>
              <w:numPr>
                <w:ilvl w:val="0"/>
                <w:numId w:val="2"/>
              </w:numPr>
              <w:pBdr>
                <w:top w:space="0" w:sz="0" w:val="nil"/>
                <w:left w:space="0" w:sz="0" w:val="nil"/>
                <w:bottom w:space="0" w:sz="0" w:val="nil"/>
                <w:right w:space="0" w:sz="0" w:val="nil"/>
                <w:between w:space="0" w:sz="0" w:val="nil"/>
              </w:pBdr>
              <w:ind w:left="0" w:hanging="360"/>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Proposed Research Question</w:t>
            </w:r>
          </w:p>
          <w:p w:rsidR="00000000" w:rsidDel="00000000" w:rsidP="00000000" w:rsidRDefault="00000000" w:rsidRPr="00000000" w14:paraId="000000F8">
            <w:pPr>
              <w:numPr>
                <w:ilvl w:val="0"/>
                <w:numId w:val="2"/>
              </w:numPr>
              <w:pBdr>
                <w:top w:space="0" w:sz="0" w:val="nil"/>
                <w:left w:space="0" w:sz="0" w:val="nil"/>
                <w:bottom w:space="0" w:sz="0" w:val="nil"/>
                <w:right w:space="0" w:sz="0" w:val="nil"/>
                <w:between w:space="0" w:sz="0" w:val="nil"/>
              </w:pBdr>
              <w:ind w:left="0" w:hanging="360"/>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Aims of Research Activity</w:t>
            </w:r>
          </w:p>
          <w:p w:rsidR="00000000" w:rsidDel="00000000" w:rsidP="00000000" w:rsidRDefault="00000000" w:rsidRPr="00000000" w14:paraId="000000F9">
            <w:pPr>
              <w:numPr>
                <w:ilvl w:val="0"/>
                <w:numId w:val="2"/>
              </w:numPr>
              <w:pBdr>
                <w:top w:space="0" w:sz="0" w:val="nil"/>
                <w:left w:space="0" w:sz="0" w:val="nil"/>
                <w:bottom w:space="0" w:sz="0" w:val="nil"/>
                <w:right w:space="0" w:sz="0" w:val="nil"/>
                <w:between w:space="0" w:sz="0" w:val="nil"/>
              </w:pBdr>
              <w:spacing w:after="240" w:lineRule="auto"/>
              <w:ind w:left="0" w:hanging="357"/>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Objectives of Research Activity</w:t>
            </w:r>
          </w:p>
          <w:p w:rsidR="00000000" w:rsidDel="00000000" w:rsidP="00000000" w:rsidRDefault="00000000" w:rsidRPr="00000000" w14:paraId="000000FA">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B">
            <w:pPr>
              <w:numPr>
                <w:ilvl w:val="0"/>
                <w:numId w:val="2"/>
              </w:numPr>
              <w:pBdr>
                <w:top w:space="0" w:sz="0" w:val="nil"/>
                <w:left w:space="0" w:sz="0" w:val="nil"/>
                <w:bottom w:space="0" w:sz="0" w:val="nil"/>
                <w:right w:space="0" w:sz="0" w:val="nil"/>
                <w:between w:space="0" w:sz="0" w:val="nil"/>
              </w:pBdr>
              <w:ind w:left="0" w:hanging="360"/>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What the research activity will add to the body of knowledge </w:t>
            </w:r>
          </w:p>
          <w:p w:rsidR="00000000" w:rsidDel="00000000" w:rsidP="00000000" w:rsidRDefault="00000000" w:rsidRPr="00000000" w14:paraId="000000FC">
            <w:pPr>
              <w:numPr>
                <w:ilvl w:val="0"/>
                <w:numId w:val="2"/>
              </w:numPr>
              <w:pBdr>
                <w:top w:space="0" w:sz="0" w:val="nil"/>
                <w:left w:space="0" w:sz="0" w:val="nil"/>
                <w:bottom w:space="0" w:sz="0" w:val="nil"/>
                <w:right w:space="0" w:sz="0" w:val="nil"/>
                <w:between w:space="0" w:sz="0" w:val="nil"/>
              </w:pBdr>
              <w:ind w:left="0" w:hanging="360"/>
              <w:rPr>
                <w:rFonts w:ascii="Arial" w:cs="Arial" w:eastAsia="Arial" w:hAnsi="Arial"/>
                <w:color w:val="000000"/>
                <w:sz w:val="22"/>
                <w:szCs w:val="22"/>
              </w:rPr>
            </w:pPr>
            <w:r w:rsidDel="00000000" w:rsidR="00000000" w:rsidRPr="00000000">
              <w:rPr>
                <w:rFonts w:ascii="Arial" w:cs="Arial" w:eastAsia="Arial" w:hAnsi="Arial"/>
                <w:i w:val="1"/>
                <w:color w:val="000000"/>
                <w:sz w:val="22"/>
                <w:szCs w:val="22"/>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widowControl w:val="0"/>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Warne et al (2021) expressed that Self-harming and eating disorders such as anorexia nervosa are found to affect young people between the ages of 16 and 24 years the most.  Eating disorders such as anorexia nervosa are seen as a form of self-harm hence the connection of both problems can be seen as associated.  Washburn et al (2022) argued that a research study carried out found that approximately a third of patients with eating disorders engaged at least once in their lives in self-harming.   This shows how much the problem is an issue among young people.</w:t>
            </w:r>
          </w:p>
          <w:p w:rsidR="00000000" w:rsidDel="00000000" w:rsidP="00000000" w:rsidRDefault="00000000" w:rsidRPr="00000000" w14:paraId="00000104">
            <w:pPr>
              <w:widowControl w:val="0"/>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D">
            <w:pPr>
              <w:spacing w:line="360" w:lineRule="auto"/>
              <w:jc w:val="both"/>
              <w:rPr>
                <w:rFonts w:ascii="Arial" w:cs="Arial" w:eastAsia="Arial" w:hAnsi="Arial"/>
                <w:sz w:val="8"/>
                <w:szCs w:val="8"/>
              </w:rPr>
            </w:pPr>
            <w:r w:rsidDel="00000000" w:rsidR="00000000" w:rsidRPr="00000000">
              <w:rPr>
                <w:rFonts w:ascii="Arial" w:cs="Arial" w:eastAsia="Arial" w:hAnsi="Arial"/>
                <w:sz w:val="24"/>
                <w:szCs w:val="24"/>
                <w:rtl w:val="0"/>
              </w:rPr>
              <w:t xml:space="preserve">What is the connection between anorexia nervosa and self-harming in young people in the United Kingdom? This research focuses on young people and</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how the current screening tools can be improved to diagnose young people with these conditions.</w:t>
            </w:r>
            <w:r w:rsidDel="00000000" w:rsidR="00000000" w:rsidRPr="00000000">
              <w:rPr>
                <w:rtl w:val="0"/>
              </w:rPr>
            </w:r>
          </w:p>
          <w:p w:rsidR="00000000" w:rsidDel="00000000" w:rsidP="00000000" w:rsidRDefault="00000000" w:rsidRPr="00000000" w14:paraId="0000010E">
            <w:pPr>
              <w:rPr>
                <w:rFonts w:ascii="Arial" w:cs="Arial" w:eastAsia="Arial" w:hAnsi="Arial"/>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widowControl w:val="0"/>
              <w:spacing w:line="360" w:lineRule="auto"/>
              <w:jc w:val="both"/>
              <w:rPr>
                <w:rFonts w:ascii="Arial" w:cs="Arial" w:eastAsia="Arial" w:hAnsi="Arial"/>
                <w:sz w:val="26"/>
                <w:szCs w:val="26"/>
              </w:rPr>
            </w:pPr>
            <w:r w:rsidDel="00000000" w:rsidR="00000000" w:rsidRPr="00000000">
              <w:rPr>
                <w:rFonts w:ascii="Arial" w:cs="Arial" w:eastAsia="Arial" w:hAnsi="Arial"/>
                <w:sz w:val="26"/>
                <w:szCs w:val="26"/>
                <w:rtl w:val="0"/>
              </w:rPr>
              <w:t xml:space="preserve">To determine the co-occurrence of anorexia nervosa in self-harming young people in the United Kingdom.</w:t>
            </w:r>
          </w:p>
          <w:p w:rsidR="00000000" w:rsidDel="00000000" w:rsidP="00000000" w:rsidRDefault="00000000" w:rsidRPr="00000000" w14:paraId="00000118">
            <w:pPr>
              <w:rPr>
                <w:rFonts w:ascii="Arial" w:cs="Arial" w:eastAsia="Arial" w:hAnsi="Arial"/>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widowControl w:val="0"/>
              <w:spacing w:line="360" w:lineRule="auto"/>
              <w:ind w:left="72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2">
            <w:pPr>
              <w:widowControl w:val="0"/>
              <w:numPr>
                <w:ilvl w:val="0"/>
                <w:numId w:val="3"/>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discuss the factors that lead to anorexia nervosa and self-harming behaviour in young people in the United Kingdom.</w:t>
            </w:r>
          </w:p>
          <w:p w:rsidR="00000000" w:rsidDel="00000000" w:rsidP="00000000" w:rsidRDefault="00000000" w:rsidRPr="00000000" w14:paraId="00000123">
            <w:pPr>
              <w:widowControl w:val="0"/>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widowControl w:val="0"/>
              <w:numPr>
                <w:ilvl w:val="0"/>
                <w:numId w:val="3"/>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examine the mental, physical and emotional effects of self-harming in young people who suffer from anorexia nervosa in the United Kingdom.</w:t>
            </w:r>
          </w:p>
          <w:p w:rsidR="00000000" w:rsidDel="00000000" w:rsidP="00000000" w:rsidRDefault="00000000" w:rsidRPr="00000000" w14:paraId="00000125">
            <w:pPr>
              <w:pBdr>
                <w:top w:space="0" w:sz="0" w:val="nil"/>
                <w:left w:space="0" w:sz="0" w:val="nil"/>
                <w:bottom w:space="0" w:sz="0" w:val="nil"/>
                <w:right w:space="0" w:sz="0" w:val="nil"/>
                <w:between w:space="0" w:sz="0" w:val="nil"/>
              </w:pBdr>
              <w:ind w:left="720" w:firstLine="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26">
            <w:pPr>
              <w:widowControl w:val="0"/>
              <w:spacing w:line="360" w:lineRule="auto"/>
              <w:ind w:left="72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widowControl w:val="0"/>
              <w:numPr>
                <w:ilvl w:val="0"/>
                <w:numId w:val="3"/>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The impact of anorexia nervosa and self-harming on young people in the United Kingdom. </w:t>
            </w:r>
          </w:p>
          <w:p w:rsidR="00000000" w:rsidDel="00000000" w:rsidP="00000000" w:rsidRDefault="00000000" w:rsidRPr="00000000" w14:paraId="00000128">
            <w:pPr>
              <w:widowControl w:val="0"/>
              <w:pBdr>
                <w:top w:space="0" w:sz="0" w:val="nil"/>
                <w:left w:space="0" w:sz="0" w:val="nil"/>
                <w:bottom w:space="0" w:sz="0" w:val="nil"/>
                <w:right w:space="0" w:sz="0" w:val="nil"/>
                <w:between w:space="0" w:sz="0" w:val="nil"/>
              </w:pBdr>
              <w:spacing w:line="360" w:lineRule="auto"/>
              <w:ind w:left="720"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29">
            <w:pPr>
              <w:widowControl w:val="0"/>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A">
            <w:pPr>
              <w:widowControl w:val="0"/>
              <w:numPr>
                <w:ilvl w:val="0"/>
                <w:numId w:val="3"/>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provide recommendations based on the findings to influence public health policies and practices in the United Kingdom.</w:t>
            </w:r>
          </w:p>
          <w:p w:rsidR="00000000" w:rsidDel="00000000" w:rsidP="00000000" w:rsidRDefault="00000000" w:rsidRPr="00000000" w14:paraId="0000012B">
            <w:pPr>
              <w:rPr>
                <w:rFonts w:ascii="Arial" w:cs="Arial" w:eastAsia="Arial" w:hAnsi="Arial"/>
                <w:sz w:val="36"/>
                <w:szCs w:val="36"/>
              </w:rPr>
            </w:pPr>
            <w:r w:rsidDel="00000000" w:rsidR="00000000" w:rsidRPr="00000000">
              <w:rPr>
                <w:rtl w:val="0"/>
              </w:rPr>
            </w:r>
          </w:p>
          <w:p w:rsidR="00000000" w:rsidDel="00000000" w:rsidP="00000000" w:rsidRDefault="00000000" w:rsidRPr="00000000" w14:paraId="0000012C">
            <w:pP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1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3">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b w:val="1"/>
                <w:sz w:val="28"/>
                <w:szCs w:val="28"/>
                <w:rtl w:val="0"/>
              </w:rPr>
              <w:t xml:space="preserve">Methodology:</w:t>
            </w:r>
            <w:r w:rsidDel="00000000" w:rsidR="00000000" w:rsidRPr="00000000">
              <w:rPr>
                <w:rFonts w:ascii="Arial" w:cs="Arial" w:eastAsia="Arial" w:hAnsi="Arial"/>
                <w:sz w:val="22"/>
                <w:szCs w:val="22"/>
                <w:rtl w:val="0"/>
              </w:rPr>
              <w:t xml:space="preserve"> Qualitative Secondary study. </w:t>
            </w:r>
          </w:p>
          <w:p w:rsidR="00000000" w:rsidDel="00000000" w:rsidP="00000000" w:rsidRDefault="00000000" w:rsidRPr="00000000" w14:paraId="000001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D">
            <w:pPr>
              <w:spacing w:line="360" w:lineRule="auto"/>
              <w:jc w:val="both"/>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Data Collection: </w:t>
            </w:r>
            <w:r w:rsidDel="00000000" w:rsidR="00000000" w:rsidRPr="00000000">
              <w:rPr>
                <w:rFonts w:ascii="Arial" w:cs="Arial" w:eastAsia="Arial" w:hAnsi="Arial"/>
                <w:sz w:val="22"/>
                <w:szCs w:val="22"/>
                <w:rtl w:val="0"/>
              </w:rPr>
              <w:t xml:space="preserve">Systematic Literature Review</w:t>
            </w:r>
            <w:r w:rsidDel="00000000" w:rsidR="00000000" w:rsidRPr="00000000">
              <w:rPr>
                <w:rFonts w:ascii="Arial" w:cs="Arial" w:eastAsia="Arial" w:hAnsi="Arial"/>
                <w:b w:val="1"/>
                <w:sz w:val="26"/>
                <w:szCs w:val="26"/>
                <w:rtl w:val="0"/>
              </w:rPr>
              <w:t xml:space="preserve"> </w:t>
            </w:r>
          </w:p>
          <w:p w:rsidR="00000000" w:rsidDel="00000000" w:rsidP="00000000" w:rsidRDefault="00000000" w:rsidRPr="00000000" w14:paraId="0000013E">
            <w:pPr>
              <w:spacing w:line="360" w:lineRule="auto"/>
              <w:jc w:val="both"/>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Sample: </w:t>
            </w:r>
            <w:r w:rsidDel="00000000" w:rsidR="00000000" w:rsidRPr="00000000">
              <w:rPr>
                <w:rFonts w:ascii="Arial" w:cs="Arial" w:eastAsia="Arial" w:hAnsi="Arial"/>
                <w:sz w:val="22"/>
                <w:szCs w:val="22"/>
                <w:rtl w:val="0"/>
              </w:rPr>
              <w:t xml:space="preserve">Minimum of 12 primary peer-reviewed studies</w:t>
            </w:r>
            <w:r w:rsidDel="00000000" w:rsidR="00000000" w:rsidRPr="00000000">
              <w:rPr>
                <w:rFonts w:ascii="Arial" w:cs="Arial" w:eastAsia="Arial" w:hAnsi="Arial"/>
                <w:b w:val="1"/>
                <w:sz w:val="26"/>
                <w:szCs w:val="26"/>
                <w:rtl w:val="0"/>
              </w:rPr>
              <w:t xml:space="preserve"> </w:t>
            </w:r>
          </w:p>
          <w:p w:rsidR="00000000" w:rsidDel="00000000" w:rsidP="00000000" w:rsidRDefault="00000000" w:rsidRPr="00000000" w14:paraId="0000013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Collecting the correct data is important for research to be carried out successfully.  Paradis et al (2016) explain that the data collection in this research phase is vital as how the data is collected can directly affect the results that are derived.  Hence data collection must be undertaken properly to get the right result.  12 relevant secondary research articles that are related to the topic “Anorexia</w:t>
            </w:r>
            <w:r w:rsidDel="00000000" w:rsidR="00000000" w:rsidRPr="00000000">
              <w:rPr>
                <w:rFonts w:ascii="Arial" w:cs="Arial" w:eastAsia="Arial" w:hAnsi="Arial"/>
                <w:sz w:val="36"/>
                <w:szCs w:val="36"/>
                <w:rtl w:val="0"/>
              </w:rPr>
              <w:t xml:space="preserve"> </w:t>
            </w:r>
            <w:r w:rsidDel="00000000" w:rsidR="00000000" w:rsidRPr="00000000">
              <w:rPr>
                <w:rFonts w:ascii="Arial" w:cs="Arial" w:eastAsia="Arial" w:hAnsi="Arial"/>
                <w:sz w:val="22"/>
                <w:szCs w:val="22"/>
                <w:rtl w:val="0"/>
              </w:rPr>
              <w:t xml:space="preserve">nervosa and self-harming in young people in the United Kingdom”; ’ Eating disorders and self-harm in young people in the United Kingdom’;  Anorexia nervosa and self-harming in teenagers in the United Kingdom;  the connection between eating disorders and self-punishment in young people, self-hatred and anorexia nervosa in young people in the United Kingdom.  It is important that the research articles shown are accessible and are proper research articles with all the components of a research article, each section will be checked. </w:t>
            </w:r>
          </w:p>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Prisma framework  appraisal tool will be used to select the 12 relevant  research  academic articles</w:t>
            </w:r>
          </w:p>
          <w:p w:rsidR="00000000" w:rsidDel="00000000" w:rsidP="00000000" w:rsidRDefault="00000000" w:rsidRPr="00000000" w14:paraId="000001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Inclusion  criteria </w:t>
            </w:r>
          </w:p>
          <w:p w:rsidR="00000000" w:rsidDel="00000000" w:rsidP="00000000" w:rsidRDefault="00000000" w:rsidRPr="00000000" w14:paraId="00000145">
            <w:pPr>
              <w:numPr>
                <w:ilvl w:val="0"/>
                <w:numId w:val="13"/>
              </w:numPr>
              <w:spacing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The articles that will be included in the selection for this research will be</w:t>
            </w:r>
          </w:p>
          <w:p w:rsidR="00000000" w:rsidDel="00000000" w:rsidP="00000000" w:rsidRDefault="00000000" w:rsidRPr="00000000" w14:paraId="00000146">
            <w:pPr>
              <w:spacing w:line="360" w:lineRule="auto"/>
              <w:jc w:val="both"/>
              <w:rPr>
                <w:rFonts w:ascii="Arial" w:cs="Arial" w:eastAsia="Arial" w:hAnsi="Arial"/>
              </w:rPr>
            </w:pPr>
            <w:r w:rsidDel="00000000" w:rsidR="00000000" w:rsidRPr="00000000">
              <w:rPr>
                <w:rFonts w:ascii="Arial" w:cs="Arial" w:eastAsia="Arial" w:hAnsi="Arial"/>
                <w:rtl w:val="0"/>
              </w:rPr>
              <w:t xml:space="preserve">Research articles that are after the year 2014 since such articles will be related to the research question which is the connection between anorexia nervosa and self-harming in young people in the United Kingdom? The reason for this is that the research articles should be up to date and all the current policies related to anorexia nervosa and self-harming will be considered  This research focuses on young people and</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how the current screening tools can be improved to diagnose young people with these conditions.</w:t>
            </w:r>
          </w:p>
          <w:p w:rsidR="00000000" w:rsidDel="00000000" w:rsidP="00000000" w:rsidRDefault="00000000" w:rsidRPr="00000000" w14:paraId="00000147">
            <w:pPr>
              <w:numPr>
                <w:ilvl w:val="0"/>
                <w:numId w:val="12"/>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Peer-reviewed primary studies conducted in the UK</w:t>
            </w:r>
            <w:r w:rsidDel="00000000" w:rsidR="00000000" w:rsidRPr="00000000">
              <w:rPr>
                <w:rtl w:val="0"/>
              </w:rPr>
            </w:r>
          </w:p>
          <w:p w:rsidR="00000000" w:rsidDel="00000000" w:rsidP="00000000" w:rsidRDefault="00000000" w:rsidRPr="00000000" w14:paraId="00000148">
            <w:pPr>
              <w:spacing w:line="360" w:lineRule="auto"/>
              <w:ind w:left="720" w:firstLine="0"/>
              <w:jc w:val="both"/>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9">
            <w:pPr>
              <w:numPr>
                <w:ilvl w:val="0"/>
                <w:numId w:val="12"/>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that include young people, 16-24 years old </w:t>
            </w:r>
          </w:p>
          <w:p w:rsidR="00000000" w:rsidDel="00000000" w:rsidP="00000000" w:rsidRDefault="00000000" w:rsidRPr="00000000" w14:paraId="0000014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numPr>
                <w:ilvl w:val="0"/>
                <w:numId w:val="6"/>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that include eating disorders</w:t>
            </w:r>
          </w:p>
          <w:p w:rsidR="00000000" w:rsidDel="00000000" w:rsidP="00000000" w:rsidRDefault="00000000" w:rsidRPr="00000000" w14:paraId="0000014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D">
            <w:pPr>
              <w:numPr>
                <w:ilvl w:val="0"/>
                <w:numId w:val="1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that include self-harm in young people </w:t>
            </w:r>
          </w:p>
          <w:p w:rsidR="00000000" w:rsidDel="00000000" w:rsidP="00000000" w:rsidRDefault="00000000" w:rsidRPr="00000000" w14:paraId="0000014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F">
            <w:pPr>
              <w:numPr>
                <w:ilvl w:val="0"/>
                <w:numId w:val="4"/>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that are written in the English Language</w:t>
            </w:r>
          </w:p>
          <w:p w:rsidR="00000000" w:rsidDel="00000000" w:rsidP="00000000" w:rsidRDefault="00000000" w:rsidRPr="00000000" w14:paraId="0000015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1">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based in the United Kingdom</w:t>
            </w:r>
          </w:p>
          <w:p w:rsidR="00000000" w:rsidDel="00000000" w:rsidP="00000000" w:rsidRDefault="00000000" w:rsidRPr="00000000" w14:paraId="0000015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3">
            <w:pPr>
              <w:numPr>
                <w:ilvl w:val="0"/>
                <w:numId w:val="5"/>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Government policies and legislation that are related to the United Kingdom</w:t>
            </w:r>
          </w:p>
          <w:p w:rsidR="00000000" w:rsidDel="00000000" w:rsidP="00000000" w:rsidRDefault="00000000" w:rsidRPr="00000000" w14:paraId="00000154">
            <w:pPr>
              <w:spacing w:line="360" w:lineRule="auto"/>
              <w:ind w:left="72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5">
            <w:pPr>
              <w:numPr>
                <w:ilvl w:val="0"/>
                <w:numId w:val="5"/>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Only Primary  research  will be used in this dissertation </w:t>
            </w:r>
          </w:p>
          <w:p w:rsidR="00000000" w:rsidDel="00000000" w:rsidP="00000000" w:rsidRDefault="00000000" w:rsidRPr="00000000" w14:paraId="0000015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5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Exclusion criteria </w:t>
            </w:r>
          </w:p>
          <w:p w:rsidR="00000000" w:rsidDel="00000000" w:rsidP="00000000" w:rsidRDefault="00000000" w:rsidRPr="00000000" w14:paraId="00000158">
            <w:pPr>
              <w:spacing w:line="360" w:lineRule="auto"/>
              <w:jc w:val="both"/>
              <w:rPr>
                <w:rFonts w:ascii="Arial" w:cs="Arial" w:eastAsia="Arial" w:hAnsi="Arial"/>
              </w:rPr>
            </w:pPr>
            <w:r w:rsidDel="00000000" w:rsidR="00000000" w:rsidRPr="00000000">
              <w:rPr>
                <w:rFonts w:ascii="Arial" w:cs="Arial" w:eastAsia="Arial" w:hAnsi="Arial"/>
                <w:rtl w:val="0"/>
              </w:rPr>
              <w:t xml:space="preserve">The articles that will not be considered in this research</w:t>
            </w:r>
          </w:p>
          <w:p w:rsidR="00000000" w:rsidDel="00000000" w:rsidP="00000000" w:rsidRDefault="00000000" w:rsidRPr="00000000" w14:paraId="00000159">
            <w:pPr>
              <w:spacing w:line="360" w:lineRule="auto"/>
              <w:jc w:val="both"/>
              <w:rPr>
                <w:rFonts w:ascii="Arial" w:cs="Arial" w:eastAsia="Arial" w:hAnsi="Arial"/>
              </w:rPr>
            </w:pPr>
            <w:r w:rsidDel="00000000" w:rsidR="00000000" w:rsidRPr="00000000">
              <w:rPr>
                <w:rFonts w:ascii="Arial" w:cs="Arial" w:eastAsia="Arial" w:hAnsi="Arial"/>
                <w:rtl w:val="0"/>
              </w:rPr>
              <w:t xml:space="preserve">Research articles that were published before 2014</w:t>
            </w:r>
          </w:p>
          <w:p w:rsidR="00000000" w:rsidDel="00000000" w:rsidP="00000000" w:rsidRDefault="00000000" w:rsidRPr="00000000" w14:paraId="0000015A">
            <w:pPr>
              <w:spacing w:line="360" w:lineRule="auto"/>
              <w:jc w:val="both"/>
              <w:rPr>
                <w:rFonts w:ascii="Arial" w:cs="Arial" w:eastAsia="Arial" w:hAnsi="Arial"/>
              </w:rPr>
            </w:pPr>
            <w:r w:rsidDel="00000000" w:rsidR="00000000" w:rsidRPr="00000000">
              <w:rPr>
                <w:rFonts w:ascii="Arial" w:cs="Arial" w:eastAsia="Arial" w:hAnsi="Arial"/>
                <w:rtl w:val="0"/>
              </w:rPr>
              <w:t xml:space="preserve">research articles that are related to outside of the United Kingdom</w:t>
            </w:r>
          </w:p>
          <w:p w:rsidR="00000000" w:rsidDel="00000000" w:rsidP="00000000" w:rsidRDefault="00000000" w:rsidRPr="00000000" w14:paraId="0000015B">
            <w:pPr>
              <w:spacing w:line="360" w:lineRule="auto"/>
              <w:jc w:val="both"/>
              <w:rPr>
                <w:rFonts w:ascii="Arial" w:cs="Arial" w:eastAsia="Arial" w:hAnsi="Arial"/>
              </w:rPr>
            </w:pPr>
            <w:r w:rsidDel="00000000" w:rsidR="00000000" w:rsidRPr="00000000">
              <w:rPr>
                <w:rFonts w:ascii="Arial" w:cs="Arial" w:eastAsia="Arial" w:hAnsi="Arial"/>
                <w:rtl w:val="0"/>
              </w:rPr>
              <w:t xml:space="preserve">Research articles that are related to the adult population </w:t>
            </w:r>
          </w:p>
          <w:p w:rsidR="00000000" w:rsidDel="00000000" w:rsidP="00000000" w:rsidRDefault="00000000" w:rsidRPr="00000000" w14:paraId="0000015C">
            <w:pPr>
              <w:spacing w:line="360" w:lineRule="auto"/>
              <w:jc w:val="both"/>
              <w:rPr>
                <w:rFonts w:ascii="Arial" w:cs="Arial" w:eastAsia="Arial" w:hAnsi="Arial"/>
                <w:sz w:val="22"/>
                <w:szCs w:val="22"/>
              </w:rPr>
            </w:pPr>
            <w:r w:rsidDel="00000000" w:rsidR="00000000" w:rsidRPr="00000000">
              <w:rPr>
                <w:rFonts w:ascii="Arial" w:cs="Arial" w:eastAsia="Arial" w:hAnsi="Arial"/>
                <w:rtl w:val="0"/>
              </w:rPr>
              <w:t xml:space="preserve">Research articles that are not written in the English Languag</w:t>
            </w:r>
            <w:r w:rsidDel="00000000" w:rsidR="00000000" w:rsidRPr="00000000">
              <w:rPr>
                <w:rFonts w:ascii="Arial" w:cs="Arial" w:eastAsia="Arial" w:hAnsi="Arial"/>
                <w:sz w:val="22"/>
                <w:szCs w:val="22"/>
                <w:rtl w:val="0"/>
              </w:rPr>
              <w:t xml:space="preserve">e</w:t>
            </w:r>
          </w:p>
          <w:p w:rsidR="00000000" w:rsidDel="00000000" w:rsidP="00000000" w:rsidRDefault="00000000" w:rsidRPr="00000000" w14:paraId="0000015D">
            <w:pPr>
              <w:spacing w:line="360" w:lineRule="auto"/>
              <w:jc w:val="both"/>
              <w:rPr>
                <w:rFonts w:ascii="Arial" w:cs="Arial" w:eastAsia="Arial" w:hAnsi="Arial"/>
              </w:rPr>
            </w:pPr>
            <w:r w:rsidDel="00000000" w:rsidR="00000000" w:rsidRPr="00000000">
              <w:rPr>
                <w:rFonts w:ascii="Arial" w:cs="Arial" w:eastAsia="Arial" w:hAnsi="Arial"/>
                <w:rtl w:val="0"/>
              </w:rPr>
              <w:t xml:space="preserve">Publications and government policies that are not related to young people</w:t>
            </w:r>
          </w:p>
          <w:p w:rsidR="00000000" w:rsidDel="00000000" w:rsidP="00000000" w:rsidRDefault="00000000" w:rsidRPr="00000000" w14:paraId="0000015E">
            <w:pPr>
              <w:spacing w:line="360" w:lineRule="auto"/>
              <w:jc w:val="both"/>
              <w:rPr>
                <w:rFonts w:ascii="Arial" w:cs="Arial" w:eastAsia="Arial" w:hAnsi="Arial"/>
              </w:rPr>
            </w:pPr>
            <w:r w:rsidDel="00000000" w:rsidR="00000000" w:rsidRPr="00000000">
              <w:rPr>
                <w:rFonts w:ascii="Arial" w:cs="Arial" w:eastAsia="Arial" w:hAnsi="Arial"/>
                <w:rtl w:val="0"/>
              </w:rPr>
              <w:t xml:space="preserve">Secondary research articles will not be used as these types of research articles are not permissible in this research</w:t>
            </w:r>
          </w:p>
          <w:p w:rsidR="00000000" w:rsidDel="00000000" w:rsidP="00000000" w:rsidRDefault="00000000" w:rsidRPr="00000000" w14:paraId="0000015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0">
            <w:pPr>
              <w:pStyle w:val="Heading4"/>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Search Strategy</w:t>
            </w:r>
          </w:p>
          <w:p w:rsidR="00000000" w:rsidDel="00000000" w:rsidP="00000000" w:rsidRDefault="00000000" w:rsidRPr="00000000" w14:paraId="00000161">
            <w:pPr>
              <w:numPr>
                <w:ilvl w:val="0"/>
                <w:numId w:val="8"/>
              </w:numPr>
              <w:spacing w:after="280" w:before="280" w:lineRule="auto"/>
              <w:ind w:left="720" w:hanging="360"/>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Databases:</w:t>
            </w:r>
            <w:r w:rsidDel="00000000" w:rsidR="00000000" w:rsidRPr="00000000">
              <w:rPr>
                <w:rFonts w:ascii="Arial" w:cs="Arial" w:eastAsia="Arial" w:hAnsi="Arial"/>
                <w:color w:val="000000"/>
                <w:sz w:val="22"/>
                <w:szCs w:val="22"/>
                <w:rtl w:val="0"/>
              </w:rPr>
              <w:t xml:space="preserve"> Conduct searches in relevant databases such as PubMed, PsycINFO, ProQuest, and UWTSD Library. </w:t>
            </w:r>
          </w:p>
          <w:p w:rsidR="00000000" w:rsidDel="00000000" w:rsidP="00000000" w:rsidRDefault="00000000" w:rsidRPr="00000000" w14:paraId="00000162">
            <w:pPr>
              <w:spacing w:line="360" w:lineRule="auto"/>
              <w:jc w:val="both"/>
              <w:rPr>
                <w:rFonts w:ascii="Arial" w:cs="Arial" w:eastAsia="Arial" w:hAnsi="Arial"/>
                <w:sz w:val="6"/>
                <w:szCs w:val="6"/>
              </w:rPr>
            </w:pPr>
            <w:r w:rsidDel="00000000" w:rsidR="00000000" w:rsidRPr="00000000">
              <w:rPr>
                <w:rtl w:val="0"/>
              </w:rPr>
            </w:r>
          </w:p>
          <w:p w:rsidR="00000000" w:rsidDel="00000000" w:rsidP="00000000" w:rsidRDefault="00000000" w:rsidRPr="00000000" w14:paraId="000001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4">
            <w:pPr>
              <w:rPr>
                <w:rFonts w:ascii="Arial" w:cs="Arial" w:eastAsia="Arial" w:hAnsi="Arial"/>
                <w:b w:val="1"/>
                <w:color w:val="000000"/>
                <w:sz w:val="22"/>
                <w:szCs w:val="22"/>
                <w:highlight w:val="yellow"/>
              </w:rPr>
            </w:pPr>
            <w:r w:rsidDel="00000000" w:rsidR="00000000" w:rsidRPr="00000000">
              <w:rPr>
                <w:rtl w:val="0"/>
              </w:rPr>
            </w:r>
          </w:p>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b w:val="1"/>
                <w:color w:val="000000"/>
                <w:sz w:val="22"/>
                <w:szCs w:val="22"/>
                <w:rtl w:val="0"/>
              </w:rPr>
              <w:t xml:space="preserve">Search Terms:</w:t>
            </w:r>
            <w:r w:rsidDel="00000000" w:rsidR="00000000" w:rsidRPr="00000000">
              <w:rPr>
                <w:rFonts w:ascii="Arial" w:cs="Arial" w:eastAsia="Arial" w:hAnsi="Arial"/>
                <w:color w:val="000000"/>
                <w:sz w:val="22"/>
                <w:szCs w:val="22"/>
                <w:rtl w:val="0"/>
              </w:rPr>
              <w:t xml:space="preserve"> Use a combination of keywords and Boolean operators:</w:t>
            </w:r>
            <w:r w:rsidDel="00000000" w:rsidR="00000000" w:rsidRPr="00000000">
              <w:rPr>
                <w:rtl w:val="0"/>
              </w:rPr>
            </w:r>
          </w:p>
          <w:p w:rsidR="00000000" w:rsidDel="00000000" w:rsidP="00000000" w:rsidRDefault="00000000" w:rsidRPr="00000000" w14:paraId="00000166">
            <w:pPr>
              <w:numPr>
                <w:ilvl w:val="0"/>
                <w:numId w:val="7"/>
              </w:numPr>
              <w:spacing w:before="280" w:lineRule="auto"/>
              <w:ind w:left="720" w:hanging="360"/>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Keywords:</w:t>
            </w:r>
            <w:r w:rsidDel="00000000" w:rsidR="00000000" w:rsidRPr="00000000">
              <w:rPr>
                <w:rFonts w:ascii="Arial" w:cs="Arial" w:eastAsia="Arial" w:hAnsi="Arial"/>
                <w:color w:val="000000"/>
                <w:sz w:val="22"/>
                <w:szCs w:val="22"/>
                <w:rtl w:val="0"/>
              </w:rPr>
              <w:t xml:space="preserve"> "anorexia nervosa," "self-harm," "self-injury," "young people," "adolescents," "screening tools," "diagnostic tools," "United Kingdom."</w:t>
            </w:r>
          </w:p>
          <w:p w:rsidR="00000000" w:rsidDel="00000000" w:rsidP="00000000" w:rsidRDefault="00000000" w:rsidRPr="00000000" w14:paraId="00000167">
            <w:pPr>
              <w:numPr>
                <w:ilvl w:val="0"/>
                <w:numId w:val="7"/>
              </w:numPr>
              <w:spacing w:after="280" w:lineRule="auto"/>
              <w:ind w:left="720" w:hanging="360"/>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Boolean operators</w:t>
            </w:r>
            <w:r w:rsidDel="00000000" w:rsidR="00000000" w:rsidRPr="00000000">
              <w:rPr>
                <w:rFonts w:ascii="Arial" w:cs="Arial" w:eastAsia="Arial" w:hAnsi="Arial"/>
                <w:color w:val="000000"/>
                <w:sz w:val="22"/>
                <w:szCs w:val="22"/>
                <w:rtl w:val="0"/>
              </w:rPr>
              <w:t xml:space="preserve">: ("anorexia nervosa" OR "eating disorder") AND ("self-harm" OR "self-injury") AND ("young people" OR "adolescents") AND ("screening tools" OR "diagnostic tools") AND ("UK" OR "United Kingdom").</w:t>
            </w:r>
          </w:p>
          <w:p w:rsidR="00000000" w:rsidDel="00000000" w:rsidP="00000000" w:rsidRDefault="00000000" w:rsidRPr="00000000" w14:paraId="00000168">
            <w:pPr>
              <w:pStyle w:val="Heading4"/>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Quality Assessment</w:t>
            </w:r>
          </w:p>
          <w:p w:rsidR="00000000" w:rsidDel="00000000" w:rsidP="00000000" w:rsidRDefault="00000000" w:rsidRPr="00000000" w14:paraId="00000169">
            <w:pPr>
              <w:numPr>
                <w:ilvl w:val="1"/>
                <w:numId w:val="10"/>
              </w:numPr>
              <w:spacing w:after="280" w:before="280" w:lineRule="auto"/>
              <w:ind w:left="1440" w:hanging="360"/>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Critical Appraisal Skills Programme (CASP):</w:t>
            </w:r>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sz w:val="22"/>
                <w:szCs w:val="22"/>
                <w:rtl w:val="0"/>
              </w:rPr>
              <w:t xml:space="preserve">This will</w:t>
            </w:r>
            <w:r w:rsidDel="00000000" w:rsidR="00000000" w:rsidRPr="00000000">
              <w:rPr>
                <w:rFonts w:ascii="Arial" w:cs="Arial" w:eastAsia="Arial" w:hAnsi="Arial"/>
                <w:color w:val="000000"/>
                <w:sz w:val="22"/>
                <w:szCs w:val="22"/>
                <w:rtl w:val="0"/>
              </w:rPr>
              <w:t xml:space="preserve"> be employed to assess the </w:t>
            </w:r>
            <w:r w:rsidDel="00000000" w:rsidR="00000000" w:rsidRPr="00000000">
              <w:rPr>
                <w:rFonts w:ascii="Arial" w:cs="Arial" w:eastAsia="Arial" w:hAnsi="Arial"/>
                <w:sz w:val="22"/>
                <w:szCs w:val="22"/>
                <w:rtl w:val="0"/>
              </w:rPr>
              <w:t xml:space="preserve">rigour</w:t>
            </w:r>
            <w:r w:rsidDel="00000000" w:rsidR="00000000" w:rsidRPr="00000000">
              <w:rPr>
                <w:rFonts w:ascii="Arial" w:cs="Arial" w:eastAsia="Arial" w:hAnsi="Arial"/>
                <w:color w:val="000000"/>
                <w:sz w:val="22"/>
                <w:szCs w:val="22"/>
                <w:rtl w:val="0"/>
              </w:rPr>
              <w:t xml:space="preserve"> and relevance of the studies.</w:t>
            </w:r>
          </w:p>
          <w:p w:rsidR="00000000" w:rsidDel="00000000" w:rsidP="00000000" w:rsidRDefault="00000000" w:rsidRPr="00000000" w14:paraId="0000016A">
            <w:pPr>
              <w:spacing w:after="280" w:before="280" w:lineRule="auto"/>
              <w:rPr>
                <w:rFonts w:ascii="Arial" w:cs="Arial" w:eastAsia="Arial" w:hAnsi="Arial"/>
                <w:color w:val="000000"/>
                <w:sz w:val="22"/>
                <w:szCs w:val="22"/>
                <w:highlight w:val="yellow"/>
              </w:rPr>
            </w:pPr>
            <w:r w:rsidDel="00000000" w:rsidR="00000000" w:rsidRPr="00000000">
              <w:rPr>
                <w:rtl w:val="0"/>
              </w:rPr>
            </w:r>
          </w:p>
          <w:p w:rsidR="00000000" w:rsidDel="00000000" w:rsidP="00000000" w:rsidRDefault="00000000" w:rsidRPr="00000000" w14:paraId="0000016B">
            <w:pPr>
              <w:pStyle w:val="Heading4"/>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Data Analysis</w:t>
            </w:r>
          </w:p>
          <w:p w:rsidR="00000000" w:rsidDel="00000000" w:rsidP="00000000" w:rsidRDefault="00000000" w:rsidRPr="00000000" w14:paraId="0000016C">
            <w:pPr>
              <w:numPr>
                <w:ilvl w:val="0"/>
                <w:numId w:val="9"/>
              </w:numPr>
              <w:spacing w:after="280" w:before="280" w:lineRule="auto"/>
              <w:ind w:left="720" w:hanging="360"/>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Qualitative Analysis:</w:t>
            </w:r>
            <w:r w:rsidDel="00000000" w:rsidR="00000000" w:rsidRPr="00000000">
              <w:rPr>
                <w:rFonts w:ascii="Arial" w:cs="Arial" w:eastAsia="Arial" w:hAnsi="Arial"/>
                <w:color w:val="000000"/>
                <w:sz w:val="22"/>
                <w:szCs w:val="22"/>
                <w:rtl w:val="0"/>
              </w:rPr>
              <w:t xml:space="preserve"> </w:t>
            </w:r>
            <w:r w:rsidDel="00000000" w:rsidR="00000000" w:rsidRPr="00000000">
              <w:rPr>
                <w:rFonts w:ascii="Arial" w:cs="Arial" w:eastAsia="Arial" w:hAnsi="Arial"/>
                <w:rtl w:val="0"/>
              </w:rPr>
              <w:t xml:space="preserve">T</w:t>
            </w:r>
            <w:r w:rsidDel="00000000" w:rsidR="00000000" w:rsidRPr="00000000">
              <w:rPr>
                <w:rFonts w:ascii="Arial" w:cs="Arial" w:eastAsia="Arial" w:hAnsi="Arial"/>
                <w:color w:val="000000"/>
                <w:sz w:val="22"/>
                <w:szCs w:val="22"/>
                <w:rtl w:val="0"/>
              </w:rPr>
              <w:t xml:space="preserve">hematic analysis will be used to identify and synthesise themes and patterns across the selected studies</w:t>
            </w:r>
          </w:p>
          <w:p w:rsidR="00000000" w:rsidDel="00000000" w:rsidP="00000000" w:rsidRDefault="00000000" w:rsidRPr="00000000" w14:paraId="0000016D">
            <w:pPr>
              <w:spacing w:after="280" w:before="280" w:lineRule="auto"/>
              <w:ind w:left="720" w:firstLine="0"/>
              <w:rPr>
                <w:color w:val="000000"/>
              </w:rPr>
            </w:pPr>
            <w:r w:rsidDel="00000000" w:rsidR="00000000" w:rsidRPr="00000000">
              <w:rPr>
                <w:rtl w:val="0"/>
              </w:rPr>
            </w:r>
          </w:p>
          <w:p w:rsidR="00000000" w:rsidDel="00000000" w:rsidP="00000000" w:rsidRDefault="00000000" w:rsidRPr="00000000" w14:paraId="0000016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74">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7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The location that the research will focus upon is the United Kingdom</w:t>
            </w:r>
          </w:p>
          <w:p w:rsidR="00000000" w:rsidDel="00000000" w:rsidP="00000000" w:rsidRDefault="00000000" w:rsidRPr="00000000" w14:paraId="0000017D">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81">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8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8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8B">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F">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94">
            <w:pPr>
              <w:jc w:val="center"/>
              <w:rPr>
                <w:rFonts w:ascii="Arial" w:cs="Arial" w:eastAsia="Arial" w:hAnsi="Arial"/>
                <w:sz w:val="22"/>
                <w:szCs w:val="22"/>
                <w:highlight w:val="black"/>
              </w:rPr>
            </w:pPr>
            <w:sdt>
              <w:sdtPr>
                <w:tag w:val="goog_rdk_25"/>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highlight w:val="black"/>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highlight w:val="black"/>
              </w:rPr>
            </w:pPr>
            <w:r w:rsidDel="00000000" w:rsidR="00000000" w:rsidRPr="00000000">
              <w:rPr>
                <w:rtl w:val="0"/>
              </w:rPr>
            </w:r>
          </w:p>
        </w:tc>
        <w:tc>
          <w:tcPr>
            <w:shd w:fill="f2f2f2" w:val="clear"/>
            <w:vAlign w:val="center"/>
          </w:tcPr>
          <w:p w:rsidR="00000000" w:rsidDel="00000000" w:rsidP="00000000" w:rsidRDefault="00000000" w:rsidRPr="00000000" w14:paraId="00000197">
            <w:pPr>
              <w:jc w:val="center"/>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198">
            <w:pPr>
              <w:jc w:val="center"/>
              <w:rPr>
                <w:rFonts w:ascii="Arial" w:cs="Arial" w:eastAsia="Arial" w:hAnsi="Arial"/>
                <w:sz w:val="22"/>
                <w:szCs w:val="22"/>
                <w:highlight w:val="black"/>
              </w:rPr>
            </w:pPr>
            <w:sdt>
              <w:sdtPr>
                <w:tag w:val="goog_rdk_26"/>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A1">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A2">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A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A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A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A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C9">
            <w:pPr>
              <w:rPr>
                <w:rFonts w:ascii="Arial" w:cs="Arial" w:eastAsia="Arial" w:hAnsi="Arial"/>
              </w:rPr>
            </w:pPr>
            <w:r w:rsidDel="00000000" w:rsidR="00000000" w:rsidRPr="00000000">
              <w:rPr>
                <w:rtl w:val="0"/>
              </w:rPr>
            </w:r>
          </w:p>
          <w:p w:rsidR="00000000" w:rsidDel="00000000" w:rsidP="00000000" w:rsidRDefault="00000000" w:rsidRPr="00000000" w14:paraId="000001CA">
            <w:pPr>
              <w:rPr>
                <w:rFonts w:ascii="Arial" w:cs="Arial" w:eastAsia="Arial" w:hAnsi="Arial"/>
              </w:rPr>
            </w:pPr>
            <w:r w:rsidDel="00000000" w:rsidR="00000000" w:rsidRPr="00000000">
              <w:rPr>
                <w:rtl w:val="0"/>
              </w:rPr>
            </w:r>
          </w:p>
          <w:p w:rsidR="00000000" w:rsidDel="00000000" w:rsidP="00000000" w:rsidRDefault="00000000" w:rsidRPr="00000000" w14:paraId="000001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D1">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D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E3">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E7">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EB">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217">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21B">
            <w:pPr>
              <w:rPr>
                <w:rFonts w:ascii="Arial" w:cs="Arial" w:eastAsia="Arial" w:hAnsi="Arial"/>
              </w:rPr>
            </w:pPr>
            <w:r w:rsidDel="00000000" w:rsidR="00000000" w:rsidRPr="00000000">
              <w:rPr>
                <w:rtl w:val="0"/>
              </w:rPr>
            </w:r>
          </w:p>
          <w:p w:rsidR="00000000" w:rsidDel="00000000" w:rsidP="00000000" w:rsidRDefault="00000000" w:rsidRPr="00000000" w14:paraId="0000021C">
            <w:pPr>
              <w:rPr>
                <w:rFonts w:ascii="Arial" w:cs="Arial" w:eastAsia="Arial" w:hAnsi="Arial"/>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2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226">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227">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28">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22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22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2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2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230">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1">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34">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5">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40">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47">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50">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51">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55">
            <w:pPr>
              <w:rPr>
                <w:rFonts w:ascii="Arial" w:cs="Arial" w:eastAsia="Arial" w:hAnsi="Arial"/>
              </w:rPr>
            </w:pPr>
            <w:r w:rsidDel="00000000" w:rsidR="00000000" w:rsidRPr="00000000">
              <w:rPr>
                <w:rtl w:val="0"/>
              </w:rPr>
            </w:r>
          </w:p>
          <w:p w:rsidR="00000000" w:rsidDel="00000000" w:rsidP="00000000" w:rsidRDefault="00000000" w:rsidRPr="00000000" w14:paraId="00000256">
            <w:pPr>
              <w:rPr>
                <w:rFonts w:ascii="Arial" w:cs="Arial" w:eastAsia="Arial" w:hAnsi="Arial"/>
              </w:rPr>
            </w:pPr>
            <w:r w:rsidDel="00000000" w:rsidR="00000000" w:rsidRPr="00000000">
              <w:rPr>
                <w:rtl w:val="0"/>
              </w:rPr>
            </w:r>
          </w:p>
          <w:p w:rsidR="00000000" w:rsidDel="00000000" w:rsidP="00000000" w:rsidRDefault="00000000" w:rsidRPr="00000000" w14:paraId="000002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5B">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5C">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5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6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6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6D">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75">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7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7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5">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9D">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E">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A2">
            <w:pPr>
              <w:jc w:val="center"/>
              <w:rPr>
                <w:rFonts w:ascii="Arial" w:cs="Arial" w:eastAsia="Arial" w:hAnsi="Arial"/>
                <w:sz w:val="22"/>
                <w:szCs w:val="22"/>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3">
            <w:pPr>
              <w:jc w:val="center"/>
              <w:rPr>
                <w:rFonts w:ascii="Arial" w:cs="Arial" w:eastAsia="Arial" w:hAnsi="Arial"/>
                <w:sz w:val="22"/>
                <w:szCs w:val="22"/>
              </w:rPr>
            </w:pPr>
            <w:sdt>
              <w:sdtPr>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sdt>
              <w:sdtPr>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A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A7">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8">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9">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B7">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B8">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B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B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B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C1">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2">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3">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C6">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7">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8">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CB">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C">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D">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D0">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1">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2">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E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E2">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E3">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E4">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E5">
            <w:pPr>
              <w:rPr>
                <w:rFonts w:ascii="Arial" w:cs="Arial" w:eastAsia="Arial" w:hAnsi="Arial"/>
              </w:rPr>
            </w:pPr>
            <w:r w:rsidDel="00000000" w:rsidR="00000000" w:rsidRPr="00000000">
              <w:rPr>
                <w:rtl w:val="0"/>
              </w:rPr>
            </w:r>
          </w:p>
          <w:p w:rsidR="00000000" w:rsidDel="00000000" w:rsidP="00000000" w:rsidRDefault="00000000" w:rsidRPr="00000000" w14:paraId="000002E6">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EA">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EB">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ED">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EE">
            <w:pPr>
              <w:pStyle w:val="Heading1"/>
              <w:tabs>
                <w:tab w:val="left" w:leader="none" w:pos="5103"/>
              </w:tabs>
              <w:rPr>
                <w:rFonts w:ascii="Arial" w:cs="Arial" w:eastAsia="Arial" w:hAnsi="Arial"/>
                <w:sz w:val="20"/>
                <w:szCs w:val="20"/>
              </w:rPr>
            </w:pPr>
            <w:sdt>
              <w:sdtPr>
                <w:tag w:val="goog_rdk_101"/>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F2">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F3">
            <w:pPr>
              <w:pStyle w:val="Heading1"/>
              <w:tabs>
                <w:tab w:val="left" w:leader="none" w:pos="5103"/>
              </w:tabs>
              <w:jc w:val="left"/>
              <w:rPr>
                <w:rFonts w:ascii="Arial" w:cs="Arial" w:eastAsia="Arial" w:hAnsi="Arial"/>
                <w:b w:val="0"/>
              </w:rPr>
            </w:pPr>
            <w:r w:rsidDel="00000000" w:rsidR="00000000" w:rsidRPr="00000000">
              <w:rPr>
                <w:rFonts w:ascii="Quattrocento Sans" w:cs="Quattrocento Sans" w:eastAsia="Quattrocento Sans" w:hAnsi="Quattrocento Sans"/>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F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N/A secondary research </w:t>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3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3">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1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31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1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3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sz w:val="22"/>
                <w:szCs w:val="22"/>
                <w:rtl w:val="0"/>
              </w:rPr>
              <w:t xml:space="preserve">A level of emotional distress</w:t>
            </w:r>
          </w:p>
          <w:p w:rsidR="00000000" w:rsidDel="00000000" w:rsidP="00000000" w:rsidRDefault="00000000" w:rsidRPr="00000000" w14:paraId="000003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1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3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Regular meetings with my supervisor and knowing how to contact the UWTSD counselling services.  In addition, this is secondary research and does not involve direct contact with participants; Also regular screen breaks will be taken to feel refreshed</w:t>
            </w:r>
          </w:p>
          <w:p w:rsidR="00000000" w:rsidDel="00000000" w:rsidP="00000000" w:rsidRDefault="00000000" w:rsidRPr="00000000" w14:paraId="000003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32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2C">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D">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3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32">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3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3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45">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C">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D">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4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2">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53">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5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55">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57">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59">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C">
            <w:pPr>
              <w:jc w:val="center"/>
              <w:rPr>
                <w:rFonts w:ascii="Arial" w:cs="Arial" w:eastAsia="Arial" w:hAnsi="Arial"/>
                <w:sz w:val="16"/>
                <w:szCs w:val="16"/>
              </w:rPr>
            </w:pPr>
            <w:sdt>
              <w:sdtPr>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D">
            <w:pPr>
              <w:jc w:val="center"/>
              <w:rPr>
                <w:rFonts w:ascii="Arial" w:cs="Arial" w:eastAsia="Arial" w:hAnsi="Arial"/>
                <w:sz w:val="16"/>
                <w:szCs w:val="16"/>
              </w:rPr>
            </w:pPr>
            <w:sdt>
              <w:sdtPr>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E">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61">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6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66">
      <w:pPr>
        <w:rPr>
          <w:rFonts w:ascii="Arial" w:cs="Arial" w:eastAsia="Arial" w:hAnsi="Arial"/>
          <w:b w:val="1"/>
          <w:sz w:val="22"/>
          <w:szCs w:val="22"/>
        </w:rPr>
      </w:pPr>
      <w:r w:rsidDel="00000000" w:rsidR="00000000" w:rsidRPr="00000000">
        <w:rPr>
          <w:rtl w:val="0"/>
        </w:rPr>
      </w:r>
    </w:p>
    <w:tbl>
      <w:tblPr>
        <w:tblStyle w:val="Table18"/>
        <w:tblW w:w="10518.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6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6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N/A as it is a secondary research</w:t>
            </w:r>
          </w:p>
          <w:p w:rsidR="00000000" w:rsidDel="00000000" w:rsidP="00000000" w:rsidRDefault="00000000" w:rsidRPr="00000000" w14:paraId="000003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6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71">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7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N/A as it is a secondary research</w:t>
            </w:r>
          </w:p>
          <w:p w:rsidR="00000000" w:rsidDel="00000000" w:rsidP="00000000" w:rsidRDefault="00000000" w:rsidRPr="00000000" w14:paraId="000003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7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7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79">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7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N/A as it is a secondary research</w:t>
            </w:r>
          </w:p>
          <w:p w:rsidR="00000000" w:rsidDel="00000000" w:rsidP="00000000" w:rsidRDefault="00000000" w:rsidRPr="00000000" w14:paraId="000003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81">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2">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3">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the research activity involve personal da</w:t>
            </w:r>
            <w:r w:rsidDel="00000000" w:rsidR="00000000" w:rsidRPr="00000000">
              <w:rPr>
                <w:rFonts w:ascii="Arial" w:cs="Arial" w:eastAsia="Arial" w:hAnsi="Arial"/>
                <w:color w:val="000000"/>
                <w:sz w:val="22"/>
                <w:szCs w:val="22"/>
                <w:shd w:fill="f2f2f2" w:val="clear"/>
                <w:rtl w:val="0"/>
              </w:rPr>
              <w:t xml:space="preserve">t</w:t>
            </w:r>
            <w:r w:rsidDel="00000000" w:rsidR="00000000" w:rsidRPr="00000000">
              <w:rPr>
                <w:rFonts w:ascii="Arial" w:cs="Arial" w:eastAsia="Arial" w:hAnsi="Arial"/>
                <w:color w:val="000000"/>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4">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5">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6">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7">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i w:val="1"/>
                <w:color w:val="000000"/>
                <w:sz w:val="22"/>
                <w:szCs w:val="22"/>
                <w:rtl w:val="0"/>
              </w:rPr>
              <w:t xml:space="preserve">“Personal data”</w:t>
            </w:r>
            <w:r w:rsidDel="00000000" w:rsidR="00000000" w:rsidRPr="00000000">
              <w:rPr>
                <w:rFonts w:ascii="Arial" w:cs="Arial" w:eastAsia="Arial" w:hAnsi="Arial"/>
                <w:i w:val="1"/>
                <w:color w:val="000000"/>
                <w:sz w:val="22"/>
                <w:szCs w:val="22"/>
                <w:rtl w:val="0"/>
              </w:rPr>
              <w:t xml:space="preserve"> </w:t>
            </w:r>
            <w:r w:rsidDel="00000000" w:rsidR="00000000" w:rsidRPr="00000000">
              <w:rPr>
                <w:rFonts w:ascii="Arial" w:cs="Arial" w:eastAsia="Arial" w:hAnsi="Arial"/>
                <w:i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88">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sdt>
              <w:sdtPr>
                <w:tag w:val="goog_rdk_104"/>
              </w:sdtPr>
              <w:sdtContent>
                <w:r w:rsidDel="00000000" w:rsidR="00000000" w:rsidRPr="00000000">
                  <w:rPr>
                    <w:rFonts w:ascii="Arial Unicode MS" w:cs="Arial Unicode MS" w:eastAsia="Arial Unicode MS" w:hAnsi="Arial Unicode MS"/>
                    <w:color w:val="000000"/>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89">
            <w:pPr>
              <w:pBdr>
                <w:top w:space="0" w:sz="0" w:val="nil"/>
                <w:left w:space="0" w:sz="0" w:val="nil"/>
                <w:bottom w:space="0" w:sz="0" w:val="nil"/>
                <w:right w:space="0" w:sz="0" w:val="nil"/>
                <w:between w:space="0" w:sz="0" w:val="nil"/>
              </w:pBdr>
              <w:jc w:val="center"/>
              <w:rPr>
                <w:rFonts w:ascii="Arial" w:cs="Arial" w:eastAsia="Arial" w:hAnsi="Arial"/>
                <w:sz w:val="22"/>
                <w:szCs w:val="22"/>
                <w:highlight w:val="black"/>
              </w:rPr>
            </w:pPr>
            <w:sdt>
              <w:sdtPr>
                <w:tag w:val="goog_rdk_105"/>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A">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B">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2">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5">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6">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color w:val="000000"/>
                <w:sz w:val="22"/>
                <w:szCs w:val="22"/>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7">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8">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9">
            <w:pPr>
              <w:pBdr>
                <w:top w:space="0" w:sz="0" w:val="nil"/>
                <w:left w:space="0" w:sz="0" w:val="nil"/>
                <w:bottom w:space="0" w:sz="0" w:val="nil"/>
                <w:right w:space="0" w:sz="0" w:val="nil"/>
                <w:between w:space="0" w:sz="0" w:val="nil"/>
              </w:pBdr>
              <w:jc w:val="center"/>
              <w:rPr>
                <w:rFonts w:ascii="Arial" w:cs="Arial" w:eastAsia="Arial" w:hAnsi="Arial"/>
                <w:color w:val="000000"/>
              </w:rPr>
            </w:pPr>
            <w:r w:rsidDel="00000000" w:rsidR="00000000" w:rsidRPr="00000000">
              <w:rPr>
                <w:rFonts w:ascii="Arial" w:cs="Arial" w:eastAsia="Arial" w:hAnsi="Arial"/>
                <w:color w:val="000000"/>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A">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b w:val="1"/>
                <w:i w:val="1"/>
                <w:color w:val="000000"/>
                <w:rtl w:val="0"/>
              </w:rPr>
              <w:t xml:space="preserve">“Special category data”</w:t>
            </w:r>
            <w:r w:rsidDel="00000000" w:rsidR="00000000" w:rsidRPr="00000000">
              <w:rPr>
                <w:rFonts w:ascii="Arial" w:cs="Arial" w:eastAsia="Arial" w:hAnsi="Arial"/>
                <w:i w:val="1"/>
                <w:color w:val="00000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9B">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(a) racial or ethnic origin,</w:t>
            </w:r>
            <w:r w:rsidDel="00000000" w:rsidR="00000000" w:rsidRPr="00000000">
              <w:rPr>
                <w:rtl w:val="0"/>
              </w:rPr>
            </w:r>
          </w:p>
          <w:p w:rsidR="00000000" w:rsidDel="00000000" w:rsidP="00000000" w:rsidRDefault="00000000" w:rsidRPr="00000000" w14:paraId="0000039C">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(b) political opinions,</w:t>
            </w:r>
            <w:r w:rsidDel="00000000" w:rsidR="00000000" w:rsidRPr="00000000">
              <w:rPr>
                <w:rtl w:val="0"/>
              </w:rPr>
            </w:r>
          </w:p>
          <w:p w:rsidR="00000000" w:rsidDel="00000000" w:rsidP="00000000" w:rsidRDefault="00000000" w:rsidRPr="00000000" w14:paraId="0000039D">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9E">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9F">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(e) physical or mental health or condition,</w:t>
            </w:r>
            <w:r w:rsidDel="00000000" w:rsidR="00000000" w:rsidRPr="00000000">
              <w:rPr>
                <w:rtl w:val="0"/>
              </w:rPr>
            </w:r>
          </w:p>
          <w:p w:rsidR="00000000" w:rsidDel="00000000" w:rsidP="00000000" w:rsidRDefault="00000000" w:rsidRPr="00000000" w14:paraId="000003A0">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(f) sexual life,</w:t>
            </w:r>
            <w:r w:rsidDel="00000000" w:rsidR="00000000" w:rsidRPr="00000000">
              <w:rPr>
                <w:rtl w:val="0"/>
              </w:rPr>
            </w:r>
          </w:p>
          <w:p w:rsidR="00000000" w:rsidDel="00000000" w:rsidP="00000000" w:rsidRDefault="00000000" w:rsidRPr="00000000" w14:paraId="000003A1">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i w:val="1"/>
                <w:color w:val="000000"/>
                <w:rtl w:val="0"/>
              </w:rPr>
              <w:t xml:space="preserve">(g) genetics,</w:t>
            </w:r>
            <w:r w:rsidDel="00000000" w:rsidR="00000000" w:rsidRPr="00000000">
              <w:rPr>
                <w:rtl w:val="0"/>
              </w:rPr>
            </w:r>
          </w:p>
          <w:p w:rsidR="00000000" w:rsidDel="00000000" w:rsidP="00000000" w:rsidRDefault="00000000" w:rsidRPr="00000000" w14:paraId="000003A2">
            <w:pPr>
              <w:pBdr>
                <w:top w:space="0" w:sz="0" w:val="nil"/>
                <w:left w:space="0" w:sz="0" w:val="nil"/>
                <w:bottom w:space="0" w:sz="0" w:val="nil"/>
                <w:right w:space="0" w:sz="0" w:val="nil"/>
                <w:between w:space="0" w:sz="0" w:val="nil"/>
              </w:pBdr>
              <w:rPr>
                <w:rFonts w:ascii="Arial" w:cs="Arial" w:eastAsia="Arial" w:hAnsi="Arial"/>
                <w:i w:val="1"/>
                <w:color w:val="000000"/>
              </w:rPr>
            </w:pPr>
            <w:r w:rsidDel="00000000" w:rsidR="00000000" w:rsidRPr="00000000">
              <w:rPr>
                <w:rFonts w:ascii="Arial" w:cs="Arial" w:eastAsia="Arial" w:hAnsi="Arial"/>
                <w:i w:val="1"/>
                <w:color w:val="00000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3">
            <w:pPr>
              <w:pBdr>
                <w:top w:space="0" w:sz="0" w:val="nil"/>
                <w:left w:space="0" w:sz="0" w:val="nil"/>
                <w:bottom w:space="0" w:sz="0" w:val="nil"/>
                <w:right w:space="0" w:sz="0" w:val="nil"/>
                <w:between w:space="0" w:sz="0" w:val="nil"/>
              </w:pBdr>
              <w:jc w:val="center"/>
              <w:rPr>
                <w:rFonts w:ascii="Arial" w:cs="Arial" w:eastAsia="Arial" w:hAnsi="Arial"/>
                <w:color w:val="000000"/>
                <w:sz w:val="24"/>
                <w:szCs w:val="24"/>
              </w:rPr>
            </w:pPr>
            <w:sdt>
              <w:sdtPr>
                <w:tag w:val="goog_rdk_106"/>
              </w:sdtPr>
              <w:sdtContent>
                <w:r w:rsidDel="00000000" w:rsidR="00000000" w:rsidRPr="00000000">
                  <w:rPr>
                    <w:rFonts w:ascii="Arial Unicode MS" w:cs="Arial Unicode MS" w:eastAsia="Arial Unicode MS" w:hAnsi="Arial Unicode MS"/>
                    <w:color w:val="000000"/>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4">
            <w:pPr>
              <w:pBdr>
                <w:top w:space="0" w:sz="0" w:val="nil"/>
                <w:left w:space="0" w:sz="0" w:val="nil"/>
                <w:bottom w:space="0" w:sz="0" w:val="nil"/>
                <w:right w:space="0" w:sz="0" w:val="nil"/>
                <w:between w:space="0" w:sz="0" w:val="nil"/>
              </w:pBdr>
              <w:jc w:val="center"/>
              <w:rPr>
                <w:rFonts w:ascii="Arial" w:cs="Arial" w:eastAsia="Arial" w:hAnsi="Arial"/>
                <w:color w:val="000000"/>
                <w:sz w:val="24"/>
                <w:szCs w:val="24"/>
                <w:highlight w:val="black"/>
              </w:rPr>
            </w:pPr>
            <w:sdt>
              <w:sdtPr>
                <w:tag w:val="goog_rdk_107"/>
              </w:sdtPr>
              <w:sdtContent>
                <w:r w:rsidDel="00000000" w:rsidR="00000000" w:rsidRPr="00000000">
                  <w:rPr>
                    <w:rFonts w:ascii="Arial Unicode MS" w:cs="Arial Unicode MS" w:eastAsia="Arial Unicode MS" w:hAnsi="Arial Unicode MS"/>
                    <w:color w:val="000000"/>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5">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6">
            <w:pPr>
              <w:pBdr>
                <w:top w:space="0" w:sz="0" w:val="nil"/>
                <w:left w:space="0" w:sz="0" w:val="nil"/>
                <w:bottom w:space="0" w:sz="0" w:val="nil"/>
                <w:right w:space="0" w:sz="0" w:val="nil"/>
                <w:between w:space="0" w:sz="0" w:val="nil"/>
              </w:pBdr>
              <w:rPr>
                <w:rFonts w:ascii="Arial" w:cs="Arial" w:eastAsia="Arial" w:hAnsi="Arial"/>
                <w:color w:val="000000"/>
                <w:sz w:val="24"/>
                <w:szCs w:val="24"/>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B0">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B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B7">
            <w:pPr>
              <w:jc w:val="center"/>
              <w:rPr>
                <w:rFonts w:ascii="Arial" w:cs="Arial" w:eastAsia="Arial" w:hAnsi="Arial"/>
                <w:sz w:val="22"/>
                <w:szCs w:val="22"/>
              </w:rPr>
            </w:pPr>
            <w:sdt>
              <w:sdtPr>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BA">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BB">
            <w:pPr>
              <w:jc w:val="center"/>
              <w:rPr>
                <w:rFonts w:ascii="Arial" w:cs="Arial" w:eastAsia="Arial" w:hAnsi="Arial"/>
                <w:sz w:val="22"/>
                <w:szCs w:val="22"/>
                <w:highlight w:val="black"/>
              </w:rPr>
            </w:pPr>
            <w:sdt>
              <w:sdtPr>
                <w:tag w:val="goog_rdk_109"/>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BC">
            <w:pPr>
              <w:jc w:val="center"/>
              <w:rPr>
                <w:rFonts w:ascii="Arial" w:cs="Arial" w:eastAsia="Arial" w:hAnsi="Arial"/>
                <w:sz w:val="22"/>
                <w:szCs w:val="22"/>
              </w:rPr>
            </w:pPr>
            <w:sdt>
              <w:sdtPr>
                <w:tag w:val="goog_rdk_1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BF">
            <w:pPr>
              <w:jc w:val="center"/>
              <w:rPr>
                <w:rFonts w:ascii="Arial" w:cs="Arial" w:eastAsia="Arial" w:hAnsi="Arial"/>
                <w:sz w:val="22"/>
                <w:szCs w:val="22"/>
              </w:rPr>
            </w:pPr>
            <w:sdt>
              <w:sdtPr>
                <w:tag w:val="goog_rdk_1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C0">
            <w:pPr>
              <w:jc w:val="center"/>
              <w:rPr>
                <w:rFonts w:ascii="Arial" w:cs="Arial" w:eastAsia="Arial" w:hAnsi="Arial"/>
                <w:sz w:val="22"/>
                <w:szCs w:val="22"/>
                <w:highlight w:val="black"/>
              </w:rPr>
            </w:pPr>
            <w:sdt>
              <w:sdtPr>
                <w:tag w:val="goog_rdk_112"/>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C2">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C3">
            <w:pPr>
              <w:jc w:val="center"/>
              <w:rPr>
                <w:rFonts w:ascii="Arial" w:cs="Arial" w:eastAsia="Arial" w:hAnsi="Arial"/>
                <w:sz w:val="22"/>
                <w:szCs w:val="22"/>
                <w:highlight w:val="black"/>
              </w:rPr>
            </w:pPr>
            <w:sdt>
              <w:sdtPr>
                <w:tag w:val="goog_rdk_113"/>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C4">
            <w:pPr>
              <w:jc w:val="center"/>
              <w:rPr>
                <w:rFonts w:ascii="Arial" w:cs="Arial" w:eastAsia="Arial" w:hAnsi="Arial"/>
                <w:sz w:val="22"/>
                <w:szCs w:val="22"/>
              </w:rPr>
            </w:pPr>
            <w:sdt>
              <w:sdtPr>
                <w:tag w:val="goog_rdk_1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C6">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C7">
            <w:pPr>
              <w:jc w:val="center"/>
              <w:rPr>
                <w:rFonts w:ascii="Arial" w:cs="Arial" w:eastAsia="Arial" w:hAnsi="Arial"/>
                <w:sz w:val="22"/>
                <w:szCs w:val="22"/>
                <w:highlight w:val="black"/>
              </w:rPr>
            </w:pPr>
            <w:sdt>
              <w:sdtPr>
                <w:tag w:val="goog_rdk_115"/>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C8">
            <w:pPr>
              <w:jc w:val="center"/>
              <w:rPr>
                <w:rFonts w:ascii="Arial" w:cs="Arial" w:eastAsia="Arial" w:hAnsi="Arial"/>
                <w:sz w:val="22"/>
                <w:szCs w:val="22"/>
              </w:rPr>
            </w:pPr>
            <w:sdt>
              <w:sdtPr>
                <w:tag w:val="goog_rdk_1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CA">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CB">
            <w:pPr>
              <w:jc w:val="center"/>
              <w:rPr>
                <w:rFonts w:ascii="Arial" w:cs="Arial" w:eastAsia="Arial" w:hAnsi="Arial"/>
                <w:sz w:val="22"/>
                <w:szCs w:val="22"/>
                <w:highlight w:val="black"/>
              </w:rPr>
            </w:pPr>
            <w:sdt>
              <w:sdtPr>
                <w:tag w:val="goog_rdk_117"/>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CC">
            <w:pPr>
              <w:jc w:val="center"/>
              <w:rPr>
                <w:rFonts w:ascii="Arial" w:cs="Arial" w:eastAsia="Arial" w:hAnsi="Arial"/>
                <w:sz w:val="22"/>
                <w:szCs w:val="22"/>
              </w:rPr>
            </w:pPr>
            <w:sdt>
              <w:sdtPr>
                <w:tag w:val="goog_rdk_1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C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D0">
            <w:pPr>
              <w:jc w:val="center"/>
              <w:rPr>
                <w:rFonts w:ascii="Arial" w:cs="Arial" w:eastAsia="Arial" w:hAnsi="Arial"/>
                <w:sz w:val="22"/>
                <w:szCs w:val="22"/>
              </w:rPr>
            </w:pPr>
            <w:sdt>
              <w:sdtPr>
                <w:tag w:val="goog_rdk_1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D1">
            <w:pPr>
              <w:jc w:val="center"/>
              <w:rPr>
                <w:rFonts w:ascii="Arial" w:cs="Arial" w:eastAsia="Arial" w:hAnsi="Arial"/>
                <w:sz w:val="22"/>
                <w:szCs w:val="22"/>
                <w:highlight w:val="black"/>
              </w:rPr>
            </w:pPr>
            <w:sdt>
              <w:sdtPr>
                <w:tag w:val="goog_rdk_120"/>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D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8">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make sure that the data is password protected on UWTSD server and files are encrypted</w:t>
            </w:r>
          </w:p>
          <w:p w:rsidR="00000000" w:rsidDel="00000000" w:rsidP="00000000" w:rsidRDefault="00000000" w:rsidRPr="00000000" w14:paraId="000003D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C">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D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E1">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E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E6">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E7">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E8">
            <w:pPr>
              <w:jc w:val="center"/>
              <w:rPr>
                <w:rFonts w:ascii="Arial" w:cs="Arial" w:eastAsia="Arial" w:hAnsi="Arial"/>
                <w:sz w:val="22"/>
                <w:szCs w:val="22"/>
                <w:highlight w:val="black"/>
              </w:rPr>
            </w:pPr>
            <w:sdt>
              <w:sdtPr>
                <w:tag w:val="goog_rdk_121"/>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EA">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EB">
            <w:pPr>
              <w:jc w:val="center"/>
              <w:rPr>
                <w:rFonts w:ascii="Arial" w:cs="Arial" w:eastAsia="Arial" w:hAnsi="Arial"/>
                <w:sz w:val="22"/>
                <w:szCs w:val="22"/>
              </w:rPr>
            </w:pPr>
            <w:sdt>
              <w:sdtPr>
                <w:tag w:val="goog_rdk_1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EC">
            <w:pPr>
              <w:jc w:val="center"/>
              <w:rPr>
                <w:rFonts w:ascii="Arial" w:cs="Arial" w:eastAsia="Arial" w:hAnsi="Arial"/>
                <w:sz w:val="22"/>
                <w:szCs w:val="22"/>
                <w:highlight w:val="black"/>
              </w:rPr>
            </w:pPr>
            <w:sdt>
              <w:sdtPr>
                <w:tag w:val="goog_rdk_123"/>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E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EF">
            <w:pPr>
              <w:jc w:val="center"/>
              <w:rPr>
                <w:rFonts w:ascii="Arial" w:cs="Arial" w:eastAsia="Arial" w:hAnsi="Arial"/>
                <w:sz w:val="22"/>
                <w:szCs w:val="22"/>
              </w:rPr>
            </w:pPr>
            <w:sdt>
              <w:sdtPr>
                <w:tag w:val="goog_rdk_1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0">
            <w:pPr>
              <w:jc w:val="center"/>
              <w:rPr>
                <w:rFonts w:ascii="Arial" w:cs="Arial" w:eastAsia="Arial" w:hAnsi="Arial"/>
                <w:sz w:val="22"/>
                <w:szCs w:val="22"/>
                <w:highlight w:val="black"/>
              </w:rPr>
            </w:pPr>
            <w:sdt>
              <w:sdtPr>
                <w:tag w:val="goog_rdk_125"/>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F3">
            <w:pPr>
              <w:jc w:val="center"/>
              <w:rPr>
                <w:rFonts w:ascii="Arial" w:cs="Arial" w:eastAsia="Arial" w:hAnsi="Arial"/>
                <w:sz w:val="22"/>
                <w:szCs w:val="22"/>
              </w:rPr>
            </w:pPr>
            <w:sdt>
              <w:sdtPr>
                <w:tag w:val="goog_rdk_1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4">
            <w:pPr>
              <w:jc w:val="center"/>
              <w:rPr>
                <w:rFonts w:ascii="Arial" w:cs="Arial" w:eastAsia="Arial" w:hAnsi="Arial"/>
                <w:sz w:val="22"/>
                <w:szCs w:val="22"/>
                <w:highlight w:val="black"/>
              </w:rPr>
            </w:pPr>
            <w:sdt>
              <w:sdtPr>
                <w:tag w:val="goog_rdk_127"/>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F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F7">
            <w:pPr>
              <w:jc w:val="center"/>
              <w:rPr>
                <w:rFonts w:ascii="Arial" w:cs="Arial" w:eastAsia="Arial" w:hAnsi="Arial"/>
                <w:sz w:val="22"/>
                <w:szCs w:val="22"/>
              </w:rPr>
            </w:pPr>
            <w:sdt>
              <w:sdtPr>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8">
            <w:pPr>
              <w:jc w:val="center"/>
              <w:rPr>
                <w:rFonts w:ascii="Arial" w:cs="Arial" w:eastAsia="Arial" w:hAnsi="Arial"/>
                <w:sz w:val="22"/>
                <w:szCs w:val="22"/>
                <w:highlight w:val="black"/>
              </w:rPr>
            </w:pPr>
            <w:sdt>
              <w:sdtPr>
                <w:tag w:val="goog_rdk_129"/>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FA">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FB">
            <w:pPr>
              <w:jc w:val="center"/>
              <w:rPr>
                <w:rFonts w:ascii="Arial" w:cs="Arial" w:eastAsia="Arial" w:hAnsi="Arial"/>
                <w:sz w:val="22"/>
                <w:szCs w:val="22"/>
              </w:rPr>
            </w:pPr>
            <w:sdt>
              <w:sdtPr>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C">
            <w:pPr>
              <w:jc w:val="center"/>
              <w:rPr>
                <w:rFonts w:ascii="Arial" w:cs="Arial" w:eastAsia="Arial" w:hAnsi="Arial"/>
                <w:sz w:val="22"/>
                <w:szCs w:val="22"/>
                <w:highlight w:val="black"/>
              </w:rPr>
            </w:pPr>
            <w:sdt>
              <w:sdtPr>
                <w:tag w:val="goog_rdk_131"/>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FF">
            <w:pPr>
              <w:jc w:val="center"/>
              <w:rPr>
                <w:rFonts w:ascii="Arial" w:cs="Arial" w:eastAsia="Arial" w:hAnsi="Arial"/>
                <w:sz w:val="22"/>
                <w:szCs w:val="22"/>
                <w:highlight w:val="black"/>
              </w:rPr>
            </w:pPr>
            <w:r w:rsidDel="00000000" w:rsidR="00000000" w:rsidRPr="00000000">
              <w:rPr>
                <w:rtl w:val="0"/>
              </w:rPr>
            </w:r>
          </w:p>
        </w:tc>
        <w:tc>
          <w:tcPr>
            <w:shd w:fill="bfbfbf" w:val="clear"/>
            <w:vAlign w:val="center"/>
          </w:tcPr>
          <w:p w:rsidR="00000000" w:rsidDel="00000000" w:rsidP="00000000" w:rsidRDefault="00000000" w:rsidRPr="00000000" w14:paraId="00000400">
            <w:pPr>
              <w:jc w:val="center"/>
              <w:rPr>
                <w:rFonts w:ascii="Arial" w:cs="Arial" w:eastAsia="Arial" w:hAnsi="Arial"/>
                <w:sz w:val="22"/>
                <w:szCs w:val="22"/>
                <w:highlight w:val="black"/>
              </w:rPr>
            </w:pPr>
            <w:sdt>
              <w:sdtPr>
                <w:tag w:val="goog_rdk_132"/>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40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403">
            <w:pPr>
              <w:jc w:val="center"/>
              <w:rPr>
                <w:rFonts w:ascii="Arial" w:cs="Arial" w:eastAsia="Arial" w:hAnsi="Arial"/>
                <w:sz w:val="22"/>
                <w:szCs w:val="22"/>
              </w:rPr>
            </w:pPr>
            <w:sdt>
              <w:sdtPr>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04">
            <w:pPr>
              <w:jc w:val="center"/>
              <w:rPr>
                <w:rFonts w:ascii="Arial" w:cs="Arial" w:eastAsia="Arial" w:hAnsi="Arial"/>
                <w:sz w:val="22"/>
                <w:szCs w:val="22"/>
                <w:highlight w:val="black"/>
              </w:rPr>
            </w:pPr>
            <w:sdt>
              <w:sdtPr>
                <w:tag w:val="goog_rdk_134"/>
              </w:sdtPr>
              <w:sdtContent>
                <w:r w:rsidDel="00000000" w:rsidR="00000000" w:rsidRPr="00000000">
                  <w:rPr>
                    <w:rFonts w:ascii="Arial Unicode MS" w:cs="Arial Unicode MS" w:eastAsia="Arial Unicode MS" w:hAnsi="Arial Unicode MS"/>
                    <w:sz w:val="22"/>
                    <w:szCs w:val="22"/>
                    <w:highlight w:val="black"/>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5">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40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09">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B">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make use of Excel to store and manage the data obtained from the systematic Review</w:t>
            </w:r>
          </w:p>
          <w:p w:rsidR="00000000" w:rsidDel="00000000" w:rsidP="00000000" w:rsidRDefault="00000000" w:rsidRPr="00000000" w14:paraId="000004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14">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15">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researcher (Ronke Olomola) and my supervisor (Bianca Sanfilippo) </w:t>
            </w:r>
          </w:p>
          <w:p w:rsidR="00000000" w:rsidDel="00000000" w:rsidP="00000000" w:rsidRDefault="00000000" w:rsidRPr="00000000" w14:paraId="000004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1C">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1F">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researcher – Ronke Olomola </w:t>
            </w:r>
          </w:p>
          <w:p w:rsidR="00000000" w:rsidDel="00000000" w:rsidP="00000000" w:rsidRDefault="00000000" w:rsidRPr="00000000" w14:paraId="000004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2A">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C">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stored safely and will be discarded after the completion of the research</w:t>
            </w:r>
          </w:p>
          <w:p w:rsidR="00000000" w:rsidDel="00000000" w:rsidP="00000000" w:rsidRDefault="00000000" w:rsidRPr="00000000" w14:paraId="000004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3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3D">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3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3F">
            <w:pPr>
              <w:jc w:val="center"/>
              <w:rPr>
                <w:rFonts w:ascii="Arial" w:cs="Arial" w:eastAsia="Arial" w:hAnsi="Arial"/>
                <w:sz w:val="22"/>
                <w:szCs w:val="22"/>
                <w:highlight w:val="black"/>
              </w:rPr>
            </w:pPr>
            <w:sdt>
              <w:sdtPr>
                <w:tag w:val="goog_rdk_135"/>
              </w:sdtPr>
              <w:sdtContent>
                <w:r w:rsidDel="00000000" w:rsidR="00000000" w:rsidRPr="00000000">
                  <w:rPr>
                    <w:rFonts w:ascii="Arial Unicode MS" w:cs="Arial Unicode MS" w:eastAsia="Arial Unicode MS" w:hAnsi="Arial Unicode MS"/>
                    <w:highlight w:val="black"/>
                    <w:rtl w:val="0"/>
                  </w:rPr>
                  <w:t xml:space="preserve">☐</w:t>
                </w:r>
              </w:sdtContent>
            </w:sdt>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43">
            <w:pPr>
              <w:jc w:val="center"/>
              <w:rPr>
                <w:rFonts w:ascii="Arial" w:cs="Arial" w:eastAsia="Arial" w:hAnsi="Arial"/>
                <w:sz w:val="22"/>
                <w:szCs w:val="22"/>
                <w:highlight w:val="black"/>
              </w:rPr>
            </w:pPr>
            <w:sdt>
              <w:sdtPr>
                <w:tag w:val="goog_rdk_136"/>
              </w:sdtPr>
              <w:sdtContent>
                <w:r w:rsidDel="00000000" w:rsidR="00000000" w:rsidRPr="00000000">
                  <w:rPr>
                    <w:rFonts w:ascii="Arial Unicode MS" w:cs="Arial Unicode MS" w:eastAsia="Arial Unicode MS" w:hAnsi="Arial Unicode MS"/>
                    <w:highlight w:val="black"/>
                    <w:rtl w:val="0"/>
                  </w:rPr>
                  <w:t xml:space="preserve">☐</w:t>
                </w:r>
              </w:sdtContent>
            </w:sdt>
            <w:r w:rsidDel="00000000" w:rsidR="00000000" w:rsidRPr="00000000">
              <w:rPr>
                <w:rtl w:val="0"/>
              </w:rPr>
            </w:r>
          </w:p>
        </w:tc>
      </w:tr>
    </w:tbl>
    <w:p w:rsidR="00000000" w:rsidDel="00000000" w:rsidP="00000000" w:rsidRDefault="00000000" w:rsidRPr="00000000" w14:paraId="0000044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4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4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47">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48">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49">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4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4F">
            <w:pPr>
              <w:rPr>
                <w:rFonts w:ascii="Arial" w:cs="Arial" w:eastAsia="Arial" w:hAnsi="Arial"/>
                <w:sz w:val="22"/>
                <w:szCs w:val="22"/>
              </w:rPr>
            </w:pPr>
            <w:r w:rsidDel="00000000" w:rsidR="00000000" w:rsidRPr="00000000">
              <w:rPr>
                <w:rFonts w:ascii="Arial" w:cs="Arial" w:eastAsia="Arial" w:hAnsi="Arial"/>
                <w:sz w:val="22"/>
                <w:szCs w:val="22"/>
                <w:rtl w:val="0"/>
              </w:rPr>
              <w:t xml:space="preserve">Ronke Olomola</w:t>
            </w:r>
          </w:p>
        </w:tc>
        <w:tc>
          <w:tcPr>
            <w:vAlign w:val="center"/>
          </w:tcPr>
          <w:p w:rsidR="00000000" w:rsidDel="00000000" w:rsidP="00000000" w:rsidRDefault="00000000" w:rsidRPr="00000000" w14:paraId="0000045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16/08/2024</w:t>
            </w:r>
          </w:p>
          <w:p w:rsidR="00000000" w:rsidDel="00000000" w:rsidP="00000000" w:rsidRDefault="00000000" w:rsidRPr="00000000" w14:paraId="0000045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54">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shd w:fill="f2f2f2" w:val="clear"/>
            <w:vAlign w:val="center"/>
          </w:tcPr>
          <w:p w:rsidR="00000000" w:rsidDel="00000000" w:rsidP="00000000" w:rsidRDefault="00000000" w:rsidRPr="00000000" w14:paraId="00000455">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Director of Studies/Supervisor:</w:t>
            </w:r>
          </w:p>
        </w:tc>
        <w:tc>
          <w:tcPr>
            <w:shd w:fill="auto" w:val="clear"/>
            <w:vAlign w:val="center"/>
          </w:tcPr>
          <w:p w:rsidR="00000000" w:rsidDel="00000000" w:rsidP="00000000" w:rsidRDefault="00000000" w:rsidRPr="00000000" w14:paraId="00000456">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Bianca Sanfilippo </w:t>
            </w:r>
          </w:p>
        </w:tc>
        <w:tc>
          <w:tcPr>
            <w:vMerge w:val="restart"/>
          </w:tcPr>
          <w:p w:rsidR="00000000" w:rsidDel="00000000" w:rsidP="00000000" w:rsidRDefault="00000000" w:rsidRPr="00000000" w14:paraId="00000457">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Date:28/08/2024</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58">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shd w:fill="f2f2f2" w:val="clear"/>
            <w:vAlign w:val="center"/>
          </w:tcPr>
          <w:p w:rsidR="00000000" w:rsidDel="00000000" w:rsidP="00000000" w:rsidRDefault="00000000" w:rsidRPr="00000000" w14:paraId="00000459">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shd w:fill="auto" w:val="clear"/>
            <w:vAlign w:val="center"/>
          </w:tcPr>
          <w:p w:rsidR="00000000" w:rsidDel="00000000" w:rsidP="00000000" w:rsidRDefault="00000000" w:rsidRPr="00000000" w14:paraId="0000045A">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45B">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4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4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5F">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shd w:fill="f2f2f2" w:val="clear"/>
            <w:vAlign w:val="center"/>
          </w:tcPr>
          <w:p w:rsidR="00000000" w:rsidDel="00000000" w:rsidP="00000000" w:rsidRDefault="00000000" w:rsidRPr="00000000" w14:paraId="0000046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Academic Director/ Assistant Dean:</w:t>
            </w:r>
          </w:p>
        </w:tc>
        <w:tc>
          <w:tcPr>
            <w:shd w:fill="auto" w:val="clear"/>
            <w:vAlign w:val="center"/>
          </w:tcPr>
          <w:p w:rsidR="00000000" w:rsidDel="00000000" w:rsidP="00000000" w:rsidRDefault="00000000" w:rsidRPr="00000000" w14:paraId="0000046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462">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63">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shd w:fill="f2f2f2" w:val="clear"/>
            <w:vAlign w:val="center"/>
          </w:tcPr>
          <w:p w:rsidR="00000000" w:rsidDel="00000000" w:rsidP="00000000" w:rsidRDefault="00000000" w:rsidRPr="00000000" w14:paraId="00000464">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shd w:fill="auto" w:val="clear"/>
            <w:vAlign w:val="center"/>
          </w:tcPr>
          <w:p w:rsidR="00000000" w:rsidDel="00000000" w:rsidP="00000000" w:rsidRDefault="00000000" w:rsidRPr="00000000" w14:paraId="00000465">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466">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4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46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69">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6A">
            <w:pPr>
              <w:jc w:val="center"/>
              <w:rPr>
                <w:rFonts w:ascii="Arial" w:cs="Arial" w:eastAsia="Arial" w:hAnsi="Arial"/>
                <w:sz w:val="22"/>
                <w:szCs w:val="22"/>
                <w:highlight w:val="black"/>
              </w:rPr>
            </w:pPr>
            <w:sdt>
              <w:sdtPr>
                <w:tag w:val="goog_rdk_137"/>
              </w:sdtPr>
              <w:sdtContent>
                <w:r w:rsidDel="00000000" w:rsidR="00000000" w:rsidRPr="00000000">
                  <w:rPr>
                    <w:rFonts w:ascii="Arial Unicode MS" w:cs="Arial Unicode MS" w:eastAsia="Arial Unicode MS" w:hAnsi="Arial Unicode MS"/>
                    <w:highlight w:val="black"/>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6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6C">
            <w:pPr>
              <w:jc w:val="center"/>
              <w:rPr>
                <w:rFonts w:ascii="Arial" w:cs="Arial" w:eastAsia="Arial" w:hAnsi="Arial"/>
                <w:sz w:val="22"/>
                <w:szCs w:val="22"/>
                <w:highlight w:val="black"/>
              </w:rPr>
            </w:pPr>
            <w:sdt>
              <w:sdtPr>
                <w:tag w:val="goog_rdk_138"/>
              </w:sdtPr>
              <w:sdtContent>
                <w:r w:rsidDel="00000000" w:rsidR="00000000" w:rsidRPr="00000000">
                  <w:rPr>
                    <w:rFonts w:ascii="Arial Unicode MS" w:cs="Arial Unicode MS" w:eastAsia="Arial Unicode MS" w:hAnsi="Arial Unicode MS"/>
                    <w:highlight w:val="black"/>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6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6E">
            <w:pPr>
              <w:jc w:val="center"/>
              <w:rPr>
                <w:rFonts w:ascii="Arial" w:cs="Arial" w:eastAsia="Arial" w:hAnsi="Arial"/>
                <w:sz w:val="22"/>
                <w:szCs w:val="22"/>
              </w:rPr>
            </w:pPr>
            <w:sdt>
              <w:sdtPr>
                <w:tag w:val="goog_rdk_1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6F">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70">
            <w:pPr>
              <w:jc w:val="center"/>
              <w:rPr>
                <w:rFonts w:ascii="Arial" w:cs="Arial" w:eastAsia="Arial" w:hAnsi="Arial"/>
                <w:sz w:val="22"/>
                <w:szCs w:val="22"/>
              </w:rPr>
            </w:pPr>
            <w:sdt>
              <w:sdtPr>
                <w:tag w:val="goog_rdk_1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7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72">
            <w:pPr>
              <w:jc w:val="center"/>
              <w:rPr>
                <w:rFonts w:ascii="Arial" w:cs="Arial" w:eastAsia="Arial" w:hAnsi="Arial"/>
              </w:rPr>
            </w:pPr>
            <w:sdt>
              <w:sdtPr>
                <w:tag w:val="goog_rdk_1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7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74">
            <w:pPr>
              <w:jc w:val="center"/>
              <w:rPr>
                <w:rFonts w:ascii="Arial" w:cs="Arial" w:eastAsia="Arial" w:hAnsi="Arial"/>
                <w:sz w:val="22"/>
                <w:szCs w:val="22"/>
                <w:highlight w:val="black"/>
              </w:rPr>
            </w:pPr>
            <w:sdt>
              <w:sdtPr>
                <w:tag w:val="goog_rdk_142"/>
              </w:sdtPr>
              <w:sdtContent>
                <w:r w:rsidDel="00000000" w:rsidR="00000000" w:rsidRPr="00000000">
                  <w:rPr>
                    <w:rFonts w:ascii="Arial Unicode MS" w:cs="Arial Unicode MS" w:eastAsia="Arial Unicode MS" w:hAnsi="Arial Unicode MS"/>
                    <w:highlight w:val="black"/>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7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76">
            <w:pPr>
              <w:jc w:val="center"/>
              <w:rPr>
                <w:rFonts w:ascii="Arial" w:cs="Arial" w:eastAsia="Arial" w:hAnsi="Arial"/>
                <w:sz w:val="22"/>
                <w:szCs w:val="22"/>
              </w:rPr>
            </w:pPr>
            <w:sdt>
              <w:sdtPr>
                <w:tag w:val="goog_rdk_1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77">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78">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7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7A">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7B">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7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7D">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7E">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7F">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80">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82">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Fonts w:ascii="Arial" w:cs="Arial" w:eastAsia="Arial" w:hAnsi="Arial"/>
        <w:color w:val="000000"/>
        <w:rtl w:val="0"/>
      </w:rPr>
      <w:t xml:space="preserve">April 2022`</w:t>
    </w:r>
    <w:r w:rsidDel="00000000" w:rsidR="00000000" w:rsidRPr="00000000">
      <w:rPr>
        <w:rFonts w:ascii="Arial" w:cs="Arial" w:eastAsia="Arial" w:hAnsi="Arial"/>
        <w:color w:val="000000"/>
      </w:rPr>
      <w:fldChar w:fldCharType="begin"/>
      <w:instrText xml:space="preserve">PAGE</w:instrText>
      <w:fldChar w:fldCharType="separate"/>
      <w:fldChar w:fldCharType="end"/>
    </w:r>
    <w:r w:rsidDel="00000000" w:rsidR="00000000" w:rsidRPr="00000000">
      <w:rPr>
        <w:rFonts w:ascii="Arial" w:cs="Arial" w:eastAsia="Arial" w:hAnsi="Arial"/>
        <w:color w:val="000000"/>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81">
    <w:pPr>
      <w:pBdr>
        <w:top w:space="0" w:sz="0" w:val="nil"/>
        <w:left w:space="0" w:sz="0" w:val="nil"/>
        <w:bottom w:space="0" w:sz="0" w:val="nil"/>
        <w:right w:space="0" w:sz="0" w:val="nil"/>
        <w:between w:space="0" w:sz="0" w:val="nil"/>
      </w:pBdr>
      <w:tabs>
        <w:tab w:val="center" w:leader="none" w:pos="4513"/>
        <w:tab w:val="right" w:leader="none" w:pos="9026"/>
      </w:tabs>
      <w:jc w:val="right"/>
      <w:rPr>
        <w:rFonts w:ascii="Arial" w:cs="Arial" w:eastAsia="Arial" w:hAnsi="Arial"/>
        <w:b w:val="1"/>
        <w:color w:val="000000"/>
        <w:sz w:val="22"/>
        <w:szCs w:val="22"/>
      </w:rPr>
    </w:pPr>
    <w:r w:rsidDel="00000000" w:rsidR="00000000" w:rsidRPr="00000000">
      <w:rPr>
        <w:color w:val="000000"/>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7"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color w:val="000000"/>
        <w:sz w:val="22"/>
        <w:szCs w:val="22"/>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
    <w:qFormat w:val="1"/>
    <w:rsid w:val="00E84BC8"/>
    <w:pPr>
      <w:keepNext w:val="1"/>
      <w:tabs>
        <w:tab w:val="left" w:pos="5103"/>
      </w:tabs>
      <w:jc w:val="center"/>
      <w:outlineLvl w:val="0"/>
    </w:pPr>
    <w:rPr>
      <w:b w:val="1"/>
      <w:bCs w:val="1"/>
      <w:sz w:val="22"/>
      <w:szCs w:val="22"/>
    </w:rPr>
  </w:style>
  <w:style w:type="paragraph" w:styleId="Heading2">
    <w:name w:val="heading 2"/>
    <w:basedOn w:val="Normal"/>
    <w:next w:val="Normal"/>
    <w:uiPriority w:val="9"/>
    <w:unhideWhenUsed w:val="1"/>
    <w:qFormat w:val="1"/>
    <w:pPr>
      <w:keepNext w:val="1"/>
      <w:keepLines w:val="1"/>
      <w:spacing w:after="80" w:before="360"/>
      <w:outlineLvl w:val="1"/>
    </w:pPr>
    <w:rPr>
      <w:b w:val="1"/>
      <w:sz w:val="36"/>
      <w:szCs w:val="3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link w:val="Heading4Char"/>
    <w:uiPriority w:val="9"/>
    <w:unhideWhenUsed w:val="1"/>
    <w:qFormat w:val="1"/>
    <w:rsid w:val="00784D14"/>
    <w:pPr>
      <w:keepNext w:val="1"/>
      <w:spacing w:after="60" w:before="240"/>
      <w:outlineLvl w:val="3"/>
    </w:pPr>
    <w:rPr>
      <w:b w:val="1"/>
      <w:bCs w:val="1"/>
      <w:sz w:val="28"/>
      <w:szCs w:val="28"/>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sz w:val="22"/>
      <w:szCs w:val="22"/>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CellMar>
        <w:left w:w="115.0" w:type="dxa"/>
        <w:right w:w="115.0" w:type="dxa"/>
      </w:tblCellMar>
    </w:tblPr>
  </w:style>
  <w:style w:type="table" w:styleId="a1" w:customStyle="1">
    <w:basedOn w:val="TableNormal"/>
    <w:tblPr>
      <w:tblStyleRowBandSize w:val="1"/>
      <w:tblStyleColBandSize w:val="1"/>
      <w:tblCellMar>
        <w:left w:w="115.0" w:type="dxa"/>
        <w:right w:w="115.0" w:type="dxa"/>
      </w:tblCellMar>
    </w:tblPr>
  </w:style>
  <w:style w:type="table" w:styleId="a2" w:customStyle="1">
    <w:basedOn w:val="TableNormal"/>
    <w:tblPr>
      <w:tblStyleRowBandSize w:val="1"/>
      <w:tblStyleColBandSize w:val="1"/>
    </w:tblPr>
  </w:style>
  <w:style w:type="table" w:styleId="a3" w:customStyle="1">
    <w:basedOn w:val="TableNormal"/>
    <w:tblPr>
      <w:tblStyleRowBandSize w:val="1"/>
      <w:tblStyleColBandSize w:val="1"/>
    </w:tblPr>
  </w:style>
  <w:style w:type="table" w:styleId="a4" w:customStyle="1">
    <w:basedOn w:val="TableNormal"/>
    <w:tblPr>
      <w:tblStyleRowBandSize w:val="1"/>
      <w:tblStyleColBandSize w:val="1"/>
    </w:tblPr>
  </w:style>
  <w:style w:type="table" w:styleId="a5" w:customStyle="1">
    <w:basedOn w:val="TableNormal"/>
    <w:tblPr>
      <w:tblStyleRowBandSize w:val="1"/>
      <w:tblStyleColBandSize w:val="1"/>
    </w:tblPr>
  </w:style>
  <w:style w:type="table" w:styleId="a6" w:customStyle="1">
    <w:basedOn w:val="TableNormal"/>
    <w:tblPr>
      <w:tblStyleRowBandSize w:val="1"/>
      <w:tblStyleColBandSize w:val="1"/>
      <w:tblCellMar>
        <w:top w:w="28.0" w:type="dxa"/>
        <w:left w:w="57.0" w:type="dxa"/>
        <w:bottom w:w="28.0" w:type="dxa"/>
        <w:right w:w="28.0" w:type="dxa"/>
      </w:tblCellMar>
    </w:tblPr>
  </w:style>
  <w:style w:type="table" w:styleId="a7" w:customStyle="1">
    <w:basedOn w:val="TableNormal"/>
    <w:tblPr>
      <w:tblStyleRowBandSize w:val="1"/>
      <w:tblStyleColBandSize w:val="1"/>
    </w:tblPr>
  </w:style>
  <w:style w:type="table" w:styleId="a8" w:customStyle="1">
    <w:basedOn w:val="TableNormal"/>
    <w:tblPr>
      <w:tblStyleRowBandSize w:val="1"/>
      <w:tblStyleColBandSize w:val="1"/>
    </w:tblPr>
  </w:style>
  <w:style w:type="table" w:styleId="a9" w:customStyle="1">
    <w:basedOn w:val="TableNormal"/>
    <w:tblPr>
      <w:tblStyleRowBandSize w:val="1"/>
      <w:tblStyleColBandSize w:val="1"/>
    </w:tblPr>
  </w:style>
  <w:style w:type="table" w:styleId="aa" w:customStyle="1">
    <w:basedOn w:val="TableNormal"/>
    <w:tblPr>
      <w:tblStyleRowBandSize w:val="1"/>
      <w:tblStyleColBandSize w:val="1"/>
    </w:tblPr>
  </w:style>
  <w:style w:type="table" w:styleId="ab" w:customStyle="1">
    <w:basedOn w:val="TableNormal"/>
    <w:tblPr>
      <w:tblStyleRowBandSize w:val="1"/>
      <w:tblStyleColBandSize w:val="1"/>
    </w:tblPr>
  </w:style>
  <w:style w:type="table" w:styleId="ac" w:customStyle="1">
    <w:basedOn w:val="TableNormal"/>
    <w:tblPr>
      <w:tblStyleRowBandSize w:val="1"/>
      <w:tblStyleColBandSize w:val="1"/>
    </w:tblPr>
  </w:style>
  <w:style w:type="table" w:styleId="ad" w:customStyle="1">
    <w:basedOn w:val="TableNormal"/>
    <w:tblPr>
      <w:tblStyleRowBandSize w:val="1"/>
      <w:tblStyleColBandSize w:val="1"/>
    </w:tblPr>
  </w:style>
  <w:style w:type="table" w:styleId="ae" w:customStyle="1">
    <w:basedOn w:val="TableNormal"/>
    <w:tblPr>
      <w:tblStyleRowBandSize w:val="1"/>
      <w:tblStyleColBandSize w:val="1"/>
      <w:tblCellMar>
        <w:left w:w="115.0" w:type="dxa"/>
        <w:right w:w="115.0" w:type="dxa"/>
      </w:tblCellMar>
    </w:tblPr>
  </w:style>
  <w:style w:type="table" w:styleId="af" w:customStyle="1">
    <w:basedOn w:val="TableNormal"/>
    <w:tblPr>
      <w:tblStyleRowBandSize w:val="1"/>
      <w:tblStyleColBandSize w:val="1"/>
      <w:tblCellMar>
        <w:left w:w="115.0" w:type="dxa"/>
        <w:right w:w="115.0" w:type="dxa"/>
      </w:tblCellMar>
    </w:tblPr>
  </w:style>
  <w:style w:type="table" w:styleId="af0" w:customStyle="1">
    <w:basedOn w:val="TableNormal"/>
    <w:tblPr>
      <w:tblStyleRowBandSize w:val="1"/>
      <w:tblStyleColBandSize w:val="1"/>
      <w:tblCellMar>
        <w:left w:w="115.0" w:type="dxa"/>
        <w:right w:w="115.0" w:type="dxa"/>
      </w:tblCellMar>
    </w:tblPr>
  </w:style>
  <w:style w:type="table" w:styleId="af1" w:customStyle="1">
    <w:basedOn w:val="TableNormal"/>
    <w:tblPr>
      <w:tblStyleRowBandSize w:val="1"/>
      <w:tblStyleColBandSize w:val="1"/>
      <w:tblCellMar>
        <w:left w:w="115.0" w:type="dxa"/>
        <w:right w:w="115.0" w:type="dxa"/>
      </w:tblCellMar>
    </w:tblPr>
  </w:style>
  <w:style w:type="table" w:styleId="af2" w:customStyle="1">
    <w:basedOn w:val="TableNormal"/>
    <w:tblPr>
      <w:tblStyleRowBandSize w:val="1"/>
      <w:tblStyleColBandSize w:val="1"/>
    </w:tblPr>
  </w:style>
  <w:style w:type="table" w:styleId="af3" w:customStyle="1">
    <w:basedOn w:val="TableNormal"/>
    <w:tblPr>
      <w:tblStyleRowBandSize w:val="1"/>
      <w:tblStyleColBandSize w:val="1"/>
    </w:tblPr>
  </w:style>
  <w:style w:type="table" w:styleId="af4" w:customStyle="1">
    <w:basedOn w:val="TableNormal"/>
    <w:tblPr>
      <w:tblStyleRowBandSize w:val="1"/>
      <w:tblStyleColBandSize w:val="1"/>
      <w:tblCellMar>
        <w:left w:w="115.0" w:type="dxa"/>
        <w:right w:w="115.0" w:type="dxa"/>
      </w:tblCellMar>
    </w:tblPr>
  </w:style>
  <w:style w:type="table" w:styleId="af5" w:customStyle="1">
    <w:basedOn w:val="TableNormal"/>
    <w:tblPr>
      <w:tblStyleRowBandSize w:val="1"/>
      <w:tblStyleColBandSize w:val="1"/>
      <w:tblCellMar>
        <w:left w:w="115.0" w:type="dxa"/>
        <w:right w:w="115.0" w:type="dxa"/>
      </w:tblCellMar>
    </w:tblPr>
  </w:style>
  <w:style w:type="table" w:styleId="af6" w:customStyle="1">
    <w:basedOn w:val="TableNormal"/>
    <w:tblPr>
      <w:tblStyleRowBandSize w:val="1"/>
      <w:tblStyleColBandSize w:val="1"/>
      <w:tblCellMar>
        <w:left w:w="115.0" w:type="dxa"/>
        <w:right w:w="115.0" w:type="dxa"/>
      </w:tblCellMar>
    </w:tblPr>
  </w:style>
  <w:style w:type="table" w:styleId="af7" w:customStyle="1">
    <w:basedOn w:val="TableNormal"/>
    <w:tblPr>
      <w:tblStyleRowBandSize w:val="1"/>
      <w:tblStyleColBandSize w:val="1"/>
    </w:tblPr>
  </w:style>
  <w:style w:type="table" w:styleId="af8" w:customStyle="1">
    <w:basedOn w:val="TableNormal"/>
    <w:tblPr>
      <w:tblStyleRowBandSize w:val="1"/>
      <w:tblStyleColBandSize w:val="1"/>
      <w:tblCellMar>
        <w:left w:w="115.0" w:type="dxa"/>
        <w:right w:w="115.0" w:type="dxa"/>
      </w:tblCellMar>
    </w:tblPr>
  </w:style>
  <w:style w:type="character" w:styleId="apple-converted-space" w:customStyle="1">
    <w:name w:val="apple-converted-space"/>
    <w:basedOn w:val="DefaultParagraphFont"/>
    <w:rsid w:val="000F4381"/>
  </w:style>
  <w:style w:type="table" w:styleId="af9" w:customStyle="1">
    <w:basedOn w:val="TableNormal"/>
    <w:tblPr>
      <w:tblStyleRowBandSize w:val="1"/>
      <w:tblStyleColBandSize w:val="1"/>
      <w:tblCellMar>
        <w:top w:w="28.0" w:type="dxa"/>
        <w:left w:w="115.0" w:type="dxa"/>
        <w:bottom w:w="28.0" w:type="dxa"/>
        <w:right w:w="115.0" w:type="dxa"/>
      </w:tblCellMar>
    </w:tblPr>
  </w:style>
  <w:style w:type="table" w:styleId="afa" w:customStyle="1">
    <w:basedOn w:val="TableNormal"/>
    <w:tblPr>
      <w:tblStyleRowBandSize w:val="1"/>
      <w:tblStyleColBandSize w:val="1"/>
      <w:tblCellMar>
        <w:top w:w="28.0" w:type="dxa"/>
        <w:left w:w="115.0" w:type="dxa"/>
        <w:bottom w:w="28.0" w:type="dxa"/>
        <w:right w:w="115.0" w:type="dxa"/>
      </w:tblCellMar>
    </w:tblPr>
  </w:style>
  <w:style w:type="table" w:styleId="afb" w:customStyle="1">
    <w:basedOn w:val="TableNormal"/>
    <w:tblPr>
      <w:tblStyleRowBandSize w:val="1"/>
      <w:tblStyleColBandSize w:val="1"/>
      <w:tblCellMar>
        <w:top w:w="28.0" w:type="dxa"/>
        <w:left w:w="115.0" w:type="dxa"/>
        <w:bottom w:w="28.0" w:type="dxa"/>
        <w:right w:w="115.0" w:type="dxa"/>
      </w:tblCellMar>
    </w:tblPr>
  </w:style>
  <w:style w:type="table" w:styleId="afc" w:customStyle="1">
    <w:basedOn w:val="TableNormal"/>
    <w:tblPr>
      <w:tblStyleRowBandSize w:val="1"/>
      <w:tblStyleColBandSize w:val="1"/>
      <w:tblCellMar>
        <w:top w:w="28.0" w:type="dxa"/>
        <w:left w:w="115.0" w:type="dxa"/>
        <w:bottom w:w="28.0" w:type="dxa"/>
        <w:right w:w="115.0" w:type="dxa"/>
      </w:tblCellMar>
    </w:tblPr>
  </w:style>
  <w:style w:type="table" w:styleId="afd" w:customStyle="1">
    <w:basedOn w:val="TableNormal"/>
    <w:tblPr>
      <w:tblStyleRowBandSize w:val="1"/>
      <w:tblStyleColBandSize w:val="1"/>
      <w:tblCellMar>
        <w:top w:w="28.0" w:type="dxa"/>
        <w:left w:w="115.0" w:type="dxa"/>
        <w:bottom w:w="28.0" w:type="dxa"/>
        <w:right w:w="115.0" w:type="dxa"/>
      </w:tblCellMar>
    </w:tblPr>
  </w:style>
  <w:style w:type="table" w:styleId="afe" w:customStyle="1">
    <w:basedOn w:val="TableNormal"/>
    <w:tblPr>
      <w:tblStyleRowBandSize w:val="1"/>
      <w:tblStyleColBandSize w:val="1"/>
      <w:tblCellMar>
        <w:top w:w="28.0" w:type="dxa"/>
        <w:left w:w="115.0" w:type="dxa"/>
        <w:bottom w:w="28.0" w:type="dxa"/>
        <w:right w:w="115.0" w:type="dxa"/>
      </w:tblCellMar>
    </w:tblPr>
  </w:style>
  <w:style w:type="table" w:styleId="aff" w:customStyle="1">
    <w:basedOn w:val="TableNormal"/>
    <w:tblPr>
      <w:tblStyleRowBandSize w:val="1"/>
      <w:tblStyleColBandSize w:val="1"/>
      <w:tblCellMar>
        <w:top w:w="28.0" w:type="dxa"/>
        <w:left w:w="115.0" w:type="dxa"/>
        <w:bottom w:w="28.0" w:type="dxa"/>
        <w:right w:w="115.0" w:type="dxa"/>
      </w:tblCellMar>
    </w:tblPr>
  </w:style>
  <w:style w:type="table" w:styleId="aff0" w:customStyle="1">
    <w:basedOn w:val="TableNormal"/>
    <w:tblPr>
      <w:tblStyleRowBandSize w:val="1"/>
      <w:tblStyleColBandSize w:val="1"/>
      <w:tblCellMar>
        <w:top w:w="28.0" w:type="dxa"/>
        <w:left w:w="115.0" w:type="dxa"/>
        <w:bottom w:w="28.0" w:type="dxa"/>
        <w:right w:w="115.0" w:type="dxa"/>
      </w:tblCellMar>
    </w:tblPr>
  </w:style>
  <w:style w:type="table" w:styleId="aff1" w:customStyle="1">
    <w:basedOn w:val="TableNormal"/>
    <w:tblPr>
      <w:tblStyleRowBandSize w:val="1"/>
      <w:tblStyleColBandSize w:val="1"/>
      <w:tblCellMar>
        <w:top w:w="28.0" w:type="dxa"/>
        <w:left w:w="115.0" w:type="dxa"/>
        <w:bottom w:w="28.0" w:type="dxa"/>
        <w:right w:w="115.0" w:type="dxa"/>
      </w:tblCellMar>
    </w:tblPr>
  </w:style>
  <w:style w:type="table" w:styleId="aff2" w:customStyle="1">
    <w:basedOn w:val="TableNormal"/>
    <w:tblPr>
      <w:tblStyleRowBandSize w:val="1"/>
      <w:tblStyleColBandSize w:val="1"/>
      <w:tblCellMar>
        <w:top w:w="28.0" w:type="dxa"/>
        <w:left w:w="115.0" w:type="dxa"/>
        <w:bottom w:w="28.0" w:type="dxa"/>
        <w:right w:w="115.0" w:type="dxa"/>
      </w:tblCellMar>
    </w:tblPr>
  </w:style>
  <w:style w:type="table" w:styleId="aff3" w:customStyle="1">
    <w:basedOn w:val="TableNormal"/>
    <w:tblPr>
      <w:tblStyleRowBandSize w:val="1"/>
      <w:tblStyleColBandSize w:val="1"/>
      <w:tblCellMar>
        <w:top w:w="28.0" w:type="dxa"/>
        <w:left w:w="115.0" w:type="dxa"/>
        <w:bottom w:w="28.0" w:type="dxa"/>
        <w:right w:w="115.0" w:type="dxa"/>
      </w:tblCellMar>
    </w:tblPr>
  </w:style>
  <w:style w:type="table" w:styleId="aff4" w:customStyle="1">
    <w:basedOn w:val="TableNormal"/>
    <w:tblPr>
      <w:tblStyleRowBandSize w:val="1"/>
      <w:tblStyleColBandSize w:val="1"/>
      <w:tblCellMar>
        <w:top w:w="28.0" w:type="dxa"/>
        <w:left w:w="115.0" w:type="dxa"/>
        <w:bottom w:w="28.0" w:type="dxa"/>
        <w:right w:w="115.0" w:type="dxa"/>
      </w:tblCellMar>
    </w:tblPr>
  </w:style>
  <w:style w:type="table" w:styleId="aff5" w:customStyle="1">
    <w:basedOn w:val="TableNormal"/>
    <w:tblPr>
      <w:tblStyleRowBandSize w:val="1"/>
      <w:tblStyleColBandSize w:val="1"/>
      <w:tblCellMar>
        <w:top w:w="28.0" w:type="dxa"/>
        <w:left w:w="115.0" w:type="dxa"/>
        <w:bottom w:w="28.0" w:type="dxa"/>
        <w:right w:w="115.0" w:type="dxa"/>
      </w:tblCellMar>
    </w:tblPr>
  </w:style>
  <w:style w:type="table" w:styleId="aff6" w:customStyle="1">
    <w:basedOn w:val="TableNormal"/>
    <w:tblPr>
      <w:tblStyleRowBandSize w:val="1"/>
      <w:tblStyleColBandSize w:val="1"/>
      <w:tblCellMar>
        <w:top w:w="28.0" w:type="dxa"/>
        <w:left w:w="115.0" w:type="dxa"/>
        <w:bottom w:w="28.0" w:type="dxa"/>
        <w:right w:w="115.0" w:type="dxa"/>
      </w:tblCellMar>
    </w:tblPr>
  </w:style>
  <w:style w:type="table" w:styleId="aff7" w:customStyle="1">
    <w:basedOn w:val="TableNormal"/>
    <w:tblPr>
      <w:tblStyleRowBandSize w:val="1"/>
      <w:tblStyleColBandSize w:val="1"/>
      <w:tblCellMar>
        <w:top w:w="28.0" w:type="dxa"/>
        <w:left w:w="115.0" w:type="dxa"/>
        <w:bottom w:w="28.0" w:type="dxa"/>
        <w:right w:w="115.0" w:type="dxa"/>
      </w:tblCellMar>
    </w:tblPr>
  </w:style>
  <w:style w:type="table" w:styleId="aff8" w:customStyle="1">
    <w:basedOn w:val="TableNormal"/>
    <w:tblPr>
      <w:tblStyleRowBandSize w:val="1"/>
      <w:tblStyleColBandSize w:val="1"/>
      <w:tblCellMar>
        <w:top w:w="28.0" w:type="dxa"/>
        <w:left w:w="115.0" w:type="dxa"/>
        <w:bottom w:w="28.0" w:type="dxa"/>
        <w:right w:w="115.0" w:type="dxa"/>
      </w:tblCellMar>
    </w:tblPr>
  </w:style>
  <w:style w:type="table" w:styleId="aff9" w:customStyle="1">
    <w:basedOn w:val="TableNormal"/>
    <w:tblPr>
      <w:tblStyleRowBandSize w:val="1"/>
      <w:tblStyleColBandSize w:val="1"/>
      <w:tblCellMar>
        <w:top w:w="28.0" w:type="dxa"/>
        <w:left w:w="115.0" w:type="dxa"/>
        <w:bottom w:w="28.0" w:type="dxa"/>
        <w:right w:w="115.0" w:type="dxa"/>
      </w:tblCellMar>
    </w:tblPr>
  </w:style>
  <w:style w:type="table" w:styleId="affa" w:customStyle="1">
    <w:basedOn w:val="TableNormal"/>
    <w:tblPr>
      <w:tblStyleRowBandSize w:val="1"/>
      <w:tblStyleColBandSize w:val="1"/>
      <w:tblCellMar>
        <w:top w:w="28.0" w:type="dxa"/>
        <w:left w:w="115.0" w:type="dxa"/>
        <w:bottom w:w="28.0" w:type="dxa"/>
        <w:right w:w="115.0" w:type="dxa"/>
      </w:tblCellMar>
    </w:tblPr>
  </w:style>
  <w:style w:type="table" w:styleId="affb" w:customStyle="1">
    <w:basedOn w:val="TableNormal"/>
    <w:tblPr>
      <w:tblStyleRowBandSize w:val="1"/>
      <w:tblStyleColBandSize w:val="1"/>
      <w:tblCellMar>
        <w:top w:w="28.0" w:type="dxa"/>
        <w:left w:w="115.0" w:type="dxa"/>
        <w:bottom w:w="28.0" w:type="dxa"/>
        <w:right w:w="115.0" w:type="dxa"/>
      </w:tblCellMar>
    </w:tblPr>
  </w:style>
  <w:style w:type="table" w:styleId="affc" w:customStyle="1">
    <w:basedOn w:val="TableNormal"/>
    <w:tblPr>
      <w:tblStyleRowBandSize w:val="1"/>
      <w:tblStyleColBandSize w:val="1"/>
      <w:tblCellMar>
        <w:top w:w="28.0" w:type="dxa"/>
        <w:left w:w="115.0" w:type="dxa"/>
        <w:bottom w:w="28.0" w:type="dxa"/>
        <w:right w:w="115.0" w:type="dxa"/>
      </w:tblCellMar>
    </w:tblPr>
  </w:style>
  <w:style w:type="table" w:styleId="affd" w:customStyle="1">
    <w:basedOn w:val="TableNormal"/>
    <w:tblPr>
      <w:tblStyleRowBandSize w:val="1"/>
      <w:tblStyleColBandSize w:val="1"/>
      <w:tblCellMar>
        <w:top w:w="28.0" w:type="dxa"/>
        <w:left w:w="115.0" w:type="dxa"/>
        <w:bottom w:w="28.0" w:type="dxa"/>
        <w:right w:w="115.0" w:type="dxa"/>
      </w:tblCellMar>
    </w:tblPr>
  </w:style>
  <w:style w:type="table" w:styleId="affe" w:customStyle="1">
    <w:basedOn w:val="TableNormal"/>
    <w:tblPr>
      <w:tblStyleRowBandSize w:val="1"/>
      <w:tblStyleColBandSize w:val="1"/>
      <w:tblCellMar>
        <w:top w:w="28.0" w:type="dxa"/>
        <w:left w:w="115.0" w:type="dxa"/>
        <w:bottom w:w="28.0" w:type="dxa"/>
        <w:right w:w="115.0" w:type="dxa"/>
      </w:tblCellMar>
    </w:tblPr>
  </w:style>
  <w:style w:type="table" w:styleId="afff" w:customStyle="1">
    <w:basedOn w:val="TableNormal"/>
    <w:tblPr>
      <w:tblStyleRowBandSize w:val="1"/>
      <w:tblStyleColBandSize w:val="1"/>
      <w:tblCellMar>
        <w:top w:w="28.0" w:type="dxa"/>
        <w:left w:w="115.0" w:type="dxa"/>
        <w:bottom w:w="28.0" w:type="dxa"/>
        <w:right w:w="115.0" w:type="dxa"/>
      </w:tblCellMar>
    </w:tblPr>
  </w:style>
  <w:style w:type="table" w:styleId="afff0" w:customStyle="1">
    <w:basedOn w:val="TableNormal"/>
    <w:tblPr>
      <w:tblStyleRowBandSize w:val="1"/>
      <w:tblStyleColBandSize w:val="1"/>
      <w:tblCellMar>
        <w:top w:w="28.0" w:type="dxa"/>
        <w:left w:w="115.0" w:type="dxa"/>
        <w:bottom w:w="28.0" w:type="dxa"/>
        <w:right w:w="115.0" w:type="dxa"/>
      </w:tblCellMar>
    </w:tblPr>
  </w:style>
  <w:style w:type="table" w:styleId="afff1" w:customStyle="1">
    <w:basedOn w:val="TableNormal"/>
    <w:tblPr>
      <w:tblStyleRowBandSize w:val="1"/>
      <w:tblStyleColBandSize w:val="1"/>
      <w:tblCellMar>
        <w:top w:w="28.0" w:type="dxa"/>
        <w:left w:w="115.0" w:type="dxa"/>
        <w:bottom w:w="28.0" w:type="dxa"/>
        <w:right w:w="115.0" w:type="dxa"/>
      </w:tblCellMar>
    </w:tblPr>
  </w:style>
  <w:style w:type="table" w:styleId="afff2" w:customStyle="1">
    <w:basedOn w:val="TableNormal"/>
    <w:tblPr>
      <w:tblStyleRowBandSize w:val="1"/>
      <w:tblStyleColBandSize w:val="1"/>
      <w:tblCellMar>
        <w:top w:w="28.0" w:type="dxa"/>
        <w:left w:w="115.0" w:type="dxa"/>
        <w:bottom w:w="28.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28.0" w:type="dxa"/>
        <w:left w:w="115.0" w:type="dxa"/>
        <w:bottom w:w="28.0" w:type="dxa"/>
        <w:right w:w="115.0" w:type="dxa"/>
      </w:tblCellMar>
    </w:tblPr>
  </w:style>
  <w:style w:type="table" w:styleId="Table2">
    <w:basedOn w:val="TableNormal"/>
    <w:tblPr>
      <w:tblStyleRowBandSize w:val="1"/>
      <w:tblStyleColBandSize w:val="1"/>
      <w:tblCellMar>
        <w:top w:w="28.0" w:type="dxa"/>
        <w:left w:w="115.0" w:type="dxa"/>
        <w:bottom w:w="28.0" w:type="dxa"/>
        <w:right w:w="115.0" w:type="dxa"/>
      </w:tblCellMar>
    </w:tblPr>
  </w:style>
  <w:style w:type="table" w:styleId="Table3">
    <w:basedOn w:val="TableNormal"/>
    <w:tblPr>
      <w:tblStyleRowBandSize w:val="1"/>
      <w:tblStyleColBandSize w:val="1"/>
      <w:tblCellMar>
        <w:top w:w="28.0" w:type="dxa"/>
        <w:left w:w="115.0" w:type="dxa"/>
        <w:bottom w:w="28.0" w:type="dxa"/>
        <w:right w:w="115.0" w:type="dxa"/>
      </w:tblCellMar>
    </w:tblPr>
  </w:style>
  <w:style w:type="table" w:styleId="Table4">
    <w:basedOn w:val="TableNormal"/>
    <w:tblPr>
      <w:tblStyleRowBandSize w:val="1"/>
      <w:tblStyleColBandSize w:val="1"/>
      <w:tblCellMar>
        <w:top w:w="28.0" w:type="dxa"/>
        <w:left w:w="115.0" w:type="dxa"/>
        <w:bottom w:w="28.0" w:type="dxa"/>
        <w:right w:w="115.0" w:type="dxa"/>
      </w:tblCellMar>
    </w:tblPr>
  </w:style>
  <w:style w:type="table" w:styleId="Table5">
    <w:basedOn w:val="TableNormal"/>
    <w:tblPr>
      <w:tblStyleRowBandSize w:val="1"/>
      <w:tblStyleColBandSize w:val="1"/>
      <w:tblCellMar>
        <w:top w:w="28.0" w:type="dxa"/>
        <w:left w:w="115.0" w:type="dxa"/>
        <w:bottom w:w="28.0" w:type="dxa"/>
        <w:right w:w="115.0" w:type="dxa"/>
      </w:tblCellMar>
    </w:tblPr>
  </w:style>
  <w:style w:type="table" w:styleId="Table6">
    <w:basedOn w:val="TableNormal"/>
    <w:tblPr>
      <w:tblStyleRowBandSize w:val="1"/>
      <w:tblStyleColBandSize w:val="1"/>
      <w:tblCellMar>
        <w:top w:w="28.0" w:type="dxa"/>
        <w:left w:w="115.0" w:type="dxa"/>
        <w:bottom w:w="28.0" w:type="dxa"/>
        <w:right w:w="115.0" w:type="dxa"/>
      </w:tblCellMar>
    </w:tblPr>
  </w:style>
  <w:style w:type="table" w:styleId="Table7">
    <w:basedOn w:val="TableNormal"/>
    <w:tblPr>
      <w:tblStyleRowBandSize w:val="1"/>
      <w:tblStyleColBandSize w:val="1"/>
      <w:tblCellMar>
        <w:top w:w="28.0" w:type="dxa"/>
        <w:left w:w="115.0" w:type="dxa"/>
        <w:bottom w:w="28.0" w:type="dxa"/>
        <w:right w:w="115.0" w:type="dxa"/>
      </w:tblCellMar>
    </w:tblPr>
  </w:style>
  <w:style w:type="table" w:styleId="Table8">
    <w:basedOn w:val="TableNormal"/>
    <w:tblPr>
      <w:tblStyleRowBandSize w:val="1"/>
      <w:tblStyleColBandSize w:val="1"/>
      <w:tblCellMar>
        <w:top w:w="28.0" w:type="dxa"/>
        <w:left w:w="115.0" w:type="dxa"/>
        <w:bottom w:w="28.0" w:type="dxa"/>
        <w:right w:w="115.0" w:type="dxa"/>
      </w:tblCellMar>
    </w:tblPr>
  </w:style>
  <w:style w:type="table" w:styleId="Table9">
    <w:basedOn w:val="TableNormal"/>
    <w:tblPr>
      <w:tblStyleRowBandSize w:val="1"/>
      <w:tblStyleColBandSize w:val="1"/>
      <w:tblCellMar>
        <w:top w:w="28.0" w:type="dxa"/>
        <w:left w:w="115.0" w:type="dxa"/>
        <w:bottom w:w="28.0" w:type="dxa"/>
        <w:right w:w="115.0" w:type="dxa"/>
      </w:tblCellMar>
    </w:tblPr>
  </w:style>
  <w:style w:type="table" w:styleId="Table10">
    <w:basedOn w:val="TableNormal"/>
    <w:tblPr>
      <w:tblStyleRowBandSize w:val="1"/>
      <w:tblStyleColBandSize w:val="1"/>
      <w:tblCellMar>
        <w:top w:w="28.0" w:type="dxa"/>
        <w:left w:w="115.0" w:type="dxa"/>
        <w:bottom w:w="28.0" w:type="dxa"/>
        <w:right w:w="115.0" w:type="dxa"/>
      </w:tblCellMar>
    </w:tblPr>
  </w:style>
  <w:style w:type="table" w:styleId="Table11">
    <w:basedOn w:val="TableNormal"/>
    <w:tblPr>
      <w:tblStyleRowBandSize w:val="1"/>
      <w:tblStyleColBandSize w:val="1"/>
      <w:tblCellMar>
        <w:top w:w="28.0" w:type="dxa"/>
        <w:left w:w="115.0" w:type="dxa"/>
        <w:bottom w:w="28.0" w:type="dxa"/>
        <w:right w:w="115.0" w:type="dxa"/>
      </w:tblCellMar>
    </w:tblPr>
  </w:style>
  <w:style w:type="table" w:styleId="Table12">
    <w:basedOn w:val="TableNormal"/>
    <w:tblPr>
      <w:tblStyleRowBandSize w:val="1"/>
      <w:tblStyleColBandSize w:val="1"/>
      <w:tblCellMar>
        <w:top w:w="28.0" w:type="dxa"/>
        <w:left w:w="115.0" w:type="dxa"/>
        <w:bottom w:w="28.0" w:type="dxa"/>
        <w:right w:w="115.0" w:type="dxa"/>
      </w:tblCellMar>
    </w:tblPr>
  </w:style>
  <w:style w:type="table" w:styleId="Table13">
    <w:basedOn w:val="TableNormal"/>
    <w:tblPr>
      <w:tblStyleRowBandSize w:val="1"/>
      <w:tblStyleColBandSize w:val="1"/>
      <w:tblCellMar>
        <w:top w:w="28.0" w:type="dxa"/>
        <w:left w:w="115.0" w:type="dxa"/>
        <w:bottom w:w="28.0" w:type="dxa"/>
        <w:right w:w="115.0" w:type="dxa"/>
      </w:tblCellMar>
    </w:tblPr>
  </w:style>
  <w:style w:type="table" w:styleId="Table14">
    <w:basedOn w:val="TableNormal"/>
    <w:tblPr>
      <w:tblStyleRowBandSize w:val="1"/>
      <w:tblStyleColBandSize w:val="1"/>
      <w:tblCellMar>
        <w:top w:w="28.0" w:type="dxa"/>
        <w:left w:w="115.0" w:type="dxa"/>
        <w:bottom w:w="28.0" w:type="dxa"/>
        <w:right w:w="115.0" w:type="dxa"/>
      </w:tblCellMar>
    </w:tblPr>
  </w:style>
  <w:style w:type="table" w:styleId="Table15">
    <w:basedOn w:val="TableNormal"/>
    <w:tblPr>
      <w:tblStyleRowBandSize w:val="1"/>
      <w:tblStyleColBandSize w:val="1"/>
      <w:tblCellMar>
        <w:top w:w="28.0" w:type="dxa"/>
        <w:left w:w="115.0" w:type="dxa"/>
        <w:bottom w:w="28.0" w:type="dxa"/>
        <w:right w:w="115.0" w:type="dxa"/>
      </w:tblCellMar>
    </w:tblPr>
  </w:style>
  <w:style w:type="table" w:styleId="Table16">
    <w:basedOn w:val="TableNormal"/>
    <w:tblPr>
      <w:tblStyleRowBandSize w:val="1"/>
      <w:tblStyleColBandSize w:val="1"/>
      <w:tblCellMar>
        <w:top w:w="28.0" w:type="dxa"/>
        <w:left w:w="115.0" w:type="dxa"/>
        <w:bottom w:w="28.0" w:type="dxa"/>
        <w:right w:w="115.0" w:type="dxa"/>
      </w:tblCellMar>
    </w:tblPr>
  </w:style>
  <w:style w:type="table" w:styleId="Table17">
    <w:basedOn w:val="TableNormal"/>
    <w:tblPr>
      <w:tblStyleRowBandSize w:val="1"/>
      <w:tblStyleColBandSize w:val="1"/>
      <w:tblCellMar>
        <w:top w:w="28.0" w:type="dxa"/>
        <w:left w:w="115.0" w:type="dxa"/>
        <w:bottom w:w="28.0" w:type="dxa"/>
        <w:right w:w="115.0" w:type="dxa"/>
      </w:tblCellMar>
    </w:tblPr>
  </w:style>
  <w:style w:type="table" w:styleId="Table18">
    <w:basedOn w:val="TableNormal"/>
    <w:tblPr>
      <w:tblStyleRowBandSize w:val="1"/>
      <w:tblStyleColBandSize w:val="1"/>
      <w:tblCellMar>
        <w:top w:w="28.0" w:type="dxa"/>
        <w:left w:w="115.0" w:type="dxa"/>
        <w:bottom w:w="28.0" w:type="dxa"/>
        <w:right w:w="115.0" w:type="dxa"/>
      </w:tblCellMar>
    </w:tblPr>
  </w:style>
  <w:style w:type="table" w:styleId="Table19">
    <w:basedOn w:val="TableNormal"/>
    <w:tblPr>
      <w:tblStyleRowBandSize w:val="1"/>
      <w:tblStyleColBandSize w:val="1"/>
      <w:tblCellMar>
        <w:top w:w="28.0" w:type="dxa"/>
        <w:left w:w="115.0" w:type="dxa"/>
        <w:bottom w:w="28.0" w:type="dxa"/>
        <w:right w:w="115.0" w:type="dxa"/>
      </w:tblCellMar>
    </w:tblPr>
  </w:style>
  <w:style w:type="table" w:styleId="Table20">
    <w:basedOn w:val="TableNormal"/>
    <w:tblPr>
      <w:tblStyleRowBandSize w:val="1"/>
      <w:tblStyleColBandSize w:val="1"/>
      <w:tblCellMar>
        <w:top w:w="28.0" w:type="dxa"/>
        <w:left w:w="115.0" w:type="dxa"/>
        <w:bottom w:w="28.0" w:type="dxa"/>
        <w:right w:w="115.0" w:type="dxa"/>
      </w:tblCellMar>
    </w:tblPr>
  </w:style>
  <w:style w:type="table" w:styleId="Table21">
    <w:basedOn w:val="TableNormal"/>
    <w:tblPr>
      <w:tblStyleRowBandSize w:val="1"/>
      <w:tblStyleColBandSize w:val="1"/>
      <w:tblCellMar>
        <w:top w:w="28.0" w:type="dxa"/>
        <w:left w:w="115.0" w:type="dxa"/>
        <w:bottom w:w="28.0" w:type="dxa"/>
        <w:right w:w="115.0" w:type="dxa"/>
      </w:tblCellMar>
    </w:tblPr>
  </w:style>
  <w:style w:type="table" w:styleId="Table22">
    <w:basedOn w:val="TableNormal"/>
    <w:tblPr>
      <w:tblStyleRowBandSize w:val="1"/>
      <w:tblStyleColBandSize w:val="1"/>
      <w:tblCellMar>
        <w:top w:w="28.0" w:type="dxa"/>
        <w:left w:w="115.0" w:type="dxa"/>
        <w:bottom w:w="28.0" w:type="dxa"/>
        <w:right w:w="115.0" w:type="dxa"/>
      </w:tblCellMar>
    </w:tblPr>
  </w:style>
  <w:style w:type="table" w:styleId="Table23">
    <w:basedOn w:val="TableNormal"/>
    <w:tblPr>
      <w:tblStyleRowBandSize w:val="1"/>
      <w:tblStyleColBandSize w:val="1"/>
      <w:tblCellMar>
        <w:top w:w="28.0" w:type="dxa"/>
        <w:left w:w="115.0" w:type="dxa"/>
        <w:bottom w:w="28.0" w:type="dxa"/>
        <w:right w:w="115.0" w:type="dxa"/>
      </w:tblCellMar>
    </w:tblPr>
  </w:style>
  <w:style w:type="table" w:styleId="Table24">
    <w:basedOn w:val="TableNormal"/>
    <w:tblPr>
      <w:tblStyleRowBandSize w:val="1"/>
      <w:tblStyleColBandSize w:val="1"/>
      <w:tblCellMar>
        <w:top w:w="28.0" w:type="dxa"/>
        <w:left w:w="115.0" w:type="dxa"/>
        <w:bottom w:w="28.0" w:type="dxa"/>
        <w:right w:w="115.0" w:type="dxa"/>
      </w:tblCellMar>
    </w:tblPr>
  </w:style>
  <w:style w:type="table" w:styleId="Table25">
    <w:basedOn w:val="TableNormal"/>
    <w:tblPr>
      <w:tblStyleRowBandSize w:val="1"/>
      <w:tblStyleColBandSize w:val="1"/>
      <w:tblCellMar>
        <w:top w:w="28.0" w:type="dxa"/>
        <w:left w:w="115.0" w:type="dxa"/>
        <w:bottom w:w="28.0" w:type="dxa"/>
        <w:right w:w="115.0" w:type="dxa"/>
      </w:tblCellMar>
    </w:tblPr>
  </w:style>
  <w:style w:type="table" w:styleId="Table26">
    <w:basedOn w:val="TableNormal"/>
    <w:tblPr>
      <w:tblStyleRowBandSize w:val="1"/>
      <w:tblStyleColBandSize w:val="1"/>
      <w:tblCellMar>
        <w:top w:w="28.0" w:type="dxa"/>
        <w:left w:w="115.0" w:type="dxa"/>
        <w:bottom w:w="28.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hL8YNbY8Et1Q5d4nozUPIasu2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OAByITEyVXVqVjRpOEthc0tjM0RXR0d0YUZRcHB5Nko0aF84a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2024-08-28T09:58:00Z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MediaServiceImageTags</vt:lpwstr>
  </property>
</Properties>
</file>