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188A5A2B" w14:textId="77777777" w:rsidR="00605C1F" w:rsidRPr="00A85BFE" w:rsidRDefault="00605C1F" w:rsidP="00605C1F">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08ECC97" wp14:editId="714B9C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EB1D1A1" w14:textId="77777777" w:rsidR="00605C1F" w:rsidRPr="00A406E5" w:rsidRDefault="00605C1F" w:rsidP="00605C1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605C1F" w:rsidRPr="00A406E5" w14:paraId="31D6B27C" w14:textId="77777777" w:rsidTr="00C22688">
        <w:tc>
          <w:tcPr>
            <w:tcW w:w="9922" w:type="dxa"/>
            <w:shd w:val="clear" w:color="auto" w:fill="C0C0C0"/>
          </w:tcPr>
          <w:p w14:paraId="56C3D532" w14:textId="77777777" w:rsidR="00605C1F" w:rsidRPr="00A406E5" w:rsidRDefault="00605C1F" w:rsidP="00C22688">
            <w:pPr>
              <w:pStyle w:val="Heading4"/>
              <w:rPr>
                <w:rFonts w:ascii="Arial" w:hAnsi="Arial" w:cs="Arial"/>
                <w:b/>
                <w:bCs/>
              </w:rPr>
            </w:pPr>
            <w:r w:rsidRPr="6D4D0207">
              <w:rPr>
                <w:rFonts w:ascii="Arial" w:hAnsi="Arial" w:cs="Arial"/>
                <w:b/>
                <w:bCs/>
              </w:rPr>
              <w:t xml:space="preserve">LEVEL 6 ASSESSMENT SPECIFICATION </w:t>
            </w:r>
          </w:p>
        </w:tc>
      </w:tr>
    </w:tbl>
    <w:p w14:paraId="148A184A" w14:textId="77777777" w:rsidR="00605C1F" w:rsidRPr="00A406E5" w:rsidRDefault="00605C1F" w:rsidP="00605C1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5C1F" w:rsidRPr="00A406E5" w14:paraId="15939BE9" w14:textId="77777777" w:rsidTr="00C22688">
        <w:tc>
          <w:tcPr>
            <w:tcW w:w="2093" w:type="dxa"/>
            <w:shd w:val="clear" w:color="auto" w:fill="auto"/>
          </w:tcPr>
          <w:p w14:paraId="10D28F2D"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78CB5EFA" w14:textId="43C43BCC" w:rsidR="00605C1F" w:rsidRPr="00A406E5" w:rsidRDefault="00605C1F" w:rsidP="00C22688">
            <w:pPr>
              <w:spacing w:before="120" w:after="120"/>
              <w:jc w:val="both"/>
              <w:rPr>
                <w:rFonts w:ascii="Arial" w:hAnsi="Arial" w:cs="Arial"/>
                <w:b/>
                <w:sz w:val="22"/>
                <w:szCs w:val="22"/>
              </w:rPr>
            </w:pPr>
            <w:r>
              <w:rPr>
                <w:rFonts w:ascii="Arial" w:hAnsi="Arial" w:cs="Arial"/>
                <w:b/>
                <w:sz w:val="22"/>
                <w:szCs w:val="22"/>
              </w:rPr>
              <w:t>Kelly Jones</w:t>
            </w:r>
          </w:p>
        </w:tc>
        <w:tc>
          <w:tcPr>
            <w:tcW w:w="2268" w:type="dxa"/>
            <w:shd w:val="clear" w:color="auto" w:fill="D9D9D9" w:themeFill="background1" w:themeFillShade="D9"/>
          </w:tcPr>
          <w:p w14:paraId="2D078E6A"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15EF3A13" w14:textId="4B4E3776" w:rsidR="00605C1F" w:rsidRPr="00A406E5" w:rsidRDefault="00605C1F" w:rsidP="00C22688">
            <w:pPr>
              <w:spacing w:before="120" w:after="120"/>
              <w:jc w:val="both"/>
              <w:rPr>
                <w:rFonts w:ascii="Arial" w:hAnsi="Arial" w:cs="Arial"/>
                <w:b/>
                <w:sz w:val="22"/>
                <w:szCs w:val="22"/>
              </w:rPr>
            </w:pPr>
            <w:r>
              <w:rPr>
                <w:rFonts w:ascii="Arial" w:hAnsi="Arial" w:cs="Arial"/>
                <w:b/>
                <w:sz w:val="22"/>
                <w:szCs w:val="22"/>
              </w:rPr>
              <w:t>1804366</w:t>
            </w:r>
          </w:p>
        </w:tc>
      </w:tr>
      <w:tr w:rsidR="00605C1F" w:rsidRPr="00A406E5" w14:paraId="3EE7C4CE" w14:textId="77777777" w:rsidTr="00C22688">
        <w:tc>
          <w:tcPr>
            <w:tcW w:w="2093" w:type="dxa"/>
            <w:shd w:val="clear" w:color="auto" w:fill="auto"/>
          </w:tcPr>
          <w:p w14:paraId="5AD0E52D"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AF4DDA5" w14:textId="77777777" w:rsidR="00605C1F" w:rsidRPr="00A406E5" w:rsidRDefault="00605C1F" w:rsidP="00C22688">
            <w:pPr>
              <w:spacing w:before="120" w:after="120"/>
              <w:jc w:val="both"/>
              <w:rPr>
                <w:rFonts w:ascii="Arial" w:hAnsi="Arial" w:cs="Arial"/>
                <w:b/>
                <w:sz w:val="22"/>
                <w:szCs w:val="22"/>
              </w:rPr>
            </w:pPr>
            <w:r>
              <w:rPr>
                <w:rFonts w:ascii="Arial" w:hAnsi="Arial" w:cs="Arial"/>
                <w:b/>
                <w:sz w:val="22"/>
                <w:szCs w:val="22"/>
              </w:rPr>
              <w:t>Secondary PGCE</w:t>
            </w:r>
          </w:p>
        </w:tc>
      </w:tr>
      <w:tr w:rsidR="00605C1F" w:rsidRPr="00A406E5" w14:paraId="3966CFE7" w14:textId="77777777" w:rsidTr="00C22688">
        <w:tc>
          <w:tcPr>
            <w:tcW w:w="2093" w:type="dxa"/>
            <w:shd w:val="clear" w:color="auto" w:fill="auto"/>
          </w:tcPr>
          <w:p w14:paraId="5C75DFB6"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311430E5" w14:textId="77777777" w:rsidR="00605C1F" w:rsidRDefault="00605C1F" w:rsidP="00C22688">
            <w:pPr>
              <w:spacing w:before="100" w:beforeAutospacing="1" w:after="100" w:afterAutospacing="1"/>
              <w:rPr>
                <w:sz w:val="22"/>
                <w:szCs w:val="22"/>
              </w:rPr>
            </w:pPr>
            <w:r>
              <w:rPr>
                <w:rFonts w:ascii="Arial" w:hAnsi="Arial" w:cs="Arial"/>
                <w:b/>
                <w:bCs/>
                <w:sz w:val="22"/>
                <w:szCs w:val="22"/>
              </w:rPr>
              <w:t>Investigating Contemporary Issues in Secondary Education</w:t>
            </w:r>
          </w:p>
          <w:p w14:paraId="6EA48A9E" w14:textId="77777777" w:rsidR="00605C1F" w:rsidRPr="00A406E5" w:rsidRDefault="00605C1F" w:rsidP="00C22688">
            <w:pPr>
              <w:spacing w:before="120" w:after="120"/>
              <w:jc w:val="both"/>
              <w:rPr>
                <w:rFonts w:ascii="Arial" w:hAnsi="Arial" w:cs="Arial"/>
                <w:b/>
                <w:sz w:val="22"/>
                <w:szCs w:val="22"/>
              </w:rPr>
            </w:pPr>
          </w:p>
        </w:tc>
      </w:tr>
      <w:tr w:rsidR="00605C1F" w:rsidRPr="00A406E5" w14:paraId="5EE80170" w14:textId="77777777" w:rsidTr="00C22688">
        <w:tc>
          <w:tcPr>
            <w:tcW w:w="2093" w:type="dxa"/>
            <w:shd w:val="clear" w:color="auto" w:fill="auto"/>
          </w:tcPr>
          <w:p w14:paraId="3842982D"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DD4C638" w14:textId="77777777" w:rsidR="00605C1F" w:rsidRPr="00A406E5" w:rsidRDefault="00605C1F" w:rsidP="00C22688">
            <w:pPr>
              <w:spacing w:before="120" w:after="120"/>
              <w:jc w:val="both"/>
              <w:rPr>
                <w:rFonts w:ascii="Arial" w:hAnsi="Arial" w:cs="Arial"/>
                <w:b/>
                <w:sz w:val="22"/>
                <w:szCs w:val="22"/>
              </w:rPr>
            </w:pPr>
            <w:r>
              <w:rPr>
                <w:rFonts w:ascii="Arial" w:hAnsi="Arial" w:cs="Arial"/>
                <w:b/>
                <w:sz w:val="22"/>
                <w:szCs w:val="22"/>
              </w:rPr>
              <w:t>ECSP6003</w:t>
            </w:r>
          </w:p>
        </w:tc>
        <w:tc>
          <w:tcPr>
            <w:tcW w:w="2268" w:type="dxa"/>
            <w:shd w:val="clear" w:color="auto" w:fill="D9D9D9" w:themeFill="background1" w:themeFillShade="D9"/>
          </w:tcPr>
          <w:p w14:paraId="16C54450" w14:textId="77777777" w:rsidR="00605C1F" w:rsidRPr="004D5E9B" w:rsidRDefault="00605C1F" w:rsidP="00C22688">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8DA6F2E" w14:textId="77777777" w:rsidR="00605C1F" w:rsidRPr="00A406E5" w:rsidRDefault="00605C1F" w:rsidP="00C22688">
            <w:pPr>
              <w:spacing w:before="120" w:after="120"/>
              <w:jc w:val="both"/>
              <w:rPr>
                <w:rFonts w:ascii="Arial" w:hAnsi="Arial" w:cs="Arial"/>
                <w:b/>
                <w:sz w:val="22"/>
                <w:szCs w:val="22"/>
              </w:rPr>
            </w:pPr>
            <w:r>
              <w:rPr>
                <w:rFonts w:ascii="Arial" w:hAnsi="Arial" w:cs="Arial"/>
                <w:b/>
                <w:sz w:val="22"/>
                <w:szCs w:val="22"/>
              </w:rPr>
              <w:t>100%</w:t>
            </w:r>
          </w:p>
        </w:tc>
      </w:tr>
      <w:tr w:rsidR="00605C1F" w:rsidRPr="00A406E5" w14:paraId="140E6F87" w14:textId="77777777" w:rsidTr="00C22688">
        <w:tc>
          <w:tcPr>
            <w:tcW w:w="2093" w:type="dxa"/>
            <w:shd w:val="clear" w:color="auto" w:fill="auto"/>
          </w:tcPr>
          <w:p w14:paraId="058C1BB4"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6B0F7F16" w14:textId="77777777" w:rsidR="00605C1F" w:rsidRPr="00A406E5" w:rsidRDefault="00605C1F" w:rsidP="00C22688">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hemeFill="background1" w:themeFillShade="D9"/>
          </w:tcPr>
          <w:p w14:paraId="4C8B5FC2"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9E57D8E" w14:textId="77777777" w:rsidR="00605C1F" w:rsidRPr="00A406E5" w:rsidRDefault="00605C1F" w:rsidP="00C22688">
            <w:pPr>
              <w:spacing w:before="120" w:after="120"/>
              <w:jc w:val="both"/>
              <w:rPr>
                <w:rFonts w:ascii="Arial" w:hAnsi="Arial" w:cs="Arial"/>
                <w:b/>
                <w:sz w:val="22"/>
                <w:szCs w:val="22"/>
              </w:rPr>
            </w:pPr>
          </w:p>
        </w:tc>
      </w:tr>
      <w:tr w:rsidR="00605C1F" w:rsidRPr="00A406E5" w14:paraId="1E3EA571" w14:textId="77777777" w:rsidTr="00C22688">
        <w:tc>
          <w:tcPr>
            <w:tcW w:w="2093" w:type="dxa"/>
            <w:shd w:val="clear" w:color="auto" w:fill="auto"/>
          </w:tcPr>
          <w:p w14:paraId="08D957B4"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150636B6" w14:textId="77777777" w:rsidR="00605C1F" w:rsidRDefault="00605C1F" w:rsidP="00C22688">
            <w:pPr>
              <w:spacing w:before="100" w:beforeAutospacing="1" w:after="100" w:afterAutospacing="1"/>
              <w:rPr>
                <w:sz w:val="22"/>
                <w:szCs w:val="22"/>
              </w:rPr>
            </w:pPr>
            <w:r>
              <w:rPr>
                <w:rFonts w:ascii="Arial" w:hAnsi="Arial" w:cs="Arial"/>
                <w:b/>
                <w:bCs/>
                <w:sz w:val="22"/>
                <w:szCs w:val="22"/>
              </w:rPr>
              <w:t>Investigating Contemporary Issues in Secondary Education</w:t>
            </w:r>
          </w:p>
          <w:p w14:paraId="2A6D9EF0" w14:textId="77777777" w:rsidR="00605C1F" w:rsidRPr="00A406E5" w:rsidRDefault="00605C1F" w:rsidP="00C22688">
            <w:pPr>
              <w:spacing w:before="120" w:after="120"/>
              <w:jc w:val="both"/>
              <w:rPr>
                <w:rFonts w:ascii="Arial" w:hAnsi="Arial" w:cs="Arial"/>
                <w:b/>
                <w:sz w:val="22"/>
                <w:szCs w:val="22"/>
              </w:rPr>
            </w:pPr>
          </w:p>
        </w:tc>
        <w:tc>
          <w:tcPr>
            <w:tcW w:w="2268" w:type="dxa"/>
            <w:shd w:val="clear" w:color="auto" w:fill="auto"/>
          </w:tcPr>
          <w:p w14:paraId="4A772737"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8285480" w14:textId="77777777" w:rsidR="00605C1F" w:rsidRPr="00A406E5" w:rsidRDefault="00605C1F" w:rsidP="00C22688">
            <w:pPr>
              <w:spacing w:before="120" w:after="120"/>
              <w:jc w:val="both"/>
              <w:rPr>
                <w:rFonts w:ascii="Arial" w:hAnsi="Arial" w:cs="Arial"/>
                <w:b/>
                <w:sz w:val="22"/>
                <w:szCs w:val="22"/>
              </w:rPr>
            </w:pPr>
            <w:r>
              <w:rPr>
                <w:rFonts w:ascii="Arial" w:hAnsi="Arial" w:cs="Arial"/>
                <w:b/>
                <w:sz w:val="22"/>
                <w:szCs w:val="22"/>
              </w:rPr>
              <w:t>5,000 words</w:t>
            </w:r>
          </w:p>
        </w:tc>
      </w:tr>
      <w:tr w:rsidR="00605C1F" w:rsidRPr="00A406E5" w14:paraId="79B022FB" w14:textId="77777777" w:rsidTr="00C22688">
        <w:tc>
          <w:tcPr>
            <w:tcW w:w="2093" w:type="dxa"/>
            <w:shd w:val="clear" w:color="auto" w:fill="auto"/>
          </w:tcPr>
          <w:p w14:paraId="645DABF4"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789A898D" w14:textId="77777777" w:rsidR="00605C1F" w:rsidRDefault="00605C1F" w:rsidP="00C22688">
            <w:pPr>
              <w:spacing w:before="120" w:after="120"/>
              <w:jc w:val="both"/>
              <w:rPr>
                <w:rFonts w:ascii="Arial" w:hAnsi="Arial" w:cs="Arial"/>
                <w:b/>
                <w:sz w:val="22"/>
                <w:szCs w:val="22"/>
              </w:rPr>
            </w:pPr>
            <w:r>
              <w:rPr>
                <w:rFonts w:ascii="Arial" w:hAnsi="Arial" w:cs="Arial"/>
                <w:b/>
                <w:sz w:val="22"/>
                <w:szCs w:val="22"/>
              </w:rPr>
              <w:t>January 28th 2019</w:t>
            </w:r>
          </w:p>
          <w:p w14:paraId="5B9BE53A" w14:textId="77777777" w:rsidR="00605C1F" w:rsidRPr="00A406E5" w:rsidRDefault="00605C1F" w:rsidP="00C22688">
            <w:pPr>
              <w:spacing w:before="120" w:after="120"/>
              <w:jc w:val="both"/>
              <w:rPr>
                <w:rFonts w:ascii="Arial" w:hAnsi="Arial" w:cs="Arial"/>
                <w:b/>
                <w:sz w:val="22"/>
                <w:szCs w:val="22"/>
              </w:rPr>
            </w:pPr>
          </w:p>
        </w:tc>
        <w:tc>
          <w:tcPr>
            <w:tcW w:w="2268" w:type="dxa"/>
            <w:shd w:val="clear" w:color="auto" w:fill="auto"/>
          </w:tcPr>
          <w:p w14:paraId="06B5B76B"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044A3314" w14:textId="77777777" w:rsidR="00605C1F" w:rsidRDefault="00605C1F" w:rsidP="00C22688">
            <w:pPr>
              <w:spacing w:before="120" w:after="120"/>
              <w:jc w:val="both"/>
              <w:rPr>
                <w:rFonts w:ascii="Arial" w:hAnsi="Arial" w:cs="Arial"/>
                <w:b/>
                <w:sz w:val="22"/>
                <w:szCs w:val="22"/>
              </w:rPr>
            </w:pPr>
            <w:r>
              <w:rPr>
                <w:rFonts w:ascii="Arial" w:hAnsi="Arial" w:cs="Arial"/>
                <w:b/>
                <w:sz w:val="22"/>
                <w:szCs w:val="22"/>
              </w:rPr>
              <w:t>February 19th 2019</w:t>
            </w:r>
          </w:p>
          <w:p w14:paraId="2D964A60" w14:textId="77777777" w:rsidR="00605C1F" w:rsidRPr="00A406E5" w:rsidRDefault="00605C1F" w:rsidP="00C22688">
            <w:pPr>
              <w:spacing w:before="120" w:after="120"/>
              <w:jc w:val="both"/>
              <w:rPr>
                <w:rFonts w:ascii="Arial" w:hAnsi="Arial" w:cs="Arial"/>
                <w:b/>
                <w:sz w:val="22"/>
                <w:szCs w:val="22"/>
              </w:rPr>
            </w:pPr>
          </w:p>
        </w:tc>
      </w:tr>
      <w:tr w:rsidR="00605C1F" w:rsidRPr="00A406E5" w14:paraId="43B34821" w14:textId="77777777" w:rsidTr="00C22688">
        <w:tc>
          <w:tcPr>
            <w:tcW w:w="2093" w:type="dxa"/>
            <w:shd w:val="clear" w:color="auto" w:fill="auto"/>
          </w:tcPr>
          <w:p w14:paraId="753AFCC7"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73005966" w14:textId="77777777" w:rsidR="00605C1F" w:rsidRPr="00A406E5" w:rsidRDefault="00605C1F" w:rsidP="00C22688">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7288AD"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17F240F9" w14:textId="77777777" w:rsidR="00605C1F" w:rsidRPr="00A406E5" w:rsidRDefault="00605C1F" w:rsidP="00C22688">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605C1F" w:rsidRPr="00A406E5" w14:paraId="206ED2A0" w14:textId="77777777" w:rsidTr="00C22688">
        <w:tc>
          <w:tcPr>
            <w:tcW w:w="2093" w:type="dxa"/>
            <w:shd w:val="clear" w:color="auto" w:fill="auto"/>
          </w:tcPr>
          <w:p w14:paraId="4FE2F241" w14:textId="77777777" w:rsidR="00605C1F" w:rsidRPr="00A406E5" w:rsidRDefault="00605C1F" w:rsidP="00C22688">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50748067" w14:textId="77777777" w:rsidR="00605C1F" w:rsidRPr="00A406E5" w:rsidRDefault="00605C1F" w:rsidP="00C22688">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6930A7B" w14:textId="77777777" w:rsidR="00605C1F" w:rsidRPr="00A406E5" w:rsidRDefault="00605C1F" w:rsidP="00605C1F">
      <w:pPr>
        <w:rPr>
          <w:rFonts w:ascii="Arial" w:hAnsi="Arial" w:cs="Arial"/>
          <w:sz w:val="32"/>
        </w:rPr>
      </w:pPr>
    </w:p>
    <w:p w14:paraId="28D53BAA" w14:textId="4C6B99E8" w:rsidR="00605C1F" w:rsidRPr="00A406E5" w:rsidRDefault="00605C1F" w:rsidP="00605C1F">
      <w:pPr>
        <w:rPr>
          <w:rFonts w:ascii="Arial" w:hAnsi="Arial" w:cs="Arial"/>
          <w:sz w:val="32"/>
        </w:rPr>
      </w:pPr>
    </w:p>
    <w:p w14:paraId="63CDB698" w14:textId="77777777" w:rsidR="00834645" w:rsidRDefault="00834645">
      <w:pPr>
        <w:pStyle w:val="Body"/>
        <w:spacing w:line="360" w:lineRule="auto"/>
        <w:jc w:val="both"/>
        <w:rPr>
          <w:sz w:val="24"/>
          <w:szCs w:val="24"/>
        </w:rPr>
      </w:pPr>
    </w:p>
    <w:p w14:paraId="470A9125" w14:textId="77777777" w:rsidR="00834645" w:rsidRDefault="00834645">
      <w:pPr>
        <w:rPr>
          <w:rFonts w:ascii="Helvetica" w:hAnsi="Helvetica" w:cs="Arial Unicode MS"/>
          <w:color w:val="000000"/>
          <w:lang w:eastAsia="en-GB"/>
        </w:rPr>
      </w:pPr>
      <w:r>
        <w:br w:type="page"/>
      </w:r>
    </w:p>
    <w:p w14:paraId="50A8A88D" w14:textId="0EBE8B44" w:rsidR="00E13D6F" w:rsidRPr="00360E5A" w:rsidRDefault="0020437B">
      <w:pPr>
        <w:pStyle w:val="Body"/>
        <w:spacing w:line="360" w:lineRule="auto"/>
        <w:jc w:val="both"/>
        <w:rPr>
          <w:rFonts w:ascii="Times New Roman" w:hAnsi="Times New Roman" w:cs="Times New Roman"/>
          <w:sz w:val="24"/>
          <w:szCs w:val="24"/>
        </w:rPr>
      </w:pPr>
      <w:r w:rsidRPr="00360E5A">
        <w:rPr>
          <w:rFonts w:ascii="Times New Roman" w:hAnsi="Times New Roman" w:cs="Times New Roman"/>
          <w:sz w:val="24"/>
          <w:szCs w:val="24"/>
        </w:rPr>
        <w:lastRenderedPageBreak/>
        <w:t xml:space="preserve">This paper will be looking at how strategic planning and implementation can affect a school’s improvement and what pupils have to gain from its efficient use. Using existing government policies and relevant literature to critically evaluate School X’s approach to tackling the issue of low numeracy skills in </w:t>
      </w:r>
      <w:r w:rsidR="00360E5A" w:rsidRPr="00360E5A">
        <w:rPr>
          <w:rFonts w:ascii="Times New Roman" w:hAnsi="Times New Roman" w:cs="Times New Roman"/>
          <w:sz w:val="24"/>
          <w:szCs w:val="24"/>
        </w:rPr>
        <w:t>its</w:t>
      </w:r>
      <w:r w:rsidRPr="00360E5A">
        <w:rPr>
          <w:rFonts w:ascii="Times New Roman" w:hAnsi="Times New Roman" w:cs="Times New Roman"/>
          <w:sz w:val="24"/>
          <w:szCs w:val="24"/>
        </w:rPr>
        <w:t xml:space="preserve"> pupils, looking at </w:t>
      </w:r>
      <w:r w:rsidR="00360E5A" w:rsidRPr="00360E5A">
        <w:rPr>
          <w:rFonts w:ascii="Times New Roman" w:hAnsi="Times New Roman" w:cs="Times New Roman"/>
          <w:sz w:val="24"/>
          <w:szCs w:val="24"/>
        </w:rPr>
        <w:t>its</w:t>
      </w:r>
      <w:r w:rsidRPr="00360E5A">
        <w:rPr>
          <w:rFonts w:ascii="Times New Roman" w:hAnsi="Times New Roman" w:cs="Times New Roman"/>
          <w:sz w:val="24"/>
          <w:szCs w:val="24"/>
        </w:rPr>
        <w:t xml:space="preserve"> current School Improvement Plan and the Expressive Arts and Vocational Studies’ Departmental Improvement Plan. In line with research guidelines for ethical education research provided by the British Educational Research Association, to keep the school’s identity confidential, it will be referred to as School X throughout (2018).</w:t>
      </w:r>
    </w:p>
    <w:p w14:paraId="715705AE" w14:textId="77777777" w:rsidR="00E13D6F" w:rsidRPr="00360E5A" w:rsidRDefault="00E13D6F">
      <w:pPr>
        <w:pStyle w:val="Body"/>
        <w:jc w:val="both"/>
        <w:rPr>
          <w:rFonts w:ascii="Times New Roman" w:eastAsia="Helvetica Neue" w:hAnsi="Times New Roman" w:cs="Times New Roman"/>
          <w:sz w:val="24"/>
          <w:szCs w:val="24"/>
        </w:rPr>
      </w:pPr>
    </w:p>
    <w:p w14:paraId="3281E9F6" w14:textId="51F28D56" w:rsidR="00E13D6F" w:rsidRPr="00360E5A" w:rsidRDefault="0020437B">
      <w:pPr>
        <w:pStyle w:val="Body"/>
        <w:spacing w:line="360" w:lineRule="auto"/>
        <w:jc w:val="both"/>
        <w:rPr>
          <w:rFonts w:ascii="Times New Roman" w:hAnsi="Times New Roman" w:cs="Times New Roman"/>
          <w:sz w:val="24"/>
          <w:szCs w:val="24"/>
        </w:rPr>
      </w:pPr>
      <w:r w:rsidRPr="00360E5A">
        <w:rPr>
          <w:rFonts w:ascii="Times New Roman" w:hAnsi="Times New Roman" w:cs="Times New Roman"/>
          <w:sz w:val="24"/>
          <w:szCs w:val="24"/>
        </w:rPr>
        <w:t>School X is a co-educational community school that caters for an age range of 11 to 16 that is maintained by the local authority, in South Wales. There are 461 pupils, with 40 full-time members of teaching staff, which are supported by a number of part-time staff and teaching assistants. The main catchment areas for the school are both targeted areas of the local authority’s ‘Communities First’ programme, a programme that is focused on supporting the Welsh Government’s agenda to tackle poverty (</w:t>
      </w:r>
      <w:r w:rsidR="005952E6">
        <w:rPr>
          <w:rFonts w:ascii="Times New Roman" w:hAnsi="Times New Roman" w:cs="Times New Roman"/>
          <w:sz w:val="24"/>
          <w:szCs w:val="24"/>
        </w:rPr>
        <w:t>Local Authority</w:t>
      </w:r>
      <w:r w:rsidRPr="00360E5A">
        <w:rPr>
          <w:rFonts w:ascii="Times New Roman" w:hAnsi="Times New Roman" w:cs="Times New Roman"/>
          <w:sz w:val="24"/>
          <w:szCs w:val="24"/>
        </w:rPr>
        <w:t>). This is directly reflected in the number of pupils currently enlisted on the Free School Meals (FSM), which is currently at 49.8%, which is much higher than the national average of 16.6% and the local average of 18.3% (</w:t>
      </w:r>
      <w:r w:rsidR="005952E6">
        <w:rPr>
          <w:rFonts w:ascii="Times New Roman" w:hAnsi="Times New Roman" w:cs="Times New Roman"/>
          <w:sz w:val="24"/>
          <w:szCs w:val="24"/>
        </w:rPr>
        <w:t>WG</w:t>
      </w:r>
      <w:bookmarkStart w:id="0" w:name="_GoBack"/>
      <w:bookmarkEnd w:id="0"/>
      <w:r w:rsidRPr="00360E5A">
        <w:rPr>
          <w:rFonts w:ascii="Times New Roman" w:hAnsi="Times New Roman" w:cs="Times New Roman"/>
          <w:sz w:val="24"/>
          <w:szCs w:val="24"/>
        </w:rPr>
        <w:t xml:space="preserve">). At 63.3% the number of pupils who are recognised as Special Educational Needs (SEN) is also significantly higher than that of the </w:t>
      </w:r>
      <w:commentRangeStart w:id="1"/>
      <w:r w:rsidRPr="00360E5A">
        <w:rPr>
          <w:rFonts w:ascii="Times New Roman" w:hAnsi="Times New Roman" w:cs="Times New Roman"/>
          <w:sz w:val="24"/>
          <w:szCs w:val="24"/>
        </w:rPr>
        <w:t>local authority, 28.1%, and the national average, 2</w:t>
      </w:r>
      <w:r w:rsidR="00605C1F" w:rsidRPr="00360E5A">
        <w:rPr>
          <w:rFonts w:ascii="Times New Roman" w:hAnsi="Times New Roman" w:cs="Times New Roman"/>
          <w:sz w:val="24"/>
          <w:szCs w:val="24"/>
        </w:rPr>
        <w:t>1.</w:t>
      </w:r>
      <w:r w:rsidRPr="00360E5A">
        <w:rPr>
          <w:rFonts w:ascii="Times New Roman" w:hAnsi="Times New Roman" w:cs="Times New Roman"/>
          <w:sz w:val="24"/>
          <w:szCs w:val="24"/>
        </w:rPr>
        <w:t>5</w:t>
      </w:r>
      <w:commentRangeEnd w:id="1"/>
      <w:r w:rsidRPr="00360E5A">
        <w:rPr>
          <w:rFonts w:ascii="Times New Roman" w:hAnsi="Times New Roman" w:cs="Times New Roman"/>
          <w:sz w:val="24"/>
          <w:szCs w:val="24"/>
        </w:rPr>
        <w:commentReference w:id="1"/>
      </w:r>
      <w:r w:rsidRPr="00360E5A">
        <w:rPr>
          <w:rFonts w:ascii="Times New Roman" w:hAnsi="Times New Roman" w:cs="Times New Roman"/>
          <w:sz w:val="24"/>
          <w:szCs w:val="24"/>
        </w:rPr>
        <w:t>%. These two factors are likely to have a big impact on the school’s performance, as the pupils’ backgrounds and ability to cope will with standardised testing will affect the work they can produce. School X is well known in the area for having an excellent SEN unit located on school grounds that works very closely with the main school to integrate the SEN pupils into as many mainstream classes as possible.</w:t>
      </w:r>
    </w:p>
    <w:p w14:paraId="3CF93EAF" w14:textId="77777777" w:rsidR="00E13D6F" w:rsidRPr="00360E5A" w:rsidRDefault="00E13D6F">
      <w:pPr>
        <w:pStyle w:val="Body"/>
        <w:spacing w:line="360" w:lineRule="auto"/>
        <w:jc w:val="both"/>
        <w:rPr>
          <w:rFonts w:ascii="Times New Roman" w:hAnsi="Times New Roman" w:cs="Times New Roman"/>
          <w:sz w:val="24"/>
          <w:szCs w:val="24"/>
        </w:rPr>
      </w:pPr>
    </w:p>
    <w:p w14:paraId="40E6A1E1"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 xml:space="preserve">Strategic planning in public and non-profit sectors are “a disciplined effort to produce fundamental decisions and actions that shape and guide what an organisation is, what it does, and why it does it” (Bryson, 1988, p5). It is often seen at a management level to be “the appropriate and reasonable integration of strategic planning and implementation across an organisation” (Bryson, 2010). But it is often mistaken for implementation, which is “learning to do and learning to understand something new” (Fullan, 1992, p ???), however one cannot happen successfully without the other, as they are both orientated around action (Bryson, 2010). </w:t>
      </w:r>
    </w:p>
    <w:p w14:paraId="6ADD1A90"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3F5100BF"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 xml:space="preserve">In the context of a secondary school, effective strategic planning needs to have an understanding of what level the school is currently performing at, and where it wants to be, whilst keeping targets realistic for the timescale proposed for the achievement of the set targets, with good monitoring and continuous re-assessment of targets along the way. The timescale over which a school should be expected to set their targets has recently been expanded but this can make results less predictable. This then poses the question of how useful strategic planning can be, as it generally seen to be used for more predictable and controllable circumstances during the planning stages (Davies and Ellison, 2003). This is when implementation should be taking precedent, as it “encompasses the ongoing effort to realise in practice an organisation’s mission, goals, and strategies” (Bryson, 2010). In a school environment specifically, implementation should be core to all educators as “schools that foster a learning orientation among their staff as well as their students are more likely to bring about improvements” (Fullan, 1992, p23). However, without the explicit support of the headmaster and the senior leadership team, it is hard for any amount of strategic planning  or implementation to be successful, as found by Berman and McLaughlin in their 1977 study, which involved nearly 300 school districts, “projects having the </w:t>
      </w:r>
      <w:r w:rsidRPr="00360E5A">
        <w:rPr>
          <w:rFonts w:ascii="Times New Roman" w:hAnsi="Times New Roman" w:cs="Times New Roman"/>
          <w:i/>
          <w:iCs/>
          <w:sz w:val="24"/>
          <w:szCs w:val="24"/>
        </w:rPr>
        <w:t>active</w:t>
      </w:r>
      <w:r w:rsidRPr="00360E5A">
        <w:rPr>
          <w:rFonts w:ascii="Times New Roman" w:hAnsi="Times New Roman" w:cs="Times New Roman"/>
          <w:sz w:val="24"/>
          <w:szCs w:val="24"/>
        </w:rPr>
        <w:t xml:space="preserve"> support of the principle were most likely to fare well” (in Fullan, 1992:82). In later research Fullan also argues against this point, saying anything that is a change on a scale too large creates problems as “top-down change doesn’t work because it fails to garner ownership” (2007:11). A senior leadership team having enthusiasm does not guarantee results without the support of the teachers, as there is no singular person responsible for results, the onus is often left to the teachers to make ‘it’ happen. Without strategic planning and implementation, however, teachers would be left to try to identify and fix them on their own, where singular implementation of innovation “does not produce success on any scale” (Fullan, 2007:11). It can therefore be concluded that for lasting impact and change to be seen in schools it really must be a ‘whole school’ approach in attitude and not just in name, as supported by Fullan, “changes in beliefs and understanding are the foundation of achieving lasting reform” (2007:37).</w:t>
      </w:r>
    </w:p>
    <w:p w14:paraId="219671BC"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239604AD"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It is also integral that the leadership teams of schools, when planning where they would like to be by the end of the target achievement, should include the thoughts of the teachers, “to develop shared visions of what the school should be accomplishing for students” (Fullan, 1992:49). The success of the criteria is almost entirely reliant on the staff in the classrooms, therefore development of teaching and learning strategies need to be addressed. This means they need to be carefully considered when thinking of specific short-term strategies, and also in general terms when thinking of how teachers develop their individual strategies through their careers.</w:t>
      </w:r>
    </w:p>
    <w:p w14:paraId="4D3E3059"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65D19574"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 xml:space="preserve">Short-term implementation is often seen as innovation, and can be actioned in ways that involve no thinking or active engagement by the participants, taking away an educators autonomy in their own classroom, leaving them feeling out of control and despondent, and therefore the innovation having an overall negative or shallow effect (Fullan, 1992). In contrast, long-term development seems to garner much richer results, as teachers are in and of themselves innovators, “adding, subtracting, integrating and refining their practices and reflections” (Fullan, 1992:23). However, this can be problematic with the affects of strategic planning being less predictable over longer timescales, as previously mentioned. </w:t>
      </w:r>
    </w:p>
    <w:p w14:paraId="345F7C27"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4E2AA50E"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The effect of strategic planning in secondary schools is often seen in the success of the pupils’ external examination results, as the pupils’ learning is often intrinsically linked to the targets set, such as GCSE or A-Levels. As these are not released until August each year, it can be hard for a school to know whether their implementation of strategies has been successful, and which ones will then need to be reconsidered and revised for the next academic year. As a result of this many schools run their plans according to the calendar year rather than the academic year, giving themselves time to reflect on examination results.</w:t>
      </w:r>
    </w:p>
    <w:p w14:paraId="550AEF77"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1F9178DB"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The School Improvement Plan (SIP) is a document used to clearly outline the areas in which a school needs to improve their performance. It should come with a clear set of deadlines, targets, success criteria and which key personnel are responsible for the achievement set targets. On the cover page of School X’s SIP for academic year starting 2018, there is a brief outline five dates that run from the end of academic year 2017/18 to June 2019. This starts by setting a deadline by which they need to identify which priorities they need to take from July 2018 into the new academic year. There are 5 key areas the School X has chosen, and they have put them in order of priority, as shown in Appendix A. The top priority is ‘standards’, which is to say the school wants to “improve standards at the end of KS4 for all pupils”, (Appendix A, p2). This is then divided into 5 sub-categories, number four being “improve Literacy and Numeracy skills, so that all pupils achieve at least a functioning level of literacy/numeracy by the end of KS3 and all pupils achieve recognised external qualifications by the end of Key Stage 4”, (Appendix A, p2). This is a very vague and broad statement that is investigated further later in the document, but this too does not include any numeracy specific targets for the use of numeracy specific tasks that could be used in a cross-curricular way. Instead the focus is on a “withdrawal programme for pupils identified as requiring support”, which comes with its own problems, as students who are chosen for this are then having to catch up on the lessons they are being withdrawn from. In professional conversation with colleagues they have expressed worries that those students being removed are, more often than not, removed during expressive arts subjects, and that often these are classes the students excel in, so to remove them from that can be detrimental to their well-being and overall performance.</w:t>
      </w:r>
    </w:p>
    <w:p w14:paraId="2AD62E1F"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75B41674" w14:textId="1892AA34"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 xml:space="preserve">There are two other strategies being used to tackle numeracy, but neither of them seem to be concerned with implementing numeracy across all areas of learning experiences (AOLE).  These are </w:t>
      </w:r>
      <w:r w:rsidR="00817E27">
        <w:rPr>
          <w:rFonts w:ascii="Times New Roman" w:hAnsi="Times New Roman" w:cs="Times New Roman"/>
          <w:sz w:val="24"/>
          <w:szCs w:val="24"/>
        </w:rPr>
        <w:t>stated in the SIP as “</w:t>
      </w:r>
      <w:r w:rsidRPr="00360E5A">
        <w:rPr>
          <w:rFonts w:ascii="Times New Roman" w:hAnsi="Times New Roman" w:cs="Times New Roman"/>
          <w:sz w:val="24"/>
          <w:szCs w:val="24"/>
        </w:rPr>
        <w:t xml:space="preserve">weekly timetabled Numeracy tasks for Year 7 and 8 pupils” and “dedicated Maths and Numeracy support in form time”. All three strategies have been assigned to two key personnel, with a start date of September 2018, however there is no end date given, no clear indication of what success would look like, monitoring and resource implications have also been left blank, which could be crucial to the success of an development plan, as the perceptions of deadlines can have a negative affect on the success of a plan in any organisation (Waller et al, 2001). This suggests that although the issue of poor numeracy skills has been identified, and they have some schemes in place for the improvement of it across the school, that they have not properly considered how to test that these schemes are working and that targets are being met without relying on external examinations. To have no end point for the timescale gives no tangible deadline for when the standards must be improved by, it could be any time between the next set of external exams or over the next five years. </w:t>
      </w:r>
    </w:p>
    <w:p w14:paraId="18CE4D04"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3D6D4315"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Literacy and Numeracy improvements are also covered in the third Priority of the SIP, ‘Teaching and Learning Experiences’. This is covered with more detail, with the targets being to use the data produced by the National Test to identify areas of weakness in Numeracy across the student body. The key personnel will also be attempting to train peer mentors who will develop their Literacy and Numeracy skills, and those they are paired with, by mentoring those that are less able. Again a start date is given but no end date, as the rest of the categories for success and monitoring are as vague or empty as with the previous priority discussed. Ensuring that Literacy and Numeracy targets are being achieved by all subjects in mentioned briefly, but there is no obvious infrastructure in place to implement this, and no real consideration for how this will be addressed or monitored. For this to be effective a deeper investigation is needed into the use and quality of numeracy tasks in all lessons.</w:t>
      </w:r>
    </w:p>
    <w:p w14:paraId="23B3520D"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315F72E6" w14:textId="660BA3E2"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 xml:space="preserve">The departmental improvement plan (DIP) concerns the expressive arts and vocational studies department, which includes Art, Performing Arts, Work Skills and Health and Social Care. There is no mention of Literacy and Numeracy in the ‘whole faculty’ portion of the DIP, although the skills in the Literacy and Numeracy Framework (LNF) would only ever enhance a </w:t>
      </w:r>
      <w:r w:rsidR="00817E27" w:rsidRPr="00360E5A">
        <w:rPr>
          <w:rFonts w:ascii="Times New Roman" w:hAnsi="Times New Roman" w:cs="Times New Roman"/>
          <w:sz w:val="24"/>
          <w:szCs w:val="24"/>
        </w:rPr>
        <w:t>pupil’s</w:t>
      </w:r>
      <w:r w:rsidRPr="00360E5A">
        <w:rPr>
          <w:rFonts w:ascii="Times New Roman" w:hAnsi="Times New Roman" w:cs="Times New Roman"/>
          <w:sz w:val="24"/>
          <w:szCs w:val="24"/>
        </w:rPr>
        <w:t xml:space="preserve"> ability to achieve a fuller understanding of a subject. Within the Art targets Numeracy has been identified in vague terms once again, “add more group work, Numeracy and multiculturalism to scheme of work for Years 7 and 8” (Appendix B, p1). Simply adding more numeracy tasks does not differentiate between what is a ‘good’ task that ensures and furthers a pupil’s understanding, and what is a ‘bad’ task that is simply there for the sake of box ticking, this could mean that the teacher is not ensuring that they are achieving the highest possible level of learning for their classes. Numeracy is not mentioned at all in the other subjects of this particular DIP, and as the SIP states that all subjects should be looking at raising the Literacy and Numeracy standards for all students, it can only be assumed that this is due to one of two reasons. The first is that the other subjects in the department are all achieving the required numeracy standards, and that it is only Art that has been singled out as lacking in this area. The second is that Art is the only subject taking the poor literacy and numeracy skills of the students seriously, and that the other subjects in this particular AOLE either do not know how to incorporate numeracy into their lessons or do not deem numeracy tasks appropriate or valuable to their subject, despite it being a statutory requirement (WG, 2013).</w:t>
      </w:r>
    </w:p>
    <w:p w14:paraId="35C7A18B"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468D2FFB"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Wales’ performance in the 2009 PISA testing, where Wales underperformed compared to that of the other UK countries, reflecting similar results from the ‘</w:t>
      </w:r>
      <w:r w:rsidRPr="00360E5A">
        <w:rPr>
          <w:rFonts w:ascii="Times New Roman" w:hAnsi="Times New Roman" w:cs="Times New Roman"/>
          <w:sz w:val="24"/>
          <w:szCs w:val="24"/>
          <w:lang w:val="de-DE"/>
        </w:rPr>
        <w:t>Millennium Cohort Study</w:t>
      </w:r>
      <w:r w:rsidRPr="00360E5A">
        <w:rPr>
          <w:rFonts w:ascii="Times New Roman" w:hAnsi="Times New Roman" w:cs="Times New Roman"/>
          <w:sz w:val="24"/>
          <w:szCs w:val="24"/>
        </w:rPr>
        <w:t>’, (Dauncey, 2013), and students in Wales were getting lower GCSE results in Mathematics and English Language. As a direct result of this the Welsh Government began the implementation of the Literacy and Numeracy Framework (LNF), after its initial announcement by the Minister for Education and Skills in 2011 (WG, 2013). In the documentation for the LNF the Welsh Government recognised that “literacy and numeracy skills are absolutely essential in order for young people to reach their potential” (WG, 2013), no matter what their future held. Although there was previously the non-statutory ‘Skills Framework for 3 to 19-year-olds in Wales’, introduced in 2008, and Estyn report into its performance found that it was ineffective in its purpose of developing pupils’ skills in thinking, communication, ICT &amp; number (WG 20???). Therefore the LNF was devised to replace it in September 2013, and became a statutory curriculum requirement, with assessment against it also becoming a statutory requirement as of September 2014.</w:t>
      </w:r>
    </w:p>
    <w:p w14:paraId="31768BE6"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2BE1B69F"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The purpose of the LNF is first and foremost a planning tool for the curriculum, but it also produces data that schools are expected to use as part of their strategic planning and targets (WG, 2013). It is broken down into key features, with literacy dominating most of it and numeracy being reduced to “developing numerical reasoning, using number skills, using measuring skills and using data skills” (WG, 2013). In these broad strokes it could be argued that these strands of numeracy are being used informally in most lessons, the challenge most non-mathematical teachers would face would be figuring out how to formally assess them.</w:t>
      </w:r>
    </w:p>
    <w:p w14:paraId="0D27B0DB"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46B872C9" w14:textId="26B7BE44"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In 2013 a Numeracy coordinator would have been appointed at each school, usually a role given to an existing maths teacher, and often their biggest issue was to convince teachers from non-mathematical Areas of Learning Experience (AOLE) the numeracy was key to the pupils’ learning and that it was the responsibility of all teachers (Gough, 2007). Using the LNF they will have compiled a numeracy policy in much the same style as the literacy coordinator, typically that would start with a definition of numeracy that would be broad enough to ensure all teachers across all AOLEs could easily see how numeracy could be applied to their specialist subject. It would also include a timetable for how often teachers could meet with the numeracy coordinator to discuss issues and the needs of particular students. This would help encourage the creativity that all teaching requires (Wells, 20???), tackle the problem of “a lack of coordinated cross-curricular approaches to numeracy” (Carter, Klenowski and Chalmers, 2015), and provide an opportunity for “mathem</w:t>
      </w:r>
      <w:r w:rsidR="007A3975">
        <w:rPr>
          <w:rFonts w:ascii="Times New Roman" w:hAnsi="Times New Roman" w:cs="Times New Roman"/>
          <w:sz w:val="24"/>
          <w:szCs w:val="24"/>
        </w:rPr>
        <w:t>atics specialist teachers...</w:t>
      </w:r>
      <w:r w:rsidRPr="00360E5A">
        <w:rPr>
          <w:rFonts w:ascii="Times New Roman" w:hAnsi="Times New Roman" w:cs="Times New Roman"/>
          <w:sz w:val="24"/>
          <w:szCs w:val="24"/>
        </w:rPr>
        <w:t xml:space="preserve"> attempt to show the potential and sometimes necessary applicability of the mathematics they are teaching to non-mathematics contexts” (Gough, 2007).</w:t>
      </w:r>
    </w:p>
    <w:p w14:paraId="2D186FD3"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1D86AD39"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 xml:space="preserve">So far the success of the LNF ca be assessed a number of ways, which the Welsh Government attempted to do in September 2017, in the ‘Evaluation of the National Literacy and Numeracy Programmes Final Report’ (2017). The main three objectives of the report was to measure whether the LNF was having a positive or negative impact on: the quality of teaching; supporting learning with the use of assessment data; and the collaboration quality and frequency between practitioners. Overall it claimed to have performed well against all three objectives, having a positive impact on all, and that the learning outcomes of pupils, from Key Stage 2 through to Key Stage 4, in 2015 showed “notable increases in the performance in English, Welsh and Maths” (WG, 2017), compared to outcomes in 2011, however the same report did acknowledge that four years is too short a timescale to truly assess the impact of the LNF. The quality of teaching was considered to have had an improvement, although that had slower progress in secondary schools than primary schools, where teachers are used to teaching their specialist subjects and “are less familiar with teaching literacy and numeracy across the curriculum” (WG 2017). This is where maths teachers should be showing the way, by supporting their colleagues and providing exemplars of how numeracy can be used in their subject areas (Gough 2017). </w:t>
      </w:r>
    </w:p>
    <w:p w14:paraId="52B026B1"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4AC93CFA"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Schools using assessment data to support pupils’ learning was found to be difficult to judge, as they were left to their own devices as to how to use the data, some used it for strategic planning the school development, whilst others used it to target the needs of specific pupils (WG, 2017). There could be an argument that this data should be used as part of the national testing data that is used to build the national school league tables, however this is always met with the argument that league tables for schools should be abolished altogether and that we should be moving to “a system of minimum standards for all schools to meet” (Wells, 2011). This would also mean re-fashioning targets to fit the minimum standards, not relying on simplistic standards, and for bottom-up development of targets, “after all teachers have used targets with individual children and groups of children for many years” ( Wells, 2011). The final area of assessment that the report considered was the quality and frequency of collaborative activity between schools and teachers. It found that although there had been a positive impact and improvement in this area, most of that could be attributed to Consortia, who facilitated most of the activity (WG, 2017). This is something that will have to be improved upon further come the implementation in 2022 of Donaldson’s ‘Successful Futures’ Curriculum, which sees subjects within AOLEs collaborating to produce a greater theme of work, and also has pioneer schools teaching joining schools how to implement the new curriculum and how to therefore achieve the targets set (Donaldson, 2015). This will involve a change in pedagogy for many teachers, encouraging creative teaching and therefore creative numeracy tasks, which Smith says is the key to Wales growing socially and economically in the new creative-led economy that Wales finds itself in, “ground a quality education in both creativity and practice” (2013:p3).</w:t>
      </w:r>
    </w:p>
    <w:p w14:paraId="25351325"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002C417F" w14:textId="6C09F362"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The Warnock Committee found when they reported on ‘Special Educational Needs’ in 1978 that around 20% of children will need access to teaching and learning experiences that accommodate for special educational needs (SEN) at some point during their education, and that segregating those pupils did not have any real benefits, that they should be integrated into the mainstream schooling experience of their peer, “on a functional, social or locational basis” (Chitty, 2014:PAGE) Although this is a tremendous task for some pupils, School X does this to great effect, with the most recent Estyn inspection report recognising the pupils ability to progress very well abasing their personalised targets (Estyn, 2016). When considering the number of SEN pupils at School X compared to that of other schools in the local authority and the national average, previously discussed in this report, this is a significant response. Especially when also considering the school’s banding in the relatively new ‘National School Categorisation System’ is built. It was introduced in September 2014 after the report, ‘The Future Delivery of Education Services in Wales’ found that “regional consortia should ac</w:t>
      </w:r>
      <w:r w:rsidR="007A3975">
        <w:rPr>
          <w:rFonts w:ascii="Times New Roman" w:hAnsi="Times New Roman" w:cs="Times New Roman"/>
          <w:sz w:val="24"/>
          <w:szCs w:val="24"/>
        </w:rPr>
        <w:t>hieve a common understanding of</w:t>
      </w:r>
      <w:r w:rsidRPr="00360E5A">
        <w:rPr>
          <w:rFonts w:ascii="Times New Roman" w:hAnsi="Times New Roman" w:cs="Times New Roman"/>
          <w:sz w:val="24"/>
          <w:szCs w:val="24"/>
        </w:rPr>
        <w:t xml:space="preserve"> how to apply a four-level categorisation to measure school’s performance” (Hill, 2015:PAGE). This meant that the standards groups that schools were previously placed in have been abolished and they are now evaluated against a much broader set of data that, considered alongside local context, is then used to be placed in a support band. The support bands are divided into four categories, as had been advised, red, amber, yellow and green. The banding a school is placed in will then dictate the maximum amount of support a school will receive from its challenge advisor, with green requiring the least amount of support and red getting intensive support. The challenge advisor will then “determine the nature of the support package to be provided to each school according to need” (WG, 2018:PAGE). Since the implementation of this system School X’s categorisation has improved from amber in 2014 after initial assessment, to yellow in 2015 where it has stayed in every year following. Showing this kind of improvement shows that strategic planning and implementation can have significant impact, however it does question whether the system’s grading process is too slim. There are provisions made for the pupils who receive FSM, another group of pupils whose numbers at School X far outweigh the numbers of any other school in the local authority and the national average,  however there is no mention of SEN pupils.</w:t>
      </w:r>
    </w:p>
    <w:p w14:paraId="3CD94A74"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770A0926"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Wells argues that most ways of categorisation, in both Wales and England, are too binary, looking too much at the reading or numeracy age of a pupil compared to their actual age and not considering the progress that the pupil has made,</w:t>
      </w:r>
    </w:p>
    <w:p w14:paraId="570DEA31"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4BDE4F83" w14:textId="77777777" w:rsidR="00E13D6F" w:rsidRPr="00360E5A" w:rsidRDefault="0020437B">
      <w:pPr>
        <w:pStyle w:val="Body"/>
        <w:spacing w:line="360" w:lineRule="auto"/>
        <w:jc w:val="both"/>
        <w:rPr>
          <w:rFonts w:ascii="Times New Roman" w:eastAsia="Helvetica Neue" w:hAnsi="Times New Roman" w:cs="Times New Roman"/>
          <w:i/>
          <w:iCs/>
          <w:sz w:val="24"/>
          <w:szCs w:val="24"/>
        </w:rPr>
      </w:pPr>
      <w:r w:rsidRPr="00360E5A">
        <w:rPr>
          <w:rFonts w:ascii="Times New Roman" w:eastAsia="Helvetica Neue" w:hAnsi="Times New Roman" w:cs="Times New Roman"/>
          <w:sz w:val="24"/>
          <w:szCs w:val="24"/>
        </w:rPr>
        <w:tab/>
      </w:r>
      <w:r w:rsidRPr="00360E5A">
        <w:rPr>
          <w:rFonts w:ascii="Times New Roman" w:hAnsi="Times New Roman" w:cs="Times New Roman"/>
          <w:i/>
          <w:iCs/>
          <w:sz w:val="24"/>
          <w:szCs w:val="24"/>
        </w:rPr>
        <w:t>“at present if a child works really hard, is taught exceptionally well and progresses from Level 2 to Level 3 at Key Stage 2, they don’t count. This can’t be right. ‘Profile’ or ‘points score’ targets would be far better and would make it clear that all children count not just those that get to the magical Level 4”</w:t>
      </w:r>
      <w:r w:rsidRPr="00360E5A">
        <w:rPr>
          <w:rFonts w:ascii="Times New Roman" w:hAnsi="Times New Roman" w:cs="Times New Roman"/>
          <w:i/>
          <w:iCs/>
          <w:sz w:val="24"/>
          <w:szCs w:val="24"/>
        </w:rPr>
        <w:tab/>
        <w:t>(Wells, 2003:11)</w:t>
      </w:r>
    </w:p>
    <w:p w14:paraId="2A9D3C24" w14:textId="77777777" w:rsidR="00E13D6F" w:rsidRPr="00360E5A" w:rsidRDefault="00E13D6F">
      <w:pPr>
        <w:pStyle w:val="Body"/>
        <w:spacing w:line="360" w:lineRule="auto"/>
        <w:jc w:val="both"/>
        <w:rPr>
          <w:rFonts w:ascii="Times New Roman" w:eastAsia="Helvetica Neue" w:hAnsi="Times New Roman" w:cs="Times New Roman"/>
          <w:i/>
          <w:iCs/>
          <w:sz w:val="24"/>
          <w:szCs w:val="24"/>
        </w:rPr>
      </w:pPr>
    </w:p>
    <w:p w14:paraId="6D190BF7"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Therefore it would seem that there needs to be a larger reform in successful outcome indicators or assessment. Harlen states that the past twenty years of assessment has made it clear that the relationship between assessment and curriculum is far more complex than one leading while the other follows, and that the idea that a teachers assessment is unreliable needs to be reassessed itself (2011). This could certainly work well for a number of pupils but especially those identified as SEN, as the setting of formal and controlled, often paper-based, examinations can be a cause of anxiety and often the pupil is then unable to properly communicate themselves (Harlen, 2011). A teacher’s formative assessment is already assumed to be a reliable source for schools and parents to refer to for a pupil’s performance. There is no reason why this could not be extended to being used as a summative assessment, if given the appropriate guidelines and moderation, as in already in existence on Art and Design GCSE and A Level coursework and examination assessment, where a “the reliability of a teachers judgements is comparable to that of tests” (Harlen, 2004:PAGE).</w:t>
      </w:r>
    </w:p>
    <w:p w14:paraId="74ECE93B"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3FBC68DB"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In 1986 Fuchs and Fuchs researched the performance of children with mild handicaps, and found that “quantitative evidence of learning gains was obtained... through formative assessment to show that innovations that include strengthening the practice of formative assessment produce significant... learning gains” (Black and William, 1998:3). It could therefore be argued that if instruction and formative assessment have such strong correlation, there is no reason for summative assessment to be the only form of assessment that is regularly used in external examinations and when thinking of school categorisation.</w:t>
      </w:r>
    </w:p>
    <w:p w14:paraId="3A0F6D1B"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7CD96C96"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The Art Department team of School X has especially noticed the high success rates of SEN pupils when completing numeracy tasks in Art lessons. Although no formal research has been done to formally measure this particular success, in professional dialogue with the Maths Department it was found that some of these particular pupils routinely struggled with tasks of the same caliber and using the same processes presented differently, during Maths lessons but completed with relative ease in Art lessons, and often with the teacher acting only as facilitator. This could be due to a number of factors which could include, but not be limited to, the following: the different presentation of the same information; the inherently different atmosphere of an Art classroom to that of Maths; and a pupil’s existing confidence in a ‘creative’ AOLE compared to their confidence in a ‘scientific’ one.</w:t>
      </w:r>
    </w:p>
    <w:p w14:paraId="3C27B725"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5AA9DBA2"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 xml:space="preserve">School X employs the use of learning walks, both formal and informal, with relative frequency and as part of their strategic planning (SIP, Appendix A). Learning walks have in recent years been adopted by many as a key strategy for performance management. Page describes them as when members of the senior management team visit the classrooms of their school, during the school day for a short period of time, to observe the teaching and learning taking place (2014). This can be part of a general standards check up or sometimes when looking for the adherence to specific frameworks or certain strategies. They are often fixed, for example to a weekly rota, but senior leaders are making more use of them being unscheduled, with one headteacher in a recent study saying that he says to his colleagues, “you realise [every time] I come in your room I’m looking... but that’s not performance management so much that’s more standards” (Page, 2014:172). A recent learning walk at School X had a focus on numeracy tasks, and was actioned by the numeracy coordinator, found the Art Department to be excelling in the quality and delivery of the numeracy tasks being used for every lesson. </w:t>
      </w:r>
    </w:p>
    <w:p w14:paraId="415BC3D9"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7875282E"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To this end the first recommendation of this paper would be to make time for the sharing of numeracy tasks and ideas between subjects and AOLEs, building on the teaching staff’s confidence in numeracy and how it can be applied to their subjects. This would, in turn, help the school prepare for the execution of the new curriculum in 2022 that expects AOLEs to have a much more collaborative approach to teaching than previous curriculums (Donaldson, 2015).</w:t>
      </w:r>
    </w:p>
    <w:p w14:paraId="4193706F" w14:textId="77777777" w:rsidR="00E13D6F" w:rsidRPr="00360E5A" w:rsidRDefault="00E13D6F">
      <w:pPr>
        <w:pStyle w:val="Body"/>
        <w:spacing w:line="360" w:lineRule="auto"/>
        <w:jc w:val="both"/>
        <w:rPr>
          <w:rFonts w:ascii="Times New Roman" w:eastAsia="Helvetica Neue" w:hAnsi="Times New Roman" w:cs="Times New Roman"/>
          <w:color w:val="6DC037"/>
          <w:sz w:val="24"/>
          <w:szCs w:val="24"/>
        </w:rPr>
      </w:pPr>
    </w:p>
    <w:p w14:paraId="504D38C0"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color w:val="6DC037"/>
          <w:sz w:val="24"/>
          <w:szCs w:val="24"/>
        </w:rPr>
        <w:t>The second advisory measure would be to have a much more defined and structured SIP and DIP in terms of timescales and success criteria</w:t>
      </w:r>
      <w:r w:rsidRPr="00360E5A">
        <w:rPr>
          <w:rFonts w:ascii="Times New Roman" w:hAnsi="Times New Roman" w:cs="Times New Roman"/>
          <w:sz w:val="24"/>
          <w:szCs w:val="24"/>
        </w:rPr>
        <w:t xml:space="preserve">. </w:t>
      </w:r>
    </w:p>
    <w:p w14:paraId="3D870334"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7F92B97A" w14:textId="77777777" w:rsidR="00E13D6F" w:rsidRPr="00360E5A" w:rsidRDefault="0020437B">
      <w:pPr>
        <w:pStyle w:val="Body"/>
        <w:spacing w:line="360" w:lineRule="auto"/>
        <w:jc w:val="both"/>
        <w:rPr>
          <w:rFonts w:ascii="Times New Roman" w:eastAsia="Helvetica Neue" w:hAnsi="Times New Roman" w:cs="Times New Roman"/>
          <w:sz w:val="24"/>
          <w:szCs w:val="24"/>
        </w:rPr>
      </w:pPr>
      <w:r w:rsidRPr="00360E5A">
        <w:rPr>
          <w:rFonts w:ascii="Times New Roman" w:hAnsi="Times New Roman" w:cs="Times New Roman"/>
          <w:sz w:val="24"/>
          <w:szCs w:val="24"/>
        </w:rPr>
        <w:t>When looking at the so-called ‘bigger picture’, this study would recommend a review in the assessment and success outcomes of pupil achievement, with particular focus on SEN pupils. Considering progress and performance over a longer timescale than the time it takes to complete a written examination in numeracy has the potential to give more qualitative analysis of a school’s ability to give the pupils the transferable numeracy skills they need to move beyond their schooling careers.</w:t>
      </w:r>
    </w:p>
    <w:p w14:paraId="3AE28A7C" w14:textId="77777777" w:rsidR="00E13D6F" w:rsidRPr="00360E5A" w:rsidRDefault="00E13D6F">
      <w:pPr>
        <w:pStyle w:val="Body"/>
        <w:spacing w:line="360" w:lineRule="auto"/>
        <w:jc w:val="both"/>
        <w:rPr>
          <w:rFonts w:ascii="Times New Roman" w:eastAsia="Helvetica Neue" w:hAnsi="Times New Roman" w:cs="Times New Roman"/>
          <w:sz w:val="24"/>
          <w:szCs w:val="24"/>
        </w:rPr>
      </w:pPr>
    </w:p>
    <w:p w14:paraId="65A30145" w14:textId="77777777" w:rsidR="00817E27" w:rsidRDefault="0020437B">
      <w:pPr>
        <w:pStyle w:val="Body"/>
        <w:spacing w:line="360" w:lineRule="auto"/>
        <w:jc w:val="both"/>
        <w:rPr>
          <w:rFonts w:ascii="Times New Roman" w:hAnsi="Times New Roman" w:cs="Times New Roman"/>
          <w:sz w:val="24"/>
          <w:szCs w:val="24"/>
        </w:rPr>
      </w:pPr>
      <w:r w:rsidRPr="00360E5A">
        <w:rPr>
          <w:rFonts w:ascii="Times New Roman" w:hAnsi="Times New Roman" w:cs="Times New Roman"/>
          <w:sz w:val="24"/>
          <w:szCs w:val="24"/>
        </w:rPr>
        <w:t>Having studied School X’s DIP and SIP and their links to current government policies, relevant literature and research, comparing it to what I have experienced there professionally, it would seem that although they have correctly identified an area of weakness that will require considerable strategic planning and implementation of innovations, the school is not using strategic planning to it’s full potential to reach the targets set. A good start has been made in developing the numeracy skills of pupils, evidenced in the improved examination results, however more structure in the deadlines of milestones and more detailed planning could yield even better results. As discussed, investment in more learning walks and the creation of a platform where teachers can share their teaching techniques</w:t>
      </w:r>
      <w:r w:rsidR="00817E27">
        <w:rPr>
          <w:rFonts w:ascii="Times New Roman" w:hAnsi="Times New Roman" w:cs="Times New Roman"/>
          <w:sz w:val="24"/>
          <w:szCs w:val="24"/>
        </w:rPr>
        <w:t xml:space="preserve"> should be strongly considered.</w:t>
      </w:r>
    </w:p>
    <w:p w14:paraId="4B7CC086" w14:textId="77777777" w:rsidR="00817E27" w:rsidRDefault="00817E27">
      <w:pPr>
        <w:rPr>
          <w:color w:val="000000"/>
          <w:lang w:eastAsia="en-GB"/>
        </w:rPr>
      </w:pPr>
      <w:r>
        <w:br w:type="page"/>
      </w:r>
    </w:p>
    <w:p w14:paraId="12E4982C" w14:textId="6851EF84" w:rsidR="00E13D6F" w:rsidRPr="00360E5A" w:rsidRDefault="0020437B" w:rsidP="00A712FB">
      <w:pPr>
        <w:pStyle w:val="Body"/>
        <w:spacing w:line="360" w:lineRule="auto"/>
        <w:rPr>
          <w:rFonts w:ascii="Times New Roman" w:eastAsia="Helvetica Neue" w:hAnsi="Times New Roman" w:cs="Times New Roman"/>
          <w:b/>
          <w:bCs/>
          <w:sz w:val="24"/>
          <w:szCs w:val="24"/>
        </w:rPr>
      </w:pPr>
      <w:r w:rsidRPr="00360E5A">
        <w:rPr>
          <w:rFonts w:ascii="Times New Roman" w:hAnsi="Times New Roman" w:cs="Times New Roman"/>
          <w:b/>
          <w:bCs/>
          <w:sz w:val="24"/>
          <w:szCs w:val="24"/>
        </w:rPr>
        <w:t>Reference List</w:t>
      </w:r>
    </w:p>
    <w:p w14:paraId="7CA5AE83" w14:textId="40B5D554" w:rsidR="00032E68" w:rsidRPr="000E040D" w:rsidRDefault="00032E68" w:rsidP="00A712FB">
      <w:pPr>
        <w:pStyle w:val="Body"/>
        <w:spacing w:line="360" w:lineRule="auto"/>
        <w:rPr>
          <w:rFonts w:ascii="Times New Roman" w:hAnsi="Times New Roman" w:cs="Times New Roman"/>
          <w:color w:val="auto"/>
          <w:sz w:val="24"/>
          <w:szCs w:val="24"/>
        </w:rPr>
      </w:pPr>
    </w:p>
    <w:p w14:paraId="1AC5DFF8" w14:textId="69414705" w:rsidR="00032E68" w:rsidRPr="004B0617" w:rsidRDefault="008F1F06" w:rsidP="00A712FB">
      <w:pPr>
        <w:pStyle w:val="Body"/>
        <w:spacing w:line="360" w:lineRule="auto"/>
        <w:rPr>
          <w:rFonts w:ascii="Times New Roman" w:hAnsi="Times New Roman" w:cs="Times New Roman"/>
          <w:color w:val="auto"/>
          <w:sz w:val="24"/>
          <w:szCs w:val="24"/>
        </w:rPr>
      </w:pPr>
      <w:r w:rsidRPr="004B0617">
        <w:rPr>
          <w:rFonts w:ascii="Times New Roman" w:hAnsi="Times New Roman" w:cs="Times New Roman"/>
          <w:color w:val="auto"/>
          <w:sz w:val="24"/>
          <w:szCs w:val="24"/>
        </w:rPr>
        <w:t>British Educational Research Association [BERA] (2018). Ethical Guidelines for Educational Research (Fourth Edition). London: BERA.</w:t>
      </w:r>
    </w:p>
    <w:p w14:paraId="28A6BC12" w14:textId="6ADE2AE4" w:rsidR="00032E68" w:rsidRPr="004B0617" w:rsidRDefault="00032E68" w:rsidP="00A712FB">
      <w:pPr>
        <w:pStyle w:val="Body"/>
        <w:spacing w:line="360" w:lineRule="auto"/>
        <w:rPr>
          <w:rFonts w:ascii="Times New Roman" w:hAnsi="Times New Roman" w:cs="Times New Roman"/>
          <w:color w:val="auto"/>
          <w:sz w:val="24"/>
          <w:szCs w:val="24"/>
        </w:rPr>
      </w:pPr>
    </w:p>
    <w:p w14:paraId="448BB6E5" w14:textId="6E2FB56D" w:rsidR="00870635" w:rsidRPr="00AA4EF1" w:rsidRDefault="00F06414" w:rsidP="00A712FB">
      <w:pPr>
        <w:pStyle w:val="Body"/>
        <w:spacing w:line="360" w:lineRule="auto"/>
        <w:rPr>
          <w:rFonts w:ascii="Times New Roman" w:hAnsi="Times New Roman" w:cs="Times New Roman"/>
          <w:color w:val="auto"/>
          <w:sz w:val="24"/>
          <w:szCs w:val="24"/>
        </w:rPr>
      </w:pPr>
      <w:r w:rsidRPr="00AA4EF1">
        <w:rPr>
          <w:rFonts w:ascii="Times New Roman" w:hAnsi="Times New Roman" w:cs="Times New Roman"/>
          <w:color w:val="auto"/>
          <w:sz w:val="24"/>
          <w:szCs w:val="24"/>
          <w:shd w:val="clear" w:color="auto" w:fill="FFFFFF"/>
        </w:rPr>
        <w:t>Black, P. &amp;</w:t>
      </w:r>
      <w:r w:rsidR="00870635" w:rsidRPr="00AA4EF1">
        <w:rPr>
          <w:rFonts w:ascii="Times New Roman" w:hAnsi="Times New Roman" w:cs="Times New Roman"/>
          <w:color w:val="auto"/>
          <w:sz w:val="24"/>
          <w:szCs w:val="24"/>
          <w:shd w:val="clear" w:color="auto" w:fill="FFFFFF"/>
        </w:rPr>
        <w:t xml:space="preserve"> Wi</w:t>
      </w:r>
      <w:r w:rsidR="00AA4EF1" w:rsidRPr="00AA4EF1">
        <w:rPr>
          <w:rFonts w:ascii="Times New Roman" w:hAnsi="Times New Roman" w:cs="Times New Roman"/>
          <w:color w:val="auto"/>
          <w:sz w:val="24"/>
          <w:szCs w:val="24"/>
          <w:shd w:val="clear" w:color="auto" w:fill="FFFFFF"/>
        </w:rPr>
        <w:t>l</w:t>
      </w:r>
      <w:r w:rsidR="00870635" w:rsidRPr="00AA4EF1">
        <w:rPr>
          <w:rFonts w:ascii="Times New Roman" w:hAnsi="Times New Roman" w:cs="Times New Roman"/>
          <w:color w:val="auto"/>
          <w:sz w:val="24"/>
          <w:szCs w:val="24"/>
          <w:shd w:val="clear" w:color="auto" w:fill="FFFFFF"/>
        </w:rPr>
        <w:t xml:space="preserve">liam, D. </w:t>
      </w:r>
      <w:r w:rsidRPr="00AA4EF1">
        <w:rPr>
          <w:rFonts w:ascii="Times New Roman" w:hAnsi="Times New Roman" w:cs="Times New Roman"/>
          <w:color w:val="auto"/>
          <w:sz w:val="24"/>
          <w:szCs w:val="24"/>
          <w:shd w:val="clear" w:color="auto" w:fill="FFFFFF"/>
        </w:rPr>
        <w:t>(1998)</w:t>
      </w:r>
      <w:r w:rsidR="00870635" w:rsidRPr="00AA4EF1">
        <w:rPr>
          <w:rFonts w:ascii="Times New Roman" w:hAnsi="Times New Roman" w:cs="Times New Roman"/>
          <w:color w:val="auto"/>
          <w:sz w:val="24"/>
          <w:szCs w:val="24"/>
          <w:shd w:val="clear" w:color="auto" w:fill="FFFFFF"/>
        </w:rPr>
        <w:t xml:space="preserve">. </w:t>
      </w:r>
      <w:r w:rsidR="00870635" w:rsidRPr="00AA4EF1">
        <w:rPr>
          <w:rFonts w:ascii="Times New Roman" w:hAnsi="Times New Roman" w:cs="Times New Roman"/>
          <w:iCs/>
          <w:color w:val="auto"/>
          <w:sz w:val="24"/>
          <w:szCs w:val="24"/>
          <w:shd w:val="clear" w:color="auto" w:fill="FFFFFF"/>
        </w:rPr>
        <w:t>Inside the black box : raising standards through classroom assessment</w:t>
      </w:r>
      <w:r w:rsidRPr="00AA4EF1">
        <w:rPr>
          <w:rFonts w:ascii="Times New Roman" w:hAnsi="Times New Roman" w:cs="Times New Roman"/>
          <w:color w:val="auto"/>
          <w:sz w:val="24"/>
          <w:szCs w:val="24"/>
          <w:shd w:val="clear" w:color="auto" w:fill="FFFFFF"/>
        </w:rPr>
        <w:t>. London: King’s College London.</w:t>
      </w:r>
    </w:p>
    <w:p w14:paraId="1B6E82A8" w14:textId="77777777" w:rsidR="00F06414" w:rsidRPr="00AA4EF1" w:rsidRDefault="00F06414" w:rsidP="00A712FB">
      <w:pPr>
        <w:pStyle w:val="Body"/>
        <w:spacing w:line="360" w:lineRule="auto"/>
        <w:rPr>
          <w:rFonts w:ascii="Times New Roman" w:hAnsi="Times New Roman" w:cs="Times New Roman"/>
          <w:color w:val="auto"/>
          <w:sz w:val="24"/>
          <w:szCs w:val="24"/>
        </w:rPr>
      </w:pPr>
    </w:p>
    <w:p w14:paraId="10E3E6B1" w14:textId="162592D8" w:rsidR="00360E5A" w:rsidRPr="00AA4EF1" w:rsidRDefault="00AA4EF1" w:rsidP="00A712FB">
      <w:pPr>
        <w:pStyle w:val="Body"/>
        <w:spacing w:line="360" w:lineRule="auto"/>
        <w:rPr>
          <w:rFonts w:ascii="Times New Roman" w:hAnsi="Times New Roman" w:cs="Times New Roman"/>
          <w:color w:val="auto"/>
          <w:sz w:val="24"/>
          <w:szCs w:val="24"/>
        </w:rPr>
      </w:pPr>
      <w:r w:rsidRPr="00AA4EF1">
        <w:rPr>
          <w:rFonts w:ascii="Times New Roman" w:hAnsi="Times New Roman" w:cs="Times New Roman"/>
          <w:color w:val="auto"/>
          <w:sz w:val="24"/>
          <w:szCs w:val="24"/>
        </w:rPr>
        <w:t>Bryson, J. (1988)</w:t>
      </w:r>
      <w:r w:rsidRPr="00AA4EF1">
        <w:rPr>
          <w:rFonts w:ascii="Times New Roman" w:hAnsi="Times New Roman" w:cs="Times New Roman"/>
          <w:color w:val="3A3A3A"/>
          <w:sz w:val="24"/>
          <w:szCs w:val="24"/>
          <w:shd w:val="clear" w:color="auto" w:fill="FFFFFF"/>
        </w:rPr>
        <w:t xml:space="preserve"> </w:t>
      </w:r>
      <w:r w:rsidRPr="00AA4EF1">
        <w:rPr>
          <w:rFonts w:ascii="Times New Roman" w:hAnsi="Times New Roman" w:cs="Times New Roman"/>
          <w:color w:val="3A3A3A"/>
          <w:sz w:val="24"/>
          <w:szCs w:val="24"/>
          <w:shd w:val="clear" w:color="auto" w:fill="FFFFFF"/>
        </w:rPr>
        <w:t>"A Strategic Planning Process for Public and Non -- Profit Organizations." </w:t>
      </w:r>
      <w:r w:rsidRPr="00AA4EF1">
        <w:rPr>
          <w:rFonts w:ascii="Times New Roman" w:hAnsi="Times New Roman" w:cs="Times New Roman"/>
          <w:iCs/>
          <w:color w:val="3A3A3A"/>
          <w:sz w:val="24"/>
          <w:szCs w:val="24"/>
          <w:shd w:val="clear" w:color="auto" w:fill="FFFFFF"/>
        </w:rPr>
        <w:t>Long Range Planning</w:t>
      </w:r>
      <w:r w:rsidRPr="00AA4EF1">
        <w:rPr>
          <w:rFonts w:ascii="Times New Roman" w:hAnsi="Times New Roman" w:cs="Times New Roman"/>
          <w:color w:val="3A3A3A"/>
          <w:sz w:val="24"/>
          <w:szCs w:val="24"/>
          <w:shd w:val="clear" w:color="auto" w:fill="FFFFFF"/>
        </w:rPr>
        <w:t> 21, (1), pp.</w:t>
      </w:r>
      <w:r w:rsidRPr="00AA4EF1">
        <w:rPr>
          <w:rFonts w:ascii="Times New Roman" w:hAnsi="Times New Roman" w:cs="Times New Roman"/>
          <w:color w:val="3A3A3A"/>
          <w:sz w:val="24"/>
          <w:szCs w:val="24"/>
          <w:shd w:val="clear" w:color="auto" w:fill="FFFFFF"/>
        </w:rPr>
        <w:t>73-82. </w:t>
      </w:r>
    </w:p>
    <w:p w14:paraId="542665E1" w14:textId="77777777" w:rsidR="00360E5A" w:rsidRPr="004B0617" w:rsidRDefault="00360E5A" w:rsidP="00A712FB">
      <w:pPr>
        <w:pStyle w:val="Body"/>
        <w:spacing w:line="360" w:lineRule="auto"/>
        <w:rPr>
          <w:rFonts w:ascii="Times New Roman" w:hAnsi="Times New Roman" w:cs="Times New Roman"/>
          <w:color w:val="auto"/>
          <w:sz w:val="24"/>
          <w:szCs w:val="24"/>
        </w:rPr>
      </w:pPr>
    </w:p>
    <w:p w14:paraId="522F3DEF" w14:textId="4250452A" w:rsidR="00E13D6F" w:rsidRPr="004B0617" w:rsidRDefault="00AA4EF1" w:rsidP="00A712FB">
      <w:pPr>
        <w:pStyle w:val="Body"/>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Bryson, J.</w:t>
      </w:r>
      <w:r w:rsidR="00032E68" w:rsidRPr="004B0617">
        <w:rPr>
          <w:rFonts w:ascii="Times New Roman" w:hAnsi="Times New Roman" w:cs="Times New Roman"/>
          <w:color w:val="auto"/>
          <w:sz w:val="24"/>
          <w:szCs w:val="24"/>
          <w:shd w:val="clear" w:color="auto" w:fill="FFFFFF"/>
        </w:rPr>
        <w:t xml:space="preserve"> </w:t>
      </w:r>
      <w:r w:rsidR="00360E5A" w:rsidRPr="004B0617">
        <w:rPr>
          <w:rFonts w:ascii="Times New Roman" w:hAnsi="Times New Roman" w:cs="Times New Roman"/>
          <w:color w:val="auto"/>
          <w:sz w:val="24"/>
          <w:szCs w:val="24"/>
          <w:shd w:val="clear" w:color="auto" w:fill="FFFFFF"/>
        </w:rPr>
        <w:t>(</w:t>
      </w:r>
      <w:r w:rsidR="00032E68" w:rsidRPr="004B0617">
        <w:rPr>
          <w:rFonts w:ascii="Times New Roman" w:hAnsi="Times New Roman" w:cs="Times New Roman"/>
          <w:color w:val="auto"/>
          <w:sz w:val="24"/>
          <w:szCs w:val="24"/>
          <w:shd w:val="clear" w:color="auto" w:fill="FFFFFF"/>
        </w:rPr>
        <w:t>2010</w:t>
      </w:r>
      <w:r w:rsidR="00360E5A" w:rsidRPr="004B0617">
        <w:rPr>
          <w:rFonts w:ascii="Times New Roman" w:hAnsi="Times New Roman" w:cs="Times New Roman"/>
          <w:color w:val="auto"/>
          <w:sz w:val="24"/>
          <w:szCs w:val="24"/>
          <w:shd w:val="clear" w:color="auto" w:fill="FFFFFF"/>
        </w:rPr>
        <w:t>)</w:t>
      </w:r>
      <w:r w:rsidR="00032E68" w:rsidRPr="004B0617">
        <w:rPr>
          <w:rFonts w:ascii="Times New Roman" w:hAnsi="Times New Roman" w:cs="Times New Roman"/>
          <w:color w:val="auto"/>
          <w:sz w:val="24"/>
          <w:szCs w:val="24"/>
          <w:shd w:val="clear" w:color="auto" w:fill="FFFFFF"/>
        </w:rPr>
        <w:t>. The Future of Public and Nonprofit Strategic Planning in the United States. </w:t>
      </w:r>
      <w:r w:rsidR="00032E68" w:rsidRPr="004B0617">
        <w:rPr>
          <w:rFonts w:ascii="Times New Roman" w:hAnsi="Times New Roman" w:cs="Times New Roman"/>
          <w:iCs/>
          <w:color w:val="auto"/>
          <w:sz w:val="24"/>
          <w:szCs w:val="24"/>
          <w:shd w:val="clear" w:color="auto" w:fill="FFFFFF"/>
        </w:rPr>
        <w:t>Public Administration Review</w:t>
      </w:r>
      <w:r w:rsidR="00032E68" w:rsidRPr="004B0617">
        <w:rPr>
          <w:rFonts w:ascii="Times New Roman" w:hAnsi="Times New Roman" w:cs="Times New Roman"/>
          <w:color w:val="auto"/>
          <w:sz w:val="24"/>
          <w:szCs w:val="24"/>
          <w:shd w:val="clear" w:color="auto" w:fill="FFFFFF"/>
        </w:rPr>
        <w:t>, 70(S1), pp.S255–S267.</w:t>
      </w:r>
    </w:p>
    <w:p w14:paraId="00B7568D" w14:textId="77777777"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p>
    <w:p w14:paraId="68D456BE" w14:textId="45BD0CC1"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Carter, M.</w:t>
      </w:r>
      <w:r w:rsidRPr="004B0617">
        <w:rPr>
          <w:rFonts w:ascii="Times New Roman" w:hAnsi="Times New Roman" w:cs="Times New Roman"/>
          <w:color w:val="auto"/>
          <w:sz w:val="24"/>
          <w:szCs w:val="24"/>
          <w:shd w:val="clear" w:color="auto" w:fill="FFFFFF"/>
        </w:rPr>
        <w:t xml:space="preserve">, Klenowski, </w:t>
      </w:r>
      <w:r w:rsidRPr="004B0617">
        <w:rPr>
          <w:rFonts w:ascii="Times New Roman" w:hAnsi="Times New Roman" w:cs="Times New Roman"/>
          <w:color w:val="auto"/>
          <w:sz w:val="24"/>
          <w:szCs w:val="24"/>
          <w:shd w:val="clear" w:color="auto" w:fill="FFFFFF"/>
        </w:rPr>
        <w:t xml:space="preserve">V. </w:t>
      </w:r>
      <w:r w:rsidRPr="004B0617">
        <w:rPr>
          <w:rFonts w:ascii="Times New Roman" w:hAnsi="Times New Roman" w:cs="Times New Roman"/>
          <w:color w:val="auto"/>
          <w:sz w:val="24"/>
          <w:szCs w:val="24"/>
          <w:shd w:val="clear" w:color="auto" w:fill="FFFFFF"/>
        </w:rPr>
        <w:t>&amp; Chalmers, C</w:t>
      </w:r>
      <w:r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w:t>
      </w:r>
      <w:r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2015</w:t>
      </w:r>
      <w:r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Challenges in Embedding Numeracy throughout the Curriculum in Three Queensland Secondary Schools. </w:t>
      </w:r>
      <w:r w:rsidRPr="004B0617">
        <w:rPr>
          <w:rFonts w:ascii="Times New Roman" w:hAnsi="Times New Roman" w:cs="Times New Roman"/>
          <w:iCs/>
          <w:color w:val="auto"/>
          <w:sz w:val="24"/>
          <w:szCs w:val="24"/>
          <w:shd w:val="clear" w:color="auto" w:fill="FFFFFF"/>
        </w:rPr>
        <w:t>Australian Educational Researcher</w:t>
      </w:r>
      <w:r w:rsidRPr="004B0617">
        <w:rPr>
          <w:rFonts w:ascii="Times New Roman" w:hAnsi="Times New Roman" w:cs="Times New Roman"/>
          <w:color w:val="auto"/>
          <w:sz w:val="24"/>
          <w:szCs w:val="24"/>
          <w:shd w:val="clear" w:color="auto" w:fill="FFFFFF"/>
        </w:rPr>
        <w:t>, 42(5), pp.595–611.</w:t>
      </w:r>
    </w:p>
    <w:p w14:paraId="4165E3A8" w14:textId="16EEB459" w:rsidR="00DE3D9A" w:rsidRPr="004B0617" w:rsidRDefault="00DE3D9A" w:rsidP="00A712FB">
      <w:pPr>
        <w:pStyle w:val="Body"/>
        <w:spacing w:line="360" w:lineRule="auto"/>
        <w:rPr>
          <w:rFonts w:ascii="Times New Roman" w:hAnsi="Times New Roman" w:cs="Times New Roman"/>
          <w:color w:val="auto"/>
          <w:sz w:val="24"/>
          <w:szCs w:val="24"/>
          <w:shd w:val="clear" w:color="auto" w:fill="FFFFFF"/>
        </w:rPr>
      </w:pPr>
    </w:p>
    <w:p w14:paraId="5E8979B8" w14:textId="0F8D16A0" w:rsidR="00DE3D9A" w:rsidRPr="004B0617" w:rsidRDefault="00DE3D9A"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Chitty, C</w:t>
      </w:r>
      <w:r w:rsidR="00AA4EF1">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(2014). Education Policy in Britain (Third edition). Basingstoke: Palgrave Macmillan</w:t>
      </w:r>
    </w:p>
    <w:p w14:paraId="182B18D6" w14:textId="225BCD0C"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p>
    <w:p w14:paraId="5654F41E" w14:textId="7F7D1AE6" w:rsidR="00AC3D40" w:rsidRPr="004B0617" w:rsidRDefault="00AC3D40" w:rsidP="00A712FB">
      <w:pPr>
        <w:pStyle w:val="Body"/>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Davies, B &amp; Ellison, L. (2003) Strategic Direction and Development of the School (Second Edition). London: Routledge.</w:t>
      </w:r>
    </w:p>
    <w:p w14:paraId="65CF6F77" w14:textId="42CB291F" w:rsidR="00360E5A" w:rsidRDefault="00360E5A" w:rsidP="00A712FB">
      <w:pPr>
        <w:pStyle w:val="Body"/>
        <w:spacing w:line="360" w:lineRule="auto"/>
        <w:rPr>
          <w:rFonts w:ascii="Times New Roman" w:hAnsi="Times New Roman" w:cs="Times New Roman"/>
          <w:color w:val="auto"/>
          <w:sz w:val="24"/>
          <w:szCs w:val="24"/>
          <w:shd w:val="clear" w:color="auto" w:fill="FFFFFF"/>
        </w:rPr>
      </w:pPr>
    </w:p>
    <w:p w14:paraId="62F1A717" w14:textId="03CF5E9A" w:rsidR="00AC3D40" w:rsidRPr="004B0617" w:rsidRDefault="00AC3D40" w:rsidP="00A712FB">
      <w:pPr>
        <w:pStyle w:val="Body"/>
        <w:spacing w:line="36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Dauncey, M. (2013) </w:t>
      </w:r>
      <w:r w:rsidRPr="004B0617">
        <w:rPr>
          <w:rFonts w:ascii="Times New Roman" w:hAnsi="Times New Roman" w:cs="Times New Roman"/>
          <w:color w:val="auto"/>
          <w:sz w:val="24"/>
          <w:szCs w:val="24"/>
          <w:shd w:val="clear" w:color="auto" w:fill="FFFFFF"/>
        </w:rPr>
        <w:t>Literacy and Numeracy in Wales. Cardiff: Welsh Government.</w:t>
      </w:r>
    </w:p>
    <w:p w14:paraId="0134BA19" w14:textId="6E05B728"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p>
    <w:p w14:paraId="65835DE1" w14:textId="3AA97465" w:rsidR="001D24D6" w:rsidRPr="004B0617" w:rsidRDefault="001D24D6"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Donaldson, G. (2015)</w:t>
      </w:r>
      <w:r w:rsidR="00DE3D9A"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Successful Futures: </w:t>
      </w:r>
      <w:r w:rsidR="00AA4EF1" w:rsidRPr="004B0617">
        <w:rPr>
          <w:rFonts w:ascii="Times New Roman" w:hAnsi="Times New Roman" w:cs="Times New Roman"/>
          <w:color w:val="auto"/>
          <w:sz w:val="24"/>
          <w:szCs w:val="24"/>
          <w:shd w:val="clear" w:color="auto" w:fill="FFFFFF"/>
        </w:rPr>
        <w:t>Independent</w:t>
      </w:r>
      <w:r w:rsidR="00DE3D9A" w:rsidRPr="004B0617">
        <w:rPr>
          <w:rFonts w:ascii="Times New Roman" w:hAnsi="Times New Roman" w:cs="Times New Roman"/>
          <w:color w:val="auto"/>
          <w:sz w:val="24"/>
          <w:szCs w:val="24"/>
          <w:shd w:val="clear" w:color="auto" w:fill="FFFFFF"/>
        </w:rPr>
        <w:t xml:space="preserve"> Review of Curriculum and Assessment Arr</w:t>
      </w:r>
      <w:r w:rsidR="008F1F06" w:rsidRPr="004B0617">
        <w:rPr>
          <w:rFonts w:ascii="Times New Roman" w:hAnsi="Times New Roman" w:cs="Times New Roman"/>
          <w:color w:val="auto"/>
          <w:sz w:val="24"/>
          <w:szCs w:val="24"/>
          <w:shd w:val="clear" w:color="auto" w:fill="FFFFFF"/>
        </w:rPr>
        <w:t>angements in Wales. Cardiff: Welsh Government.</w:t>
      </w:r>
    </w:p>
    <w:p w14:paraId="7AB9964E" w14:textId="18444417"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p>
    <w:p w14:paraId="0DF4E00E" w14:textId="68A8EA83"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E</w:t>
      </w:r>
      <w:r w:rsidR="00AC7153" w:rsidRPr="004B0617">
        <w:rPr>
          <w:rFonts w:ascii="Times New Roman" w:hAnsi="Times New Roman" w:cs="Times New Roman"/>
          <w:color w:val="auto"/>
          <w:sz w:val="24"/>
          <w:szCs w:val="24"/>
          <w:shd w:val="clear" w:color="auto" w:fill="FFFFFF"/>
        </w:rPr>
        <w:t>styn, (2016). A report on School X.</w:t>
      </w:r>
    </w:p>
    <w:p w14:paraId="09759141" w14:textId="0847651C"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p>
    <w:p w14:paraId="35FE8F9B" w14:textId="37C6D9C0" w:rsidR="00360E5A" w:rsidRPr="004B0617" w:rsidRDefault="00A712FB"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Estyn, (2012). The Skills Framework at key stage 3: An evaluation of the impact of the non-statutory Skills framework for 3 to 19-year-olds at key stage 3</w:t>
      </w:r>
      <w:r w:rsidR="00F06414" w:rsidRPr="004B0617">
        <w:rPr>
          <w:rFonts w:ascii="Times New Roman" w:hAnsi="Times New Roman" w:cs="Times New Roman"/>
          <w:color w:val="auto"/>
          <w:sz w:val="24"/>
          <w:szCs w:val="24"/>
          <w:shd w:val="clear" w:color="auto" w:fill="FFFFFF"/>
        </w:rPr>
        <w:t>. Cardiff: Welsh Government.</w:t>
      </w:r>
    </w:p>
    <w:p w14:paraId="655439E2" w14:textId="45991708"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p>
    <w:p w14:paraId="765357EC" w14:textId="40637D52"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 xml:space="preserve">Fullan, M., </w:t>
      </w:r>
      <w:r w:rsidR="00DE3D9A"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1992</w:t>
      </w:r>
      <w:r w:rsidR="00DE3D9A"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w:t>
      </w:r>
      <w:r w:rsidRPr="004B0617">
        <w:rPr>
          <w:rFonts w:ascii="Times New Roman" w:hAnsi="Times New Roman" w:cs="Times New Roman"/>
          <w:iCs/>
          <w:color w:val="auto"/>
          <w:sz w:val="24"/>
          <w:szCs w:val="24"/>
          <w:shd w:val="clear" w:color="auto" w:fill="FFFFFF"/>
        </w:rPr>
        <w:t>Successful school improvemen</w:t>
      </w:r>
      <w:r w:rsidR="004B0617" w:rsidRPr="004B0617">
        <w:rPr>
          <w:rFonts w:ascii="Times New Roman" w:hAnsi="Times New Roman" w:cs="Times New Roman"/>
          <w:iCs/>
          <w:color w:val="auto"/>
          <w:sz w:val="24"/>
          <w:szCs w:val="24"/>
          <w:shd w:val="clear" w:color="auto" w:fill="FFFFFF"/>
        </w:rPr>
        <w:t>t</w:t>
      </w:r>
      <w:r w:rsidRPr="004B0617">
        <w:rPr>
          <w:rFonts w:ascii="Times New Roman" w:hAnsi="Times New Roman" w:cs="Times New Roman"/>
          <w:iCs/>
          <w:color w:val="auto"/>
          <w:sz w:val="24"/>
          <w:szCs w:val="24"/>
          <w:shd w:val="clear" w:color="auto" w:fill="FFFFFF"/>
        </w:rPr>
        <w:t>: the implementation perspective and beyond</w:t>
      </w:r>
      <w:r w:rsidRPr="004B0617">
        <w:rPr>
          <w:rFonts w:ascii="Times New Roman" w:hAnsi="Times New Roman" w:cs="Times New Roman"/>
          <w:color w:val="auto"/>
          <w:sz w:val="24"/>
          <w:szCs w:val="24"/>
          <w:shd w:val="clear" w:color="auto" w:fill="FFFFFF"/>
        </w:rPr>
        <w:t>, Buckingham: Open University Press.</w:t>
      </w:r>
    </w:p>
    <w:p w14:paraId="5B51FB79" w14:textId="77777777"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p>
    <w:p w14:paraId="02A13707" w14:textId="664774E4" w:rsidR="00DE3D9A"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 xml:space="preserve">Fullan, M., </w:t>
      </w:r>
      <w:r w:rsidR="00DE3D9A"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2007</w:t>
      </w:r>
      <w:r w:rsidR="00DE3D9A"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w:t>
      </w:r>
      <w:r w:rsidRPr="004B0617">
        <w:rPr>
          <w:rFonts w:ascii="Times New Roman" w:hAnsi="Times New Roman" w:cs="Times New Roman"/>
          <w:iCs/>
          <w:color w:val="auto"/>
          <w:sz w:val="24"/>
          <w:szCs w:val="24"/>
          <w:shd w:val="clear" w:color="auto" w:fill="FFFFFF"/>
        </w:rPr>
        <w:t>The new meaning of educational change</w:t>
      </w:r>
      <w:r w:rsidR="00AC3D40">
        <w:rPr>
          <w:rFonts w:ascii="Times New Roman" w:hAnsi="Times New Roman" w:cs="Times New Roman"/>
          <w:iCs/>
          <w:color w:val="auto"/>
          <w:sz w:val="24"/>
          <w:szCs w:val="24"/>
          <w:shd w:val="clear" w:color="auto" w:fill="FFFFFF"/>
        </w:rPr>
        <w:t>,</w:t>
      </w:r>
      <w:r w:rsidRPr="004B0617">
        <w:rPr>
          <w:rFonts w:ascii="Times New Roman" w:hAnsi="Times New Roman" w:cs="Times New Roman"/>
          <w:color w:val="auto"/>
          <w:sz w:val="24"/>
          <w:szCs w:val="24"/>
          <w:shd w:val="clear" w:color="auto" w:fill="FFFFFF"/>
        </w:rPr>
        <w:t> 4th ed., London: Routledge.</w:t>
      </w:r>
    </w:p>
    <w:p w14:paraId="62331060" w14:textId="77777777" w:rsidR="00F06414" w:rsidRPr="004B0617" w:rsidRDefault="00F06414" w:rsidP="00A712FB">
      <w:pPr>
        <w:pStyle w:val="Body"/>
        <w:spacing w:line="360" w:lineRule="auto"/>
        <w:rPr>
          <w:rFonts w:ascii="Times New Roman" w:hAnsi="Times New Roman" w:cs="Times New Roman"/>
          <w:color w:val="auto"/>
          <w:sz w:val="24"/>
          <w:szCs w:val="24"/>
          <w:shd w:val="clear" w:color="auto" w:fill="FFFFFF"/>
        </w:rPr>
      </w:pPr>
    </w:p>
    <w:p w14:paraId="33005225" w14:textId="55F1BECA" w:rsidR="00F06414" w:rsidRPr="004B0617" w:rsidRDefault="00F06414"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 xml:space="preserve">Gough, J., (2017). Educating career guidance practitioners in the twenty-first century, British Journal of </w:t>
      </w:r>
      <w:r w:rsidR="00AA4EF1" w:rsidRPr="004B0617">
        <w:rPr>
          <w:rFonts w:ascii="Times New Roman" w:hAnsi="Times New Roman" w:cs="Times New Roman"/>
          <w:color w:val="auto"/>
          <w:sz w:val="24"/>
          <w:szCs w:val="24"/>
          <w:shd w:val="clear" w:color="auto" w:fill="FFFFFF"/>
        </w:rPr>
        <w:t>Guidance</w:t>
      </w:r>
      <w:r w:rsidRPr="004B0617">
        <w:rPr>
          <w:rFonts w:ascii="Times New Roman" w:hAnsi="Times New Roman" w:cs="Times New Roman"/>
          <w:color w:val="auto"/>
          <w:sz w:val="24"/>
          <w:szCs w:val="24"/>
          <w:shd w:val="clear" w:color="auto" w:fill="FFFFFF"/>
        </w:rPr>
        <w:t xml:space="preserve"> &amp; Counselling, 29, (2), pp.199-207.</w:t>
      </w:r>
    </w:p>
    <w:p w14:paraId="7FBBA150" w14:textId="77777777" w:rsidR="00F06414" w:rsidRPr="004B0617" w:rsidRDefault="00F06414" w:rsidP="00A712FB">
      <w:pPr>
        <w:pStyle w:val="Body"/>
        <w:spacing w:line="360" w:lineRule="auto"/>
        <w:rPr>
          <w:rFonts w:ascii="Times New Roman" w:hAnsi="Times New Roman" w:cs="Times New Roman"/>
          <w:color w:val="auto"/>
          <w:sz w:val="24"/>
          <w:szCs w:val="24"/>
          <w:shd w:val="clear" w:color="auto" w:fill="FFFFFF"/>
        </w:rPr>
      </w:pPr>
    </w:p>
    <w:p w14:paraId="6DB34567" w14:textId="2A5E66F9" w:rsidR="00360E5A"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Gough, J.</w:t>
      </w:r>
      <w:r w:rsidR="00360E5A" w:rsidRPr="004B0617">
        <w:rPr>
          <w:rFonts w:ascii="Times New Roman" w:hAnsi="Times New Roman" w:cs="Times New Roman"/>
          <w:color w:val="auto"/>
          <w:sz w:val="24"/>
          <w:szCs w:val="24"/>
          <w:shd w:val="clear" w:color="auto" w:fill="FFFFFF"/>
        </w:rPr>
        <w:t>, (</w:t>
      </w:r>
      <w:r w:rsidR="00360E5A" w:rsidRPr="004B0617">
        <w:rPr>
          <w:rFonts w:ascii="Times New Roman" w:hAnsi="Times New Roman" w:cs="Times New Roman"/>
          <w:color w:val="auto"/>
          <w:sz w:val="24"/>
          <w:szCs w:val="24"/>
          <w:shd w:val="clear" w:color="auto" w:fill="FFFFFF"/>
        </w:rPr>
        <w:t>2007</w:t>
      </w:r>
      <w:r w:rsidR="00360E5A" w:rsidRPr="004B0617">
        <w:rPr>
          <w:rFonts w:ascii="Times New Roman" w:hAnsi="Times New Roman" w:cs="Times New Roman"/>
          <w:color w:val="auto"/>
          <w:sz w:val="24"/>
          <w:szCs w:val="24"/>
          <w:shd w:val="clear" w:color="auto" w:fill="FFFFFF"/>
        </w:rPr>
        <w:t>)</w:t>
      </w:r>
      <w:r w:rsidR="00360E5A" w:rsidRPr="004B0617">
        <w:rPr>
          <w:rFonts w:ascii="Times New Roman" w:hAnsi="Times New Roman" w:cs="Times New Roman"/>
          <w:color w:val="auto"/>
          <w:sz w:val="24"/>
          <w:szCs w:val="24"/>
          <w:shd w:val="clear" w:color="auto" w:fill="FFFFFF"/>
        </w:rPr>
        <w:t>. Make your school's numeracy-across-the-curriculum policy. </w:t>
      </w:r>
      <w:r w:rsidR="00360E5A" w:rsidRPr="004B0617">
        <w:rPr>
          <w:rFonts w:ascii="Times New Roman" w:hAnsi="Times New Roman" w:cs="Times New Roman"/>
          <w:iCs/>
          <w:color w:val="auto"/>
          <w:sz w:val="24"/>
          <w:szCs w:val="24"/>
          <w:shd w:val="clear" w:color="auto" w:fill="FFFFFF"/>
        </w:rPr>
        <w:t>Australian Mathematics Teacher</w:t>
      </w:r>
      <w:r w:rsidR="00360E5A" w:rsidRPr="004B0617">
        <w:rPr>
          <w:rFonts w:ascii="Times New Roman" w:hAnsi="Times New Roman" w:cs="Times New Roman"/>
          <w:color w:val="auto"/>
          <w:sz w:val="24"/>
          <w:szCs w:val="24"/>
          <w:shd w:val="clear" w:color="auto" w:fill="FFFFFF"/>
        </w:rPr>
        <w:t>, 63(3), pp.31–40.</w:t>
      </w:r>
    </w:p>
    <w:p w14:paraId="741B14B2" w14:textId="050C5FBA"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p>
    <w:p w14:paraId="3FED1A41" w14:textId="63F021B1" w:rsidR="00360E5A"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Harlen, W.</w:t>
      </w:r>
      <w:r w:rsidR="00360E5A" w:rsidRPr="004B0617">
        <w:rPr>
          <w:rFonts w:ascii="Times New Roman" w:hAnsi="Times New Roman" w:cs="Times New Roman"/>
          <w:color w:val="auto"/>
          <w:sz w:val="24"/>
          <w:szCs w:val="24"/>
          <w:shd w:val="clear" w:color="auto" w:fill="FFFFFF"/>
        </w:rPr>
        <w:t xml:space="preserve">, </w:t>
      </w:r>
      <w:r w:rsidR="00360E5A" w:rsidRPr="004B0617">
        <w:rPr>
          <w:rFonts w:ascii="Times New Roman" w:hAnsi="Times New Roman" w:cs="Times New Roman"/>
          <w:color w:val="auto"/>
          <w:sz w:val="24"/>
          <w:szCs w:val="24"/>
          <w:shd w:val="clear" w:color="auto" w:fill="FFFFFF"/>
        </w:rPr>
        <w:t>(</w:t>
      </w:r>
      <w:r w:rsidR="00360E5A" w:rsidRPr="004B0617">
        <w:rPr>
          <w:rFonts w:ascii="Times New Roman" w:hAnsi="Times New Roman" w:cs="Times New Roman"/>
          <w:color w:val="auto"/>
          <w:sz w:val="24"/>
          <w:szCs w:val="24"/>
          <w:shd w:val="clear" w:color="auto" w:fill="FFFFFF"/>
        </w:rPr>
        <w:t>2011</w:t>
      </w:r>
      <w:r w:rsidR="00360E5A" w:rsidRPr="004B0617">
        <w:rPr>
          <w:rFonts w:ascii="Times New Roman" w:hAnsi="Times New Roman" w:cs="Times New Roman"/>
          <w:color w:val="auto"/>
          <w:sz w:val="24"/>
          <w:szCs w:val="24"/>
          <w:shd w:val="clear" w:color="auto" w:fill="FFFFFF"/>
        </w:rPr>
        <w:t>)</w:t>
      </w:r>
      <w:r w:rsidR="00360E5A" w:rsidRPr="004B0617">
        <w:rPr>
          <w:rFonts w:ascii="Times New Roman" w:hAnsi="Times New Roman" w:cs="Times New Roman"/>
          <w:color w:val="auto"/>
          <w:sz w:val="24"/>
          <w:szCs w:val="24"/>
          <w:shd w:val="clear" w:color="auto" w:fill="FFFFFF"/>
        </w:rPr>
        <w:t>. Taking charge of assessment. </w:t>
      </w:r>
      <w:r w:rsidR="00360E5A" w:rsidRPr="004B0617">
        <w:rPr>
          <w:rFonts w:ascii="Times New Roman" w:hAnsi="Times New Roman" w:cs="Times New Roman"/>
          <w:iCs/>
          <w:color w:val="auto"/>
          <w:sz w:val="24"/>
          <w:szCs w:val="24"/>
          <w:shd w:val="clear" w:color="auto" w:fill="FFFFFF"/>
        </w:rPr>
        <w:t>Education Review</w:t>
      </w:r>
      <w:r w:rsidR="00360E5A" w:rsidRPr="004B0617">
        <w:rPr>
          <w:rFonts w:ascii="Times New Roman" w:hAnsi="Times New Roman" w:cs="Times New Roman"/>
          <w:color w:val="auto"/>
          <w:sz w:val="24"/>
          <w:szCs w:val="24"/>
          <w:shd w:val="clear" w:color="auto" w:fill="FFFFFF"/>
        </w:rPr>
        <w:t>, 24(1), pp.65–73</w:t>
      </w:r>
    </w:p>
    <w:p w14:paraId="79B5F44A" w14:textId="77777777"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p>
    <w:p w14:paraId="02F1C8B6" w14:textId="1DE0AD64" w:rsidR="00360E5A" w:rsidRPr="004B0617" w:rsidRDefault="00360E5A"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Harlen, W</w:t>
      </w:r>
      <w:r w:rsidR="00870635"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w:t>
      </w:r>
      <w:r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2003</w:t>
      </w:r>
      <w:r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The inequitable impacts of high stakes testing. </w:t>
      </w:r>
      <w:r w:rsidRPr="004B0617">
        <w:rPr>
          <w:rFonts w:ascii="Times New Roman" w:hAnsi="Times New Roman" w:cs="Times New Roman"/>
          <w:iCs/>
          <w:color w:val="auto"/>
          <w:sz w:val="24"/>
          <w:szCs w:val="24"/>
          <w:shd w:val="clear" w:color="auto" w:fill="FFFFFF"/>
        </w:rPr>
        <w:t>Education Review</w:t>
      </w:r>
      <w:r w:rsidRPr="004B0617">
        <w:rPr>
          <w:rFonts w:ascii="Times New Roman" w:hAnsi="Times New Roman" w:cs="Times New Roman"/>
          <w:color w:val="auto"/>
          <w:sz w:val="24"/>
          <w:szCs w:val="24"/>
          <w:shd w:val="clear" w:color="auto" w:fill="FFFFFF"/>
        </w:rPr>
        <w:t>, 17(1), pp.43–51.</w:t>
      </w:r>
    </w:p>
    <w:p w14:paraId="7F5610C8" w14:textId="4EC81F7B"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p>
    <w:p w14:paraId="6E6C87C6" w14:textId="307B0C9D" w:rsidR="00870635" w:rsidRPr="004B0617" w:rsidRDefault="00AC7153"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 xml:space="preserve">Hill, R., (2013). </w:t>
      </w:r>
      <w:r w:rsidRPr="004B0617">
        <w:rPr>
          <w:rFonts w:ascii="Times New Roman" w:hAnsi="Times New Roman" w:cs="Times New Roman"/>
          <w:sz w:val="24"/>
          <w:szCs w:val="24"/>
        </w:rPr>
        <w:t>The future delivery of education services in Wales</w:t>
      </w:r>
      <w:r w:rsidRPr="004B0617">
        <w:rPr>
          <w:rFonts w:ascii="Times New Roman" w:hAnsi="Times New Roman" w:cs="Times New Roman"/>
          <w:sz w:val="24"/>
          <w:szCs w:val="24"/>
        </w:rPr>
        <w:t>. Cardiff: Welsh Government.</w:t>
      </w:r>
    </w:p>
    <w:p w14:paraId="764D1982" w14:textId="56C9EE43"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p>
    <w:p w14:paraId="1BC66306" w14:textId="102C94A1"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L</w:t>
      </w:r>
      <w:r w:rsidR="004356D3" w:rsidRPr="004B0617">
        <w:rPr>
          <w:rFonts w:ascii="Times New Roman" w:hAnsi="Times New Roman" w:cs="Times New Roman"/>
          <w:color w:val="auto"/>
          <w:sz w:val="24"/>
          <w:szCs w:val="24"/>
          <w:shd w:val="clear" w:color="auto" w:fill="FFFFFF"/>
        </w:rPr>
        <w:t>ocal Authority</w:t>
      </w:r>
      <w:r w:rsidR="004B0617" w:rsidRPr="004B0617">
        <w:rPr>
          <w:rFonts w:ascii="Times New Roman" w:hAnsi="Times New Roman" w:cs="Times New Roman"/>
          <w:color w:val="auto"/>
          <w:sz w:val="24"/>
          <w:szCs w:val="24"/>
          <w:shd w:val="clear" w:color="auto" w:fill="FFFFFF"/>
        </w:rPr>
        <w:t>, (2018). Communities First. Available at: local authority website. (accessed: 12 January 2019)</w:t>
      </w:r>
    </w:p>
    <w:p w14:paraId="6BC8FFAC" w14:textId="2136A130"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p>
    <w:p w14:paraId="49ABA6C6" w14:textId="5E47EA02" w:rsidR="00870635" w:rsidRPr="00870635" w:rsidRDefault="00870635" w:rsidP="00A712FB">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bdr w:val="none" w:sz="0" w:space="0" w:color="auto"/>
          <w:lang w:val="en-GB" w:eastAsia="en-GB"/>
        </w:rPr>
      </w:pPr>
      <w:r w:rsidRPr="00870635">
        <w:rPr>
          <w:rFonts w:eastAsia="Times New Roman"/>
          <w:bdr w:val="none" w:sz="0" w:space="0" w:color="auto"/>
          <w:lang w:val="en-GB" w:eastAsia="en-GB"/>
        </w:rPr>
        <w:t xml:space="preserve">Page, D., </w:t>
      </w:r>
      <w:r w:rsidRPr="004B0617">
        <w:rPr>
          <w:rFonts w:eastAsia="Times New Roman"/>
          <w:bdr w:val="none" w:sz="0" w:space="0" w:color="auto"/>
          <w:lang w:val="en-GB" w:eastAsia="en-GB"/>
        </w:rPr>
        <w:t>(</w:t>
      </w:r>
      <w:r w:rsidRPr="00870635">
        <w:rPr>
          <w:rFonts w:eastAsia="Times New Roman"/>
          <w:bdr w:val="none" w:sz="0" w:space="0" w:color="auto"/>
          <w:lang w:val="en-GB" w:eastAsia="en-GB"/>
        </w:rPr>
        <w:t>2016</w:t>
      </w:r>
      <w:r w:rsidRPr="004B0617">
        <w:rPr>
          <w:rFonts w:eastAsia="Times New Roman"/>
          <w:bdr w:val="none" w:sz="0" w:space="0" w:color="auto"/>
          <w:lang w:val="en-GB" w:eastAsia="en-GB"/>
        </w:rPr>
        <w:t>)</w:t>
      </w:r>
      <w:r w:rsidRPr="00870635">
        <w:rPr>
          <w:rFonts w:eastAsia="Times New Roman"/>
          <w:bdr w:val="none" w:sz="0" w:space="0" w:color="auto"/>
          <w:lang w:val="en-GB" w:eastAsia="en-GB"/>
        </w:rPr>
        <w:t>. Understanding performance management in schools: a dialectical approach. </w:t>
      </w:r>
      <w:r w:rsidRPr="00870635">
        <w:rPr>
          <w:rFonts w:eastAsia="Times New Roman"/>
          <w:iCs/>
          <w:bdr w:val="none" w:sz="0" w:space="0" w:color="auto"/>
          <w:lang w:val="en-GB" w:eastAsia="en-GB"/>
        </w:rPr>
        <w:t>The International Journal of Educational Management</w:t>
      </w:r>
      <w:r w:rsidRPr="00870635">
        <w:rPr>
          <w:rFonts w:eastAsia="Times New Roman"/>
          <w:bdr w:val="none" w:sz="0" w:space="0" w:color="auto"/>
          <w:lang w:val="en-GB" w:eastAsia="en-GB"/>
        </w:rPr>
        <w:t>, 30(2), pp.166–176.</w:t>
      </w:r>
    </w:p>
    <w:p w14:paraId="29FCAA55" w14:textId="48452371" w:rsidR="00870635" w:rsidRPr="004B0617" w:rsidRDefault="00870635" w:rsidP="00A712FB">
      <w:pPr>
        <w:pStyle w:val="Body"/>
        <w:spacing w:line="360" w:lineRule="auto"/>
        <w:rPr>
          <w:rFonts w:ascii="Times New Roman" w:eastAsia="Times New Roman" w:hAnsi="Times New Roman" w:cs="Times New Roman"/>
          <w:color w:val="auto"/>
          <w:sz w:val="24"/>
          <w:szCs w:val="24"/>
          <w:bdr w:val="none" w:sz="0" w:space="0" w:color="auto"/>
          <w:lang w:val="en-GB"/>
        </w:rPr>
      </w:pPr>
    </w:p>
    <w:p w14:paraId="1279366A" w14:textId="107C11E1" w:rsidR="009D1BA8" w:rsidRPr="004B0617" w:rsidRDefault="009D1BA8" w:rsidP="00A712FB">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bdr w:val="none" w:sz="0" w:space="0" w:color="auto"/>
          <w:lang w:val="en-GB" w:eastAsia="en-GB"/>
        </w:rPr>
      </w:pPr>
      <w:r w:rsidRPr="004B0617">
        <w:rPr>
          <w:rFonts w:eastAsia="Times New Roman"/>
          <w:bdr w:val="none" w:sz="0" w:space="0" w:color="auto"/>
          <w:lang w:val="en-GB" w:eastAsia="en-GB"/>
        </w:rPr>
        <w:t>Smith, D., (2013)</w:t>
      </w:r>
      <w:r w:rsidR="001D24D6" w:rsidRPr="004B0617">
        <w:rPr>
          <w:rFonts w:eastAsia="Times New Roman"/>
          <w:bdr w:val="none" w:sz="0" w:space="0" w:color="auto"/>
          <w:lang w:val="en-GB" w:eastAsia="en-GB"/>
        </w:rPr>
        <w:t xml:space="preserve">. An </w:t>
      </w:r>
      <w:r w:rsidR="00DE3D9A" w:rsidRPr="004B0617">
        <w:rPr>
          <w:rFonts w:eastAsia="Times New Roman"/>
          <w:bdr w:val="none" w:sz="0" w:space="0" w:color="auto"/>
          <w:lang w:val="en-GB" w:eastAsia="en-GB"/>
        </w:rPr>
        <w:t>independent</w:t>
      </w:r>
      <w:r w:rsidR="001D24D6" w:rsidRPr="004B0617">
        <w:rPr>
          <w:rFonts w:eastAsia="Times New Roman"/>
          <w:bdr w:val="none" w:sz="0" w:space="0" w:color="auto"/>
          <w:lang w:val="en-GB" w:eastAsia="en-GB"/>
        </w:rPr>
        <w:t xml:space="preserve"> report for the Welsh Government into Arts Education in the Schools of Wales. Cardiff: Welsh Government.</w:t>
      </w:r>
    </w:p>
    <w:p w14:paraId="1A772BCC" w14:textId="77777777" w:rsidR="00870635" w:rsidRPr="004B0617" w:rsidRDefault="00870635" w:rsidP="00A712FB">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bdr w:val="none" w:sz="0" w:space="0" w:color="auto"/>
          <w:lang w:val="en-GB" w:eastAsia="en-GB"/>
        </w:rPr>
      </w:pPr>
    </w:p>
    <w:p w14:paraId="447ECEBE" w14:textId="01256B5C" w:rsidR="00870635" w:rsidRPr="00870635" w:rsidRDefault="00A712FB" w:rsidP="00A712FB">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bdr w:val="none" w:sz="0" w:space="0" w:color="auto"/>
          <w:lang w:val="en-GB" w:eastAsia="en-GB"/>
        </w:rPr>
      </w:pPr>
      <w:r w:rsidRPr="004B0617">
        <w:rPr>
          <w:rFonts w:eastAsia="Times New Roman"/>
          <w:bdr w:val="none" w:sz="0" w:space="0" w:color="auto"/>
          <w:lang w:val="en-GB" w:eastAsia="en-GB"/>
        </w:rPr>
        <w:t xml:space="preserve">Waller, M., </w:t>
      </w:r>
      <w:r w:rsidR="000E040D" w:rsidRPr="004B0617">
        <w:rPr>
          <w:color w:val="222222"/>
          <w:shd w:val="clear" w:color="auto" w:fill="FFFFFF"/>
        </w:rPr>
        <w:t>Conte,</w:t>
      </w:r>
      <w:r w:rsidRPr="004B0617">
        <w:rPr>
          <w:color w:val="222222"/>
          <w:shd w:val="clear" w:color="auto" w:fill="FFFFFF"/>
        </w:rPr>
        <w:t xml:space="preserve"> J.,</w:t>
      </w:r>
      <w:r w:rsidR="000E040D" w:rsidRPr="004B0617">
        <w:rPr>
          <w:color w:val="222222"/>
          <w:shd w:val="clear" w:color="auto" w:fill="FFFFFF"/>
        </w:rPr>
        <w:t xml:space="preserve"> Gibson</w:t>
      </w:r>
      <w:r w:rsidRPr="004B0617">
        <w:rPr>
          <w:color w:val="222222"/>
          <w:shd w:val="clear" w:color="auto" w:fill="FFFFFF"/>
        </w:rPr>
        <w:t>, C., &amp;</w:t>
      </w:r>
      <w:r w:rsidR="000E040D" w:rsidRPr="004B0617">
        <w:rPr>
          <w:color w:val="222222"/>
          <w:shd w:val="clear" w:color="auto" w:fill="FFFFFF"/>
        </w:rPr>
        <w:t xml:space="preserve"> Carpenter</w:t>
      </w:r>
      <w:r w:rsidRPr="004B0617">
        <w:rPr>
          <w:color w:val="222222"/>
          <w:shd w:val="clear" w:color="auto" w:fill="FFFFFF"/>
        </w:rPr>
        <w:t>, M.</w:t>
      </w:r>
      <w:r w:rsidR="000E040D" w:rsidRPr="004B0617">
        <w:rPr>
          <w:rFonts w:eastAsia="Times New Roman"/>
          <w:bdr w:val="none" w:sz="0" w:space="0" w:color="auto"/>
          <w:lang w:val="en-GB" w:eastAsia="en-GB"/>
        </w:rPr>
        <w:t xml:space="preserve"> </w:t>
      </w:r>
      <w:r w:rsidR="00DE3D9A" w:rsidRPr="004B0617">
        <w:rPr>
          <w:rFonts w:eastAsia="Times New Roman"/>
          <w:bdr w:val="none" w:sz="0" w:space="0" w:color="auto"/>
          <w:lang w:val="en-GB" w:eastAsia="en-GB"/>
        </w:rPr>
        <w:t>(</w:t>
      </w:r>
      <w:r w:rsidR="00870635" w:rsidRPr="00870635">
        <w:rPr>
          <w:rFonts w:eastAsia="Times New Roman"/>
          <w:bdr w:val="none" w:sz="0" w:space="0" w:color="auto"/>
          <w:lang w:val="en-GB" w:eastAsia="en-GB"/>
        </w:rPr>
        <w:t>2001</w:t>
      </w:r>
      <w:r w:rsidR="00DE3D9A" w:rsidRPr="004B0617">
        <w:rPr>
          <w:rFonts w:eastAsia="Times New Roman"/>
          <w:bdr w:val="none" w:sz="0" w:space="0" w:color="auto"/>
          <w:lang w:val="en-GB" w:eastAsia="en-GB"/>
        </w:rPr>
        <w:t>)</w:t>
      </w:r>
      <w:r w:rsidR="00870635" w:rsidRPr="00870635">
        <w:rPr>
          <w:rFonts w:eastAsia="Times New Roman"/>
          <w:bdr w:val="none" w:sz="0" w:space="0" w:color="auto"/>
          <w:lang w:val="en-GB" w:eastAsia="en-GB"/>
        </w:rPr>
        <w:t>. The Effect of Individual Perceptions of Deadlines on Team Performance. </w:t>
      </w:r>
      <w:r w:rsidR="00870635" w:rsidRPr="00870635">
        <w:rPr>
          <w:rFonts w:eastAsia="Times New Roman"/>
          <w:iCs/>
          <w:bdr w:val="none" w:sz="0" w:space="0" w:color="auto"/>
          <w:lang w:val="en-GB" w:eastAsia="en-GB"/>
        </w:rPr>
        <w:t>The Academy of Management Review</w:t>
      </w:r>
      <w:r w:rsidR="00870635" w:rsidRPr="00870635">
        <w:rPr>
          <w:rFonts w:eastAsia="Times New Roman"/>
          <w:bdr w:val="none" w:sz="0" w:space="0" w:color="auto"/>
          <w:lang w:val="en-GB" w:eastAsia="en-GB"/>
        </w:rPr>
        <w:t>, 26(4), pp.586–600.</w:t>
      </w:r>
    </w:p>
    <w:p w14:paraId="4E7AE8EE" w14:textId="1D0F91D0" w:rsidR="00870635" w:rsidRPr="004B0617" w:rsidRDefault="00870635" w:rsidP="00A712FB">
      <w:pPr>
        <w:pStyle w:val="Body"/>
        <w:spacing w:line="360" w:lineRule="auto"/>
        <w:rPr>
          <w:rFonts w:ascii="Times New Roman" w:eastAsia="Times New Roman" w:hAnsi="Times New Roman" w:cs="Times New Roman"/>
          <w:color w:val="auto"/>
          <w:sz w:val="24"/>
          <w:szCs w:val="24"/>
          <w:bdr w:val="none" w:sz="0" w:space="0" w:color="auto"/>
          <w:lang w:val="en-GB"/>
        </w:rPr>
      </w:pPr>
    </w:p>
    <w:p w14:paraId="7959945A" w14:textId="4A9EF9EC" w:rsidR="00870635" w:rsidRPr="004B0617" w:rsidRDefault="00870635" w:rsidP="00A712FB">
      <w:pPr>
        <w:pStyle w:val="Body"/>
        <w:spacing w:line="360" w:lineRule="auto"/>
        <w:rPr>
          <w:rFonts w:ascii="Times New Roman" w:eastAsia="Times New Roman" w:hAnsi="Times New Roman" w:cs="Times New Roman"/>
          <w:color w:val="auto"/>
          <w:sz w:val="24"/>
          <w:szCs w:val="24"/>
          <w:bdr w:val="none" w:sz="0" w:space="0" w:color="auto"/>
          <w:lang w:val="en-GB"/>
        </w:rPr>
      </w:pPr>
      <w:r w:rsidRPr="004B0617">
        <w:rPr>
          <w:rFonts w:ascii="Times New Roman" w:eastAsia="Times New Roman" w:hAnsi="Times New Roman" w:cs="Times New Roman"/>
          <w:color w:val="auto"/>
          <w:sz w:val="24"/>
          <w:szCs w:val="24"/>
          <w:bdr w:val="none" w:sz="0" w:space="0" w:color="auto"/>
          <w:lang w:val="en-GB"/>
        </w:rPr>
        <w:t>WELLS 20????</w:t>
      </w:r>
    </w:p>
    <w:p w14:paraId="68784E03" w14:textId="77777777" w:rsidR="00870635" w:rsidRPr="004B0617" w:rsidRDefault="00870635" w:rsidP="00A712FB">
      <w:pPr>
        <w:pStyle w:val="Body"/>
        <w:spacing w:line="360" w:lineRule="auto"/>
        <w:rPr>
          <w:rFonts w:ascii="Times New Roman" w:eastAsia="Times New Roman" w:hAnsi="Times New Roman" w:cs="Times New Roman"/>
          <w:color w:val="auto"/>
          <w:sz w:val="24"/>
          <w:szCs w:val="24"/>
          <w:bdr w:val="none" w:sz="0" w:space="0" w:color="auto"/>
          <w:lang w:val="en-GB"/>
        </w:rPr>
      </w:pPr>
    </w:p>
    <w:p w14:paraId="7A70D2A7" w14:textId="2EEB59FE" w:rsidR="00870635" w:rsidRPr="004B0617" w:rsidRDefault="00870635" w:rsidP="00A712FB">
      <w:pPr>
        <w:pStyle w:val="Body"/>
        <w:spacing w:line="360" w:lineRule="auto"/>
        <w:rPr>
          <w:rFonts w:ascii="Times New Roman" w:eastAsia="Times New Roman" w:hAnsi="Times New Roman" w:cs="Times New Roman"/>
          <w:color w:val="auto"/>
          <w:sz w:val="24"/>
          <w:szCs w:val="24"/>
          <w:bdr w:val="none" w:sz="0" w:space="0" w:color="auto"/>
          <w:lang w:val="en-GB"/>
        </w:rPr>
      </w:pPr>
      <w:r w:rsidRPr="004B0617">
        <w:rPr>
          <w:rFonts w:ascii="Times New Roman" w:eastAsia="Times New Roman" w:hAnsi="Times New Roman" w:cs="Times New Roman"/>
          <w:color w:val="auto"/>
          <w:sz w:val="24"/>
          <w:szCs w:val="24"/>
          <w:bdr w:val="none" w:sz="0" w:space="0" w:color="auto"/>
          <w:lang w:val="en-GB"/>
        </w:rPr>
        <w:t>WELLS 2011</w:t>
      </w:r>
    </w:p>
    <w:p w14:paraId="4B720BE3" w14:textId="77777777" w:rsidR="00870635" w:rsidRPr="004B0617" w:rsidRDefault="00870635" w:rsidP="00A712FB">
      <w:pPr>
        <w:pStyle w:val="Body"/>
        <w:spacing w:line="360" w:lineRule="auto"/>
        <w:rPr>
          <w:rFonts w:ascii="Times New Roman" w:eastAsia="Times New Roman" w:hAnsi="Times New Roman" w:cs="Times New Roman"/>
          <w:color w:val="auto"/>
          <w:sz w:val="24"/>
          <w:szCs w:val="24"/>
          <w:bdr w:val="none" w:sz="0" w:space="0" w:color="auto"/>
          <w:lang w:val="en-GB"/>
        </w:rPr>
      </w:pPr>
    </w:p>
    <w:p w14:paraId="61AD1E99" w14:textId="3F07BCAF" w:rsidR="00870635" w:rsidRPr="004B0617" w:rsidRDefault="00A712FB"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Wells, A.</w:t>
      </w:r>
      <w:r w:rsidR="00870635" w:rsidRPr="004B0617">
        <w:rPr>
          <w:rFonts w:ascii="Times New Roman" w:hAnsi="Times New Roman" w:cs="Times New Roman"/>
          <w:color w:val="auto"/>
          <w:sz w:val="24"/>
          <w:szCs w:val="24"/>
          <w:shd w:val="clear" w:color="auto" w:fill="FFFFFF"/>
        </w:rPr>
        <w:t xml:space="preserve">, </w:t>
      </w:r>
      <w:r w:rsidRPr="004B0617">
        <w:rPr>
          <w:rFonts w:ascii="Times New Roman" w:hAnsi="Times New Roman" w:cs="Times New Roman"/>
          <w:color w:val="auto"/>
          <w:sz w:val="24"/>
          <w:szCs w:val="24"/>
          <w:shd w:val="clear" w:color="auto" w:fill="FFFFFF"/>
        </w:rPr>
        <w:t>(</w:t>
      </w:r>
      <w:r w:rsidR="00870635" w:rsidRPr="004B0617">
        <w:rPr>
          <w:rFonts w:ascii="Times New Roman" w:hAnsi="Times New Roman" w:cs="Times New Roman"/>
          <w:color w:val="auto"/>
          <w:sz w:val="24"/>
          <w:szCs w:val="24"/>
          <w:shd w:val="clear" w:color="auto" w:fill="FFFFFF"/>
        </w:rPr>
        <w:t>2003</w:t>
      </w:r>
      <w:r w:rsidRPr="004B0617">
        <w:rPr>
          <w:rFonts w:ascii="Times New Roman" w:hAnsi="Times New Roman" w:cs="Times New Roman"/>
          <w:color w:val="auto"/>
          <w:sz w:val="24"/>
          <w:szCs w:val="24"/>
          <w:shd w:val="clear" w:color="auto" w:fill="FFFFFF"/>
        </w:rPr>
        <w:t>)</w:t>
      </w:r>
      <w:r w:rsidR="00870635" w:rsidRPr="004B0617">
        <w:rPr>
          <w:rFonts w:ascii="Times New Roman" w:hAnsi="Times New Roman" w:cs="Times New Roman"/>
          <w:color w:val="auto"/>
          <w:sz w:val="24"/>
          <w:szCs w:val="24"/>
          <w:shd w:val="clear" w:color="auto" w:fill="FFFFFF"/>
        </w:rPr>
        <w:t>. Getting the right literacy and numeracy skills for the 21st century. </w:t>
      </w:r>
      <w:r w:rsidR="00870635" w:rsidRPr="004B0617">
        <w:rPr>
          <w:rFonts w:ascii="Times New Roman" w:hAnsi="Times New Roman" w:cs="Times New Roman"/>
          <w:iCs/>
          <w:color w:val="auto"/>
          <w:sz w:val="24"/>
          <w:szCs w:val="24"/>
          <w:shd w:val="clear" w:color="auto" w:fill="FFFFFF"/>
        </w:rPr>
        <w:t>Education Review</w:t>
      </w:r>
      <w:r w:rsidR="00870635" w:rsidRPr="004B0617">
        <w:rPr>
          <w:rFonts w:ascii="Times New Roman" w:hAnsi="Times New Roman" w:cs="Times New Roman"/>
          <w:color w:val="auto"/>
          <w:sz w:val="24"/>
          <w:szCs w:val="24"/>
          <w:shd w:val="clear" w:color="auto" w:fill="FFFFFF"/>
        </w:rPr>
        <w:t>, 16(2), pp.8–13.</w:t>
      </w:r>
    </w:p>
    <w:p w14:paraId="5DC663A5" w14:textId="3279B12C"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p>
    <w:p w14:paraId="018EBAA2" w14:textId="60DC2E3D" w:rsidR="00113CDB" w:rsidRPr="004B0617" w:rsidRDefault="00113CDB"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 xml:space="preserve">Welsh Government, (2018). </w:t>
      </w:r>
      <w:r w:rsidR="00640B13" w:rsidRPr="004B0617">
        <w:rPr>
          <w:rFonts w:ascii="Times New Roman" w:hAnsi="Times New Roman" w:cs="Times New Roman"/>
          <w:color w:val="auto"/>
          <w:sz w:val="24"/>
          <w:szCs w:val="24"/>
          <w:shd w:val="clear" w:color="auto" w:fill="FFFFFF"/>
        </w:rPr>
        <w:t>School X. Available at: http://mylocalschool.wales.gov.uk</w:t>
      </w:r>
      <w:r w:rsidR="00640B13" w:rsidRPr="004B0617">
        <w:rPr>
          <w:rFonts w:ascii="Times New Roman" w:hAnsi="Times New Roman" w:cs="Times New Roman"/>
          <w:color w:val="auto"/>
          <w:sz w:val="24"/>
          <w:szCs w:val="24"/>
          <w:shd w:val="clear" w:color="auto" w:fill="FFFFFF"/>
        </w:rPr>
        <w:t xml:space="preserve"> </w:t>
      </w:r>
      <w:r w:rsidR="00640B13" w:rsidRPr="004B0617">
        <w:rPr>
          <w:rFonts w:ascii="Times New Roman" w:hAnsi="Times New Roman" w:cs="Times New Roman"/>
          <w:color w:val="auto"/>
          <w:sz w:val="24"/>
          <w:szCs w:val="24"/>
          <w:shd w:val="clear" w:color="auto" w:fill="FFFFFF"/>
        </w:rPr>
        <w:t>[accessed: 12 January 2019).</w:t>
      </w:r>
    </w:p>
    <w:p w14:paraId="15089A50" w14:textId="77777777" w:rsidR="00113CDB" w:rsidRPr="004B0617" w:rsidRDefault="00113CDB" w:rsidP="00A712FB">
      <w:pPr>
        <w:pStyle w:val="Body"/>
        <w:spacing w:line="360" w:lineRule="auto"/>
        <w:rPr>
          <w:rFonts w:ascii="Times New Roman" w:hAnsi="Times New Roman" w:cs="Times New Roman"/>
          <w:color w:val="auto"/>
          <w:sz w:val="24"/>
          <w:szCs w:val="24"/>
          <w:shd w:val="clear" w:color="auto" w:fill="FFFFFF"/>
        </w:rPr>
      </w:pPr>
    </w:p>
    <w:p w14:paraId="37E4A4B3" w14:textId="1D81BBA6"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Welsh Government</w:t>
      </w:r>
      <w:r w:rsidR="00A712FB"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(2018)</w:t>
      </w:r>
      <w:r w:rsidR="00F06414"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w:t>
      </w:r>
      <w:r w:rsidR="00F06414" w:rsidRPr="004B0617">
        <w:rPr>
          <w:rFonts w:ascii="Times New Roman" w:hAnsi="Times New Roman" w:cs="Times New Roman"/>
          <w:color w:val="auto"/>
          <w:sz w:val="24"/>
          <w:szCs w:val="24"/>
          <w:shd w:val="clear" w:color="auto" w:fill="FFFFFF"/>
        </w:rPr>
        <w:t>National</w:t>
      </w:r>
      <w:r w:rsidRPr="004B0617">
        <w:rPr>
          <w:rFonts w:ascii="Times New Roman" w:hAnsi="Times New Roman" w:cs="Times New Roman"/>
          <w:color w:val="auto"/>
          <w:sz w:val="24"/>
          <w:szCs w:val="24"/>
          <w:shd w:val="clear" w:color="auto" w:fill="FFFFFF"/>
        </w:rPr>
        <w:t xml:space="preserve"> School </w:t>
      </w:r>
      <w:r w:rsidR="00E85692" w:rsidRPr="004B0617">
        <w:rPr>
          <w:rFonts w:ascii="Times New Roman" w:hAnsi="Times New Roman" w:cs="Times New Roman"/>
          <w:color w:val="auto"/>
          <w:sz w:val="24"/>
          <w:szCs w:val="24"/>
          <w:shd w:val="clear" w:color="auto" w:fill="FFFFFF"/>
        </w:rPr>
        <w:t>Categorisation: Guidance. Cardiff: Welsh Government.</w:t>
      </w:r>
    </w:p>
    <w:p w14:paraId="363BCF7A" w14:textId="77777777"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p>
    <w:p w14:paraId="21EFAC82" w14:textId="150D0146" w:rsidR="00870635" w:rsidRPr="004B0617" w:rsidRDefault="00870635" w:rsidP="00A712FB">
      <w:pPr>
        <w:pStyle w:val="Body"/>
        <w:spacing w:line="360" w:lineRule="auto"/>
        <w:rPr>
          <w:rFonts w:ascii="Times New Roman" w:hAnsi="Times New Roman" w:cs="Times New Roman"/>
          <w:color w:val="auto"/>
          <w:sz w:val="24"/>
          <w:szCs w:val="24"/>
        </w:rPr>
      </w:pPr>
      <w:r w:rsidRPr="004B0617">
        <w:rPr>
          <w:rFonts w:ascii="Times New Roman" w:hAnsi="Times New Roman" w:cs="Times New Roman"/>
          <w:color w:val="auto"/>
          <w:sz w:val="24"/>
          <w:szCs w:val="24"/>
          <w:shd w:val="clear" w:color="auto" w:fill="FFFFFF"/>
        </w:rPr>
        <w:t>Welsh Government</w:t>
      </w:r>
      <w:r w:rsidR="00A712FB"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(2017)</w:t>
      </w:r>
      <w:r w:rsidR="00E85692" w:rsidRPr="004B0617">
        <w:rPr>
          <w:rFonts w:ascii="Times New Roman" w:hAnsi="Times New Roman" w:cs="Times New Roman"/>
          <w:color w:val="auto"/>
          <w:sz w:val="24"/>
          <w:szCs w:val="24"/>
          <w:shd w:val="clear" w:color="auto" w:fill="FFFFFF"/>
        </w:rPr>
        <w:t xml:space="preserve">. </w:t>
      </w:r>
      <w:r w:rsidR="00E85692" w:rsidRPr="004B0617">
        <w:rPr>
          <w:rFonts w:ascii="Times New Roman" w:hAnsi="Times New Roman" w:cs="Times New Roman"/>
          <w:color w:val="auto"/>
          <w:sz w:val="24"/>
          <w:szCs w:val="24"/>
        </w:rPr>
        <w:t>Evaluation of the National Literacy and Numeracy Programmes Final Report</w:t>
      </w:r>
      <w:r w:rsidR="00E85692" w:rsidRPr="004B0617">
        <w:rPr>
          <w:rFonts w:ascii="Times New Roman" w:hAnsi="Times New Roman" w:cs="Times New Roman"/>
          <w:color w:val="auto"/>
          <w:sz w:val="24"/>
          <w:szCs w:val="24"/>
        </w:rPr>
        <w:t>. Cardiff.</w:t>
      </w:r>
    </w:p>
    <w:p w14:paraId="2EF6AA01" w14:textId="77777777" w:rsidR="00E85692" w:rsidRPr="004B0617" w:rsidRDefault="00E85692" w:rsidP="00A712FB">
      <w:pPr>
        <w:pStyle w:val="Body"/>
        <w:spacing w:line="360" w:lineRule="auto"/>
        <w:rPr>
          <w:rFonts w:ascii="Times New Roman" w:hAnsi="Times New Roman" w:cs="Times New Roman"/>
          <w:color w:val="auto"/>
          <w:sz w:val="24"/>
          <w:szCs w:val="24"/>
          <w:shd w:val="clear" w:color="auto" w:fill="FFFFFF"/>
        </w:rPr>
      </w:pPr>
    </w:p>
    <w:p w14:paraId="14B49F83" w14:textId="2A31FE3F"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Welsh Government</w:t>
      </w:r>
      <w:r w:rsidR="00A712FB"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(2013</w:t>
      </w:r>
      <w:r w:rsidR="00A712FB" w:rsidRPr="004B0617">
        <w:rPr>
          <w:rFonts w:ascii="Times New Roman" w:hAnsi="Times New Roman" w:cs="Times New Roman"/>
          <w:color w:val="auto"/>
          <w:sz w:val="24"/>
          <w:szCs w:val="24"/>
          <w:shd w:val="clear" w:color="auto" w:fill="FFFFFF"/>
        </w:rPr>
        <w:t>). National Literacy and Numeracy Framework. Cardiff: Welsh Government.</w:t>
      </w:r>
    </w:p>
    <w:p w14:paraId="5FEF994D" w14:textId="41D4F8E9" w:rsidR="00AC7153" w:rsidRPr="004B0617" w:rsidRDefault="00AC7153" w:rsidP="00A712FB">
      <w:pPr>
        <w:pStyle w:val="Body"/>
        <w:spacing w:line="360" w:lineRule="auto"/>
        <w:rPr>
          <w:rFonts w:ascii="Times New Roman" w:hAnsi="Times New Roman" w:cs="Times New Roman"/>
          <w:color w:val="auto"/>
          <w:sz w:val="24"/>
          <w:szCs w:val="24"/>
          <w:shd w:val="clear" w:color="auto" w:fill="FFFFFF"/>
        </w:rPr>
      </w:pPr>
    </w:p>
    <w:p w14:paraId="6590606A" w14:textId="647AF962" w:rsidR="00870635" w:rsidRPr="004B0617" w:rsidRDefault="00870635" w:rsidP="00A712FB">
      <w:pPr>
        <w:pStyle w:val="Body"/>
        <w:spacing w:line="360" w:lineRule="auto"/>
        <w:rPr>
          <w:rFonts w:ascii="Times New Roman" w:hAnsi="Times New Roman" w:cs="Times New Roman"/>
          <w:color w:val="auto"/>
          <w:sz w:val="24"/>
          <w:szCs w:val="24"/>
          <w:shd w:val="clear" w:color="auto" w:fill="FFFFFF"/>
        </w:rPr>
      </w:pPr>
      <w:r w:rsidRPr="004B0617">
        <w:rPr>
          <w:rFonts w:ascii="Times New Roman" w:hAnsi="Times New Roman" w:cs="Times New Roman"/>
          <w:color w:val="auto"/>
          <w:sz w:val="24"/>
          <w:szCs w:val="24"/>
          <w:shd w:val="clear" w:color="auto" w:fill="FFFFFF"/>
        </w:rPr>
        <w:t>Welsh Government</w:t>
      </w:r>
      <w:r w:rsidR="00A712FB" w:rsidRPr="004B0617">
        <w:rPr>
          <w:rFonts w:ascii="Times New Roman" w:hAnsi="Times New Roman" w:cs="Times New Roman"/>
          <w:color w:val="auto"/>
          <w:sz w:val="24"/>
          <w:szCs w:val="24"/>
          <w:shd w:val="clear" w:color="auto" w:fill="FFFFFF"/>
        </w:rPr>
        <w:t>,</w:t>
      </w:r>
      <w:r w:rsidRPr="004B0617">
        <w:rPr>
          <w:rFonts w:ascii="Times New Roman" w:hAnsi="Times New Roman" w:cs="Times New Roman"/>
          <w:color w:val="auto"/>
          <w:sz w:val="24"/>
          <w:szCs w:val="24"/>
          <w:shd w:val="clear" w:color="auto" w:fill="FFFFFF"/>
        </w:rPr>
        <w:t xml:space="preserve"> (2008)</w:t>
      </w:r>
      <w:r w:rsidR="00F06414" w:rsidRPr="004B0617">
        <w:rPr>
          <w:rFonts w:ascii="Times New Roman" w:hAnsi="Times New Roman" w:cs="Times New Roman"/>
          <w:color w:val="auto"/>
          <w:sz w:val="24"/>
          <w:szCs w:val="24"/>
          <w:shd w:val="clear" w:color="auto" w:fill="FFFFFF"/>
        </w:rPr>
        <w:t xml:space="preserve">. Skills framework </w:t>
      </w:r>
      <w:r w:rsidR="00F06414" w:rsidRPr="004B0617">
        <w:rPr>
          <w:rFonts w:ascii="Times New Roman" w:hAnsi="Times New Roman" w:cs="Times New Roman"/>
          <w:color w:val="auto"/>
          <w:sz w:val="24"/>
          <w:szCs w:val="24"/>
          <w:shd w:val="clear" w:color="auto" w:fill="FFFFFF"/>
        </w:rPr>
        <w:t>for 3 to 19-year-olds</w:t>
      </w:r>
      <w:r w:rsidR="00F06414" w:rsidRPr="004B0617">
        <w:rPr>
          <w:rFonts w:ascii="Times New Roman" w:hAnsi="Times New Roman" w:cs="Times New Roman"/>
          <w:color w:val="auto"/>
          <w:sz w:val="24"/>
          <w:szCs w:val="24"/>
          <w:shd w:val="clear" w:color="auto" w:fill="FFFFFF"/>
        </w:rPr>
        <w:t xml:space="preserve"> in Wales. Cardiff: Welsh Government.</w:t>
      </w:r>
    </w:p>
    <w:p w14:paraId="5CBE093B" w14:textId="76B0D515" w:rsidR="00113CDB" w:rsidRPr="004B0617" w:rsidRDefault="00113CDB" w:rsidP="00A712FB">
      <w:pPr>
        <w:pStyle w:val="Body"/>
        <w:spacing w:line="360" w:lineRule="auto"/>
        <w:rPr>
          <w:rFonts w:ascii="Times New Roman" w:hAnsi="Times New Roman" w:cs="Times New Roman"/>
          <w:color w:val="auto"/>
          <w:sz w:val="24"/>
          <w:szCs w:val="24"/>
          <w:shd w:val="clear" w:color="auto" w:fill="FFFFFF"/>
        </w:rPr>
      </w:pPr>
    </w:p>
    <w:p w14:paraId="6FACA35C" w14:textId="77777777" w:rsidR="00113CDB" w:rsidRPr="004B0617" w:rsidRDefault="00113CDB" w:rsidP="00113CDB">
      <w:pPr>
        <w:pStyle w:val="Body"/>
        <w:spacing w:line="360" w:lineRule="auto"/>
        <w:rPr>
          <w:rFonts w:ascii="Times New Roman" w:hAnsi="Times New Roman" w:cs="Times New Roman"/>
          <w:color w:val="auto"/>
          <w:sz w:val="24"/>
          <w:szCs w:val="24"/>
          <w:shd w:val="clear" w:color="auto" w:fill="FFFFFF"/>
        </w:rPr>
      </w:pPr>
    </w:p>
    <w:p w14:paraId="78EB8867" w14:textId="77777777" w:rsidR="00113CDB" w:rsidRPr="004B0617" w:rsidRDefault="00113CDB" w:rsidP="00A712FB">
      <w:pPr>
        <w:pStyle w:val="Body"/>
        <w:spacing w:line="360" w:lineRule="auto"/>
        <w:rPr>
          <w:rFonts w:ascii="Times New Roman" w:hAnsi="Times New Roman" w:cs="Times New Roman"/>
          <w:color w:val="auto"/>
          <w:sz w:val="24"/>
          <w:szCs w:val="24"/>
          <w:shd w:val="clear" w:color="auto" w:fill="FFFFFF"/>
        </w:rPr>
      </w:pPr>
    </w:p>
    <w:sectPr w:rsidR="00113CDB" w:rsidRPr="004B0617">
      <w:headerReference w:type="even" r:id="rId12"/>
      <w:headerReference w:type="default" r:id="rId13"/>
      <w:footerReference w:type="even" r:id="rId14"/>
      <w:footerReference w:type="default" r:id="rId15"/>
      <w:headerReference w:type="first" r:id="rId16"/>
      <w:footerReference w:type="first" r:id="rId17"/>
      <w:pgSz w:w="11906" w:h="16838"/>
      <w:pgMar w:top="1134" w:right="1134" w:bottom="1134" w:left="1134" w:header="850" w:footer="85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lly Jones" w:date="2019-01-18T11:42:00Z" w:initials="">
    <w:p w14:paraId="1D92050E" w14:textId="77777777" w:rsidR="00E13D6F" w:rsidRDefault="00E13D6F">
      <w:pPr>
        <w:pStyle w:val="Default"/>
      </w:pPr>
    </w:p>
    <w:p w14:paraId="05D8AF40" w14:textId="77777777" w:rsidR="00E13D6F" w:rsidRDefault="0020437B">
      <w:pPr>
        <w:pStyle w:val="Default"/>
      </w:pPr>
      <w:r>
        <w:rPr>
          <w:rFonts w:eastAsia="Arial Unicode MS" w:cs="Arial Unicode MS"/>
        </w:rPr>
        <w:t>Double check these figures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5D8AF4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5D8AF40" w16cid:durableId="1FF81B6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F08FC2" w14:textId="77777777" w:rsidR="0048576C" w:rsidRDefault="0020437B">
      <w:r>
        <w:separator/>
      </w:r>
    </w:p>
  </w:endnote>
  <w:endnote w:type="continuationSeparator" w:id="0">
    <w:p w14:paraId="0CEB3447" w14:textId="77777777" w:rsidR="0048576C" w:rsidRDefault="002043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Myriad Pro"/>
    <w:charset w:val="00"/>
    <w:family w:val="auto"/>
    <w:pitch w:val="variable"/>
    <w:sig w:usb0="00000003"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7325C7" w14:textId="77777777" w:rsidR="00904461" w:rsidRDefault="009044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8B03B" w14:textId="29CD4721" w:rsidR="00E13D6F" w:rsidRDefault="0020437B">
    <w:pPr>
      <w:pStyle w:val="HeaderFooter"/>
      <w:tabs>
        <w:tab w:val="clear" w:pos="9020"/>
        <w:tab w:val="center" w:pos="4819"/>
        <w:tab w:val="right" w:pos="9638"/>
      </w:tabs>
    </w:pPr>
    <w:r>
      <w:tab/>
    </w:r>
    <w:r>
      <w:fldChar w:fldCharType="begin"/>
    </w:r>
    <w:r>
      <w:instrText xml:space="preserve"> PAGE </w:instrText>
    </w:r>
    <w:r>
      <w:fldChar w:fldCharType="separate"/>
    </w:r>
    <w:r w:rsidR="005952E6">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B20718" w14:textId="77777777" w:rsidR="00904461" w:rsidRDefault="00904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953122" w14:textId="77777777" w:rsidR="0048576C" w:rsidRDefault="0020437B">
      <w:r>
        <w:separator/>
      </w:r>
    </w:p>
  </w:footnote>
  <w:footnote w:type="continuationSeparator" w:id="0">
    <w:p w14:paraId="23D86C58" w14:textId="77777777" w:rsidR="0048576C" w:rsidRDefault="002043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1A85A" w14:textId="77777777" w:rsidR="00904461" w:rsidRDefault="009044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199413" w14:textId="77777777" w:rsidR="00E13D6F" w:rsidRDefault="00E13D6F"/>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7A3F5" w14:textId="77777777" w:rsidR="00904461" w:rsidRDefault="009044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D6F"/>
    <w:rsid w:val="00032E68"/>
    <w:rsid w:val="000E040D"/>
    <w:rsid w:val="00113CDB"/>
    <w:rsid w:val="001B0733"/>
    <w:rsid w:val="001D24D6"/>
    <w:rsid w:val="0020437B"/>
    <w:rsid w:val="002F7A6D"/>
    <w:rsid w:val="00360E5A"/>
    <w:rsid w:val="004356D3"/>
    <w:rsid w:val="0048576C"/>
    <w:rsid w:val="004B0617"/>
    <w:rsid w:val="004E2CE3"/>
    <w:rsid w:val="005952E6"/>
    <w:rsid w:val="00605C1F"/>
    <w:rsid w:val="00640B13"/>
    <w:rsid w:val="007A3975"/>
    <w:rsid w:val="007E4E93"/>
    <w:rsid w:val="00817E27"/>
    <w:rsid w:val="00834645"/>
    <w:rsid w:val="00870635"/>
    <w:rsid w:val="008F1F06"/>
    <w:rsid w:val="00904461"/>
    <w:rsid w:val="009D1BA8"/>
    <w:rsid w:val="009D7FD8"/>
    <w:rsid w:val="00A712FB"/>
    <w:rsid w:val="00AA4EF1"/>
    <w:rsid w:val="00AC3D40"/>
    <w:rsid w:val="00AC7153"/>
    <w:rsid w:val="00B605E2"/>
    <w:rsid w:val="00DE3D9A"/>
    <w:rsid w:val="00E13D6F"/>
    <w:rsid w:val="00E85692"/>
    <w:rsid w:val="00F06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55F3D6"/>
  <w15:docId w15:val="{C868C3C7-C479-B64F-9D53-DCFEAF12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605C1F"/>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759E" w:themeColor="accent1" w:themeShade="BF"/>
      <w:sz w:val="32"/>
      <w:szCs w:val="32"/>
      <w:bdr w:val="none" w:sz="0" w:space="0" w:color="auto"/>
    </w:rPr>
  </w:style>
  <w:style w:type="paragraph" w:styleId="Heading2">
    <w:name w:val="heading 2"/>
    <w:basedOn w:val="Normal"/>
    <w:next w:val="Normal"/>
    <w:link w:val="Heading2Char"/>
    <w:qFormat/>
    <w:rsid w:val="00605C1F"/>
    <w:pPr>
      <w:keepNext/>
      <w:pBdr>
        <w:top w:val="none" w:sz="0" w:space="0" w:color="auto"/>
        <w:left w:val="none" w:sz="0" w:space="0" w:color="auto"/>
        <w:bottom w:val="none" w:sz="0" w:space="0" w:color="auto"/>
        <w:right w:val="none" w:sz="0" w:space="0" w:color="auto"/>
        <w:between w:val="none" w:sz="0" w:space="0" w:color="auto"/>
        <w:bar w:val="none" w:sz="0" w:color="auto"/>
      </w:pBdr>
      <w:jc w:val="both"/>
      <w:outlineLvl w:val="1"/>
    </w:pPr>
    <w:rPr>
      <w:rFonts w:eastAsia="Times New Roman"/>
      <w:b/>
      <w:szCs w:val="20"/>
      <w:bdr w:val="none" w:sz="0" w:space="0" w:color="auto"/>
      <w:lang w:val="en-GB" w:eastAsia="en-GB"/>
    </w:rPr>
  </w:style>
  <w:style w:type="paragraph" w:styleId="Heading3">
    <w:name w:val="heading 3"/>
    <w:basedOn w:val="Normal"/>
    <w:next w:val="Normal"/>
    <w:link w:val="Heading3Char"/>
    <w:uiPriority w:val="9"/>
    <w:semiHidden/>
    <w:unhideWhenUsed/>
    <w:qFormat/>
    <w:rsid w:val="00DE3D9A"/>
    <w:pPr>
      <w:keepNext/>
      <w:keepLines/>
      <w:spacing w:before="40"/>
      <w:outlineLvl w:val="2"/>
    </w:pPr>
    <w:rPr>
      <w:rFonts w:asciiTheme="majorHAnsi" w:eastAsiaTheme="majorEastAsia" w:hAnsiTheme="majorHAnsi" w:cstheme="majorBidi"/>
      <w:color w:val="1F4E69" w:themeColor="accent1" w:themeShade="7F"/>
    </w:rPr>
  </w:style>
  <w:style w:type="paragraph" w:styleId="Heading4">
    <w:name w:val="heading 4"/>
    <w:basedOn w:val="Normal"/>
    <w:next w:val="Normal"/>
    <w:link w:val="Heading4Char"/>
    <w:qFormat/>
    <w:rsid w:val="00605C1F"/>
    <w:pPr>
      <w:keepNext/>
      <w:pBdr>
        <w:top w:val="none" w:sz="0" w:space="0" w:color="auto"/>
        <w:left w:val="none" w:sz="0" w:space="0" w:color="auto"/>
        <w:bottom w:val="none" w:sz="0" w:space="0" w:color="auto"/>
        <w:right w:val="none" w:sz="0" w:space="0" w:color="auto"/>
        <w:between w:val="none" w:sz="0" w:space="0" w:color="auto"/>
        <w:bar w:val="none" w:sz="0" w:color="auto"/>
      </w:pBdr>
      <w:spacing w:before="120" w:after="120"/>
      <w:jc w:val="center"/>
      <w:outlineLvl w:val="3"/>
    </w:pPr>
    <w:rPr>
      <w:rFonts w:eastAsia="Times New Roman"/>
      <w:sz w:val="40"/>
      <w:szCs w:val="20"/>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
    <w:name w:val="Body"/>
    <w:rPr>
      <w:rFonts w:ascii="Helvetica" w:hAnsi="Helvetica" w:cs="Arial Unicode MS"/>
      <w:color w:val="000000"/>
      <w:sz w:val="22"/>
      <w:szCs w:val="22"/>
      <w:lang w:val="en-US"/>
    </w:rPr>
  </w:style>
  <w:style w:type="paragraph" w:customStyle="1" w:styleId="Default">
    <w:name w:val="Default"/>
    <w:rPr>
      <w:rFonts w:ascii="Helvetica" w:eastAsia="Helvetica" w:hAnsi="Helvetica" w:cs="Helvetica"/>
      <w:color w:val="000000"/>
      <w:sz w:val="22"/>
      <w:szCs w:val="22"/>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nhideWhenUsed/>
    <w:rsid w:val="00904461"/>
    <w:pPr>
      <w:tabs>
        <w:tab w:val="center" w:pos="4513"/>
        <w:tab w:val="right" w:pos="9026"/>
      </w:tabs>
    </w:pPr>
  </w:style>
  <w:style w:type="character" w:customStyle="1" w:styleId="HeaderChar">
    <w:name w:val="Header Char"/>
    <w:basedOn w:val="DefaultParagraphFont"/>
    <w:link w:val="Header"/>
    <w:rsid w:val="00904461"/>
    <w:rPr>
      <w:sz w:val="24"/>
      <w:szCs w:val="24"/>
      <w:lang w:val="en-US" w:eastAsia="en-US"/>
    </w:rPr>
  </w:style>
  <w:style w:type="paragraph" w:styleId="Footer">
    <w:name w:val="footer"/>
    <w:basedOn w:val="Normal"/>
    <w:link w:val="FooterChar"/>
    <w:uiPriority w:val="99"/>
    <w:unhideWhenUsed/>
    <w:rsid w:val="00904461"/>
    <w:pPr>
      <w:tabs>
        <w:tab w:val="center" w:pos="4513"/>
        <w:tab w:val="right" w:pos="9026"/>
      </w:tabs>
    </w:pPr>
  </w:style>
  <w:style w:type="character" w:customStyle="1" w:styleId="FooterChar">
    <w:name w:val="Footer Char"/>
    <w:basedOn w:val="DefaultParagraphFont"/>
    <w:link w:val="Footer"/>
    <w:uiPriority w:val="99"/>
    <w:rsid w:val="00904461"/>
    <w:rPr>
      <w:sz w:val="24"/>
      <w:szCs w:val="24"/>
      <w:lang w:val="en-US" w:eastAsia="en-US"/>
    </w:rPr>
  </w:style>
  <w:style w:type="paragraph" w:styleId="BalloonText">
    <w:name w:val="Balloon Text"/>
    <w:basedOn w:val="Normal"/>
    <w:link w:val="BalloonTextChar"/>
    <w:uiPriority w:val="99"/>
    <w:semiHidden/>
    <w:unhideWhenUsed/>
    <w:rsid w:val="00605C1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5C1F"/>
    <w:rPr>
      <w:rFonts w:ascii="Segoe UI" w:hAnsi="Segoe UI" w:cs="Segoe UI"/>
      <w:sz w:val="18"/>
      <w:szCs w:val="18"/>
      <w:lang w:val="en-US" w:eastAsia="en-US"/>
    </w:rPr>
  </w:style>
  <w:style w:type="character" w:customStyle="1" w:styleId="Heading2Char">
    <w:name w:val="Heading 2 Char"/>
    <w:basedOn w:val="DefaultParagraphFont"/>
    <w:link w:val="Heading2"/>
    <w:rsid w:val="00605C1F"/>
    <w:rPr>
      <w:rFonts w:eastAsia="Times New Roman"/>
      <w:b/>
      <w:sz w:val="24"/>
      <w:bdr w:val="none" w:sz="0" w:space="0" w:color="auto"/>
    </w:rPr>
  </w:style>
  <w:style w:type="character" w:customStyle="1" w:styleId="Heading4Char">
    <w:name w:val="Heading 4 Char"/>
    <w:basedOn w:val="DefaultParagraphFont"/>
    <w:link w:val="Heading4"/>
    <w:rsid w:val="00605C1F"/>
    <w:rPr>
      <w:rFonts w:eastAsia="Times New Roman"/>
      <w:sz w:val="40"/>
      <w:bdr w:val="none" w:sz="0" w:space="0" w:color="auto"/>
    </w:rPr>
  </w:style>
  <w:style w:type="character" w:customStyle="1" w:styleId="Heading1Char">
    <w:name w:val="Heading 1 Char"/>
    <w:basedOn w:val="DefaultParagraphFont"/>
    <w:link w:val="Heading1"/>
    <w:uiPriority w:val="9"/>
    <w:rsid w:val="00605C1F"/>
    <w:rPr>
      <w:rFonts w:asciiTheme="majorHAnsi" w:eastAsiaTheme="majorEastAsia" w:hAnsiTheme="majorHAnsi" w:cstheme="majorBidi"/>
      <w:color w:val="2F759E" w:themeColor="accent1" w:themeShade="BF"/>
      <w:sz w:val="32"/>
      <w:szCs w:val="32"/>
      <w:bdr w:val="none" w:sz="0" w:space="0" w:color="auto"/>
      <w:lang w:val="en-US" w:eastAsia="en-US"/>
    </w:rPr>
  </w:style>
  <w:style w:type="character" w:customStyle="1" w:styleId="Heading3Char">
    <w:name w:val="Heading 3 Char"/>
    <w:basedOn w:val="DefaultParagraphFont"/>
    <w:link w:val="Heading3"/>
    <w:uiPriority w:val="9"/>
    <w:semiHidden/>
    <w:rsid w:val="00DE3D9A"/>
    <w:rPr>
      <w:rFonts w:asciiTheme="majorHAnsi" w:eastAsiaTheme="majorEastAsia" w:hAnsiTheme="majorHAnsi" w:cstheme="majorBidi"/>
      <w:color w:val="1F4E69" w:themeColor="accent1" w:themeShade="7F"/>
      <w:sz w:val="24"/>
      <w:szCs w:val="24"/>
      <w:lang w:val="en-US" w:eastAsia="en-US"/>
    </w:rPr>
  </w:style>
  <w:style w:type="character" w:customStyle="1" w:styleId="media-delimiter">
    <w:name w:val="media-delimiter"/>
    <w:basedOn w:val="DefaultParagraphFont"/>
    <w:rsid w:val="00DE3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7706138">
      <w:bodyDiv w:val="1"/>
      <w:marLeft w:val="0"/>
      <w:marRight w:val="0"/>
      <w:marTop w:val="0"/>
      <w:marBottom w:val="0"/>
      <w:divBdr>
        <w:top w:val="none" w:sz="0" w:space="0" w:color="auto"/>
        <w:left w:val="none" w:sz="0" w:space="0" w:color="auto"/>
        <w:bottom w:val="none" w:sz="0" w:space="0" w:color="auto"/>
        <w:right w:val="none" w:sz="0" w:space="0" w:color="auto"/>
      </w:divBdr>
      <w:divsChild>
        <w:div w:id="1023701794">
          <w:marLeft w:val="0"/>
          <w:marRight w:val="0"/>
          <w:marTop w:val="0"/>
          <w:marBottom w:val="0"/>
          <w:divBdr>
            <w:top w:val="none" w:sz="0" w:space="0" w:color="auto"/>
            <w:left w:val="none" w:sz="0" w:space="0" w:color="auto"/>
            <w:bottom w:val="none" w:sz="0" w:space="0" w:color="auto"/>
            <w:right w:val="none" w:sz="0" w:space="0" w:color="auto"/>
          </w:divBdr>
        </w:div>
        <w:div w:id="321931283">
          <w:marLeft w:val="0"/>
          <w:marRight w:val="0"/>
          <w:marTop w:val="0"/>
          <w:marBottom w:val="0"/>
          <w:divBdr>
            <w:top w:val="none" w:sz="0" w:space="0" w:color="auto"/>
            <w:left w:val="none" w:sz="0" w:space="0" w:color="auto"/>
            <w:bottom w:val="none" w:sz="0" w:space="0" w:color="auto"/>
            <w:right w:val="none" w:sz="0" w:space="0" w:color="auto"/>
          </w:divBdr>
        </w:div>
      </w:divsChild>
    </w:div>
    <w:div w:id="1795556519">
      <w:bodyDiv w:val="1"/>
      <w:marLeft w:val="0"/>
      <w:marRight w:val="0"/>
      <w:marTop w:val="0"/>
      <w:marBottom w:val="0"/>
      <w:divBdr>
        <w:top w:val="none" w:sz="0" w:space="0" w:color="auto"/>
        <w:left w:val="none" w:sz="0" w:space="0" w:color="auto"/>
        <w:bottom w:val="none" w:sz="0" w:space="0" w:color="auto"/>
        <w:right w:val="none" w:sz="0" w:space="0" w:color="auto"/>
      </w:divBdr>
      <w:divsChild>
        <w:div w:id="1614946079">
          <w:marLeft w:val="0"/>
          <w:marRight w:val="0"/>
          <w:marTop w:val="0"/>
          <w:marBottom w:val="0"/>
          <w:divBdr>
            <w:top w:val="none" w:sz="0" w:space="0" w:color="auto"/>
            <w:left w:val="none" w:sz="0" w:space="0" w:color="auto"/>
            <w:bottom w:val="none" w:sz="0" w:space="0" w:color="auto"/>
            <w:right w:val="none" w:sz="0" w:space="0" w:color="auto"/>
          </w:divBdr>
          <w:divsChild>
            <w:div w:id="12014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591142">
      <w:bodyDiv w:val="1"/>
      <w:marLeft w:val="0"/>
      <w:marRight w:val="0"/>
      <w:marTop w:val="0"/>
      <w:marBottom w:val="0"/>
      <w:divBdr>
        <w:top w:val="none" w:sz="0" w:space="0" w:color="auto"/>
        <w:left w:val="none" w:sz="0" w:space="0" w:color="auto"/>
        <w:bottom w:val="none" w:sz="0" w:space="0" w:color="auto"/>
        <w:right w:val="none" w:sz="0" w:space="0" w:color="auto"/>
      </w:divBdr>
      <w:divsChild>
        <w:div w:id="1908496737">
          <w:marLeft w:val="0"/>
          <w:marRight w:val="0"/>
          <w:marTop w:val="0"/>
          <w:marBottom w:val="0"/>
          <w:divBdr>
            <w:top w:val="none" w:sz="0" w:space="0" w:color="auto"/>
            <w:left w:val="none" w:sz="0" w:space="0" w:color="auto"/>
            <w:bottom w:val="none" w:sz="0" w:space="0" w:color="auto"/>
            <w:right w:val="none" w:sz="0" w:space="0" w:color="auto"/>
          </w:divBdr>
          <w:divsChild>
            <w:div w:id="208170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omments" Target="comments.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BCE624-D1ED-47B1-9803-AE3CE9C07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5001</Words>
  <Characters>28511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Jones (1804366)</dc:creator>
  <cp:lastModifiedBy>Kelly Jones (1804366)</cp:lastModifiedBy>
  <cp:revision>5</cp:revision>
  <dcterms:created xsi:type="dcterms:W3CDTF">2019-01-27T14:50:00Z</dcterms:created>
  <dcterms:modified xsi:type="dcterms:W3CDTF">2019-01-27T14:57:00Z</dcterms:modified>
</cp:coreProperties>
</file>