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3031D" w14:textId="3200AB5E" w:rsidR="00335583" w:rsidRDefault="0093379D" w:rsidP="00723D25">
      <w:pPr>
        <w:spacing w:after="0" w:line="360" w:lineRule="auto"/>
        <w:contextualSpacing/>
        <w:rPr>
          <w:rFonts w:ascii="Times New Roman" w:hAnsi="Times New Roman" w:cs="Times New Roman"/>
          <w:b/>
          <w:i/>
          <w:sz w:val="24"/>
          <w:szCs w:val="24"/>
        </w:rPr>
      </w:pPr>
      <w:r>
        <w:rPr>
          <w:rFonts w:ascii="Times New Roman" w:hAnsi="Times New Roman" w:cs="Times New Roman"/>
          <w:b/>
          <w:i/>
          <w:sz w:val="24"/>
          <w:szCs w:val="24"/>
        </w:rPr>
        <w:t>NAME:  NASSON MSONI</w:t>
      </w:r>
    </w:p>
    <w:p w14:paraId="490A8B01" w14:textId="32AD00B3" w:rsidR="0093379D" w:rsidRDefault="0093379D" w:rsidP="00723D25">
      <w:pPr>
        <w:spacing w:after="0" w:line="360" w:lineRule="auto"/>
        <w:contextualSpacing/>
        <w:rPr>
          <w:rFonts w:ascii="Times New Roman" w:hAnsi="Times New Roman" w:cs="Times New Roman"/>
          <w:b/>
          <w:i/>
          <w:sz w:val="24"/>
          <w:szCs w:val="24"/>
        </w:rPr>
      </w:pPr>
      <w:r>
        <w:rPr>
          <w:rFonts w:ascii="Times New Roman" w:hAnsi="Times New Roman" w:cs="Times New Roman"/>
          <w:b/>
          <w:i/>
          <w:sz w:val="24"/>
          <w:szCs w:val="24"/>
        </w:rPr>
        <w:t>STUDENT NUMBER: 2244265</w:t>
      </w:r>
    </w:p>
    <w:p w14:paraId="0294C697" w14:textId="13C4C870" w:rsidR="00082334" w:rsidRPr="00244912" w:rsidRDefault="00085568" w:rsidP="00723D25">
      <w:pPr>
        <w:spacing w:after="0" w:line="360" w:lineRule="auto"/>
        <w:contextualSpacing/>
        <w:rPr>
          <w:rFonts w:ascii="Times New Roman" w:hAnsi="Times New Roman" w:cs="Times New Roman"/>
          <w:bCs/>
          <w:i/>
          <w:sz w:val="24"/>
          <w:szCs w:val="24"/>
        </w:rPr>
      </w:pPr>
      <w:r w:rsidRPr="00244912">
        <w:rPr>
          <w:rFonts w:ascii="Times New Roman" w:hAnsi="Times New Roman" w:cs="Times New Roman"/>
          <w:b/>
          <w:i/>
          <w:sz w:val="24"/>
          <w:szCs w:val="24"/>
        </w:rPr>
        <w:t>BMLW400</w:t>
      </w:r>
      <w:r w:rsidRPr="00244912">
        <w:rPr>
          <w:rFonts w:ascii="Times New Roman" w:hAnsi="Times New Roman" w:cs="Times New Roman"/>
          <w:bCs/>
          <w:i/>
          <w:sz w:val="24"/>
          <w:szCs w:val="24"/>
        </w:rPr>
        <w:t>7</w:t>
      </w:r>
    </w:p>
    <w:p w14:paraId="1B5B6301" w14:textId="77777777" w:rsidR="00335583" w:rsidRPr="00252074" w:rsidRDefault="00335583" w:rsidP="00723D25">
      <w:pPr>
        <w:spacing w:after="0" w:line="360" w:lineRule="auto"/>
        <w:contextualSpacing/>
        <w:rPr>
          <w:rFonts w:ascii="Times New Roman" w:hAnsi="Times New Roman" w:cs="Times New Roman"/>
          <w:b/>
          <w:i/>
          <w:sz w:val="24"/>
          <w:szCs w:val="24"/>
        </w:rPr>
      </w:pPr>
    </w:p>
    <w:p w14:paraId="1BF1CD65" w14:textId="77777777" w:rsidR="00335583" w:rsidRPr="00252074" w:rsidRDefault="00335583" w:rsidP="00723D25">
      <w:pPr>
        <w:spacing w:after="0" w:line="360" w:lineRule="auto"/>
        <w:contextualSpacing/>
        <w:rPr>
          <w:rFonts w:ascii="Times New Roman" w:hAnsi="Times New Roman" w:cs="Times New Roman"/>
          <w:b/>
          <w:i/>
          <w:sz w:val="24"/>
          <w:szCs w:val="24"/>
        </w:rPr>
      </w:pPr>
    </w:p>
    <w:p w14:paraId="26615FBA" w14:textId="77777777" w:rsidR="00335583" w:rsidRPr="00252074" w:rsidRDefault="00335583" w:rsidP="00723D25">
      <w:pPr>
        <w:spacing w:after="0" w:line="360" w:lineRule="auto"/>
        <w:contextualSpacing/>
        <w:rPr>
          <w:rFonts w:ascii="Times New Roman" w:hAnsi="Times New Roman" w:cs="Times New Roman"/>
          <w:b/>
          <w:i/>
          <w:sz w:val="24"/>
          <w:szCs w:val="24"/>
        </w:rPr>
      </w:pPr>
    </w:p>
    <w:p w14:paraId="00A239B7" w14:textId="77777777" w:rsidR="00335583" w:rsidRPr="00252074" w:rsidRDefault="00335583" w:rsidP="00723D25">
      <w:pPr>
        <w:spacing w:after="0" w:line="360" w:lineRule="auto"/>
        <w:contextualSpacing/>
        <w:rPr>
          <w:rFonts w:ascii="Times New Roman" w:hAnsi="Times New Roman" w:cs="Times New Roman"/>
          <w:b/>
          <w:i/>
          <w:sz w:val="24"/>
          <w:szCs w:val="24"/>
        </w:rPr>
      </w:pPr>
    </w:p>
    <w:p w14:paraId="6A8CDE78" w14:textId="77777777" w:rsidR="00335583" w:rsidRPr="00252074" w:rsidRDefault="00335583" w:rsidP="00723D25">
      <w:pPr>
        <w:spacing w:after="0" w:line="360" w:lineRule="auto"/>
        <w:contextualSpacing/>
        <w:rPr>
          <w:rFonts w:ascii="Times New Roman" w:hAnsi="Times New Roman" w:cs="Times New Roman"/>
          <w:b/>
          <w:i/>
          <w:sz w:val="24"/>
          <w:szCs w:val="24"/>
        </w:rPr>
      </w:pPr>
    </w:p>
    <w:p w14:paraId="393F9C41" w14:textId="77777777" w:rsidR="00335583" w:rsidRPr="00252074" w:rsidRDefault="00335583" w:rsidP="00723D25">
      <w:pPr>
        <w:spacing w:after="0" w:line="360" w:lineRule="auto"/>
        <w:contextualSpacing/>
        <w:jc w:val="center"/>
        <w:rPr>
          <w:rFonts w:ascii="Times New Roman" w:hAnsi="Times New Roman" w:cs="Times New Roman"/>
          <w:b/>
          <w:sz w:val="24"/>
          <w:szCs w:val="24"/>
        </w:rPr>
      </w:pPr>
      <w:r w:rsidRPr="00252074">
        <w:rPr>
          <w:rFonts w:ascii="Times New Roman" w:hAnsi="Times New Roman" w:cs="Times New Roman"/>
          <w:b/>
          <w:sz w:val="24"/>
          <w:szCs w:val="24"/>
        </w:rPr>
        <w:t>The House of Lords: A Critical Examination of Its Role and Future</w:t>
      </w:r>
    </w:p>
    <w:p w14:paraId="585A35D0" w14:textId="77777777" w:rsidR="00335583" w:rsidRPr="00252074" w:rsidRDefault="00335583" w:rsidP="00723D25">
      <w:pPr>
        <w:spacing w:after="0" w:line="360" w:lineRule="auto"/>
        <w:contextualSpacing/>
        <w:rPr>
          <w:rFonts w:ascii="Times New Roman" w:hAnsi="Times New Roman" w:cs="Times New Roman"/>
          <w:b/>
          <w:sz w:val="24"/>
          <w:szCs w:val="24"/>
        </w:rPr>
      </w:pPr>
      <w:r w:rsidRPr="00252074">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rPr>
        <w:id w:val="592439034"/>
        <w:docPartObj>
          <w:docPartGallery w:val="Table of Contents"/>
          <w:docPartUnique/>
        </w:docPartObj>
      </w:sdtPr>
      <w:sdtEndPr>
        <w:rPr>
          <w:b/>
          <w:bCs/>
          <w:noProof/>
        </w:rPr>
      </w:sdtEndPr>
      <w:sdtContent>
        <w:p w14:paraId="17CF625A" w14:textId="77777777" w:rsidR="00DD79B0" w:rsidRPr="00252074" w:rsidRDefault="00DD79B0" w:rsidP="00723D25">
          <w:pPr>
            <w:pStyle w:val="TOCHeading"/>
            <w:spacing w:before="0" w:line="360" w:lineRule="auto"/>
            <w:contextualSpacing/>
            <w:jc w:val="center"/>
            <w:rPr>
              <w:rFonts w:ascii="Times New Roman" w:hAnsi="Times New Roman" w:cs="Times New Roman"/>
              <w:b/>
              <w:color w:val="auto"/>
              <w:sz w:val="24"/>
              <w:szCs w:val="24"/>
            </w:rPr>
          </w:pPr>
          <w:r w:rsidRPr="00252074">
            <w:rPr>
              <w:rFonts w:ascii="Times New Roman" w:hAnsi="Times New Roman" w:cs="Times New Roman"/>
              <w:b/>
              <w:color w:val="auto"/>
              <w:sz w:val="24"/>
              <w:szCs w:val="24"/>
            </w:rPr>
            <w:t>Table of Contents</w:t>
          </w:r>
        </w:p>
        <w:p w14:paraId="09FCDEDB" w14:textId="77777777" w:rsidR="00DD79B0" w:rsidRPr="00252074" w:rsidRDefault="00DD79B0" w:rsidP="00723D25">
          <w:pPr>
            <w:pStyle w:val="TOC1"/>
            <w:tabs>
              <w:tab w:val="right" w:leader="dot" w:pos="9350"/>
            </w:tabs>
            <w:spacing w:after="0" w:line="360" w:lineRule="auto"/>
            <w:contextualSpacing/>
            <w:rPr>
              <w:rFonts w:ascii="Times New Roman" w:hAnsi="Times New Roman" w:cs="Times New Roman"/>
              <w:noProof/>
              <w:sz w:val="24"/>
              <w:szCs w:val="24"/>
            </w:rPr>
          </w:pPr>
          <w:r w:rsidRPr="00252074">
            <w:rPr>
              <w:rFonts w:ascii="Times New Roman" w:hAnsi="Times New Roman" w:cs="Times New Roman"/>
              <w:sz w:val="24"/>
              <w:szCs w:val="24"/>
            </w:rPr>
            <w:fldChar w:fldCharType="begin"/>
          </w:r>
          <w:r w:rsidRPr="00252074">
            <w:rPr>
              <w:rFonts w:ascii="Times New Roman" w:hAnsi="Times New Roman" w:cs="Times New Roman"/>
              <w:sz w:val="24"/>
              <w:szCs w:val="24"/>
            </w:rPr>
            <w:instrText xml:space="preserve"> TOC \o "1-3" \h \z \u </w:instrText>
          </w:r>
          <w:r w:rsidRPr="00252074">
            <w:rPr>
              <w:rFonts w:ascii="Times New Roman" w:hAnsi="Times New Roman" w:cs="Times New Roman"/>
              <w:sz w:val="24"/>
              <w:szCs w:val="24"/>
            </w:rPr>
            <w:fldChar w:fldCharType="separate"/>
          </w:r>
          <w:hyperlink w:anchor="_Toc150209808" w:history="1">
            <w:r w:rsidRPr="00252074">
              <w:rPr>
                <w:rStyle w:val="Hyperlink"/>
                <w:rFonts w:ascii="Times New Roman" w:hAnsi="Times New Roman" w:cs="Times New Roman"/>
                <w:b/>
                <w:i/>
                <w:noProof/>
                <w:sz w:val="24"/>
                <w:szCs w:val="24"/>
              </w:rPr>
              <w:t>Introduction</w:t>
            </w:r>
            <w:r w:rsidRPr="00252074">
              <w:rPr>
                <w:rFonts w:ascii="Times New Roman" w:hAnsi="Times New Roman" w:cs="Times New Roman"/>
                <w:noProof/>
                <w:webHidden/>
                <w:sz w:val="24"/>
                <w:szCs w:val="24"/>
              </w:rPr>
              <w:tab/>
            </w:r>
            <w:r w:rsidRPr="00252074">
              <w:rPr>
                <w:rFonts w:ascii="Times New Roman" w:hAnsi="Times New Roman" w:cs="Times New Roman"/>
                <w:noProof/>
                <w:webHidden/>
                <w:sz w:val="24"/>
                <w:szCs w:val="24"/>
              </w:rPr>
              <w:fldChar w:fldCharType="begin"/>
            </w:r>
            <w:r w:rsidRPr="00252074">
              <w:rPr>
                <w:rFonts w:ascii="Times New Roman" w:hAnsi="Times New Roman" w:cs="Times New Roman"/>
                <w:noProof/>
                <w:webHidden/>
                <w:sz w:val="24"/>
                <w:szCs w:val="24"/>
              </w:rPr>
              <w:instrText xml:space="preserve"> PAGEREF _Toc150209808 \h </w:instrText>
            </w:r>
            <w:r w:rsidRPr="00252074">
              <w:rPr>
                <w:rFonts w:ascii="Times New Roman" w:hAnsi="Times New Roman" w:cs="Times New Roman"/>
                <w:noProof/>
                <w:webHidden/>
                <w:sz w:val="24"/>
                <w:szCs w:val="24"/>
              </w:rPr>
            </w:r>
            <w:r w:rsidRPr="00252074">
              <w:rPr>
                <w:rFonts w:ascii="Times New Roman" w:hAnsi="Times New Roman" w:cs="Times New Roman"/>
                <w:noProof/>
                <w:webHidden/>
                <w:sz w:val="24"/>
                <w:szCs w:val="24"/>
              </w:rPr>
              <w:fldChar w:fldCharType="separate"/>
            </w:r>
            <w:r w:rsidRPr="00252074">
              <w:rPr>
                <w:rFonts w:ascii="Times New Roman" w:hAnsi="Times New Roman" w:cs="Times New Roman"/>
                <w:noProof/>
                <w:webHidden/>
                <w:sz w:val="24"/>
                <w:szCs w:val="24"/>
              </w:rPr>
              <w:t>3</w:t>
            </w:r>
            <w:r w:rsidRPr="00252074">
              <w:rPr>
                <w:rFonts w:ascii="Times New Roman" w:hAnsi="Times New Roman" w:cs="Times New Roman"/>
                <w:noProof/>
                <w:webHidden/>
                <w:sz w:val="24"/>
                <w:szCs w:val="24"/>
              </w:rPr>
              <w:fldChar w:fldCharType="end"/>
            </w:r>
          </w:hyperlink>
        </w:p>
        <w:p w14:paraId="44FE27F6" w14:textId="77777777" w:rsidR="00DD79B0" w:rsidRPr="00252074" w:rsidRDefault="00000000" w:rsidP="00723D25">
          <w:pPr>
            <w:pStyle w:val="TOC1"/>
            <w:tabs>
              <w:tab w:val="right" w:leader="dot" w:pos="9350"/>
            </w:tabs>
            <w:spacing w:after="0" w:line="360" w:lineRule="auto"/>
            <w:contextualSpacing/>
            <w:rPr>
              <w:rFonts w:ascii="Times New Roman" w:hAnsi="Times New Roman" w:cs="Times New Roman"/>
              <w:noProof/>
              <w:sz w:val="24"/>
              <w:szCs w:val="24"/>
            </w:rPr>
          </w:pPr>
          <w:hyperlink w:anchor="_Toc150209809" w:history="1">
            <w:r w:rsidR="00DD79B0" w:rsidRPr="00252074">
              <w:rPr>
                <w:rStyle w:val="Hyperlink"/>
                <w:rFonts w:ascii="Times New Roman" w:hAnsi="Times New Roman" w:cs="Times New Roman"/>
                <w:b/>
                <w:i/>
                <w:noProof/>
                <w:sz w:val="24"/>
                <w:szCs w:val="24"/>
              </w:rPr>
              <w:t>Body</w:t>
            </w:r>
            <w:r w:rsidR="00DD79B0" w:rsidRPr="00252074">
              <w:rPr>
                <w:rFonts w:ascii="Times New Roman" w:hAnsi="Times New Roman" w:cs="Times New Roman"/>
                <w:noProof/>
                <w:webHidden/>
                <w:sz w:val="24"/>
                <w:szCs w:val="24"/>
              </w:rPr>
              <w:tab/>
            </w:r>
            <w:r w:rsidR="00DD79B0" w:rsidRPr="00252074">
              <w:rPr>
                <w:rFonts w:ascii="Times New Roman" w:hAnsi="Times New Roman" w:cs="Times New Roman"/>
                <w:noProof/>
                <w:webHidden/>
                <w:sz w:val="24"/>
                <w:szCs w:val="24"/>
              </w:rPr>
              <w:fldChar w:fldCharType="begin"/>
            </w:r>
            <w:r w:rsidR="00DD79B0" w:rsidRPr="00252074">
              <w:rPr>
                <w:rFonts w:ascii="Times New Roman" w:hAnsi="Times New Roman" w:cs="Times New Roman"/>
                <w:noProof/>
                <w:webHidden/>
                <w:sz w:val="24"/>
                <w:szCs w:val="24"/>
              </w:rPr>
              <w:instrText xml:space="preserve"> PAGEREF _Toc150209809 \h </w:instrText>
            </w:r>
            <w:r w:rsidR="00DD79B0" w:rsidRPr="00252074">
              <w:rPr>
                <w:rFonts w:ascii="Times New Roman" w:hAnsi="Times New Roman" w:cs="Times New Roman"/>
                <w:noProof/>
                <w:webHidden/>
                <w:sz w:val="24"/>
                <w:szCs w:val="24"/>
              </w:rPr>
            </w:r>
            <w:r w:rsidR="00DD79B0" w:rsidRPr="00252074">
              <w:rPr>
                <w:rFonts w:ascii="Times New Roman" w:hAnsi="Times New Roman" w:cs="Times New Roman"/>
                <w:noProof/>
                <w:webHidden/>
                <w:sz w:val="24"/>
                <w:szCs w:val="24"/>
              </w:rPr>
              <w:fldChar w:fldCharType="separate"/>
            </w:r>
            <w:r w:rsidR="00DD79B0" w:rsidRPr="00252074">
              <w:rPr>
                <w:rFonts w:ascii="Times New Roman" w:hAnsi="Times New Roman" w:cs="Times New Roman"/>
                <w:noProof/>
                <w:webHidden/>
                <w:sz w:val="24"/>
                <w:szCs w:val="24"/>
              </w:rPr>
              <w:t>3</w:t>
            </w:r>
            <w:r w:rsidR="00DD79B0" w:rsidRPr="00252074">
              <w:rPr>
                <w:rFonts w:ascii="Times New Roman" w:hAnsi="Times New Roman" w:cs="Times New Roman"/>
                <w:noProof/>
                <w:webHidden/>
                <w:sz w:val="24"/>
                <w:szCs w:val="24"/>
              </w:rPr>
              <w:fldChar w:fldCharType="end"/>
            </w:r>
          </w:hyperlink>
        </w:p>
        <w:p w14:paraId="654FEF3E" w14:textId="77777777" w:rsidR="00DD79B0" w:rsidRPr="00252074" w:rsidRDefault="00000000" w:rsidP="00723D25">
          <w:pPr>
            <w:pStyle w:val="TOC1"/>
            <w:tabs>
              <w:tab w:val="right" w:leader="dot" w:pos="9350"/>
            </w:tabs>
            <w:spacing w:after="0" w:line="360" w:lineRule="auto"/>
            <w:contextualSpacing/>
            <w:rPr>
              <w:rFonts w:ascii="Times New Roman" w:hAnsi="Times New Roman" w:cs="Times New Roman"/>
              <w:noProof/>
              <w:sz w:val="24"/>
              <w:szCs w:val="24"/>
            </w:rPr>
          </w:pPr>
          <w:hyperlink w:anchor="_Toc150209810" w:history="1">
            <w:r w:rsidR="00DD79B0" w:rsidRPr="00252074">
              <w:rPr>
                <w:rStyle w:val="Hyperlink"/>
                <w:rFonts w:ascii="Times New Roman" w:hAnsi="Times New Roman" w:cs="Times New Roman"/>
                <w:b/>
                <w:i/>
                <w:noProof/>
                <w:sz w:val="24"/>
                <w:szCs w:val="24"/>
              </w:rPr>
              <w:t>Conclusion</w:t>
            </w:r>
            <w:r w:rsidR="00DD79B0" w:rsidRPr="00252074">
              <w:rPr>
                <w:rFonts w:ascii="Times New Roman" w:hAnsi="Times New Roman" w:cs="Times New Roman"/>
                <w:noProof/>
                <w:webHidden/>
                <w:sz w:val="24"/>
                <w:szCs w:val="24"/>
              </w:rPr>
              <w:tab/>
            </w:r>
            <w:r w:rsidR="00DD79B0" w:rsidRPr="00252074">
              <w:rPr>
                <w:rFonts w:ascii="Times New Roman" w:hAnsi="Times New Roman" w:cs="Times New Roman"/>
                <w:noProof/>
                <w:webHidden/>
                <w:sz w:val="24"/>
                <w:szCs w:val="24"/>
              </w:rPr>
              <w:fldChar w:fldCharType="begin"/>
            </w:r>
            <w:r w:rsidR="00DD79B0" w:rsidRPr="00252074">
              <w:rPr>
                <w:rFonts w:ascii="Times New Roman" w:hAnsi="Times New Roman" w:cs="Times New Roman"/>
                <w:noProof/>
                <w:webHidden/>
                <w:sz w:val="24"/>
                <w:szCs w:val="24"/>
              </w:rPr>
              <w:instrText xml:space="preserve"> PAGEREF _Toc150209810 \h </w:instrText>
            </w:r>
            <w:r w:rsidR="00DD79B0" w:rsidRPr="00252074">
              <w:rPr>
                <w:rFonts w:ascii="Times New Roman" w:hAnsi="Times New Roman" w:cs="Times New Roman"/>
                <w:noProof/>
                <w:webHidden/>
                <w:sz w:val="24"/>
                <w:szCs w:val="24"/>
              </w:rPr>
            </w:r>
            <w:r w:rsidR="00DD79B0" w:rsidRPr="00252074">
              <w:rPr>
                <w:rFonts w:ascii="Times New Roman" w:hAnsi="Times New Roman" w:cs="Times New Roman"/>
                <w:noProof/>
                <w:webHidden/>
                <w:sz w:val="24"/>
                <w:szCs w:val="24"/>
              </w:rPr>
              <w:fldChar w:fldCharType="separate"/>
            </w:r>
            <w:r w:rsidR="00DD79B0" w:rsidRPr="00252074">
              <w:rPr>
                <w:rFonts w:ascii="Times New Roman" w:hAnsi="Times New Roman" w:cs="Times New Roman"/>
                <w:noProof/>
                <w:webHidden/>
                <w:sz w:val="24"/>
                <w:szCs w:val="24"/>
              </w:rPr>
              <w:t>6</w:t>
            </w:r>
            <w:r w:rsidR="00DD79B0" w:rsidRPr="00252074">
              <w:rPr>
                <w:rFonts w:ascii="Times New Roman" w:hAnsi="Times New Roman" w:cs="Times New Roman"/>
                <w:noProof/>
                <w:webHidden/>
                <w:sz w:val="24"/>
                <w:szCs w:val="24"/>
              </w:rPr>
              <w:fldChar w:fldCharType="end"/>
            </w:r>
          </w:hyperlink>
        </w:p>
        <w:p w14:paraId="469A066C" w14:textId="77777777" w:rsidR="00DD79B0" w:rsidRPr="00252074" w:rsidRDefault="00000000" w:rsidP="00723D25">
          <w:pPr>
            <w:pStyle w:val="TOC1"/>
            <w:tabs>
              <w:tab w:val="right" w:leader="dot" w:pos="9350"/>
            </w:tabs>
            <w:spacing w:after="0" w:line="360" w:lineRule="auto"/>
            <w:contextualSpacing/>
            <w:rPr>
              <w:rFonts w:ascii="Times New Roman" w:hAnsi="Times New Roman" w:cs="Times New Roman"/>
              <w:noProof/>
              <w:sz w:val="24"/>
              <w:szCs w:val="24"/>
            </w:rPr>
          </w:pPr>
          <w:hyperlink w:anchor="_Toc150209811" w:history="1">
            <w:r w:rsidR="00DD79B0" w:rsidRPr="00252074">
              <w:rPr>
                <w:rStyle w:val="Hyperlink"/>
                <w:rFonts w:ascii="Times New Roman" w:hAnsi="Times New Roman" w:cs="Times New Roman"/>
                <w:b/>
                <w:i/>
                <w:noProof/>
                <w:sz w:val="24"/>
                <w:szCs w:val="24"/>
              </w:rPr>
              <w:t>References</w:t>
            </w:r>
            <w:r w:rsidR="00DD79B0" w:rsidRPr="00252074">
              <w:rPr>
                <w:rFonts w:ascii="Times New Roman" w:hAnsi="Times New Roman" w:cs="Times New Roman"/>
                <w:noProof/>
                <w:webHidden/>
                <w:sz w:val="24"/>
                <w:szCs w:val="24"/>
              </w:rPr>
              <w:tab/>
            </w:r>
            <w:r w:rsidR="00DD79B0" w:rsidRPr="00252074">
              <w:rPr>
                <w:rFonts w:ascii="Times New Roman" w:hAnsi="Times New Roman" w:cs="Times New Roman"/>
                <w:noProof/>
                <w:webHidden/>
                <w:sz w:val="24"/>
                <w:szCs w:val="24"/>
              </w:rPr>
              <w:fldChar w:fldCharType="begin"/>
            </w:r>
            <w:r w:rsidR="00DD79B0" w:rsidRPr="00252074">
              <w:rPr>
                <w:rFonts w:ascii="Times New Roman" w:hAnsi="Times New Roman" w:cs="Times New Roman"/>
                <w:noProof/>
                <w:webHidden/>
                <w:sz w:val="24"/>
                <w:szCs w:val="24"/>
              </w:rPr>
              <w:instrText xml:space="preserve"> PAGEREF _Toc150209811 \h </w:instrText>
            </w:r>
            <w:r w:rsidR="00DD79B0" w:rsidRPr="00252074">
              <w:rPr>
                <w:rFonts w:ascii="Times New Roman" w:hAnsi="Times New Roman" w:cs="Times New Roman"/>
                <w:noProof/>
                <w:webHidden/>
                <w:sz w:val="24"/>
                <w:szCs w:val="24"/>
              </w:rPr>
            </w:r>
            <w:r w:rsidR="00DD79B0" w:rsidRPr="00252074">
              <w:rPr>
                <w:rFonts w:ascii="Times New Roman" w:hAnsi="Times New Roman" w:cs="Times New Roman"/>
                <w:noProof/>
                <w:webHidden/>
                <w:sz w:val="24"/>
                <w:szCs w:val="24"/>
              </w:rPr>
              <w:fldChar w:fldCharType="separate"/>
            </w:r>
            <w:r w:rsidR="00DD79B0" w:rsidRPr="00252074">
              <w:rPr>
                <w:rFonts w:ascii="Times New Roman" w:hAnsi="Times New Roman" w:cs="Times New Roman"/>
                <w:noProof/>
                <w:webHidden/>
                <w:sz w:val="24"/>
                <w:szCs w:val="24"/>
              </w:rPr>
              <w:t>7</w:t>
            </w:r>
            <w:r w:rsidR="00DD79B0" w:rsidRPr="00252074">
              <w:rPr>
                <w:rFonts w:ascii="Times New Roman" w:hAnsi="Times New Roman" w:cs="Times New Roman"/>
                <w:noProof/>
                <w:webHidden/>
                <w:sz w:val="24"/>
                <w:szCs w:val="24"/>
              </w:rPr>
              <w:fldChar w:fldCharType="end"/>
            </w:r>
          </w:hyperlink>
        </w:p>
        <w:p w14:paraId="1DF54277" w14:textId="77777777" w:rsidR="00DD79B0" w:rsidRPr="00252074" w:rsidRDefault="00DD79B0" w:rsidP="00723D25">
          <w:pPr>
            <w:spacing w:after="0" w:line="360" w:lineRule="auto"/>
            <w:contextualSpacing/>
            <w:rPr>
              <w:rFonts w:ascii="Times New Roman" w:hAnsi="Times New Roman" w:cs="Times New Roman"/>
              <w:sz w:val="24"/>
              <w:szCs w:val="24"/>
            </w:rPr>
          </w:pPr>
          <w:r w:rsidRPr="00252074">
            <w:rPr>
              <w:rFonts w:ascii="Times New Roman" w:hAnsi="Times New Roman" w:cs="Times New Roman"/>
              <w:b/>
              <w:bCs/>
              <w:noProof/>
              <w:sz w:val="24"/>
              <w:szCs w:val="24"/>
            </w:rPr>
            <w:fldChar w:fldCharType="end"/>
          </w:r>
        </w:p>
      </w:sdtContent>
    </w:sdt>
    <w:p w14:paraId="650391EA" w14:textId="77777777" w:rsidR="00335583" w:rsidRPr="00252074" w:rsidRDefault="00335583" w:rsidP="00723D25">
      <w:pPr>
        <w:spacing w:after="0" w:line="360" w:lineRule="auto"/>
        <w:contextualSpacing/>
        <w:jc w:val="center"/>
        <w:rPr>
          <w:rFonts w:ascii="Times New Roman" w:hAnsi="Times New Roman" w:cs="Times New Roman"/>
          <w:b/>
          <w:sz w:val="24"/>
          <w:szCs w:val="24"/>
        </w:rPr>
      </w:pPr>
    </w:p>
    <w:p w14:paraId="5501B12C" w14:textId="77777777" w:rsidR="00335583" w:rsidRPr="00252074" w:rsidRDefault="00335583" w:rsidP="00723D25">
      <w:pPr>
        <w:spacing w:after="0" w:line="360" w:lineRule="auto"/>
        <w:contextualSpacing/>
        <w:rPr>
          <w:rFonts w:ascii="Times New Roman" w:hAnsi="Times New Roman" w:cs="Times New Roman"/>
          <w:b/>
          <w:i/>
          <w:sz w:val="24"/>
          <w:szCs w:val="24"/>
        </w:rPr>
      </w:pPr>
    </w:p>
    <w:p w14:paraId="3CF6C5CB" w14:textId="77777777" w:rsidR="00335583" w:rsidRPr="00252074" w:rsidRDefault="00335583" w:rsidP="00723D25">
      <w:pPr>
        <w:spacing w:after="0" w:line="360" w:lineRule="auto"/>
        <w:contextualSpacing/>
        <w:rPr>
          <w:rFonts w:ascii="Times New Roman" w:eastAsiaTheme="majorEastAsia" w:hAnsi="Times New Roman" w:cs="Times New Roman"/>
          <w:b/>
          <w:i/>
          <w:sz w:val="24"/>
          <w:szCs w:val="24"/>
        </w:rPr>
      </w:pPr>
      <w:r w:rsidRPr="00252074">
        <w:rPr>
          <w:rFonts w:ascii="Times New Roman" w:hAnsi="Times New Roman" w:cs="Times New Roman"/>
          <w:b/>
          <w:i/>
          <w:sz w:val="24"/>
          <w:szCs w:val="24"/>
        </w:rPr>
        <w:br w:type="page"/>
      </w:r>
    </w:p>
    <w:p w14:paraId="620ECA4C" w14:textId="77777777" w:rsidR="002B1BE2" w:rsidRPr="00252074" w:rsidRDefault="002B1BE2" w:rsidP="00723D25">
      <w:pPr>
        <w:pStyle w:val="Heading1"/>
        <w:spacing w:before="0" w:line="360" w:lineRule="auto"/>
        <w:contextualSpacing/>
        <w:rPr>
          <w:rFonts w:ascii="Times New Roman" w:hAnsi="Times New Roman" w:cs="Times New Roman"/>
          <w:b/>
          <w:i/>
          <w:color w:val="auto"/>
          <w:sz w:val="24"/>
          <w:szCs w:val="24"/>
        </w:rPr>
      </w:pPr>
      <w:bookmarkStart w:id="0" w:name="_Toc150209808"/>
      <w:r w:rsidRPr="00252074">
        <w:rPr>
          <w:rFonts w:ascii="Times New Roman" w:hAnsi="Times New Roman" w:cs="Times New Roman"/>
          <w:b/>
          <w:i/>
          <w:color w:val="auto"/>
          <w:sz w:val="24"/>
          <w:szCs w:val="24"/>
        </w:rPr>
        <w:lastRenderedPageBreak/>
        <w:t>Introduction</w:t>
      </w:r>
      <w:bookmarkEnd w:id="0"/>
    </w:p>
    <w:p w14:paraId="6C739F5F" w14:textId="5BA27D7D" w:rsidR="002B1BE2" w:rsidRPr="00252074" w:rsidRDefault="00630FB7" w:rsidP="00723D25">
      <w:pPr>
        <w:spacing w:after="0" w:line="360" w:lineRule="auto"/>
        <w:ind w:firstLine="720"/>
        <w:contextualSpacing/>
        <w:jc w:val="both"/>
        <w:rPr>
          <w:rFonts w:ascii="Times New Roman" w:hAnsi="Times New Roman" w:cs="Times New Roman"/>
          <w:sz w:val="24"/>
          <w:szCs w:val="24"/>
        </w:rPr>
      </w:pPr>
      <w:r w:rsidRPr="00252074">
        <w:rPr>
          <w:rFonts w:ascii="Times New Roman" w:hAnsi="Times New Roman" w:cs="Times New Roman"/>
          <w:sz w:val="24"/>
          <w:szCs w:val="24"/>
        </w:rPr>
        <w:t>The House of Lords,</w:t>
      </w:r>
      <w:r w:rsidR="0093379D">
        <w:rPr>
          <w:rFonts w:ascii="Times New Roman" w:hAnsi="Times New Roman" w:cs="Times New Roman"/>
          <w:sz w:val="24"/>
          <w:szCs w:val="24"/>
        </w:rPr>
        <w:t xml:space="preserve"> is</w:t>
      </w:r>
      <w:r w:rsidRPr="00252074">
        <w:rPr>
          <w:rFonts w:ascii="Times New Roman" w:hAnsi="Times New Roman" w:cs="Times New Roman"/>
          <w:sz w:val="24"/>
          <w:szCs w:val="24"/>
        </w:rPr>
        <w:t xml:space="preserve"> an integral component of the UK Parliament with a long historical lineage, </w:t>
      </w:r>
      <w:r w:rsidR="0093379D">
        <w:rPr>
          <w:rFonts w:ascii="Times New Roman" w:hAnsi="Times New Roman" w:cs="Times New Roman"/>
          <w:sz w:val="24"/>
          <w:szCs w:val="24"/>
        </w:rPr>
        <w:t xml:space="preserve">which </w:t>
      </w:r>
      <w:r w:rsidRPr="00252074">
        <w:rPr>
          <w:rFonts w:ascii="Times New Roman" w:hAnsi="Times New Roman" w:cs="Times New Roman"/>
          <w:sz w:val="24"/>
          <w:szCs w:val="24"/>
        </w:rPr>
        <w:t>has been the subject of considerable debate regarding potential abolition</w:t>
      </w:r>
      <w:r w:rsidR="00BE45AC" w:rsidRPr="00252074">
        <w:rPr>
          <w:rFonts w:ascii="Times New Roman" w:hAnsi="Times New Roman" w:cs="Times New Roman"/>
          <w:sz w:val="24"/>
          <w:szCs w:val="24"/>
        </w:rPr>
        <w:t xml:space="preserve"> </w:t>
      </w:r>
      <w:r w:rsidR="00BE45AC" w:rsidRPr="00252074">
        <w:rPr>
          <w:rFonts w:ascii="Times New Roman" w:hAnsi="Times New Roman" w:cs="Times New Roman"/>
          <w:sz w:val="24"/>
          <w:szCs w:val="24"/>
        </w:rPr>
        <w:fldChar w:fldCharType="begin"/>
      </w:r>
      <w:r w:rsidR="00CE1813" w:rsidRPr="00252074">
        <w:rPr>
          <w:rFonts w:ascii="Times New Roman" w:hAnsi="Times New Roman" w:cs="Times New Roman"/>
          <w:sz w:val="24"/>
          <w:szCs w:val="24"/>
        </w:rPr>
        <w:instrText xml:space="preserve"> ADDIN EN.CITE &lt;EndNote&gt;&lt;Cite&gt;&lt;Author&gt;Barnett&lt;/Author&gt;&lt;Year&gt;2017&lt;/Year&gt;&lt;RecNum&gt;1&lt;/RecNum&gt;&lt;DisplayText&gt;(Barnett and Carty, 2017)&lt;/DisplayText&gt;&lt;record&gt;&lt;rec-number&gt;1&lt;/rec-number&gt;&lt;foreign-keys&gt;&lt;key app="EN" db-id="ts2f2a0z7awdv9ef2vixv0vd0wdr55eprv0x" timestamp="1699384305"&gt;1&lt;/key&gt;&lt;/foreign-keys&gt;&lt;ref-type name="Book"&gt;6&lt;/ref-type&gt;&lt;contributors&gt;&lt;authors&gt;&lt;author&gt;Barnett, Anthony&lt;/author&gt;&lt;author&gt;Carty, Peter&lt;/author&gt;&lt;/authors&gt;&lt;/contributors&gt;&lt;titles&gt;&lt;title&gt;The Athenian option: Radical reform for the House of Lords&lt;/title&gt;&lt;/titles&gt;&lt;volume&gt;5&lt;/volume&gt;&lt;dates&gt;&lt;year&gt;2017&lt;/year&gt;&lt;/dates&gt;&lt;publisher&gt;Andrews UK Limited&lt;/publisher&gt;&lt;isbn&gt;1845406362&lt;/isbn&gt;&lt;urls&gt;&lt;/urls&gt;&lt;/record&gt;&lt;/Cite&gt;&lt;/EndNote&gt;</w:instrText>
      </w:r>
      <w:r w:rsidR="00BE45AC" w:rsidRPr="00252074">
        <w:rPr>
          <w:rFonts w:ascii="Times New Roman" w:hAnsi="Times New Roman" w:cs="Times New Roman"/>
          <w:sz w:val="24"/>
          <w:szCs w:val="24"/>
        </w:rPr>
        <w:fldChar w:fldCharType="separate"/>
      </w:r>
      <w:r w:rsidR="00BE45AC" w:rsidRPr="00252074">
        <w:rPr>
          <w:rFonts w:ascii="Times New Roman" w:hAnsi="Times New Roman" w:cs="Times New Roman"/>
          <w:noProof/>
          <w:sz w:val="24"/>
          <w:szCs w:val="24"/>
        </w:rPr>
        <w:t>(Barnett and Carty, 2017)</w:t>
      </w:r>
      <w:r w:rsidR="00BE45AC" w:rsidRPr="00252074">
        <w:rPr>
          <w:rFonts w:ascii="Times New Roman" w:hAnsi="Times New Roman" w:cs="Times New Roman"/>
          <w:sz w:val="24"/>
          <w:szCs w:val="24"/>
        </w:rPr>
        <w:fldChar w:fldCharType="end"/>
      </w:r>
      <w:r w:rsidRPr="00252074">
        <w:rPr>
          <w:rFonts w:ascii="Times New Roman" w:hAnsi="Times New Roman" w:cs="Times New Roman"/>
          <w:sz w:val="24"/>
          <w:szCs w:val="24"/>
        </w:rPr>
        <w:t>.</w:t>
      </w:r>
      <w:r w:rsidR="002B1BE2" w:rsidRPr="00252074">
        <w:rPr>
          <w:rFonts w:ascii="Times New Roman" w:hAnsi="Times New Roman" w:cs="Times New Roman"/>
          <w:sz w:val="24"/>
          <w:szCs w:val="24"/>
        </w:rPr>
        <w:t xml:space="preserve"> This </w:t>
      </w:r>
      <w:r w:rsidR="00D23A3D" w:rsidRPr="00252074">
        <w:rPr>
          <w:rFonts w:ascii="Times New Roman" w:hAnsi="Times New Roman" w:cs="Times New Roman"/>
          <w:sz w:val="24"/>
          <w:szCs w:val="24"/>
        </w:rPr>
        <w:t>essay</w:t>
      </w:r>
      <w:r w:rsidR="002B1BE2" w:rsidRPr="00252074">
        <w:rPr>
          <w:rFonts w:ascii="Times New Roman" w:hAnsi="Times New Roman" w:cs="Times New Roman"/>
          <w:sz w:val="24"/>
          <w:szCs w:val="24"/>
        </w:rPr>
        <w:t xml:space="preserve"> primarily addresses the topic of whether the preservation of the House of Lords is warranted. The initial research examines the characteristics and objectives of the British Parliament, while the subsequent section presents a comprehensive overview of the House of Lords. The analysis also delves into the diverse benefits and drawbacks associated with its presence while simultaneously discussing potential reform measures aimed at fixing its shortcomings. The present comprehensive analysis was undertaken to contribute to the ongoing discourse about this crucial subject matter. </w:t>
      </w:r>
    </w:p>
    <w:p w14:paraId="2AB5F095" w14:textId="67CCA087" w:rsidR="002B1BE2" w:rsidRPr="00252074" w:rsidRDefault="003C3E30" w:rsidP="00723D25">
      <w:pPr>
        <w:pStyle w:val="Heading1"/>
        <w:spacing w:before="0" w:line="360" w:lineRule="auto"/>
        <w:contextualSpacing/>
        <w:rPr>
          <w:rFonts w:ascii="Times New Roman" w:hAnsi="Times New Roman" w:cs="Times New Roman"/>
          <w:b/>
          <w:i/>
          <w:color w:val="auto"/>
          <w:sz w:val="24"/>
          <w:szCs w:val="24"/>
        </w:rPr>
      </w:pPr>
      <w:bookmarkStart w:id="1" w:name="_Toc150209809"/>
      <w:r w:rsidRPr="00252074">
        <w:rPr>
          <w:rFonts w:ascii="Times New Roman" w:hAnsi="Times New Roman" w:cs="Times New Roman"/>
          <w:b/>
          <w:i/>
          <w:color w:val="auto"/>
          <w:sz w:val="24"/>
          <w:szCs w:val="24"/>
        </w:rPr>
        <w:t xml:space="preserve">Main </w:t>
      </w:r>
      <w:r w:rsidR="002B1BE2" w:rsidRPr="00252074">
        <w:rPr>
          <w:rFonts w:ascii="Times New Roman" w:hAnsi="Times New Roman" w:cs="Times New Roman"/>
          <w:b/>
          <w:i/>
          <w:color w:val="auto"/>
          <w:sz w:val="24"/>
          <w:szCs w:val="24"/>
        </w:rPr>
        <w:t>Body</w:t>
      </w:r>
      <w:bookmarkEnd w:id="1"/>
    </w:p>
    <w:p w14:paraId="20DB3B5A" w14:textId="40739DF9" w:rsidR="002B1BE2" w:rsidRPr="00252074" w:rsidRDefault="002B1BE2" w:rsidP="00723D25">
      <w:pPr>
        <w:spacing w:after="0" w:line="360" w:lineRule="auto"/>
        <w:ind w:firstLine="720"/>
        <w:contextualSpacing/>
        <w:jc w:val="both"/>
        <w:rPr>
          <w:rFonts w:ascii="Times New Roman" w:hAnsi="Times New Roman" w:cs="Times New Roman"/>
          <w:sz w:val="24"/>
          <w:szCs w:val="24"/>
        </w:rPr>
      </w:pPr>
      <w:r w:rsidRPr="00252074">
        <w:rPr>
          <w:rFonts w:ascii="Times New Roman" w:hAnsi="Times New Roman" w:cs="Times New Roman"/>
          <w:sz w:val="24"/>
          <w:szCs w:val="24"/>
        </w:rPr>
        <w:t xml:space="preserve">The Parliament, which serves as the highest legislative authority in the United Kingdom, is responsible for the formulation, evaluation, and implementation of all legislation. The British government consists of two chambers, the House of </w:t>
      </w:r>
      <w:r w:rsidR="0093379D" w:rsidRPr="00252074">
        <w:rPr>
          <w:rFonts w:ascii="Times New Roman" w:hAnsi="Times New Roman" w:cs="Times New Roman"/>
          <w:sz w:val="24"/>
          <w:szCs w:val="24"/>
        </w:rPr>
        <w:t>Commons,</w:t>
      </w:r>
      <w:r w:rsidRPr="00252074">
        <w:rPr>
          <w:rFonts w:ascii="Times New Roman" w:hAnsi="Times New Roman" w:cs="Times New Roman"/>
          <w:sz w:val="24"/>
          <w:szCs w:val="24"/>
        </w:rPr>
        <w:t xml:space="preserve"> and the House of Lords, which collaborate to form the fundamental governance structure. Each chamber possesses unique functions throughout the legislative process. The House of Lords refers to the upper body of the British Parliament. In conjunction with the lower chamber, known as the House of Commons, it contributes to establishing a bicameral legislative framework</w:t>
      </w:r>
      <w:r w:rsidR="00BE45AC" w:rsidRPr="00252074">
        <w:rPr>
          <w:rFonts w:ascii="Times New Roman" w:hAnsi="Times New Roman" w:cs="Times New Roman"/>
          <w:sz w:val="24"/>
          <w:szCs w:val="24"/>
        </w:rPr>
        <w:t xml:space="preserve"> </w:t>
      </w:r>
      <w:r w:rsidR="00BE45AC" w:rsidRPr="00252074">
        <w:rPr>
          <w:rFonts w:ascii="Times New Roman" w:hAnsi="Times New Roman" w:cs="Times New Roman"/>
          <w:sz w:val="24"/>
          <w:szCs w:val="24"/>
        </w:rPr>
        <w:fldChar w:fldCharType="begin"/>
      </w:r>
      <w:r w:rsidR="00BE45AC" w:rsidRPr="00252074">
        <w:rPr>
          <w:rFonts w:ascii="Times New Roman" w:hAnsi="Times New Roman" w:cs="Times New Roman"/>
          <w:sz w:val="24"/>
          <w:szCs w:val="24"/>
        </w:rPr>
        <w:instrText xml:space="preserve"> ADDIN EN.CITE &lt;EndNote&gt;&lt;Cite&gt;&lt;Author&gt;Leston-Bandeira&lt;/Author&gt;&lt;Year&gt;2018&lt;/Year&gt;&lt;RecNum&gt;22&lt;/RecNum&gt;&lt;DisplayText&gt;(Leston-Bandeira and Thompson, 2018)&lt;/DisplayText&gt;&lt;record&gt;&lt;rec-number&gt;22&lt;/rec-number&gt;&lt;foreign-keys&gt;&lt;key app="EN" db-id="0zatz905b5tsz9ezfs5xapxrsw2pw22dafv9" timestamp="1699302800"&gt;22&lt;/key&gt;&lt;/foreign-keys&gt;&lt;ref-type name="Book"&gt;6&lt;/ref-type&gt;&lt;contributors&gt;&lt;authors&gt;&lt;author&gt;Leston-Bandeira, Cristina&lt;/author&gt;&lt;author&gt;Thompson, Louise&lt;/author&gt;&lt;/authors&gt;&lt;/contributors&gt;&lt;titles&gt;&lt;title&gt;Exploring parliament&lt;/title&gt;&lt;/titles&gt;&lt;dates&gt;&lt;year&gt;2018&lt;/year&gt;&lt;/dates&gt;&lt;publisher&gt;Oxford University Press&lt;/publisher&gt;&lt;isbn&gt;0198788436&lt;/isbn&gt;&lt;urls&gt;&lt;/urls&gt;&lt;/record&gt;&lt;/Cite&gt;&lt;/EndNote&gt;</w:instrText>
      </w:r>
      <w:r w:rsidR="00BE45AC" w:rsidRPr="00252074">
        <w:rPr>
          <w:rFonts w:ascii="Times New Roman" w:hAnsi="Times New Roman" w:cs="Times New Roman"/>
          <w:sz w:val="24"/>
          <w:szCs w:val="24"/>
        </w:rPr>
        <w:fldChar w:fldCharType="separate"/>
      </w:r>
      <w:r w:rsidR="00BE45AC" w:rsidRPr="00252074">
        <w:rPr>
          <w:rFonts w:ascii="Times New Roman" w:hAnsi="Times New Roman" w:cs="Times New Roman"/>
          <w:noProof/>
          <w:sz w:val="24"/>
          <w:szCs w:val="24"/>
        </w:rPr>
        <w:t>(Leston-Bandeira and Thompson, 2018)</w:t>
      </w:r>
      <w:r w:rsidR="00BE45AC" w:rsidRPr="00252074">
        <w:rPr>
          <w:rFonts w:ascii="Times New Roman" w:hAnsi="Times New Roman" w:cs="Times New Roman"/>
          <w:sz w:val="24"/>
          <w:szCs w:val="24"/>
        </w:rPr>
        <w:fldChar w:fldCharType="end"/>
      </w:r>
      <w:r w:rsidRPr="00252074">
        <w:rPr>
          <w:rFonts w:ascii="Times New Roman" w:hAnsi="Times New Roman" w:cs="Times New Roman"/>
          <w:sz w:val="24"/>
          <w:szCs w:val="24"/>
        </w:rPr>
        <w:t xml:space="preserve">. </w:t>
      </w:r>
    </w:p>
    <w:p w14:paraId="1580C084" w14:textId="77777777" w:rsidR="002B1BE2" w:rsidRPr="00252074" w:rsidRDefault="002B1BE2" w:rsidP="00723D25">
      <w:pPr>
        <w:spacing w:after="0" w:line="360" w:lineRule="auto"/>
        <w:ind w:firstLine="720"/>
        <w:contextualSpacing/>
        <w:jc w:val="both"/>
        <w:rPr>
          <w:rFonts w:ascii="Times New Roman" w:hAnsi="Times New Roman" w:cs="Times New Roman"/>
          <w:sz w:val="24"/>
          <w:szCs w:val="24"/>
        </w:rPr>
      </w:pPr>
      <w:r w:rsidRPr="00252074">
        <w:rPr>
          <w:rFonts w:ascii="Times New Roman" w:hAnsi="Times New Roman" w:cs="Times New Roman"/>
          <w:sz w:val="24"/>
          <w:szCs w:val="24"/>
        </w:rPr>
        <w:t>The electoral procedures employed by the House of Lords differ from those utilized by the House of Commons. The House of Lords has three distinct categories of individuals eligible for membership. In the initial phase, the designation of life peers is contingent upon the exceptional accomplishments and notable contributions of persons within their respective fields. The advisory role concerning concerns of the Prime Minister and the House of Lords Nominations Commission is to provide counsel to the Queen</w:t>
      </w:r>
      <w:r w:rsidR="00BE45AC" w:rsidRPr="00252074">
        <w:rPr>
          <w:rFonts w:ascii="Times New Roman" w:hAnsi="Times New Roman" w:cs="Times New Roman"/>
          <w:sz w:val="24"/>
          <w:szCs w:val="24"/>
        </w:rPr>
        <w:t xml:space="preserve"> </w:t>
      </w:r>
      <w:r w:rsidR="00BE45AC" w:rsidRPr="00252074">
        <w:rPr>
          <w:rFonts w:ascii="Times New Roman" w:hAnsi="Times New Roman" w:cs="Times New Roman"/>
          <w:sz w:val="24"/>
          <w:szCs w:val="24"/>
        </w:rPr>
        <w:fldChar w:fldCharType="begin"/>
      </w:r>
      <w:r w:rsidR="00BE45AC" w:rsidRPr="00252074">
        <w:rPr>
          <w:rFonts w:ascii="Times New Roman" w:hAnsi="Times New Roman" w:cs="Times New Roman"/>
          <w:sz w:val="24"/>
          <w:szCs w:val="24"/>
        </w:rPr>
        <w:instrText xml:space="preserve"> ADDIN EN.CITE &lt;EndNote&gt;&lt;Cite&gt;&lt;Author&gt;Bochel&lt;/Author&gt;&lt;Year&gt;2020&lt;/Year&gt;&lt;RecNum&gt;23&lt;/RecNum&gt;&lt;DisplayText&gt;(Bochel and Defty, 2020)&lt;/DisplayText&gt;&lt;record&gt;&lt;rec-number&gt;23&lt;/rec-number&gt;&lt;foreign-keys&gt;&lt;key app="EN" db-id="0zatz905b5tsz9ezfs5xapxrsw2pw22dafv9" timestamp="1699302925"&gt;23&lt;/key&gt;&lt;/foreign-keys&gt;&lt;ref-type name="Book Section"&gt;5&lt;/ref-type&gt;&lt;contributors&gt;&lt;authors&gt;&lt;author&gt;Bochel, Hugh&lt;/author&gt;&lt;author&gt;Defty, Andrew&lt;/author&gt;&lt;/authors&gt;&lt;/contributors&gt;&lt;titles&gt;&lt;title&gt;‘A more representative chamber’: Representation and the House of Lords&lt;/title&gt;&lt;secondary-title&gt;The Impact of Legislatures&lt;/secondary-title&gt;&lt;/titles&gt;&lt;pages&gt;292-307&lt;/pages&gt;&lt;dates&gt;&lt;year&gt;2020&lt;/year&gt;&lt;/dates&gt;&lt;publisher&gt;Routledge&lt;/publisher&gt;&lt;urls&gt;&lt;/urls&gt;&lt;/record&gt;&lt;/Cite&gt;&lt;/EndNote&gt;</w:instrText>
      </w:r>
      <w:r w:rsidR="00BE45AC" w:rsidRPr="00252074">
        <w:rPr>
          <w:rFonts w:ascii="Times New Roman" w:hAnsi="Times New Roman" w:cs="Times New Roman"/>
          <w:sz w:val="24"/>
          <w:szCs w:val="24"/>
        </w:rPr>
        <w:fldChar w:fldCharType="separate"/>
      </w:r>
      <w:r w:rsidR="00BE45AC" w:rsidRPr="00252074">
        <w:rPr>
          <w:rFonts w:ascii="Times New Roman" w:hAnsi="Times New Roman" w:cs="Times New Roman"/>
          <w:noProof/>
          <w:sz w:val="24"/>
          <w:szCs w:val="24"/>
        </w:rPr>
        <w:t>(Bochel and Defty, 2020)</w:t>
      </w:r>
      <w:r w:rsidR="00BE45AC" w:rsidRPr="00252074">
        <w:rPr>
          <w:rFonts w:ascii="Times New Roman" w:hAnsi="Times New Roman" w:cs="Times New Roman"/>
          <w:sz w:val="24"/>
          <w:szCs w:val="24"/>
        </w:rPr>
        <w:fldChar w:fldCharType="end"/>
      </w:r>
      <w:r w:rsidRPr="00252074">
        <w:rPr>
          <w:rFonts w:ascii="Times New Roman" w:hAnsi="Times New Roman" w:cs="Times New Roman"/>
          <w:sz w:val="24"/>
          <w:szCs w:val="24"/>
        </w:rPr>
        <w:t>. Another noteworthy aspect pertains to the composition of the House of Lords, wherein 26 bishops occupy seats as "Lords Spiritual"</w:t>
      </w:r>
      <w:r w:rsidR="00BE45AC" w:rsidRPr="00252074">
        <w:rPr>
          <w:rFonts w:ascii="Times New Roman" w:hAnsi="Times New Roman" w:cs="Times New Roman"/>
          <w:sz w:val="24"/>
          <w:szCs w:val="24"/>
        </w:rPr>
        <w:t>.</w:t>
      </w:r>
      <w:r w:rsidRPr="00252074">
        <w:rPr>
          <w:rFonts w:ascii="Times New Roman" w:hAnsi="Times New Roman" w:cs="Times New Roman"/>
          <w:sz w:val="24"/>
          <w:szCs w:val="24"/>
        </w:rPr>
        <w:t xml:space="preserve"> These individuals of high standing within the Church of England are entrusted with offering a religious perspective within British politics. Individuals are entitled to exercise their authority in evaluating and voting on questions of faith and belief. Finally, hereditary peers constitute a relatively minor proportion of the House of Lords. The House of Lords Act of 1999, however, significantly reduced the number of members in the House of Lords. This legislation imposed a </w:t>
      </w:r>
      <w:r w:rsidRPr="00252074">
        <w:rPr>
          <w:rFonts w:ascii="Times New Roman" w:hAnsi="Times New Roman" w:cs="Times New Roman"/>
          <w:sz w:val="24"/>
          <w:szCs w:val="24"/>
        </w:rPr>
        <w:lastRenderedPageBreak/>
        <w:t>limit of ninety-two on the number of hereditary peers eligible to serve in the House of Lords</w:t>
      </w:r>
      <w:r w:rsidR="00BE45AC" w:rsidRPr="00252074">
        <w:rPr>
          <w:rFonts w:ascii="Times New Roman" w:hAnsi="Times New Roman" w:cs="Times New Roman"/>
          <w:sz w:val="24"/>
          <w:szCs w:val="24"/>
        </w:rPr>
        <w:t xml:space="preserve"> </w:t>
      </w:r>
      <w:r w:rsidR="00E72E66" w:rsidRPr="00252074">
        <w:rPr>
          <w:rFonts w:ascii="Times New Roman" w:hAnsi="Times New Roman" w:cs="Times New Roman"/>
          <w:sz w:val="24"/>
          <w:szCs w:val="24"/>
        </w:rPr>
        <w:fldChar w:fldCharType="begin"/>
      </w:r>
      <w:r w:rsidR="00E72E66" w:rsidRPr="00252074">
        <w:rPr>
          <w:rFonts w:ascii="Times New Roman" w:hAnsi="Times New Roman" w:cs="Times New Roman"/>
          <w:sz w:val="24"/>
          <w:szCs w:val="24"/>
        </w:rPr>
        <w:instrText xml:space="preserve"> ADDIN EN.CITE &lt;EndNote&gt;&lt;Cite&gt;&lt;Author&gt;Norton&lt;/Author&gt;&lt;Year&gt;2019&lt;/Year&gt;&lt;RecNum&gt;24&lt;/RecNum&gt;&lt;DisplayText&gt;(Norton, 2019)&lt;/DisplayText&gt;&lt;record&gt;&lt;rec-number&gt;24&lt;/rec-number&gt;&lt;foreign-keys&gt;&lt;key app="EN" db-id="0zatz905b5tsz9ezfs5xapxrsw2pw22dafv9" timestamp="1699303237"&gt;24&lt;/key&gt;&lt;/foreign-keys&gt;&lt;ref-type name="Journal Article"&gt;17&lt;/ref-type&gt;&lt;contributors&gt;&lt;authors&gt;&lt;author&gt;Norton, Philip&lt;/author&gt;&lt;/authors&gt;&lt;/contributors&gt;&lt;titles&gt;&lt;title&gt;Post-legislative scrutiny in the UK Parliament: adding value&lt;/title&gt;&lt;secondary-title&gt;The Journal of Legislative Studies&lt;/secondary-title&gt;&lt;/titles&gt;&lt;periodical&gt;&lt;full-title&gt;The Journal of Legislative Studies&lt;/full-title&gt;&lt;/periodical&gt;&lt;pages&gt;340-357&lt;/pages&gt;&lt;volume&gt;25&lt;/volume&gt;&lt;number&gt;3&lt;/number&gt;&lt;dates&gt;&lt;year&gt;2019&lt;/year&gt;&lt;/dates&gt;&lt;isbn&gt;1357-2334&lt;/isbn&gt;&lt;urls&gt;&lt;/urls&gt;&lt;/record&gt;&lt;/Cite&gt;&lt;/EndNote&gt;</w:instrText>
      </w:r>
      <w:r w:rsidR="00E72E66" w:rsidRPr="00252074">
        <w:rPr>
          <w:rFonts w:ascii="Times New Roman" w:hAnsi="Times New Roman" w:cs="Times New Roman"/>
          <w:sz w:val="24"/>
          <w:szCs w:val="24"/>
        </w:rPr>
        <w:fldChar w:fldCharType="separate"/>
      </w:r>
      <w:r w:rsidR="00E72E66" w:rsidRPr="00252074">
        <w:rPr>
          <w:rFonts w:ascii="Times New Roman" w:hAnsi="Times New Roman" w:cs="Times New Roman"/>
          <w:noProof/>
          <w:sz w:val="24"/>
          <w:szCs w:val="24"/>
        </w:rPr>
        <w:t>(Norton, 2019)</w:t>
      </w:r>
      <w:r w:rsidR="00E72E66" w:rsidRPr="00252074">
        <w:rPr>
          <w:rFonts w:ascii="Times New Roman" w:hAnsi="Times New Roman" w:cs="Times New Roman"/>
          <w:sz w:val="24"/>
          <w:szCs w:val="24"/>
        </w:rPr>
        <w:fldChar w:fldCharType="end"/>
      </w:r>
      <w:r w:rsidRPr="00252074">
        <w:rPr>
          <w:rFonts w:ascii="Times New Roman" w:hAnsi="Times New Roman" w:cs="Times New Roman"/>
          <w:sz w:val="24"/>
          <w:szCs w:val="24"/>
        </w:rPr>
        <w:t xml:space="preserve">. </w:t>
      </w:r>
    </w:p>
    <w:p w14:paraId="0766531C" w14:textId="359C26AF" w:rsidR="002B1BE2" w:rsidRPr="00252074" w:rsidRDefault="002B1BE2" w:rsidP="00723D25">
      <w:pPr>
        <w:spacing w:after="0" w:line="360" w:lineRule="auto"/>
        <w:ind w:firstLine="720"/>
        <w:contextualSpacing/>
        <w:jc w:val="both"/>
        <w:rPr>
          <w:rFonts w:ascii="Times New Roman" w:hAnsi="Times New Roman" w:cs="Times New Roman"/>
          <w:sz w:val="24"/>
          <w:szCs w:val="24"/>
        </w:rPr>
      </w:pPr>
      <w:r w:rsidRPr="00252074">
        <w:rPr>
          <w:rFonts w:ascii="Times New Roman" w:hAnsi="Times New Roman" w:cs="Times New Roman"/>
          <w:sz w:val="24"/>
          <w:szCs w:val="24"/>
        </w:rPr>
        <w:t>The House of Lords constitutes a fundamental element of the British Parliament. The significant role of this chamber is to serve as a revising body responsible for the review and amendment of measures introduced in the House of Commons</w:t>
      </w:r>
      <w:r w:rsidR="00E72E66" w:rsidRPr="00252074">
        <w:rPr>
          <w:rFonts w:ascii="Times New Roman" w:hAnsi="Times New Roman" w:cs="Times New Roman"/>
          <w:sz w:val="24"/>
          <w:szCs w:val="24"/>
        </w:rPr>
        <w:t xml:space="preserve"> </w:t>
      </w:r>
      <w:r w:rsidR="00E72E66" w:rsidRPr="00252074">
        <w:rPr>
          <w:rFonts w:ascii="Times New Roman" w:hAnsi="Times New Roman" w:cs="Times New Roman"/>
          <w:sz w:val="24"/>
          <w:szCs w:val="24"/>
        </w:rPr>
        <w:fldChar w:fldCharType="begin"/>
      </w:r>
      <w:r w:rsidR="00E72E66" w:rsidRPr="00252074">
        <w:rPr>
          <w:rFonts w:ascii="Times New Roman" w:hAnsi="Times New Roman" w:cs="Times New Roman"/>
          <w:sz w:val="24"/>
          <w:szCs w:val="24"/>
        </w:rPr>
        <w:instrText xml:space="preserve"> ADDIN EN.CITE &lt;EndNote&gt;&lt;Cite&gt;&lt;Author&gt;Whittlestone&lt;/Author&gt;&lt;Year&gt;2019&lt;/Year&gt;&lt;RecNum&gt;25&lt;/RecNum&gt;&lt;DisplayText&gt;(Whittlestone et al., 2019)&lt;/DisplayText&gt;&lt;record&gt;&lt;rec-number&gt;25&lt;/rec-number&gt;&lt;foreign-keys&gt;&lt;key app="EN" db-id="0zatz905b5tsz9ezfs5xapxrsw2pw22dafv9" timestamp="1699303307"&gt;25&lt;/key&gt;&lt;/foreign-keys&gt;&lt;ref-type name="Conference Proceedings"&gt;10&lt;/ref-type&gt;&lt;contributors&gt;&lt;authors&gt;&lt;author&gt;Whittlestone, Jess&lt;/author&gt;&lt;author&gt;Nyrup, Rune&lt;/author&gt;&lt;author&gt;Alexandrova, Anna&lt;/author&gt;&lt;author&gt;Cave, Stephen&lt;/author&gt;&lt;/authors&gt;&lt;/contributors&gt;&lt;titles&gt;&lt;title&gt;The role and limits of principles in AI ethics: Towards a focus on tensions&lt;/title&gt;&lt;secondary-title&gt;Proceedings of the 2019 AAAI/ACM Conference on AI, Ethics, and Society&lt;/secondary-title&gt;&lt;/titles&gt;&lt;pages&gt;195-200&lt;/pages&gt;&lt;dates&gt;&lt;year&gt;2019&lt;/year&gt;&lt;/dates&gt;&lt;urls&gt;&lt;/urls&gt;&lt;/record&gt;&lt;/Cite&gt;&lt;/EndNote&gt;</w:instrText>
      </w:r>
      <w:r w:rsidR="00E72E66" w:rsidRPr="00252074">
        <w:rPr>
          <w:rFonts w:ascii="Times New Roman" w:hAnsi="Times New Roman" w:cs="Times New Roman"/>
          <w:sz w:val="24"/>
          <w:szCs w:val="24"/>
        </w:rPr>
        <w:fldChar w:fldCharType="separate"/>
      </w:r>
      <w:r w:rsidR="00E72E66" w:rsidRPr="00252074">
        <w:rPr>
          <w:rFonts w:ascii="Times New Roman" w:hAnsi="Times New Roman" w:cs="Times New Roman"/>
          <w:noProof/>
          <w:sz w:val="24"/>
          <w:szCs w:val="24"/>
        </w:rPr>
        <w:t>(Whittlestone et al., 2019)</w:t>
      </w:r>
      <w:r w:rsidR="00E72E66" w:rsidRPr="00252074">
        <w:rPr>
          <w:rFonts w:ascii="Times New Roman" w:hAnsi="Times New Roman" w:cs="Times New Roman"/>
          <w:sz w:val="24"/>
          <w:szCs w:val="24"/>
        </w:rPr>
        <w:fldChar w:fldCharType="end"/>
      </w:r>
      <w:r w:rsidRPr="00252074">
        <w:rPr>
          <w:rFonts w:ascii="Times New Roman" w:hAnsi="Times New Roman" w:cs="Times New Roman"/>
          <w:sz w:val="24"/>
          <w:szCs w:val="24"/>
        </w:rPr>
        <w:t xml:space="preserve">. Through this approach, the House of Lords </w:t>
      </w:r>
      <w:r w:rsidR="00897861" w:rsidRPr="00252074">
        <w:rPr>
          <w:rFonts w:ascii="Times New Roman" w:hAnsi="Times New Roman" w:cs="Times New Roman"/>
          <w:sz w:val="24"/>
          <w:szCs w:val="24"/>
        </w:rPr>
        <w:t>can provide</w:t>
      </w:r>
      <w:r w:rsidRPr="00252074">
        <w:rPr>
          <w:rFonts w:ascii="Times New Roman" w:hAnsi="Times New Roman" w:cs="Times New Roman"/>
          <w:sz w:val="24"/>
          <w:szCs w:val="24"/>
        </w:rPr>
        <w:t xml:space="preserve"> a pivotal "secondary perspective" on novel legislation and proposing enhancements to further fortify </w:t>
      </w:r>
      <w:r w:rsidR="00D23A3D" w:rsidRPr="00252074">
        <w:rPr>
          <w:rFonts w:ascii="Times New Roman" w:hAnsi="Times New Roman" w:cs="Times New Roman"/>
          <w:sz w:val="24"/>
          <w:szCs w:val="24"/>
        </w:rPr>
        <w:t xml:space="preserve">them. </w:t>
      </w:r>
      <w:r w:rsidRPr="00252074">
        <w:rPr>
          <w:rFonts w:ascii="Times New Roman" w:hAnsi="Times New Roman" w:cs="Times New Roman"/>
          <w:sz w:val="24"/>
          <w:szCs w:val="24"/>
        </w:rPr>
        <w:t xml:space="preserve">The House of Lords ensures a comprehensive examination of bills prior to their enactment as </w:t>
      </w:r>
      <w:r w:rsidR="00CE1813" w:rsidRPr="00252074">
        <w:rPr>
          <w:rFonts w:ascii="Times New Roman" w:hAnsi="Times New Roman" w:cs="Times New Roman"/>
          <w:sz w:val="24"/>
          <w:szCs w:val="24"/>
        </w:rPr>
        <w:t xml:space="preserve">legislation. </w:t>
      </w:r>
      <w:r w:rsidRPr="00252074">
        <w:rPr>
          <w:rFonts w:ascii="Times New Roman" w:hAnsi="Times New Roman" w:cs="Times New Roman"/>
          <w:sz w:val="24"/>
          <w:szCs w:val="24"/>
        </w:rPr>
        <w:t>One of the House of Lords' most notable attributes is the extensive knowledge and expertise possessed by its members. The chamber members encompass diverse backgrounds and possess a broad spectrum of knowledge. This understanding facilitates comprehensive and contemplative dialogues on challenging subjects. During deliberations, members of the House of Lords often provide astute observations that enhance the quality of legislative debates</w:t>
      </w:r>
      <w:r w:rsidR="00E72E66" w:rsidRPr="00252074">
        <w:rPr>
          <w:rFonts w:ascii="Times New Roman" w:hAnsi="Times New Roman" w:cs="Times New Roman"/>
          <w:sz w:val="24"/>
          <w:szCs w:val="24"/>
        </w:rPr>
        <w:t xml:space="preserve"> </w:t>
      </w:r>
      <w:r w:rsidR="00E72E66" w:rsidRPr="00252074">
        <w:rPr>
          <w:rFonts w:ascii="Times New Roman" w:hAnsi="Times New Roman" w:cs="Times New Roman"/>
          <w:sz w:val="24"/>
          <w:szCs w:val="24"/>
        </w:rPr>
        <w:fldChar w:fldCharType="begin"/>
      </w:r>
      <w:r w:rsidR="00E72E66" w:rsidRPr="00252074">
        <w:rPr>
          <w:rFonts w:ascii="Times New Roman" w:hAnsi="Times New Roman" w:cs="Times New Roman"/>
          <w:sz w:val="24"/>
          <w:szCs w:val="24"/>
        </w:rPr>
        <w:instrText xml:space="preserve"> ADDIN EN.CITE &lt;EndNote&gt;&lt;Cite&gt;&lt;Author&gt;Russell&lt;/Author&gt;&lt;Year&gt;2017&lt;/Year&gt;&lt;RecNum&gt;31&lt;/RecNum&gt;&lt;DisplayText&gt;(Russell and Gover, 2017)&lt;/DisplayText&gt;&lt;record&gt;&lt;rec-number&gt;31&lt;/rec-number&gt;&lt;foreign-keys&gt;&lt;key app="EN" db-id="0zatz905b5tsz9ezfs5xapxrsw2pw22dafv9" timestamp="1699303753"&gt;31&lt;/key&gt;&lt;/foreign-keys&gt;&lt;ref-type name="Book"&gt;6&lt;/ref-type&gt;&lt;contributors&gt;&lt;authors&gt;&lt;author&gt;Russell, Meg&lt;/author&gt;&lt;author&gt;Gover, Daniel&lt;/author&gt;&lt;/authors&gt;&lt;/contributors&gt;&lt;titles&gt;&lt;title&gt;Legislation at Westminster: Parliamentary actors and influence in the making of British law&lt;/title&gt;&lt;/titles&gt;&lt;dates&gt;&lt;year&gt;2017&lt;/year&gt;&lt;/dates&gt;&lt;publisher&gt;Oxford University Press&lt;/publisher&gt;&lt;isbn&gt;0198753829&lt;/isbn&gt;&lt;urls&gt;&lt;/urls&gt;&lt;/record&gt;&lt;/Cite&gt;&lt;/EndNote&gt;</w:instrText>
      </w:r>
      <w:r w:rsidR="00E72E66" w:rsidRPr="00252074">
        <w:rPr>
          <w:rFonts w:ascii="Times New Roman" w:hAnsi="Times New Roman" w:cs="Times New Roman"/>
          <w:sz w:val="24"/>
          <w:szCs w:val="24"/>
        </w:rPr>
        <w:fldChar w:fldCharType="separate"/>
      </w:r>
      <w:r w:rsidR="00E72E66" w:rsidRPr="00252074">
        <w:rPr>
          <w:rFonts w:ascii="Times New Roman" w:hAnsi="Times New Roman" w:cs="Times New Roman"/>
          <w:noProof/>
          <w:sz w:val="24"/>
          <w:szCs w:val="24"/>
        </w:rPr>
        <w:t>(Russell and Gover, 2017)</w:t>
      </w:r>
      <w:r w:rsidR="00E72E66" w:rsidRPr="00252074">
        <w:rPr>
          <w:rFonts w:ascii="Times New Roman" w:hAnsi="Times New Roman" w:cs="Times New Roman"/>
          <w:sz w:val="24"/>
          <w:szCs w:val="24"/>
        </w:rPr>
        <w:fldChar w:fldCharType="end"/>
      </w:r>
      <w:r w:rsidRPr="00252074">
        <w:rPr>
          <w:rFonts w:ascii="Times New Roman" w:hAnsi="Times New Roman" w:cs="Times New Roman"/>
          <w:sz w:val="24"/>
          <w:szCs w:val="24"/>
        </w:rPr>
        <w:t>. Another crucial duty of the House of Lords is to ensure accountability of the executive branch. The House of Lords is crucial in fostering transparency and ensuring governmental accountability by holding the executive branch accountable for its conduct. Furthermore, the House of Lords deliberates on social and moral matters, a significant portion of which can be traced back to religious or ethical foundations. The Lords Spiritual, distinguished individuals within the Church of England, fulfil a role in Parliament to ensure that the perspectives of the religious minority are duly considered in the legislative process</w:t>
      </w:r>
      <w:r w:rsidR="00E72E66" w:rsidRPr="00252074">
        <w:rPr>
          <w:rFonts w:ascii="Times New Roman" w:hAnsi="Times New Roman" w:cs="Times New Roman"/>
          <w:sz w:val="24"/>
          <w:szCs w:val="24"/>
        </w:rPr>
        <w:t xml:space="preserve"> </w:t>
      </w:r>
      <w:r w:rsidR="00E72E66" w:rsidRPr="00252074">
        <w:rPr>
          <w:rFonts w:ascii="Times New Roman" w:hAnsi="Times New Roman" w:cs="Times New Roman"/>
          <w:sz w:val="24"/>
          <w:szCs w:val="24"/>
        </w:rPr>
        <w:fldChar w:fldCharType="begin"/>
      </w:r>
      <w:r w:rsidR="00E72E66" w:rsidRPr="00252074">
        <w:rPr>
          <w:rFonts w:ascii="Times New Roman" w:hAnsi="Times New Roman" w:cs="Times New Roman"/>
          <w:sz w:val="24"/>
          <w:szCs w:val="24"/>
        </w:rPr>
        <w:instrText xml:space="preserve"> ADDIN EN.CITE &lt;EndNote&gt;&lt;Cite&gt;&lt;Author&gt;Whittlestone&lt;/Author&gt;&lt;Year&gt;2019&lt;/Year&gt;&lt;RecNum&gt;27&lt;/RecNum&gt;&lt;DisplayText&gt;(Whittlestone et al., 2019)&lt;/DisplayText&gt;&lt;record&gt;&lt;rec-number&gt;27&lt;/rec-number&gt;&lt;foreign-keys&gt;&lt;key app="EN" db-id="0zatz905b5tsz9ezfs5xapxrsw2pw22dafv9" timestamp="1699303433"&gt;27&lt;/key&gt;&lt;/foreign-keys&gt;&lt;ref-type name="Conference Proceedings"&gt;10&lt;/ref-type&gt;&lt;contributors&gt;&lt;authors&gt;&lt;author&gt;Whittlestone, Jess&lt;/author&gt;&lt;author&gt;Nyrup, Rune&lt;/author&gt;&lt;author&gt;Alexandrova, Anna&lt;/author&gt;&lt;author&gt;Cave, Stephen&lt;/author&gt;&lt;/authors&gt;&lt;/contributors&gt;&lt;titles&gt;&lt;title&gt;The role and limits of principles in AI ethics: Towards a focus on tensions&lt;/title&gt;&lt;secondary-title&gt;Proceedings of the 2019 AAAI/ACM Conference on AI, Ethics, and Society&lt;/secondary-title&gt;&lt;/titles&gt;&lt;pages&gt;195-200&lt;/pages&gt;&lt;dates&gt;&lt;year&gt;2019&lt;/year&gt;&lt;/dates&gt;&lt;urls&gt;&lt;/urls&gt;&lt;/record&gt;&lt;/Cite&gt;&lt;/EndNote&gt;</w:instrText>
      </w:r>
      <w:r w:rsidR="00E72E66" w:rsidRPr="00252074">
        <w:rPr>
          <w:rFonts w:ascii="Times New Roman" w:hAnsi="Times New Roman" w:cs="Times New Roman"/>
          <w:sz w:val="24"/>
          <w:szCs w:val="24"/>
        </w:rPr>
        <w:fldChar w:fldCharType="separate"/>
      </w:r>
      <w:r w:rsidR="00E72E66" w:rsidRPr="00252074">
        <w:rPr>
          <w:rFonts w:ascii="Times New Roman" w:hAnsi="Times New Roman" w:cs="Times New Roman"/>
          <w:noProof/>
          <w:sz w:val="24"/>
          <w:szCs w:val="24"/>
        </w:rPr>
        <w:t>(Whittlestone et al., 2019)</w:t>
      </w:r>
      <w:r w:rsidR="00E72E66" w:rsidRPr="00252074">
        <w:rPr>
          <w:rFonts w:ascii="Times New Roman" w:hAnsi="Times New Roman" w:cs="Times New Roman"/>
          <w:sz w:val="24"/>
          <w:szCs w:val="24"/>
        </w:rPr>
        <w:fldChar w:fldCharType="end"/>
      </w:r>
      <w:r w:rsidRPr="00252074">
        <w:rPr>
          <w:rFonts w:ascii="Times New Roman" w:hAnsi="Times New Roman" w:cs="Times New Roman"/>
          <w:sz w:val="24"/>
          <w:szCs w:val="24"/>
        </w:rPr>
        <w:t>.</w:t>
      </w:r>
    </w:p>
    <w:p w14:paraId="7B8F13C3" w14:textId="77777777" w:rsidR="002B1BE2" w:rsidRPr="00252074" w:rsidRDefault="002B1BE2" w:rsidP="00723D25">
      <w:pPr>
        <w:spacing w:after="0" w:line="360" w:lineRule="auto"/>
        <w:ind w:firstLine="720"/>
        <w:contextualSpacing/>
        <w:jc w:val="both"/>
        <w:rPr>
          <w:rFonts w:ascii="Times New Roman" w:hAnsi="Times New Roman" w:cs="Times New Roman"/>
          <w:sz w:val="24"/>
          <w:szCs w:val="24"/>
        </w:rPr>
      </w:pPr>
      <w:r w:rsidRPr="00252074">
        <w:rPr>
          <w:rFonts w:ascii="Times New Roman" w:hAnsi="Times New Roman" w:cs="Times New Roman"/>
          <w:sz w:val="24"/>
          <w:szCs w:val="24"/>
        </w:rPr>
        <w:t>The House of Lords holds significant legislative authority since it assumes the responsibility of scrutinizing and amending measures. The committee is an evaluative and revisionary body tasked with examining laws that the House of Commons has previously approved. Its primary objective is to identify and rectify any issues or deficiencies within the legislation before its enactment</w:t>
      </w:r>
      <w:r w:rsidR="00E72E66" w:rsidRPr="00252074">
        <w:rPr>
          <w:rFonts w:ascii="Times New Roman" w:hAnsi="Times New Roman" w:cs="Times New Roman"/>
          <w:sz w:val="24"/>
          <w:szCs w:val="24"/>
        </w:rPr>
        <w:t xml:space="preserve"> </w:t>
      </w:r>
      <w:r w:rsidR="00E72E66" w:rsidRPr="00252074">
        <w:rPr>
          <w:rFonts w:ascii="Times New Roman" w:hAnsi="Times New Roman" w:cs="Times New Roman"/>
          <w:sz w:val="24"/>
          <w:szCs w:val="24"/>
        </w:rPr>
        <w:fldChar w:fldCharType="begin"/>
      </w:r>
      <w:r w:rsidR="00E72E66" w:rsidRPr="00252074">
        <w:rPr>
          <w:rFonts w:ascii="Times New Roman" w:hAnsi="Times New Roman" w:cs="Times New Roman"/>
          <w:sz w:val="24"/>
          <w:szCs w:val="24"/>
        </w:rPr>
        <w:instrText xml:space="preserve"> ADDIN EN.CITE &lt;EndNote&gt;&lt;Cite&gt;&lt;Author&gt;Rozenberg&lt;/Author&gt;&lt;Year&gt;2020&lt;/Year&gt;&lt;RecNum&gt;28&lt;/RecNum&gt;&lt;DisplayText&gt;(Rozenberg and Martin, 2020)&lt;/DisplayText&gt;&lt;record&gt;&lt;rec-number&gt;28&lt;/rec-number&gt;&lt;foreign-keys&gt;&lt;key app="EN" db-id="0zatz905b5tsz9ezfs5xapxrsw2pw22dafv9" timestamp="1699303497"&gt;28&lt;/key&gt;&lt;/foreign-keys&gt;&lt;ref-type name="Book Section"&gt;5&lt;/ref-type&gt;&lt;contributors&gt;&lt;authors&gt;&lt;author&gt;Rozenberg, Olivier&lt;/author&gt;&lt;author&gt;Martin, Shane&lt;/author&gt;&lt;/authors&gt;&lt;/contributors&gt;&lt;titles&gt;&lt;title&gt;Questioning parliamentary questions&lt;/title&gt;&lt;secondary-title&gt;The Impact of Legislatures&lt;/secondary-title&gt;&lt;/titles&gt;&lt;pages&gt;446-456&lt;/pages&gt;&lt;dates&gt;&lt;year&gt;2020&lt;/year&gt;&lt;/dates&gt;&lt;publisher&gt;Routledge&lt;/publisher&gt;&lt;urls&gt;&lt;/urls&gt;&lt;/record&gt;&lt;/Cite&gt;&lt;/EndNote&gt;</w:instrText>
      </w:r>
      <w:r w:rsidR="00E72E66" w:rsidRPr="00252074">
        <w:rPr>
          <w:rFonts w:ascii="Times New Roman" w:hAnsi="Times New Roman" w:cs="Times New Roman"/>
          <w:sz w:val="24"/>
          <w:szCs w:val="24"/>
        </w:rPr>
        <w:fldChar w:fldCharType="separate"/>
      </w:r>
      <w:r w:rsidR="00E72E66" w:rsidRPr="00252074">
        <w:rPr>
          <w:rFonts w:ascii="Times New Roman" w:hAnsi="Times New Roman" w:cs="Times New Roman"/>
          <w:noProof/>
          <w:sz w:val="24"/>
          <w:szCs w:val="24"/>
        </w:rPr>
        <w:t>(Rozenberg and Martin, 2020)</w:t>
      </w:r>
      <w:r w:rsidR="00E72E66" w:rsidRPr="00252074">
        <w:rPr>
          <w:rFonts w:ascii="Times New Roman" w:hAnsi="Times New Roman" w:cs="Times New Roman"/>
          <w:sz w:val="24"/>
          <w:szCs w:val="24"/>
        </w:rPr>
        <w:fldChar w:fldCharType="end"/>
      </w:r>
      <w:r w:rsidRPr="00252074">
        <w:rPr>
          <w:rFonts w:ascii="Times New Roman" w:hAnsi="Times New Roman" w:cs="Times New Roman"/>
          <w:sz w:val="24"/>
          <w:szCs w:val="24"/>
        </w:rPr>
        <w:t>. The House of Lords is notable for its autonomy. The House of Lords is comparatively less susceptible to the influence of party politics and public pressure than the House of Commons. Life peers in the House of Lords enjoy the liberty to exercise independent thought and action, unburdened by the need to cater to popular opinion.</w:t>
      </w:r>
      <w:r w:rsidR="00BE45AC" w:rsidRPr="00252074">
        <w:rPr>
          <w:rFonts w:ascii="Times New Roman" w:hAnsi="Times New Roman" w:cs="Times New Roman"/>
          <w:sz w:val="24"/>
          <w:szCs w:val="24"/>
        </w:rPr>
        <w:t xml:space="preserve">  </w:t>
      </w:r>
      <w:r w:rsidRPr="00252074">
        <w:rPr>
          <w:rFonts w:ascii="Times New Roman" w:hAnsi="Times New Roman" w:cs="Times New Roman"/>
          <w:sz w:val="24"/>
          <w:szCs w:val="24"/>
        </w:rPr>
        <w:t xml:space="preserve">The House of Lords possesses the advantage of adopting a more long-term perspective. Given that members of the House of Lords are not obligated to seek reelection, they can transcend the present political landscape and evaluate the long-term implications of their choices on future </w:t>
      </w:r>
      <w:r w:rsidRPr="00252074">
        <w:rPr>
          <w:rFonts w:ascii="Times New Roman" w:hAnsi="Times New Roman" w:cs="Times New Roman"/>
          <w:sz w:val="24"/>
          <w:szCs w:val="24"/>
        </w:rPr>
        <w:lastRenderedPageBreak/>
        <w:t>generations</w:t>
      </w:r>
      <w:r w:rsidR="00CE1813" w:rsidRPr="00252074">
        <w:rPr>
          <w:rFonts w:ascii="Times New Roman" w:hAnsi="Times New Roman" w:cs="Times New Roman"/>
          <w:sz w:val="24"/>
          <w:szCs w:val="24"/>
        </w:rPr>
        <w:fldChar w:fldCharType="begin"/>
      </w:r>
      <w:r w:rsidR="00CE1813" w:rsidRPr="00252074">
        <w:rPr>
          <w:rFonts w:ascii="Times New Roman" w:hAnsi="Times New Roman" w:cs="Times New Roman"/>
          <w:sz w:val="24"/>
          <w:szCs w:val="24"/>
        </w:rPr>
        <w:instrText xml:space="preserve"> ADDIN EN.CITE &lt;EndNote&gt;&lt;Cite&gt;&lt;Author&gt;John&lt;/Author&gt;&lt;Year&gt;2021&lt;/Year&gt;&lt;RecNum&gt;21&lt;/RecNum&gt;&lt;DisplayText&gt;(John and MacAskill, 2021)&lt;/DisplayText&gt;&lt;record&gt;&lt;rec-number&gt;21&lt;/rec-number&gt;&lt;foreign-keys&gt;&lt;key app="EN" db-id="0zatz905b5tsz9ezfs5xapxrsw2pw22dafv9" timestamp="1699302715"&gt;21&lt;/key&gt;&lt;/foreign-keys&gt;&lt;ref-type name="Journal Article"&gt;17&lt;/ref-type&gt;&lt;contributors&gt;&lt;authors&gt;&lt;author&gt;John, Tyler&lt;/author&gt;&lt;author&gt;MacAskill, William&lt;/author&gt;&lt;/authors&gt;&lt;/contributors&gt;&lt;titles&gt;&lt;title&gt;Longtermist institutional reform&lt;/title&gt;&lt;secondary-title&gt;The Long View: Essays on Policy, Philanthropy, and the Long-term Future, Legal Priorities Project Working Paper Series&lt;/secondary-title&gt;&lt;/titles&gt;&lt;periodical&gt;&lt;full-title&gt;The Long View: Essays on Policy, Philanthropy, and the Long-term Future, Legal Priorities Project Working Paper Series&lt;/full-title&gt;&lt;/periodical&gt;&lt;number&gt;4-2021&lt;/number&gt;&lt;dates&gt;&lt;year&gt;2021&lt;/year&gt;&lt;/dates&gt;&lt;urls&gt;&lt;/urls&gt;&lt;/record&gt;&lt;/Cite&gt;&lt;/EndNote&gt;</w:instrText>
      </w:r>
      <w:r w:rsidR="00CE1813" w:rsidRPr="00252074">
        <w:rPr>
          <w:rFonts w:ascii="Times New Roman" w:hAnsi="Times New Roman" w:cs="Times New Roman"/>
          <w:sz w:val="24"/>
          <w:szCs w:val="24"/>
        </w:rPr>
        <w:fldChar w:fldCharType="separate"/>
      </w:r>
      <w:r w:rsidR="00CE1813" w:rsidRPr="00252074">
        <w:rPr>
          <w:rFonts w:ascii="Times New Roman" w:hAnsi="Times New Roman" w:cs="Times New Roman"/>
          <w:noProof/>
          <w:sz w:val="24"/>
          <w:szCs w:val="24"/>
        </w:rPr>
        <w:t>(John and MacAskill, 2021)</w:t>
      </w:r>
      <w:r w:rsidR="00CE1813" w:rsidRPr="00252074">
        <w:rPr>
          <w:rFonts w:ascii="Times New Roman" w:hAnsi="Times New Roman" w:cs="Times New Roman"/>
          <w:sz w:val="24"/>
          <w:szCs w:val="24"/>
        </w:rPr>
        <w:fldChar w:fldCharType="end"/>
      </w:r>
      <w:r w:rsidRPr="00252074">
        <w:rPr>
          <w:rFonts w:ascii="Times New Roman" w:hAnsi="Times New Roman" w:cs="Times New Roman"/>
          <w:sz w:val="24"/>
          <w:szCs w:val="24"/>
        </w:rPr>
        <w:t>. Ultimately, the House of Lords is pivotal in preserving the intricate balance of power within British politics. The House of Lords plays a crucial role within the democratic framework of the United Kingdom, functioning as a means to safeguard against any power imbalances stemming from the elected House of Commons</w:t>
      </w:r>
      <w:r w:rsidR="00E72E66" w:rsidRPr="00252074">
        <w:rPr>
          <w:rFonts w:ascii="Times New Roman" w:hAnsi="Times New Roman" w:cs="Times New Roman"/>
          <w:sz w:val="24"/>
          <w:szCs w:val="24"/>
        </w:rPr>
        <w:t xml:space="preserve"> </w:t>
      </w:r>
      <w:r w:rsidR="00E72E66" w:rsidRPr="00252074">
        <w:rPr>
          <w:rFonts w:ascii="Times New Roman" w:hAnsi="Times New Roman" w:cs="Times New Roman"/>
          <w:sz w:val="24"/>
          <w:szCs w:val="24"/>
        </w:rPr>
        <w:fldChar w:fldCharType="begin"/>
      </w:r>
      <w:r w:rsidR="00EC0DD9" w:rsidRPr="00252074">
        <w:rPr>
          <w:rFonts w:ascii="Times New Roman" w:hAnsi="Times New Roman" w:cs="Times New Roman"/>
          <w:sz w:val="24"/>
          <w:szCs w:val="24"/>
        </w:rPr>
        <w:instrText xml:space="preserve"> ADDIN EN.CITE &lt;EndNote&gt;&lt;Cite&gt;&lt;Author&gt;Norton&lt;/Author&gt;&lt;Year&gt;2021&lt;/Year&gt;&lt;RecNum&gt;29&lt;/RecNum&gt;&lt;DisplayText&gt;(Norton, 2021a)&lt;/DisplayText&gt;&lt;record&gt;&lt;rec-number&gt;29&lt;/rec-number&gt;&lt;foreign-keys&gt;&lt;key app="EN" db-id="0zatz905b5tsz9ezfs5xapxrsw2pw22dafv9" timestamp="1699303581"&gt;29&lt;/key&gt;&lt;/foreign-keys&gt;&lt;ref-type name="Book Section"&gt;5&lt;/ref-type&gt;&lt;contributors&gt;&lt;authors&gt;&lt;author&gt;Norton, Philip&lt;/author&gt;&lt;/authors&gt;&lt;/contributors&gt;&lt;titles&gt;&lt;title&gt;The House of Commons under pressure&lt;/title&gt;&lt;secondary-title&gt;Politics UK&lt;/secondary-title&gt;&lt;/titles&gt;&lt;pages&gt;434-448&lt;/pages&gt;&lt;dates&gt;&lt;year&gt;2021&lt;/year&gt;&lt;/dates&gt;&lt;publisher&gt;Routledge&lt;/publisher&gt;&lt;urls&gt;&lt;/urls&gt;&lt;/record&gt;&lt;/Cite&gt;&lt;/EndNote&gt;</w:instrText>
      </w:r>
      <w:r w:rsidR="00E72E66" w:rsidRPr="00252074">
        <w:rPr>
          <w:rFonts w:ascii="Times New Roman" w:hAnsi="Times New Roman" w:cs="Times New Roman"/>
          <w:sz w:val="24"/>
          <w:szCs w:val="24"/>
        </w:rPr>
        <w:fldChar w:fldCharType="separate"/>
      </w:r>
      <w:r w:rsidR="00EC0DD9" w:rsidRPr="00252074">
        <w:rPr>
          <w:rFonts w:ascii="Times New Roman" w:hAnsi="Times New Roman" w:cs="Times New Roman"/>
          <w:noProof/>
          <w:sz w:val="24"/>
          <w:szCs w:val="24"/>
        </w:rPr>
        <w:t>(Norton, 2021a)</w:t>
      </w:r>
      <w:r w:rsidR="00E72E66" w:rsidRPr="00252074">
        <w:rPr>
          <w:rFonts w:ascii="Times New Roman" w:hAnsi="Times New Roman" w:cs="Times New Roman"/>
          <w:sz w:val="24"/>
          <w:szCs w:val="24"/>
        </w:rPr>
        <w:fldChar w:fldCharType="end"/>
      </w:r>
      <w:r w:rsidRPr="00252074">
        <w:rPr>
          <w:rFonts w:ascii="Times New Roman" w:hAnsi="Times New Roman" w:cs="Times New Roman"/>
          <w:sz w:val="24"/>
          <w:szCs w:val="24"/>
        </w:rPr>
        <w:t>.</w:t>
      </w:r>
    </w:p>
    <w:p w14:paraId="3AF621B1" w14:textId="77777777" w:rsidR="002B1BE2" w:rsidRPr="00252074" w:rsidRDefault="002B1BE2" w:rsidP="00723D25">
      <w:pPr>
        <w:spacing w:after="0" w:line="360" w:lineRule="auto"/>
        <w:ind w:firstLine="720"/>
        <w:contextualSpacing/>
        <w:jc w:val="both"/>
        <w:rPr>
          <w:rFonts w:ascii="Times New Roman" w:hAnsi="Times New Roman" w:cs="Times New Roman"/>
          <w:sz w:val="24"/>
          <w:szCs w:val="24"/>
        </w:rPr>
      </w:pPr>
      <w:r w:rsidRPr="00252074">
        <w:rPr>
          <w:rFonts w:ascii="Times New Roman" w:hAnsi="Times New Roman" w:cs="Times New Roman"/>
          <w:sz w:val="24"/>
          <w:szCs w:val="24"/>
        </w:rPr>
        <w:t xml:space="preserve">Despite its beneficial attributes, the House of Lords has encountered criticism due to a variety of valid reasons. One of the foremost issues lies in the absence of democratic legitimacy. The House of Lords has faced criticism for its perceived lack of democratic legitimacy, mainly attributed to the absence of direct elections for its members, despite its significant impact on shaping British law. </w:t>
      </w:r>
      <w:r w:rsidR="00081C6C" w:rsidRPr="00252074">
        <w:rPr>
          <w:rFonts w:ascii="Times New Roman" w:hAnsi="Times New Roman" w:cs="Times New Roman"/>
          <w:sz w:val="24"/>
          <w:szCs w:val="24"/>
        </w:rPr>
        <w:t xml:space="preserve"> </w:t>
      </w:r>
      <w:r w:rsidRPr="00252074">
        <w:rPr>
          <w:rFonts w:ascii="Times New Roman" w:hAnsi="Times New Roman" w:cs="Times New Roman"/>
          <w:sz w:val="24"/>
          <w:szCs w:val="24"/>
        </w:rPr>
        <w:t xml:space="preserve">The issue of appointments based on </w:t>
      </w:r>
      <w:r w:rsidR="00081C6C" w:rsidRPr="00252074">
        <w:rPr>
          <w:rFonts w:ascii="Times New Roman" w:hAnsi="Times New Roman" w:cs="Times New Roman"/>
          <w:sz w:val="24"/>
          <w:szCs w:val="24"/>
        </w:rPr>
        <w:t>favoritism</w:t>
      </w:r>
      <w:r w:rsidRPr="00252074">
        <w:rPr>
          <w:rFonts w:ascii="Times New Roman" w:hAnsi="Times New Roman" w:cs="Times New Roman"/>
          <w:sz w:val="24"/>
          <w:szCs w:val="24"/>
        </w:rPr>
        <w:t xml:space="preserve"> is also a subject of concern. There is a contention among specific individuals that the inclusion of political concerns should be excluded from the process of selecting life mates. There exists a proposition positing that the government's appointment decisions may be subject to influence from factors such as political support and campaign contributions. The potential absence of political motivations in selecting legislative body members gives rise to issues regarding the transparency and impartiality of the appointment process</w:t>
      </w:r>
      <w:r w:rsidR="00E72E66" w:rsidRPr="00252074">
        <w:rPr>
          <w:rFonts w:ascii="Times New Roman" w:hAnsi="Times New Roman" w:cs="Times New Roman"/>
          <w:sz w:val="24"/>
          <w:szCs w:val="24"/>
        </w:rPr>
        <w:t xml:space="preserve"> </w:t>
      </w:r>
      <w:r w:rsidR="00E72E66" w:rsidRPr="00252074">
        <w:rPr>
          <w:rFonts w:ascii="Times New Roman" w:hAnsi="Times New Roman" w:cs="Times New Roman"/>
          <w:sz w:val="24"/>
          <w:szCs w:val="24"/>
        </w:rPr>
        <w:fldChar w:fldCharType="begin"/>
      </w:r>
      <w:r w:rsidR="00E72E66" w:rsidRPr="00252074">
        <w:rPr>
          <w:rFonts w:ascii="Times New Roman" w:hAnsi="Times New Roman" w:cs="Times New Roman"/>
          <w:sz w:val="24"/>
          <w:szCs w:val="24"/>
        </w:rPr>
        <w:instrText xml:space="preserve"> ADDIN EN.CITE &lt;EndNote&gt;&lt;Cite&gt;&lt;Author&gt;Whately&lt;/Author&gt;&lt;Year&gt;2021&lt;/Year&gt;&lt;RecNum&gt;30&lt;/RecNum&gt;&lt;DisplayText&gt;(Whately, 2021)&lt;/DisplayText&gt;&lt;record&gt;&lt;rec-number&gt;30&lt;/rec-number&gt;&lt;foreign-keys&gt;&lt;key app="EN" db-id="0zatz905b5tsz9ezfs5xapxrsw2pw22dafv9" timestamp="1699303679"&gt;30&lt;/key&gt;&lt;/foreign-keys&gt;&lt;ref-type name="Book Section"&gt;5&lt;/ref-type&gt;&lt;contributors&gt;&lt;authors&gt;&lt;author&gt;Whately, Richard&lt;/author&gt;&lt;/authors&gt;&lt;/contributors&gt;&lt;titles&gt;&lt;title&gt;Substance of a Speech Delivered in the House of Lords on Friday the 26th March 1847. On the Motion for A Committee on Irish Poor Laws&lt;/title&gt;&lt;secondary-title&gt;Irish Political Economy Vol 4&lt;/secondary-title&gt;&lt;/titles&gt;&lt;pages&gt;223-239&lt;/pages&gt;&lt;dates&gt;&lt;year&gt;2021&lt;/year&gt;&lt;/dates&gt;&lt;publisher&gt;Routledge&lt;/publisher&gt;&lt;urls&gt;&lt;/urls&gt;&lt;/record&gt;&lt;/Cite&gt;&lt;/EndNote&gt;</w:instrText>
      </w:r>
      <w:r w:rsidR="00E72E66" w:rsidRPr="00252074">
        <w:rPr>
          <w:rFonts w:ascii="Times New Roman" w:hAnsi="Times New Roman" w:cs="Times New Roman"/>
          <w:sz w:val="24"/>
          <w:szCs w:val="24"/>
        </w:rPr>
        <w:fldChar w:fldCharType="separate"/>
      </w:r>
      <w:r w:rsidR="00E72E66" w:rsidRPr="00252074">
        <w:rPr>
          <w:rFonts w:ascii="Times New Roman" w:hAnsi="Times New Roman" w:cs="Times New Roman"/>
          <w:noProof/>
          <w:sz w:val="24"/>
          <w:szCs w:val="24"/>
        </w:rPr>
        <w:t>(Whately, 2021)</w:t>
      </w:r>
      <w:r w:rsidR="00E72E66" w:rsidRPr="00252074">
        <w:rPr>
          <w:rFonts w:ascii="Times New Roman" w:hAnsi="Times New Roman" w:cs="Times New Roman"/>
          <w:sz w:val="24"/>
          <w:szCs w:val="24"/>
        </w:rPr>
        <w:fldChar w:fldCharType="end"/>
      </w:r>
      <w:r w:rsidRPr="00252074">
        <w:rPr>
          <w:rFonts w:ascii="Times New Roman" w:hAnsi="Times New Roman" w:cs="Times New Roman"/>
          <w:sz w:val="24"/>
          <w:szCs w:val="24"/>
        </w:rPr>
        <w:t>.</w:t>
      </w:r>
    </w:p>
    <w:p w14:paraId="0F7754E7" w14:textId="77777777" w:rsidR="00BE45AC" w:rsidRPr="00252074" w:rsidRDefault="002B1BE2" w:rsidP="00723D25">
      <w:pPr>
        <w:spacing w:after="0" w:line="360" w:lineRule="auto"/>
        <w:ind w:firstLine="720"/>
        <w:contextualSpacing/>
        <w:jc w:val="both"/>
        <w:rPr>
          <w:rFonts w:ascii="Times New Roman" w:hAnsi="Times New Roman" w:cs="Times New Roman"/>
          <w:sz w:val="24"/>
          <w:szCs w:val="24"/>
        </w:rPr>
      </w:pPr>
      <w:r w:rsidRPr="00252074">
        <w:rPr>
          <w:rFonts w:ascii="Times New Roman" w:hAnsi="Times New Roman" w:cs="Times New Roman"/>
          <w:sz w:val="24"/>
          <w:szCs w:val="24"/>
        </w:rPr>
        <w:t>The House of Lords Act of 1999 resulted in a significant reduction in the number of hereditary peers. However, the continued existence of hereditary peers as part of the institution remains a subject of debate and disagreement. There is a prevailing contemporary perspective that hereditary transmission of titles is considered outdated, as opposed to a system that awards titles based on individual merit and achievement. There exists a viewpoint among specific individuals that the incorporation of hereditary factors into the legislative process of a contemporary democratic system is perceived as unjust and characterized by inequality</w:t>
      </w:r>
      <w:r w:rsidR="00E72E66" w:rsidRPr="00252074">
        <w:rPr>
          <w:rFonts w:ascii="Times New Roman" w:hAnsi="Times New Roman" w:cs="Times New Roman"/>
          <w:sz w:val="24"/>
          <w:szCs w:val="24"/>
        </w:rPr>
        <w:t xml:space="preserve"> </w:t>
      </w:r>
      <w:r w:rsidR="00E72E66" w:rsidRPr="00252074">
        <w:rPr>
          <w:rFonts w:ascii="Times New Roman" w:hAnsi="Times New Roman" w:cs="Times New Roman"/>
          <w:sz w:val="24"/>
          <w:szCs w:val="24"/>
        </w:rPr>
        <w:fldChar w:fldCharType="begin"/>
      </w:r>
      <w:r w:rsidR="00E72E66" w:rsidRPr="00252074">
        <w:rPr>
          <w:rFonts w:ascii="Times New Roman" w:hAnsi="Times New Roman" w:cs="Times New Roman"/>
          <w:sz w:val="24"/>
          <w:szCs w:val="24"/>
        </w:rPr>
        <w:instrText xml:space="preserve"> ADDIN EN.CITE &lt;EndNote&gt;&lt;Cite&gt;&lt;Author&gt;Russell&lt;/Author&gt;&lt;Year&gt;2017&lt;/Year&gt;&lt;RecNum&gt;31&lt;/RecNum&gt;&lt;DisplayText&gt;(Russell and Gover, 2017)&lt;/DisplayText&gt;&lt;record&gt;&lt;rec-number&gt;31&lt;/rec-number&gt;&lt;foreign-keys&gt;&lt;key app="EN" db-id="0zatz905b5tsz9ezfs5xapxrsw2pw22dafv9" timestamp="1699303753"&gt;31&lt;/key&gt;&lt;/foreign-keys&gt;&lt;ref-type name="Book"&gt;6&lt;/ref-type&gt;&lt;contributors&gt;&lt;authors&gt;&lt;author&gt;Russell, Meg&lt;/author&gt;&lt;author&gt;Gover, Daniel&lt;/author&gt;&lt;/authors&gt;&lt;/contributors&gt;&lt;titles&gt;&lt;title&gt;Legislation at Westminster: Parliamentary actors and influence in the making of British law&lt;/title&gt;&lt;/titles&gt;&lt;dates&gt;&lt;year&gt;2017&lt;/year&gt;&lt;/dates&gt;&lt;publisher&gt;Oxford University Press&lt;/publisher&gt;&lt;isbn&gt;0198753829&lt;/isbn&gt;&lt;urls&gt;&lt;/urls&gt;&lt;/record&gt;&lt;/Cite&gt;&lt;/EndNote&gt;</w:instrText>
      </w:r>
      <w:r w:rsidR="00E72E66" w:rsidRPr="00252074">
        <w:rPr>
          <w:rFonts w:ascii="Times New Roman" w:hAnsi="Times New Roman" w:cs="Times New Roman"/>
          <w:sz w:val="24"/>
          <w:szCs w:val="24"/>
        </w:rPr>
        <w:fldChar w:fldCharType="separate"/>
      </w:r>
      <w:r w:rsidR="00E72E66" w:rsidRPr="00252074">
        <w:rPr>
          <w:rFonts w:ascii="Times New Roman" w:hAnsi="Times New Roman" w:cs="Times New Roman"/>
          <w:noProof/>
          <w:sz w:val="24"/>
          <w:szCs w:val="24"/>
        </w:rPr>
        <w:t>(Russell and Gover, 2017)</w:t>
      </w:r>
      <w:r w:rsidR="00E72E66" w:rsidRPr="00252074">
        <w:rPr>
          <w:rFonts w:ascii="Times New Roman" w:hAnsi="Times New Roman" w:cs="Times New Roman"/>
          <w:sz w:val="24"/>
          <w:szCs w:val="24"/>
        </w:rPr>
        <w:fldChar w:fldCharType="end"/>
      </w:r>
      <w:r w:rsidRPr="00252074">
        <w:rPr>
          <w:rFonts w:ascii="Times New Roman" w:hAnsi="Times New Roman" w:cs="Times New Roman"/>
          <w:sz w:val="24"/>
          <w:szCs w:val="24"/>
        </w:rPr>
        <w:t>.</w:t>
      </w:r>
      <w:r w:rsidR="00BE45AC" w:rsidRPr="00252074">
        <w:rPr>
          <w:rFonts w:ascii="Times New Roman" w:hAnsi="Times New Roman" w:cs="Times New Roman"/>
          <w:sz w:val="24"/>
          <w:szCs w:val="24"/>
        </w:rPr>
        <w:t xml:space="preserve"> </w:t>
      </w:r>
    </w:p>
    <w:p w14:paraId="7000CDF9" w14:textId="77777777" w:rsidR="002B1BE2" w:rsidRPr="00252074" w:rsidRDefault="002B1BE2" w:rsidP="00723D25">
      <w:pPr>
        <w:spacing w:after="0" w:line="360" w:lineRule="auto"/>
        <w:ind w:firstLine="720"/>
        <w:contextualSpacing/>
        <w:jc w:val="both"/>
        <w:rPr>
          <w:rFonts w:ascii="Times New Roman" w:hAnsi="Times New Roman" w:cs="Times New Roman"/>
          <w:sz w:val="24"/>
          <w:szCs w:val="24"/>
        </w:rPr>
      </w:pPr>
      <w:r w:rsidRPr="00252074">
        <w:rPr>
          <w:rFonts w:ascii="Times New Roman" w:hAnsi="Times New Roman" w:cs="Times New Roman"/>
          <w:sz w:val="24"/>
          <w:szCs w:val="24"/>
        </w:rPr>
        <w:t xml:space="preserve">The issue of insufficient supervision regarding the House of Lords is interconnected. The need for reelection may contribute to their potential decreased responsiveness in modifying public mood, as it could be perceived that they possess </w:t>
      </w:r>
      <w:proofErr w:type="gramStart"/>
      <w:r w:rsidRPr="00252074">
        <w:rPr>
          <w:rFonts w:ascii="Times New Roman" w:hAnsi="Times New Roman" w:cs="Times New Roman"/>
          <w:sz w:val="24"/>
          <w:szCs w:val="24"/>
        </w:rPr>
        <w:t>a lesser degree of</w:t>
      </w:r>
      <w:proofErr w:type="gramEnd"/>
      <w:r w:rsidRPr="00252074">
        <w:rPr>
          <w:rFonts w:ascii="Times New Roman" w:hAnsi="Times New Roman" w:cs="Times New Roman"/>
          <w:sz w:val="24"/>
          <w:szCs w:val="24"/>
        </w:rPr>
        <w:t xml:space="preserve"> direct accountability to the general public. The presence of indirect responsibility may impose constraints on their ability to effectively reflect the changing desires and values of the general population</w:t>
      </w:r>
      <w:r w:rsidR="00E72E66" w:rsidRPr="00252074">
        <w:rPr>
          <w:rFonts w:ascii="Times New Roman" w:hAnsi="Times New Roman" w:cs="Times New Roman"/>
          <w:sz w:val="24"/>
          <w:szCs w:val="24"/>
        </w:rPr>
        <w:t xml:space="preserve"> </w:t>
      </w:r>
      <w:r w:rsidR="00E72E66" w:rsidRPr="00252074">
        <w:rPr>
          <w:rFonts w:ascii="Times New Roman" w:hAnsi="Times New Roman" w:cs="Times New Roman"/>
          <w:sz w:val="24"/>
          <w:szCs w:val="24"/>
        </w:rPr>
        <w:fldChar w:fldCharType="begin"/>
      </w:r>
      <w:r w:rsidR="00E72E66" w:rsidRPr="00252074">
        <w:rPr>
          <w:rFonts w:ascii="Times New Roman" w:hAnsi="Times New Roman" w:cs="Times New Roman"/>
          <w:sz w:val="24"/>
          <w:szCs w:val="24"/>
        </w:rPr>
        <w:instrText xml:space="preserve"> ADDIN EN.CITE &lt;EndNote&gt;&lt;Cite&gt;&lt;Author&gt;Hayton&lt;/Author&gt;&lt;Year&gt;2020&lt;/Year&gt;&lt;RecNum&gt;32&lt;/RecNum&gt;&lt;DisplayText&gt;(Hayton, 2020)&lt;/DisplayText&gt;&lt;record&gt;&lt;rec-number&gt;32&lt;/rec-number&gt;&lt;foreign-keys&gt;&lt;key app="EN" db-id="0zatz905b5tsz9ezfs5xapxrsw2pw22dafv9" timestamp="1699303851"&gt;32&lt;/key&gt;&lt;/foreign-keys&gt;&lt;ref-type name="Journal Article"&gt;17&lt;/ref-type&gt;&lt;contributors&gt;&lt;authors&gt;&lt;author&gt;Hayton, DW&lt;/author&gt;&lt;/authors&gt;&lt;/contributors&gt;&lt;titles&gt;&lt;title&gt;Party and Management in the Irish House of Lords, 1713–15&lt;/title&gt;&lt;secondary-title&gt;Parliamentary History&lt;/secondary-title&gt;&lt;/titles&gt;&lt;periodical&gt;&lt;full-title&gt;Parliamentary History&lt;/full-title&gt;&lt;/periodical&gt;&lt;pages&gt;99-125&lt;/pages&gt;&lt;volume&gt;39&lt;/volume&gt;&lt;number&gt;1&lt;/number&gt;&lt;dates&gt;&lt;year&gt;2020&lt;/year&gt;&lt;/dates&gt;&lt;isbn&gt;0264-2824&lt;/isbn&gt;&lt;urls&gt;&lt;/urls&gt;&lt;/record&gt;&lt;/Cite&gt;&lt;/EndNote&gt;</w:instrText>
      </w:r>
      <w:r w:rsidR="00E72E66" w:rsidRPr="00252074">
        <w:rPr>
          <w:rFonts w:ascii="Times New Roman" w:hAnsi="Times New Roman" w:cs="Times New Roman"/>
          <w:sz w:val="24"/>
          <w:szCs w:val="24"/>
        </w:rPr>
        <w:fldChar w:fldCharType="separate"/>
      </w:r>
      <w:r w:rsidR="00E72E66" w:rsidRPr="00252074">
        <w:rPr>
          <w:rFonts w:ascii="Times New Roman" w:hAnsi="Times New Roman" w:cs="Times New Roman"/>
          <w:noProof/>
          <w:sz w:val="24"/>
          <w:szCs w:val="24"/>
        </w:rPr>
        <w:t>(Hayton, 2020)</w:t>
      </w:r>
      <w:r w:rsidR="00E72E66" w:rsidRPr="00252074">
        <w:rPr>
          <w:rFonts w:ascii="Times New Roman" w:hAnsi="Times New Roman" w:cs="Times New Roman"/>
          <w:sz w:val="24"/>
          <w:szCs w:val="24"/>
        </w:rPr>
        <w:fldChar w:fldCharType="end"/>
      </w:r>
      <w:r w:rsidRPr="00252074">
        <w:rPr>
          <w:rFonts w:ascii="Times New Roman" w:hAnsi="Times New Roman" w:cs="Times New Roman"/>
          <w:sz w:val="24"/>
          <w:szCs w:val="24"/>
        </w:rPr>
        <w:t xml:space="preserve">. The efficacy of the House of Lords has also been subject to scrutiny. The revision function plays a critical role in examining legislation, yet there are instances where it might impede the legislative process. Extended discussions have the potential to delay the implementation of crucial laws. This </w:t>
      </w:r>
      <w:r w:rsidRPr="00252074">
        <w:rPr>
          <w:rFonts w:ascii="Times New Roman" w:hAnsi="Times New Roman" w:cs="Times New Roman"/>
          <w:sz w:val="24"/>
          <w:szCs w:val="24"/>
        </w:rPr>
        <w:lastRenderedPageBreak/>
        <w:t>raises the inquiry regarding the optimal approach to reconciling meticulous examination with the imperative for expeditious legislative measures</w:t>
      </w:r>
      <w:r w:rsidR="00506D6D" w:rsidRPr="00252074">
        <w:rPr>
          <w:rFonts w:ascii="Times New Roman" w:hAnsi="Times New Roman" w:cs="Times New Roman"/>
          <w:sz w:val="24"/>
          <w:szCs w:val="24"/>
        </w:rPr>
        <w:t xml:space="preserve">. </w:t>
      </w:r>
      <w:r w:rsidRPr="00252074">
        <w:rPr>
          <w:rFonts w:ascii="Times New Roman" w:hAnsi="Times New Roman" w:cs="Times New Roman"/>
          <w:sz w:val="24"/>
          <w:szCs w:val="24"/>
        </w:rPr>
        <w:t>Another suggested alteration is the reduction or elimination of hereditary peers within the House of Lords. There is a prevailing argument that the gradual elimination of hereditary peers is necessary due to their perceived inconsistency with contemporary democratic principles. This proposed modification would further align the chamber with the principles of representative democracy through the modernization of its composition</w:t>
      </w:r>
      <w:r w:rsidR="00EC0DD9" w:rsidRPr="00252074">
        <w:rPr>
          <w:rFonts w:ascii="Times New Roman" w:hAnsi="Times New Roman" w:cs="Times New Roman"/>
          <w:sz w:val="24"/>
          <w:szCs w:val="24"/>
        </w:rPr>
        <w:t xml:space="preserve"> </w:t>
      </w:r>
      <w:r w:rsidR="00EC0DD9" w:rsidRPr="00252074">
        <w:rPr>
          <w:rFonts w:ascii="Times New Roman" w:hAnsi="Times New Roman" w:cs="Times New Roman"/>
          <w:sz w:val="24"/>
          <w:szCs w:val="24"/>
        </w:rPr>
        <w:fldChar w:fldCharType="begin"/>
      </w:r>
      <w:r w:rsidR="00EC0DD9" w:rsidRPr="00252074">
        <w:rPr>
          <w:rFonts w:ascii="Times New Roman" w:hAnsi="Times New Roman" w:cs="Times New Roman"/>
          <w:sz w:val="24"/>
          <w:szCs w:val="24"/>
        </w:rPr>
        <w:instrText xml:space="preserve"> ADDIN EN.CITE &lt;EndNote&gt;&lt;Cite&gt;&lt;Author&gt;Hayton&lt;/Author&gt;&lt;Year&gt;2020&lt;/Year&gt;&lt;RecNum&gt;32&lt;/RecNum&gt;&lt;DisplayText&gt;(Hayton, 2020)&lt;/DisplayText&gt;&lt;record&gt;&lt;rec-number&gt;32&lt;/rec-number&gt;&lt;foreign-keys&gt;&lt;key app="EN" db-id="0zatz905b5tsz9ezfs5xapxrsw2pw22dafv9" timestamp="1699303851"&gt;32&lt;/key&gt;&lt;/foreign-keys&gt;&lt;ref-type name="Journal Article"&gt;17&lt;/ref-type&gt;&lt;contributors&gt;&lt;authors&gt;&lt;author&gt;Hayton, DW&lt;/author&gt;&lt;/authors&gt;&lt;/contributors&gt;&lt;titles&gt;&lt;title&gt;Party and Management in the Irish House of Lords, 1713–15&lt;/title&gt;&lt;secondary-title&gt;Parliamentary History&lt;/secondary-title&gt;&lt;/titles&gt;&lt;periodical&gt;&lt;full-title&gt;Parliamentary History&lt;/full-title&gt;&lt;/periodical&gt;&lt;pages&gt;99-125&lt;/pages&gt;&lt;volume&gt;39&lt;/volume&gt;&lt;number&gt;1&lt;/number&gt;&lt;dates&gt;&lt;year&gt;2020&lt;/year&gt;&lt;/dates&gt;&lt;isbn&gt;0264-2824&lt;/isbn&gt;&lt;urls&gt;&lt;/urls&gt;&lt;/record&gt;&lt;/Cite&gt;&lt;/EndNote&gt;</w:instrText>
      </w:r>
      <w:r w:rsidR="00EC0DD9" w:rsidRPr="00252074">
        <w:rPr>
          <w:rFonts w:ascii="Times New Roman" w:hAnsi="Times New Roman" w:cs="Times New Roman"/>
          <w:sz w:val="24"/>
          <w:szCs w:val="24"/>
        </w:rPr>
        <w:fldChar w:fldCharType="separate"/>
      </w:r>
      <w:r w:rsidR="00EC0DD9" w:rsidRPr="00252074">
        <w:rPr>
          <w:rFonts w:ascii="Times New Roman" w:hAnsi="Times New Roman" w:cs="Times New Roman"/>
          <w:noProof/>
          <w:sz w:val="24"/>
          <w:szCs w:val="24"/>
        </w:rPr>
        <w:t>(Hayton, 2020)</w:t>
      </w:r>
      <w:r w:rsidR="00EC0DD9" w:rsidRPr="00252074">
        <w:rPr>
          <w:rFonts w:ascii="Times New Roman" w:hAnsi="Times New Roman" w:cs="Times New Roman"/>
          <w:sz w:val="24"/>
          <w:szCs w:val="24"/>
        </w:rPr>
        <w:fldChar w:fldCharType="end"/>
      </w:r>
      <w:r w:rsidRPr="00252074">
        <w:rPr>
          <w:rFonts w:ascii="Times New Roman" w:hAnsi="Times New Roman" w:cs="Times New Roman"/>
          <w:sz w:val="24"/>
          <w:szCs w:val="24"/>
        </w:rPr>
        <w:t>.</w:t>
      </w:r>
    </w:p>
    <w:p w14:paraId="69EAC22A" w14:textId="77777777" w:rsidR="002B1BE2" w:rsidRPr="00252074" w:rsidRDefault="002B1BE2" w:rsidP="00723D25">
      <w:pPr>
        <w:spacing w:after="0" w:line="360" w:lineRule="auto"/>
        <w:ind w:firstLine="720"/>
        <w:contextualSpacing/>
        <w:jc w:val="both"/>
        <w:rPr>
          <w:rFonts w:ascii="Times New Roman" w:hAnsi="Times New Roman" w:cs="Times New Roman"/>
          <w:sz w:val="24"/>
          <w:szCs w:val="24"/>
        </w:rPr>
      </w:pPr>
      <w:r w:rsidRPr="00252074">
        <w:rPr>
          <w:rFonts w:ascii="Times New Roman" w:hAnsi="Times New Roman" w:cs="Times New Roman"/>
          <w:sz w:val="24"/>
          <w:szCs w:val="24"/>
        </w:rPr>
        <w:t>The proposition of nonpartisan appointments of life peers has been put forth to eradicate political patronage and favoritism from the appointment procedure. One possible approach to address the widespread impact of political considerations on the appointment of life peers involves the establishment of a novel, independent entity. Another suggested modification pertains to establishing fixed periods for those serving as members of the House of Lords. Regular reappointment or reelection would mitigate the potential for abuse of power resulting from unmonitored tenure. Individuals with predetermined tenures would be more equipped to adjust to changing public sentiment</w:t>
      </w:r>
      <w:r w:rsidR="00EC0DD9" w:rsidRPr="00252074">
        <w:rPr>
          <w:rFonts w:ascii="Times New Roman" w:hAnsi="Times New Roman" w:cs="Times New Roman"/>
          <w:sz w:val="24"/>
          <w:szCs w:val="24"/>
        </w:rPr>
        <w:t xml:space="preserve"> </w:t>
      </w:r>
      <w:r w:rsidR="00EC0DD9" w:rsidRPr="00252074">
        <w:rPr>
          <w:rFonts w:ascii="Times New Roman" w:hAnsi="Times New Roman" w:cs="Times New Roman"/>
          <w:sz w:val="24"/>
          <w:szCs w:val="24"/>
        </w:rPr>
        <w:fldChar w:fldCharType="begin"/>
      </w:r>
      <w:r w:rsidR="00EC0DD9" w:rsidRPr="00252074">
        <w:rPr>
          <w:rFonts w:ascii="Times New Roman" w:hAnsi="Times New Roman" w:cs="Times New Roman"/>
          <w:sz w:val="24"/>
          <w:szCs w:val="24"/>
        </w:rPr>
        <w:instrText xml:space="preserve"> ADDIN EN.CITE &lt;EndNote&gt;&lt;Cite&gt;&lt;Author&gt;Norton&lt;/Author&gt;&lt;Year&gt;2020&lt;/Year&gt;&lt;RecNum&gt;33&lt;/RecNum&gt;&lt;DisplayText&gt;(Norton, 2020)&lt;/DisplayText&gt;&lt;record&gt;&lt;rec-number&gt;33&lt;/rec-number&gt;&lt;foreign-keys&gt;&lt;key app="EN" db-id="0zatz905b5tsz9ezfs5xapxrsw2pw22dafv9" timestamp="1699304003"&gt;33&lt;/key&gt;&lt;/foreign-keys&gt;&lt;ref-type name="Book Section"&gt;5&lt;/ref-type&gt;&lt;contributors&gt;&lt;authors&gt;&lt;author&gt;Norton, Philip&lt;/author&gt;&lt;/authors&gt;&lt;/contributors&gt;&lt;titles&gt;&lt;title&gt;Reform of the House of Lords&lt;/title&gt;&lt;secondary-title&gt;Reform of the House of Lords&lt;/secondary-title&gt;&lt;/titles&gt;&lt;dates&gt;&lt;year&gt;2020&lt;/year&gt;&lt;/dates&gt;&lt;publisher&gt;Manchester University Press&lt;/publisher&gt;&lt;isbn&gt;1526153602&lt;/isbn&gt;&lt;urls&gt;&lt;/urls&gt;&lt;/record&gt;&lt;/Cite&gt;&lt;/EndNote&gt;</w:instrText>
      </w:r>
      <w:r w:rsidR="00EC0DD9" w:rsidRPr="00252074">
        <w:rPr>
          <w:rFonts w:ascii="Times New Roman" w:hAnsi="Times New Roman" w:cs="Times New Roman"/>
          <w:sz w:val="24"/>
          <w:szCs w:val="24"/>
        </w:rPr>
        <w:fldChar w:fldCharType="separate"/>
      </w:r>
      <w:r w:rsidR="00EC0DD9" w:rsidRPr="00252074">
        <w:rPr>
          <w:rFonts w:ascii="Times New Roman" w:hAnsi="Times New Roman" w:cs="Times New Roman"/>
          <w:noProof/>
          <w:sz w:val="24"/>
          <w:szCs w:val="24"/>
        </w:rPr>
        <w:t>(Norton, 2020)</w:t>
      </w:r>
      <w:r w:rsidR="00EC0DD9" w:rsidRPr="00252074">
        <w:rPr>
          <w:rFonts w:ascii="Times New Roman" w:hAnsi="Times New Roman" w:cs="Times New Roman"/>
          <w:sz w:val="24"/>
          <w:szCs w:val="24"/>
        </w:rPr>
        <w:fldChar w:fldCharType="end"/>
      </w:r>
      <w:r w:rsidRPr="00252074">
        <w:rPr>
          <w:rFonts w:ascii="Times New Roman" w:hAnsi="Times New Roman" w:cs="Times New Roman"/>
          <w:sz w:val="24"/>
          <w:szCs w:val="24"/>
        </w:rPr>
        <w:t>.</w:t>
      </w:r>
    </w:p>
    <w:p w14:paraId="6E27B712" w14:textId="77777777" w:rsidR="002B1BE2" w:rsidRPr="00252074" w:rsidRDefault="002B1BE2" w:rsidP="00723D25">
      <w:pPr>
        <w:spacing w:after="0" w:line="360" w:lineRule="auto"/>
        <w:ind w:firstLine="720"/>
        <w:contextualSpacing/>
        <w:jc w:val="both"/>
        <w:rPr>
          <w:rFonts w:ascii="Times New Roman" w:hAnsi="Times New Roman" w:cs="Times New Roman"/>
          <w:sz w:val="24"/>
          <w:szCs w:val="24"/>
        </w:rPr>
      </w:pPr>
      <w:r w:rsidRPr="00252074">
        <w:rPr>
          <w:rFonts w:ascii="Times New Roman" w:hAnsi="Times New Roman" w:cs="Times New Roman"/>
          <w:sz w:val="24"/>
          <w:szCs w:val="24"/>
        </w:rPr>
        <w:t>The investigation of the duties played by the Lords Spiritual, a group of 26 bishops within the House of Lords, has also been examined. Critics expressing concerns regarding the involvement of religious leaders in British politics often cite the prevailing trajectory towards secularism within the nation. The relevance and significance of the Lord's Spirit in the contemporary context of reform attempts may necessitate a reassessment. Another potential avenue for reform is the implementation of regional representation. The objective of this proposal is to enhance the representation of diverse geographical regions within the House of Lords. The inclusion of MPs from various regions across the nation would provide them with an opportunity to actively participate in the legislative process actively, thus enhancing their ability to address concerns specific to their respective regions effectively</w:t>
      </w:r>
      <w:r w:rsidR="00EC0DD9" w:rsidRPr="00252074">
        <w:rPr>
          <w:rFonts w:ascii="Times New Roman" w:hAnsi="Times New Roman" w:cs="Times New Roman"/>
          <w:sz w:val="24"/>
          <w:szCs w:val="24"/>
        </w:rPr>
        <w:t xml:space="preserve"> </w:t>
      </w:r>
      <w:r w:rsidR="00EC0DD9" w:rsidRPr="00252074">
        <w:rPr>
          <w:rFonts w:ascii="Times New Roman" w:hAnsi="Times New Roman" w:cs="Times New Roman"/>
          <w:sz w:val="24"/>
          <w:szCs w:val="24"/>
        </w:rPr>
        <w:fldChar w:fldCharType="begin"/>
      </w:r>
      <w:r w:rsidR="00EC0DD9" w:rsidRPr="00252074">
        <w:rPr>
          <w:rFonts w:ascii="Times New Roman" w:hAnsi="Times New Roman" w:cs="Times New Roman"/>
          <w:sz w:val="24"/>
          <w:szCs w:val="24"/>
        </w:rPr>
        <w:instrText xml:space="preserve"> ADDIN EN.CITE &lt;EndNote&gt;&lt;Cite&gt;&lt;Author&gt;Norton&lt;/Author&gt;&lt;Year&gt;2021&lt;/Year&gt;&lt;RecNum&gt;34&lt;/RecNum&gt;&lt;DisplayText&gt;(Norton, 2021b)&lt;/DisplayText&gt;&lt;record&gt;&lt;rec-number&gt;34&lt;/rec-number&gt;&lt;foreign-keys&gt;&lt;key app="EN" db-id="0zatz905b5tsz9ezfs5xapxrsw2pw22dafv9" timestamp="1699304041"&gt;34&lt;/key&gt;&lt;/foreign-keys&gt;&lt;ref-type name="Book Section"&gt;5&lt;/ref-type&gt;&lt;contributors&gt;&lt;authors&gt;&lt;author&gt;Norton, Philip&lt;/author&gt;&lt;/authors&gt;&lt;/contributors&gt;&lt;titles&gt;&lt;title&gt;The House of Lords&lt;/title&gt;&lt;secondary-title&gt;Politics UK&lt;/secondary-title&gt;&lt;/titles&gt;&lt;pages&gt;450-477&lt;/pages&gt;&lt;dates&gt;&lt;year&gt;2021&lt;/year&gt;&lt;/dates&gt;&lt;publisher&gt;Routledge&lt;/publisher&gt;&lt;urls&gt;&lt;/urls&gt;&lt;/record&gt;&lt;/Cite&gt;&lt;/EndNote&gt;</w:instrText>
      </w:r>
      <w:r w:rsidR="00EC0DD9" w:rsidRPr="00252074">
        <w:rPr>
          <w:rFonts w:ascii="Times New Roman" w:hAnsi="Times New Roman" w:cs="Times New Roman"/>
          <w:sz w:val="24"/>
          <w:szCs w:val="24"/>
        </w:rPr>
        <w:fldChar w:fldCharType="separate"/>
      </w:r>
      <w:r w:rsidR="00EC0DD9" w:rsidRPr="00252074">
        <w:rPr>
          <w:rFonts w:ascii="Times New Roman" w:hAnsi="Times New Roman" w:cs="Times New Roman"/>
          <w:noProof/>
          <w:sz w:val="24"/>
          <w:szCs w:val="24"/>
        </w:rPr>
        <w:t>(Norton, 2021b)</w:t>
      </w:r>
      <w:r w:rsidR="00EC0DD9" w:rsidRPr="00252074">
        <w:rPr>
          <w:rFonts w:ascii="Times New Roman" w:hAnsi="Times New Roman" w:cs="Times New Roman"/>
          <w:sz w:val="24"/>
          <w:szCs w:val="24"/>
        </w:rPr>
        <w:fldChar w:fldCharType="end"/>
      </w:r>
      <w:r w:rsidRPr="00252074">
        <w:rPr>
          <w:rFonts w:ascii="Times New Roman" w:hAnsi="Times New Roman" w:cs="Times New Roman"/>
          <w:sz w:val="24"/>
          <w:szCs w:val="24"/>
        </w:rPr>
        <w:t>.</w:t>
      </w:r>
    </w:p>
    <w:p w14:paraId="04A72A60" w14:textId="77777777" w:rsidR="002B1BE2" w:rsidRPr="00252074" w:rsidRDefault="002B1BE2" w:rsidP="00723D25">
      <w:pPr>
        <w:pStyle w:val="Heading1"/>
        <w:spacing w:before="0" w:line="360" w:lineRule="auto"/>
        <w:contextualSpacing/>
        <w:rPr>
          <w:rFonts w:ascii="Times New Roman" w:hAnsi="Times New Roman" w:cs="Times New Roman"/>
          <w:b/>
          <w:i/>
          <w:color w:val="auto"/>
          <w:sz w:val="24"/>
          <w:szCs w:val="24"/>
        </w:rPr>
      </w:pPr>
      <w:bookmarkStart w:id="2" w:name="_Toc150209810"/>
      <w:r w:rsidRPr="00252074">
        <w:rPr>
          <w:rFonts w:ascii="Times New Roman" w:hAnsi="Times New Roman" w:cs="Times New Roman"/>
          <w:b/>
          <w:i/>
          <w:color w:val="auto"/>
          <w:sz w:val="24"/>
          <w:szCs w:val="24"/>
        </w:rPr>
        <w:t>Conclusion</w:t>
      </w:r>
      <w:bookmarkEnd w:id="2"/>
    </w:p>
    <w:p w14:paraId="1C1149AB" w14:textId="77777777" w:rsidR="002B1BE2" w:rsidRPr="00252074" w:rsidRDefault="002B1BE2" w:rsidP="00723D25">
      <w:pPr>
        <w:spacing w:after="0" w:line="360" w:lineRule="auto"/>
        <w:ind w:firstLine="720"/>
        <w:contextualSpacing/>
        <w:jc w:val="both"/>
        <w:rPr>
          <w:rFonts w:ascii="Times New Roman" w:hAnsi="Times New Roman" w:cs="Times New Roman"/>
          <w:sz w:val="24"/>
          <w:szCs w:val="24"/>
        </w:rPr>
      </w:pPr>
      <w:r w:rsidRPr="00252074">
        <w:rPr>
          <w:rFonts w:ascii="Times New Roman" w:hAnsi="Times New Roman" w:cs="Times New Roman"/>
          <w:sz w:val="24"/>
          <w:szCs w:val="24"/>
        </w:rPr>
        <w:t xml:space="preserve">The dissolution of the House of Lords is a subject of considerable controversy among proponents and opponents across the political spectrum. With its extensive knowledge and systematic revision of legislation, as well as its provision of additional oversight and responsibility, this esteemed establishment plays a crucial part in the legislative proceedings of the United Kingdom. The subject under consideration is susceptible to critique because of issues of </w:t>
      </w:r>
      <w:r w:rsidRPr="00252074">
        <w:rPr>
          <w:rFonts w:ascii="Times New Roman" w:hAnsi="Times New Roman" w:cs="Times New Roman"/>
          <w:sz w:val="24"/>
          <w:szCs w:val="24"/>
        </w:rPr>
        <w:lastRenderedPageBreak/>
        <w:t>democratic legitimacy, patronage nominations, and the perpetuation of hereditary peers. Numerous reform suggestions have been implemented to rectify these deficiencies while preserving the crucial function of the House of Lords. The ultimate elimination of this institution is contingent upon a nuanced equilibrium. Within the framework of contemporary liberal democracies, it is necessary to carefully consider the merits and drawbacks associated with a particular concept or phenomenon.</w:t>
      </w:r>
    </w:p>
    <w:p w14:paraId="1D509757" w14:textId="484510F4" w:rsidR="00A14C9D" w:rsidRPr="00252074" w:rsidRDefault="002B1BE2" w:rsidP="00723D25">
      <w:pPr>
        <w:spacing w:after="0" w:line="360" w:lineRule="auto"/>
        <w:ind w:firstLine="720"/>
        <w:contextualSpacing/>
        <w:jc w:val="both"/>
        <w:rPr>
          <w:rFonts w:ascii="Times New Roman" w:hAnsi="Times New Roman" w:cs="Times New Roman"/>
          <w:sz w:val="24"/>
          <w:szCs w:val="24"/>
        </w:rPr>
      </w:pPr>
      <w:r w:rsidRPr="00252074">
        <w:rPr>
          <w:rFonts w:ascii="Times New Roman" w:hAnsi="Times New Roman" w:cs="Times New Roman"/>
          <w:sz w:val="24"/>
          <w:szCs w:val="24"/>
        </w:rPr>
        <w:t>During this critical phase of careful consideration, it is imperative to emphasize the significance of approaching any prospective modifications with utmost caution and thoughtfulness. Modifications to the House of Lords could potentially have significant implications for the political landscape of the United Kingdom. The implications extend beyond the current timeframe and have long-term consequences. Hence, it is imperative to make informed judgments regarding the future of the House of Lords while considering the broader implications for the governance of the United Kingdom.</w:t>
      </w:r>
      <w:bookmarkStart w:id="3" w:name="_Toc150209811"/>
    </w:p>
    <w:p w14:paraId="7D344E37" w14:textId="77777777" w:rsidR="00723D25" w:rsidRPr="00252074" w:rsidRDefault="00723D25">
      <w:pPr>
        <w:rPr>
          <w:rFonts w:ascii="Times New Roman" w:eastAsiaTheme="majorEastAsia" w:hAnsi="Times New Roman" w:cs="Times New Roman"/>
          <w:b/>
          <w:i/>
          <w:sz w:val="24"/>
          <w:szCs w:val="24"/>
        </w:rPr>
      </w:pPr>
      <w:r w:rsidRPr="00252074">
        <w:rPr>
          <w:rFonts w:ascii="Times New Roman" w:hAnsi="Times New Roman" w:cs="Times New Roman"/>
          <w:b/>
          <w:i/>
          <w:sz w:val="24"/>
          <w:szCs w:val="24"/>
        </w:rPr>
        <w:br w:type="page"/>
      </w:r>
    </w:p>
    <w:p w14:paraId="6E0B2453" w14:textId="1CA83CE1" w:rsidR="00335583" w:rsidRPr="00252074" w:rsidRDefault="00335583" w:rsidP="00723D25">
      <w:pPr>
        <w:pStyle w:val="Heading1"/>
        <w:spacing w:before="0" w:line="360" w:lineRule="auto"/>
        <w:contextualSpacing/>
        <w:rPr>
          <w:rFonts w:ascii="Times New Roman" w:hAnsi="Times New Roman" w:cs="Times New Roman"/>
          <w:b/>
          <w:i/>
          <w:color w:val="auto"/>
          <w:sz w:val="24"/>
          <w:szCs w:val="24"/>
        </w:rPr>
      </w:pPr>
      <w:r w:rsidRPr="00252074">
        <w:rPr>
          <w:rFonts w:ascii="Times New Roman" w:hAnsi="Times New Roman" w:cs="Times New Roman"/>
          <w:b/>
          <w:i/>
          <w:color w:val="auto"/>
          <w:sz w:val="24"/>
          <w:szCs w:val="24"/>
        </w:rPr>
        <w:lastRenderedPageBreak/>
        <w:t>References</w:t>
      </w:r>
      <w:bookmarkEnd w:id="3"/>
    </w:p>
    <w:p w14:paraId="5271FE1B" w14:textId="77777777" w:rsidR="00723D25" w:rsidRPr="00252074" w:rsidRDefault="00613376" w:rsidP="00723D25">
      <w:pPr>
        <w:pStyle w:val="EndNoteBibliography"/>
        <w:shd w:val="clear" w:color="auto" w:fill="FFFFFF" w:themeFill="background1"/>
        <w:spacing w:after="0" w:line="360" w:lineRule="auto"/>
        <w:ind w:left="720" w:hanging="720"/>
        <w:contextualSpacing/>
        <w:rPr>
          <w:rFonts w:ascii="Times New Roman" w:hAnsi="Times New Roman" w:cs="Times New Roman"/>
          <w:sz w:val="24"/>
          <w:szCs w:val="24"/>
        </w:rPr>
      </w:pPr>
      <w:r w:rsidRPr="00252074">
        <w:rPr>
          <w:rFonts w:ascii="Times New Roman" w:hAnsi="Times New Roman" w:cs="Times New Roman"/>
          <w:sz w:val="24"/>
          <w:szCs w:val="24"/>
        </w:rPr>
        <w:fldChar w:fldCharType="begin"/>
      </w:r>
      <w:r w:rsidRPr="00252074">
        <w:rPr>
          <w:rFonts w:ascii="Times New Roman" w:hAnsi="Times New Roman" w:cs="Times New Roman"/>
          <w:sz w:val="24"/>
          <w:szCs w:val="24"/>
        </w:rPr>
        <w:instrText xml:space="preserve"> ADDIN EN.REFLIST </w:instrText>
      </w:r>
      <w:r w:rsidRPr="00252074">
        <w:rPr>
          <w:rFonts w:ascii="Times New Roman" w:hAnsi="Times New Roman" w:cs="Times New Roman"/>
          <w:sz w:val="24"/>
          <w:szCs w:val="24"/>
        </w:rPr>
        <w:fldChar w:fldCharType="separate"/>
      </w:r>
      <w:r w:rsidR="00CE1813" w:rsidRPr="00252074">
        <w:rPr>
          <w:rFonts w:ascii="Times New Roman" w:hAnsi="Times New Roman" w:cs="Times New Roman"/>
          <w:sz w:val="24"/>
          <w:szCs w:val="24"/>
        </w:rPr>
        <w:t xml:space="preserve">Barnett, A. and Carty, P. 2017. </w:t>
      </w:r>
      <w:r w:rsidR="00CE1813" w:rsidRPr="00252074">
        <w:rPr>
          <w:rFonts w:ascii="Times New Roman" w:hAnsi="Times New Roman" w:cs="Times New Roman"/>
          <w:i/>
          <w:sz w:val="24"/>
          <w:szCs w:val="24"/>
        </w:rPr>
        <w:t>The Athenian option: Radical reform for the House of Lords</w:t>
      </w:r>
      <w:r w:rsidR="00CE1813" w:rsidRPr="00252074">
        <w:rPr>
          <w:rFonts w:ascii="Times New Roman" w:hAnsi="Times New Roman" w:cs="Times New Roman"/>
          <w:sz w:val="24"/>
          <w:szCs w:val="24"/>
        </w:rPr>
        <w:t>, Andrews UK Limited.</w:t>
      </w:r>
    </w:p>
    <w:p w14:paraId="369EC4FB" w14:textId="7D842AFC" w:rsidR="00CE1813" w:rsidRPr="00252074" w:rsidRDefault="00CE1813" w:rsidP="00723D25">
      <w:pPr>
        <w:pStyle w:val="EndNoteBibliography"/>
        <w:shd w:val="clear" w:color="auto" w:fill="FFFFFF" w:themeFill="background1"/>
        <w:spacing w:after="0" w:line="360" w:lineRule="auto"/>
        <w:ind w:left="720" w:hanging="720"/>
        <w:contextualSpacing/>
        <w:rPr>
          <w:rFonts w:ascii="Times New Roman" w:hAnsi="Times New Roman" w:cs="Times New Roman"/>
          <w:sz w:val="24"/>
          <w:szCs w:val="24"/>
        </w:rPr>
      </w:pPr>
      <w:r w:rsidRPr="00252074">
        <w:rPr>
          <w:rFonts w:ascii="Times New Roman" w:hAnsi="Times New Roman" w:cs="Times New Roman"/>
          <w:sz w:val="24"/>
          <w:szCs w:val="24"/>
        </w:rPr>
        <w:t xml:space="preserve">Bochel, H. and Defty, A. 2020. ‘A more representative chamber’: Representation and the House of Lords. </w:t>
      </w:r>
      <w:r w:rsidRPr="00252074">
        <w:rPr>
          <w:rFonts w:ascii="Times New Roman" w:hAnsi="Times New Roman" w:cs="Times New Roman"/>
          <w:i/>
          <w:sz w:val="24"/>
          <w:szCs w:val="24"/>
        </w:rPr>
        <w:t>The Impact of Legislatures.</w:t>
      </w:r>
      <w:r w:rsidRPr="00252074">
        <w:rPr>
          <w:rFonts w:ascii="Times New Roman" w:hAnsi="Times New Roman" w:cs="Times New Roman"/>
          <w:sz w:val="24"/>
          <w:szCs w:val="24"/>
        </w:rPr>
        <w:t xml:space="preserve"> Routledge.</w:t>
      </w:r>
    </w:p>
    <w:p w14:paraId="03F7A628" w14:textId="77777777" w:rsidR="00CE1813" w:rsidRPr="00252074" w:rsidRDefault="00CE1813" w:rsidP="00723D25">
      <w:pPr>
        <w:pStyle w:val="EndNoteBibliography"/>
        <w:shd w:val="clear" w:color="auto" w:fill="FFFFFF" w:themeFill="background1"/>
        <w:spacing w:after="0" w:line="360" w:lineRule="auto"/>
        <w:ind w:left="720" w:hanging="720"/>
        <w:contextualSpacing/>
        <w:rPr>
          <w:rFonts w:ascii="Times New Roman" w:hAnsi="Times New Roman" w:cs="Times New Roman"/>
          <w:sz w:val="24"/>
          <w:szCs w:val="24"/>
        </w:rPr>
      </w:pPr>
      <w:r w:rsidRPr="00252074">
        <w:rPr>
          <w:rFonts w:ascii="Times New Roman" w:hAnsi="Times New Roman" w:cs="Times New Roman"/>
          <w:sz w:val="24"/>
          <w:szCs w:val="24"/>
        </w:rPr>
        <w:t xml:space="preserve">Hayton, D. 2020. Party and Management in the Irish House of Lords, 1713–15. </w:t>
      </w:r>
      <w:r w:rsidRPr="00252074">
        <w:rPr>
          <w:rFonts w:ascii="Times New Roman" w:hAnsi="Times New Roman" w:cs="Times New Roman"/>
          <w:i/>
          <w:sz w:val="24"/>
          <w:szCs w:val="24"/>
        </w:rPr>
        <w:t>Parliamentary History,</w:t>
      </w:r>
      <w:r w:rsidRPr="00252074">
        <w:rPr>
          <w:rFonts w:ascii="Times New Roman" w:hAnsi="Times New Roman" w:cs="Times New Roman"/>
          <w:sz w:val="24"/>
          <w:szCs w:val="24"/>
        </w:rPr>
        <w:t xml:space="preserve"> 39</w:t>
      </w:r>
      <w:r w:rsidRPr="00252074">
        <w:rPr>
          <w:rFonts w:ascii="Times New Roman" w:hAnsi="Times New Roman" w:cs="Times New Roman"/>
          <w:b/>
          <w:sz w:val="24"/>
          <w:szCs w:val="24"/>
        </w:rPr>
        <w:t>,</w:t>
      </w:r>
      <w:r w:rsidRPr="00252074">
        <w:rPr>
          <w:rFonts w:ascii="Times New Roman" w:hAnsi="Times New Roman" w:cs="Times New Roman"/>
          <w:sz w:val="24"/>
          <w:szCs w:val="24"/>
        </w:rPr>
        <w:t xml:space="preserve"> 99-125.</w:t>
      </w:r>
    </w:p>
    <w:p w14:paraId="4EADFF42" w14:textId="77777777" w:rsidR="00CE1813" w:rsidRPr="00252074" w:rsidRDefault="00CE1813" w:rsidP="00723D25">
      <w:pPr>
        <w:pStyle w:val="EndNoteBibliography"/>
        <w:shd w:val="clear" w:color="auto" w:fill="FFFFFF" w:themeFill="background1"/>
        <w:spacing w:after="0" w:line="360" w:lineRule="auto"/>
        <w:ind w:left="720" w:hanging="720"/>
        <w:contextualSpacing/>
        <w:rPr>
          <w:rFonts w:ascii="Times New Roman" w:hAnsi="Times New Roman" w:cs="Times New Roman"/>
          <w:sz w:val="24"/>
          <w:szCs w:val="24"/>
        </w:rPr>
      </w:pPr>
      <w:r w:rsidRPr="00252074">
        <w:rPr>
          <w:rFonts w:ascii="Times New Roman" w:hAnsi="Times New Roman" w:cs="Times New Roman"/>
          <w:sz w:val="24"/>
          <w:szCs w:val="24"/>
        </w:rPr>
        <w:t xml:space="preserve">John, T. and Macaskill, W. 2021. Longtermist institutional reform. </w:t>
      </w:r>
      <w:r w:rsidRPr="00252074">
        <w:rPr>
          <w:rFonts w:ascii="Times New Roman" w:hAnsi="Times New Roman" w:cs="Times New Roman"/>
          <w:i/>
          <w:sz w:val="24"/>
          <w:szCs w:val="24"/>
        </w:rPr>
        <w:t>The Long View: Essays on Policy, Philanthropy, and the Long-term Future, Legal Priorities Project Working Paper Series</w:t>
      </w:r>
      <w:r w:rsidRPr="00252074">
        <w:rPr>
          <w:rFonts w:ascii="Times New Roman" w:hAnsi="Times New Roman" w:cs="Times New Roman"/>
          <w:sz w:val="24"/>
          <w:szCs w:val="24"/>
        </w:rPr>
        <w:t>.</w:t>
      </w:r>
    </w:p>
    <w:p w14:paraId="04265FB2" w14:textId="77777777" w:rsidR="00CE1813" w:rsidRPr="00252074" w:rsidRDefault="00CE1813" w:rsidP="00723D25">
      <w:pPr>
        <w:pStyle w:val="EndNoteBibliography"/>
        <w:shd w:val="clear" w:color="auto" w:fill="FFFFFF" w:themeFill="background1"/>
        <w:spacing w:after="0" w:line="360" w:lineRule="auto"/>
        <w:ind w:left="720" w:hanging="720"/>
        <w:contextualSpacing/>
        <w:rPr>
          <w:rFonts w:ascii="Times New Roman" w:hAnsi="Times New Roman" w:cs="Times New Roman"/>
          <w:sz w:val="24"/>
          <w:szCs w:val="24"/>
        </w:rPr>
      </w:pPr>
      <w:r w:rsidRPr="00252074">
        <w:rPr>
          <w:rFonts w:ascii="Times New Roman" w:hAnsi="Times New Roman" w:cs="Times New Roman"/>
          <w:sz w:val="24"/>
          <w:szCs w:val="24"/>
        </w:rPr>
        <w:t xml:space="preserve">Leston-Bandeira, C. and Thompson, L. 2018. </w:t>
      </w:r>
      <w:r w:rsidRPr="00252074">
        <w:rPr>
          <w:rFonts w:ascii="Times New Roman" w:hAnsi="Times New Roman" w:cs="Times New Roman"/>
          <w:i/>
          <w:sz w:val="24"/>
          <w:szCs w:val="24"/>
        </w:rPr>
        <w:t>Exploring parliament</w:t>
      </w:r>
      <w:r w:rsidRPr="00252074">
        <w:rPr>
          <w:rFonts w:ascii="Times New Roman" w:hAnsi="Times New Roman" w:cs="Times New Roman"/>
          <w:sz w:val="24"/>
          <w:szCs w:val="24"/>
        </w:rPr>
        <w:t>, Oxford University Press.</w:t>
      </w:r>
    </w:p>
    <w:p w14:paraId="4F31E589" w14:textId="77777777" w:rsidR="00CE1813" w:rsidRPr="00252074" w:rsidRDefault="00CE1813" w:rsidP="00723D25">
      <w:pPr>
        <w:pStyle w:val="EndNoteBibliography"/>
        <w:shd w:val="clear" w:color="auto" w:fill="FFFFFF" w:themeFill="background1"/>
        <w:spacing w:after="0" w:line="360" w:lineRule="auto"/>
        <w:ind w:left="720" w:hanging="720"/>
        <w:contextualSpacing/>
        <w:rPr>
          <w:rFonts w:ascii="Times New Roman" w:hAnsi="Times New Roman" w:cs="Times New Roman"/>
          <w:sz w:val="24"/>
          <w:szCs w:val="24"/>
        </w:rPr>
      </w:pPr>
      <w:r w:rsidRPr="00252074">
        <w:rPr>
          <w:rFonts w:ascii="Times New Roman" w:hAnsi="Times New Roman" w:cs="Times New Roman"/>
          <w:sz w:val="24"/>
          <w:szCs w:val="24"/>
        </w:rPr>
        <w:t xml:space="preserve">NORTON, P. 2019. Post-legislative scrutiny in the UK Parliament: adding value. </w:t>
      </w:r>
      <w:r w:rsidRPr="00252074">
        <w:rPr>
          <w:rFonts w:ascii="Times New Roman" w:hAnsi="Times New Roman" w:cs="Times New Roman"/>
          <w:i/>
          <w:sz w:val="24"/>
          <w:szCs w:val="24"/>
        </w:rPr>
        <w:t>The Journal of Legislative Studies,</w:t>
      </w:r>
      <w:r w:rsidRPr="00252074">
        <w:rPr>
          <w:rFonts w:ascii="Times New Roman" w:hAnsi="Times New Roman" w:cs="Times New Roman"/>
          <w:sz w:val="24"/>
          <w:szCs w:val="24"/>
        </w:rPr>
        <w:t xml:space="preserve"> 25</w:t>
      </w:r>
      <w:r w:rsidRPr="00252074">
        <w:rPr>
          <w:rFonts w:ascii="Times New Roman" w:hAnsi="Times New Roman" w:cs="Times New Roman"/>
          <w:b/>
          <w:sz w:val="24"/>
          <w:szCs w:val="24"/>
        </w:rPr>
        <w:t>,</w:t>
      </w:r>
      <w:r w:rsidRPr="00252074">
        <w:rPr>
          <w:rFonts w:ascii="Times New Roman" w:hAnsi="Times New Roman" w:cs="Times New Roman"/>
          <w:sz w:val="24"/>
          <w:szCs w:val="24"/>
        </w:rPr>
        <w:t xml:space="preserve"> 340-357.</w:t>
      </w:r>
    </w:p>
    <w:p w14:paraId="483FA99D" w14:textId="77777777" w:rsidR="00CE1813" w:rsidRPr="00252074" w:rsidRDefault="00CE1813" w:rsidP="00723D25">
      <w:pPr>
        <w:pStyle w:val="EndNoteBibliography"/>
        <w:shd w:val="clear" w:color="auto" w:fill="FFFFFF" w:themeFill="background1"/>
        <w:spacing w:after="0" w:line="360" w:lineRule="auto"/>
        <w:ind w:left="720" w:hanging="720"/>
        <w:contextualSpacing/>
        <w:rPr>
          <w:rFonts w:ascii="Times New Roman" w:hAnsi="Times New Roman" w:cs="Times New Roman"/>
          <w:sz w:val="24"/>
          <w:szCs w:val="24"/>
        </w:rPr>
      </w:pPr>
      <w:r w:rsidRPr="00252074">
        <w:rPr>
          <w:rFonts w:ascii="Times New Roman" w:hAnsi="Times New Roman" w:cs="Times New Roman"/>
          <w:sz w:val="24"/>
          <w:szCs w:val="24"/>
        </w:rPr>
        <w:t xml:space="preserve">Norton, P. 2020. Reform of the House of Lords. </w:t>
      </w:r>
      <w:r w:rsidRPr="00252074">
        <w:rPr>
          <w:rFonts w:ascii="Times New Roman" w:hAnsi="Times New Roman" w:cs="Times New Roman"/>
          <w:i/>
          <w:sz w:val="24"/>
          <w:szCs w:val="24"/>
        </w:rPr>
        <w:t>Reform of the House of Lords.</w:t>
      </w:r>
      <w:r w:rsidRPr="00252074">
        <w:rPr>
          <w:rFonts w:ascii="Times New Roman" w:hAnsi="Times New Roman" w:cs="Times New Roman"/>
          <w:sz w:val="24"/>
          <w:szCs w:val="24"/>
        </w:rPr>
        <w:t xml:space="preserve"> Manchester University Press.</w:t>
      </w:r>
    </w:p>
    <w:p w14:paraId="4D5AB4A4" w14:textId="77777777" w:rsidR="00CE1813" w:rsidRPr="00252074" w:rsidRDefault="00CE1813" w:rsidP="00723D25">
      <w:pPr>
        <w:pStyle w:val="EndNoteBibliography"/>
        <w:shd w:val="clear" w:color="auto" w:fill="FFFFFF" w:themeFill="background1"/>
        <w:spacing w:after="0" w:line="360" w:lineRule="auto"/>
        <w:ind w:left="720" w:hanging="720"/>
        <w:contextualSpacing/>
        <w:rPr>
          <w:rFonts w:ascii="Times New Roman" w:hAnsi="Times New Roman" w:cs="Times New Roman"/>
          <w:sz w:val="24"/>
          <w:szCs w:val="24"/>
        </w:rPr>
      </w:pPr>
      <w:r w:rsidRPr="00252074">
        <w:rPr>
          <w:rFonts w:ascii="Times New Roman" w:hAnsi="Times New Roman" w:cs="Times New Roman"/>
          <w:sz w:val="24"/>
          <w:szCs w:val="24"/>
        </w:rPr>
        <w:t xml:space="preserve">Norton, P. 2021a. The House of Commons under pressure. </w:t>
      </w:r>
      <w:r w:rsidRPr="00252074">
        <w:rPr>
          <w:rFonts w:ascii="Times New Roman" w:hAnsi="Times New Roman" w:cs="Times New Roman"/>
          <w:i/>
          <w:sz w:val="24"/>
          <w:szCs w:val="24"/>
        </w:rPr>
        <w:t>Politics UK.</w:t>
      </w:r>
      <w:r w:rsidRPr="00252074">
        <w:rPr>
          <w:rFonts w:ascii="Times New Roman" w:hAnsi="Times New Roman" w:cs="Times New Roman"/>
          <w:sz w:val="24"/>
          <w:szCs w:val="24"/>
        </w:rPr>
        <w:t xml:space="preserve"> Routledge.</w:t>
      </w:r>
    </w:p>
    <w:p w14:paraId="2BD0D1CB" w14:textId="77777777" w:rsidR="00CE1813" w:rsidRPr="00252074" w:rsidRDefault="00CE1813" w:rsidP="00723D25">
      <w:pPr>
        <w:pStyle w:val="EndNoteBibliography"/>
        <w:shd w:val="clear" w:color="auto" w:fill="FFFFFF" w:themeFill="background1"/>
        <w:spacing w:after="0" w:line="360" w:lineRule="auto"/>
        <w:ind w:left="720" w:hanging="720"/>
        <w:contextualSpacing/>
        <w:rPr>
          <w:rFonts w:ascii="Times New Roman" w:hAnsi="Times New Roman" w:cs="Times New Roman"/>
          <w:sz w:val="24"/>
          <w:szCs w:val="24"/>
        </w:rPr>
      </w:pPr>
      <w:r w:rsidRPr="00252074">
        <w:rPr>
          <w:rFonts w:ascii="Times New Roman" w:hAnsi="Times New Roman" w:cs="Times New Roman"/>
          <w:sz w:val="24"/>
          <w:szCs w:val="24"/>
        </w:rPr>
        <w:t xml:space="preserve">Norton, P. 2021b. The House of Lords. </w:t>
      </w:r>
      <w:r w:rsidRPr="00252074">
        <w:rPr>
          <w:rFonts w:ascii="Times New Roman" w:hAnsi="Times New Roman" w:cs="Times New Roman"/>
          <w:i/>
          <w:sz w:val="24"/>
          <w:szCs w:val="24"/>
        </w:rPr>
        <w:t>Politics UK.</w:t>
      </w:r>
      <w:r w:rsidRPr="00252074">
        <w:rPr>
          <w:rFonts w:ascii="Times New Roman" w:hAnsi="Times New Roman" w:cs="Times New Roman"/>
          <w:sz w:val="24"/>
          <w:szCs w:val="24"/>
        </w:rPr>
        <w:t xml:space="preserve"> Routledge.</w:t>
      </w:r>
    </w:p>
    <w:p w14:paraId="050D26E6" w14:textId="77777777" w:rsidR="00CE1813" w:rsidRPr="00252074" w:rsidRDefault="00CE1813" w:rsidP="00723D25">
      <w:pPr>
        <w:pStyle w:val="EndNoteBibliography"/>
        <w:shd w:val="clear" w:color="auto" w:fill="FFFFFF" w:themeFill="background1"/>
        <w:spacing w:after="0" w:line="360" w:lineRule="auto"/>
        <w:ind w:left="720" w:hanging="720"/>
        <w:contextualSpacing/>
        <w:rPr>
          <w:rFonts w:ascii="Times New Roman" w:hAnsi="Times New Roman" w:cs="Times New Roman"/>
          <w:sz w:val="24"/>
          <w:szCs w:val="24"/>
        </w:rPr>
      </w:pPr>
      <w:r w:rsidRPr="00252074">
        <w:rPr>
          <w:rFonts w:ascii="Times New Roman" w:hAnsi="Times New Roman" w:cs="Times New Roman"/>
          <w:sz w:val="24"/>
          <w:szCs w:val="24"/>
        </w:rPr>
        <w:t xml:space="preserve">Rozenberg, O. and Martin, S. 2020. Questioning parliamentary questions. </w:t>
      </w:r>
      <w:r w:rsidRPr="00252074">
        <w:rPr>
          <w:rFonts w:ascii="Times New Roman" w:hAnsi="Times New Roman" w:cs="Times New Roman"/>
          <w:i/>
          <w:sz w:val="24"/>
          <w:szCs w:val="24"/>
        </w:rPr>
        <w:t>The Impact of Legislatures.</w:t>
      </w:r>
      <w:r w:rsidRPr="00252074">
        <w:rPr>
          <w:rFonts w:ascii="Times New Roman" w:hAnsi="Times New Roman" w:cs="Times New Roman"/>
          <w:sz w:val="24"/>
          <w:szCs w:val="24"/>
        </w:rPr>
        <w:t xml:space="preserve"> Routledge.</w:t>
      </w:r>
    </w:p>
    <w:p w14:paraId="649A0A56" w14:textId="77777777" w:rsidR="00CE1813" w:rsidRPr="00252074" w:rsidRDefault="00CE1813" w:rsidP="00723D25">
      <w:pPr>
        <w:pStyle w:val="EndNoteBibliography"/>
        <w:shd w:val="clear" w:color="auto" w:fill="FFFFFF" w:themeFill="background1"/>
        <w:spacing w:after="0" w:line="360" w:lineRule="auto"/>
        <w:ind w:left="720" w:hanging="720"/>
        <w:contextualSpacing/>
        <w:rPr>
          <w:rFonts w:ascii="Times New Roman" w:hAnsi="Times New Roman" w:cs="Times New Roman"/>
          <w:sz w:val="24"/>
          <w:szCs w:val="24"/>
        </w:rPr>
      </w:pPr>
      <w:r w:rsidRPr="00252074">
        <w:rPr>
          <w:rFonts w:ascii="Times New Roman" w:hAnsi="Times New Roman" w:cs="Times New Roman"/>
          <w:sz w:val="24"/>
          <w:szCs w:val="24"/>
        </w:rPr>
        <w:t xml:space="preserve">Russell, M. and Gover, D. 2017. </w:t>
      </w:r>
      <w:r w:rsidRPr="00252074">
        <w:rPr>
          <w:rFonts w:ascii="Times New Roman" w:hAnsi="Times New Roman" w:cs="Times New Roman"/>
          <w:i/>
          <w:sz w:val="24"/>
          <w:szCs w:val="24"/>
        </w:rPr>
        <w:t>Legislation at Westminster: Parliamentary actors and influence in the making of British law</w:t>
      </w:r>
      <w:r w:rsidRPr="00252074">
        <w:rPr>
          <w:rFonts w:ascii="Times New Roman" w:hAnsi="Times New Roman" w:cs="Times New Roman"/>
          <w:sz w:val="24"/>
          <w:szCs w:val="24"/>
        </w:rPr>
        <w:t>, Oxford University Press.</w:t>
      </w:r>
    </w:p>
    <w:p w14:paraId="048B7BB5" w14:textId="77777777" w:rsidR="00CE1813" w:rsidRPr="00252074" w:rsidRDefault="00CE1813" w:rsidP="00723D25">
      <w:pPr>
        <w:pStyle w:val="EndNoteBibliography"/>
        <w:shd w:val="clear" w:color="auto" w:fill="FFFFFF" w:themeFill="background1"/>
        <w:spacing w:after="0" w:line="360" w:lineRule="auto"/>
        <w:ind w:left="720" w:hanging="720"/>
        <w:contextualSpacing/>
        <w:rPr>
          <w:rFonts w:ascii="Times New Roman" w:hAnsi="Times New Roman" w:cs="Times New Roman"/>
          <w:sz w:val="24"/>
          <w:szCs w:val="24"/>
        </w:rPr>
      </w:pPr>
      <w:r w:rsidRPr="00252074">
        <w:rPr>
          <w:rFonts w:ascii="Times New Roman" w:hAnsi="Times New Roman" w:cs="Times New Roman"/>
          <w:sz w:val="24"/>
          <w:szCs w:val="24"/>
        </w:rPr>
        <w:t xml:space="preserve">Whately, R. 2021. Substance of a Speech Delivered in the House of Lords on Friday the 26th March 1847. On the Motion for A Committee on Irish Poor Laws. </w:t>
      </w:r>
      <w:r w:rsidRPr="00252074">
        <w:rPr>
          <w:rFonts w:ascii="Times New Roman" w:hAnsi="Times New Roman" w:cs="Times New Roman"/>
          <w:i/>
          <w:sz w:val="24"/>
          <w:szCs w:val="24"/>
        </w:rPr>
        <w:t>Irish Political Economy Vol 4.</w:t>
      </w:r>
      <w:r w:rsidRPr="00252074">
        <w:rPr>
          <w:rFonts w:ascii="Times New Roman" w:hAnsi="Times New Roman" w:cs="Times New Roman"/>
          <w:sz w:val="24"/>
          <w:szCs w:val="24"/>
        </w:rPr>
        <w:t xml:space="preserve"> Routledge.</w:t>
      </w:r>
    </w:p>
    <w:p w14:paraId="761588E5" w14:textId="77777777" w:rsidR="00CE1813" w:rsidRPr="00252074" w:rsidRDefault="00CE1813" w:rsidP="00723D25">
      <w:pPr>
        <w:pStyle w:val="EndNoteBibliography"/>
        <w:shd w:val="clear" w:color="auto" w:fill="FFFFFF" w:themeFill="background1"/>
        <w:spacing w:after="0" w:line="360" w:lineRule="auto"/>
        <w:ind w:left="720" w:hanging="720"/>
        <w:contextualSpacing/>
        <w:rPr>
          <w:rFonts w:ascii="Times New Roman" w:hAnsi="Times New Roman" w:cs="Times New Roman"/>
          <w:sz w:val="24"/>
          <w:szCs w:val="24"/>
        </w:rPr>
      </w:pPr>
      <w:r w:rsidRPr="00252074">
        <w:rPr>
          <w:rFonts w:ascii="Times New Roman" w:hAnsi="Times New Roman" w:cs="Times New Roman"/>
          <w:sz w:val="24"/>
          <w:szCs w:val="24"/>
        </w:rPr>
        <w:t>Whittlestone, J., Nyrup, R., Alexandrova, A. and Cave, S. The role and limits of principles in AI ethics: Towards a focus on tensions.  Proceedings of the 2019 AAAI/ACM Conference on AI, Ethics, and Society, 2019. 195-200.</w:t>
      </w:r>
    </w:p>
    <w:p w14:paraId="3331B799" w14:textId="77777777" w:rsidR="00CB58D3" w:rsidRPr="00252074" w:rsidRDefault="00613376" w:rsidP="00723D25">
      <w:pPr>
        <w:shd w:val="clear" w:color="auto" w:fill="FFFFFF" w:themeFill="background1"/>
        <w:spacing w:after="0" w:line="360" w:lineRule="auto"/>
        <w:contextualSpacing/>
        <w:jc w:val="both"/>
        <w:rPr>
          <w:rFonts w:ascii="Times New Roman" w:hAnsi="Times New Roman" w:cs="Times New Roman"/>
          <w:sz w:val="24"/>
          <w:szCs w:val="24"/>
        </w:rPr>
      </w:pPr>
      <w:r w:rsidRPr="00252074">
        <w:rPr>
          <w:rFonts w:ascii="Times New Roman" w:hAnsi="Times New Roman" w:cs="Times New Roman"/>
          <w:sz w:val="24"/>
          <w:szCs w:val="24"/>
        </w:rPr>
        <w:fldChar w:fldCharType="end"/>
      </w:r>
    </w:p>
    <w:sectPr w:rsidR="00CB58D3" w:rsidRPr="00252074" w:rsidSect="0047219A">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43BE5" w14:textId="77777777" w:rsidR="00507F4B" w:rsidRDefault="00507F4B" w:rsidP="00081C6C">
      <w:pPr>
        <w:spacing w:after="0" w:line="240" w:lineRule="auto"/>
      </w:pPr>
      <w:r>
        <w:separator/>
      </w:r>
    </w:p>
  </w:endnote>
  <w:endnote w:type="continuationSeparator" w:id="0">
    <w:p w14:paraId="11615707" w14:textId="77777777" w:rsidR="00507F4B" w:rsidRDefault="00507F4B" w:rsidP="00081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8801A" w14:textId="77777777" w:rsidR="00507F4B" w:rsidRDefault="00507F4B" w:rsidP="00081C6C">
      <w:pPr>
        <w:spacing w:after="0" w:line="240" w:lineRule="auto"/>
      </w:pPr>
      <w:r>
        <w:separator/>
      </w:r>
    </w:p>
  </w:footnote>
  <w:footnote w:type="continuationSeparator" w:id="0">
    <w:p w14:paraId="46BDD0A5" w14:textId="77777777" w:rsidR="00507F4B" w:rsidRDefault="00507F4B" w:rsidP="00081C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8258766"/>
      <w:docPartObj>
        <w:docPartGallery w:val="Page Numbers (Top of Page)"/>
        <w:docPartUnique/>
      </w:docPartObj>
    </w:sdtPr>
    <w:sdtEndPr>
      <w:rPr>
        <w:noProof/>
      </w:rPr>
    </w:sdtEndPr>
    <w:sdtContent>
      <w:p w14:paraId="1B759DBE" w14:textId="1E8A8DE8" w:rsidR="0047219A" w:rsidRDefault="0047219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D06A897" w14:textId="77777777" w:rsidR="00335583" w:rsidRDefault="003355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ts2f2a0z7awdv9ef2vixv0vd0wdr55eprv0x&quot;&gt;My EndNote Library2&lt;record-ids&gt;&lt;item&gt;1&lt;/item&gt;&lt;/record-ids&gt;&lt;/item&gt;&lt;/Libraries&gt;"/>
  </w:docVars>
  <w:rsids>
    <w:rsidRoot w:val="002B1BE2"/>
    <w:rsid w:val="00081C6C"/>
    <w:rsid w:val="00082334"/>
    <w:rsid w:val="00085568"/>
    <w:rsid w:val="00162D42"/>
    <w:rsid w:val="00244912"/>
    <w:rsid w:val="00252074"/>
    <w:rsid w:val="002B1BE2"/>
    <w:rsid w:val="00335583"/>
    <w:rsid w:val="003929C3"/>
    <w:rsid w:val="003A756C"/>
    <w:rsid w:val="003C3E30"/>
    <w:rsid w:val="0047219A"/>
    <w:rsid w:val="00506D6D"/>
    <w:rsid w:val="00507F4B"/>
    <w:rsid w:val="00512870"/>
    <w:rsid w:val="00536D30"/>
    <w:rsid w:val="00613376"/>
    <w:rsid w:val="00630FB7"/>
    <w:rsid w:val="00717494"/>
    <w:rsid w:val="00723D25"/>
    <w:rsid w:val="00897861"/>
    <w:rsid w:val="0093379D"/>
    <w:rsid w:val="00A14C9D"/>
    <w:rsid w:val="00BE45AC"/>
    <w:rsid w:val="00C112D0"/>
    <w:rsid w:val="00C272B9"/>
    <w:rsid w:val="00CB58D3"/>
    <w:rsid w:val="00CE1813"/>
    <w:rsid w:val="00D23A3D"/>
    <w:rsid w:val="00DD79B0"/>
    <w:rsid w:val="00E72E66"/>
    <w:rsid w:val="00EA571E"/>
    <w:rsid w:val="00EC0D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8AE620"/>
  <w15:chartTrackingRefBased/>
  <w15:docId w15:val="{DE0AB654-5415-4B76-8714-B1B1174CC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BE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BE2"/>
    <w:rPr>
      <w:rFonts w:asciiTheme="majorHAnsi" w:eastAsiaTheme="majorEastAsia" w:hAnsiTheme="majorHAnsi" w:cstheme="majorBidi"/>
      <w:color w:val="2E74B5" w:themeColor="accent1" w:themeShade="BF"/>
      <w:sz w:val="32"/>
      <w:szCs w:val="32"/>
    </w:rPr>
  </w:style>
  <w:style w:type="paragraph" w:styleId="EndnoteText">
    <w:name w:val="endnote text"/>
    <w:basedOn w:val="Normal"/>
    <w:link w:val="EndnoteTextChar"/>
    <w:uiPriority w:val="99"/>
    <w:semiHidden/>
    <w:unhideWhenUsed/>
    <w:rsid w:val="00081C6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81C6C"/>
    <w:rPr>
      <w:sz w:val="20"/>
      <w:szCs w:val="20"/>
    </w:rPr>
  </w:style>
  <w:style w:type="character" w:styleId="EndnoteReference">
    <w:name w:val="endnote reference"/>
    <w:basedOn w:val="DefaultParagraphFont"/>
    <w:uiPriority w:val="99"/>
    <w:semiHidden/>
    <w:unhideWhenUsed/>
    <w:rsid w:val="00081C6C"/>
    <w:rPr>
      <w:vertAlign w:val="superscript"/>
    </w:rPr>
  </w:style>
  <w:style w:type="paragraph" w:customStyle="1" w:styleId="EndNoteBibliographyTitle">
    <w:name w:val="EndNote Bibliography Title"/>
    <w:basedOn w:val="Normal"/>
    <w:link w:val="EndNoteBibliographyTitleChar"/>
    <w:rsid w:val="00613376"/>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613376"/>
    <w:rPr>
      <w:rFonts w:ascii="Calibri" w:hAnsi="Calibri" w:cs="Calibri"/>
      <w:noProof/>
    </w:rPr>
  </w:style>
  <w:style w:type="paragraph" w:customStyle="1" w:styleId="EndNoteBibliography">
    <w:name w:val="EndNote Bibliography"/>
    <w:basedOn w:val="Normal"/>
    <w:link w:val="EndNoteBibliographyChar"/>
    <w:rsid w:val="00613376"/>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613376"/>
    <w:rPr>
      <w:rFonts w:ascii="Calibri" w:hAnsi="Calibri" w:cs="Calibri"/>
      <w:noProof/>
    </w:rPr>
  </w:style>
  <w:style w:type="paragraph" w:styleId="Header">
    <w:name w:val="header"/>
    <w:basedOn w:val="Normal"/>
    <w:link w:val="HeaderChar"/>
    <w:uiPriority w:val="99"/>
    <w:unhideWhenUsed/>
    <w:rsid w:val="003355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5583"/>
  </w:style>
  <w:style w:type="paragraph" w:styleId="Footer">
    <w:name w:val="footer"/>
    <w:basedOn w:val="Normal"/>
    <w:link w:val="FooterChar"/>
    <w:uiPriority w:val="99"/>
    <w:unhideWhenUsed/>
    <w:rsid w:val="003355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5583"/>
  </w:style>
  <w:style w:type="paragraph" w:styleId="TOCHeading">
    <w:name w:val="TOC Heading"/>
    <w:basedOn w:val="Heading1"/>
    <w:next w:val="Normal"/>
    <w:uiPriority w:val="39"/>
    <w:unhideWhenUsed/>
    <w:qFormat/>
    <w:rsid w:val="00DD79B0"/>
    <w:pPr>
      <w:outlineLvl w:val="9"/>
    </w:pPr>
  </w:style>
  <w:style w:type="paragraph" w:styleId="TOC1">
    <w:name w:val="toc 1"/>
    <w:basedOn w:val="Normal"/>
    <w:next w:val="Normal"/>
    <w:autoRedefine/>
    <w:uiPriority w:val="39"/>
    <w:unhideWhenUsed/>
    <w:rsid w:val="00DD79B0"/>
    <w:pPr>
      <w:spacing w:after="100"/>
    </w:pPr>
  </w:style>
  <w:style w:type="character" w:styleId="Hyperlink">
    <w:name w:val="Hyperlink"/>
    <w:basedOn w:val="DefaultParagraphFont"/>
    <w:uiPriority w:val="99"/>
    <w:unhideWhenUsed/>
    <w:rsid w:val="00DD79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925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8C8897-C571-4FA7-8E58-20521E463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8</Pages>
  <Words>3892</Words>
  <Characters>22185</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Zulfiqar  Ali</dc:creator>
  <cp:keywords/>
  <dc:description/>
  <cp:lastModifiedBy>Divine Rescue</cp:lastModifiedBy>
  <cp:revision>5</cp:revision>
  <dcterms:created xsi:type="dcterms:W3CDTF">2023-11-09T12:03:00Z</dcterms:created>
  <dcterms:modified xsi:type="dcterms:W3CDTF">2023-11-09T12:12:00Z</dcterms:modified>
</cp:coreProperties>
</file>