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198D3" w14:textId="77777777" w:rsidR="00E43F1C" w:rsidRPr="009200AF" w:rsidRDefault="00E43F1C" w:rsidP="00310542">
      <w:pPr>
        <w:spacing w:after="0"/>
        <w:jc w:val="center"/>
        <w:rPr>
          <w:b/>
          <w:bCs/>
          <w:sz w:val="32"/>
          <w:szCs w:val="32"/>
          <w:u w:val="single"/>
        </w:rPr>
      </w:pPr>
      <w:r w:rsidRPr="009200AF">
        <w:rPr>
          <w:b/>
          <w:bCs/>
          <w:sz w:val="32"/>
          <w:szCs w:val="32"/>
          <w:u w:val="single"/>
        </w:rPr>
        <w:t>Neronian Prose HPLA7018</w:t>
      </w:r>
    </w:p>
    <w:p w14:paraId="4B5E26BB" w14:textId="6D9870B0" w:rsidR="00E43F1C" w:rsidRPr="009200AF" w:rsidRDefault="00E43F1C" w:rsidP="00310542">
      <w:pPr>
        <w:spacing w:after="0"/>
        <w:jc w:val="center"/>
        <w:rPr>
          <w:b/>
          <w:bCs/>
          <w:sz w:val="32"/>
          <w:szCs w:val="32"/>
          <w:u w:val="single"/>
        </w:rPr>
      </w:pPr>
      <w:r w:rsidRPr="009200AF">
        <w:rPr>
          <w:b/>
          <w:bCs/>
          <w:sz w:val="32"/>
          <w:szCs w:val="32"/>
          <w:u w:val="single"/>
        </w:rPr>
        <w:t>Non-Assessed Assignment 2 – due in 14/2/24</w:t>
      </w:r>
    </w:p>
    <w:p w14:paraId="73799ADE" w14:textId="77777777" w:rsidR="00E43F1C" w:rsidRDefault="00E43F1C" w:rsidP="00310542">
      <w:pPr>
        <w:spacing w:after="0"/>
      </w:pPr>
    </w:p>
    <w:p w14:paraId="2C1B6ABD" w14:textId="4C969B59" w:rsidR="00E43F1C" w:rsidRPr="0089312D" w:rsidRDefault="00C80FED" w:rsidP="00310542">
      <w:pPr>
        <w:spacing w:after="0"/>
        <w:rPr>
          <w:b/>
          <w:bCs/>
          <w:sz w:val="28"/>
          <w:szCs w:val="28"/>
          <w:u w:val="single"/>
        </w:rPr>
      </w:pPr>
      <w:r w:rsidRPr="0089312D">
        <w:rPr>
          <w:b/>
          <w:bCs/>
          <w:sz w:val="28"/>
          <w:szCs w:val="28"/>
          <w:u w:val="single"/>
        </w:rPr>
        <w:t>Translation of Petr</w:t>
      </w:r>
      <w:r w:rsidR="00310542" w:rsidRPr="0089312D">
        <w:rPr>
          <w:b/>
          <w:bCs/>
          <w:sz w:val="28"/>
          <w:szCs w:val="28"/>
          <w:u w:val="single"/>
        </w:rPr>
        <w:t>on</w:t>
      </w:r>
      <w:r w:rsidR="00F64784">
        <w:rPr>
          <w:b/>
          <w:bCs/>
          <w:sz w:val="28"/>
          <w:szCs w:val="28"/>
          <w:u w:val="single"/>
        </w:rPr>
        <w:t>ius,</w:t>
      </w:r>
      <w:r w:rsidR="00310542" w:rsidRPr="0089312D">
        <w:rPr>
          <w:b/>
          <w:bCs/>
          <w:sz w:val="28"/>
          <w:szCs w:val="28"/>
          <w:u w:val="single"/>
        </w:rPr>
        <w:t xml:space="preserve"> </w:t>
      </w:r>
      <w:r w:rsidR="00310542" w:rsidRPr="00F64784">
        <w:rPr>
          <w:b/>
          <w:bCs/>
          <w:i/>
          <w:iCs/>
          <w:sz w:val="28"/>
          <w:szCs w:val="28"/>
          <w:u w:val="single"/>
        </w:rPr>
        <w:t>Sat</w:t>
      </w:r>
      <w:r w:rsidR="00F64784" w:rsidRPr="00F64784">
        <w:rPr>
          <w:b/>
          <w:bCs/>
          <w:i/>
          <w:iCs/>
          <w:sz w:val="28"/>
          <w:szCs w:val="28"/>
          <w:u w:val="single"/>
        </w:rPr>
        <w:t>yricon</w:t>
      </w:r>
      <w:r w:rsidR="00310542" w:rsidRPr="0089312D">
        <w:rPr>
          <w:b/>
          <w:bCs/>
          <w:sz w:val="28"/>
          <w:szCs w:val="28"/>
          <w:u w:val="single"/>
        </w:rPr>
        <w:t xml:space="preserve"> 30</w:t>
      </w:r>
    </w:p>
    <w:p w14:paraId="16434A1A" w14:textId="77777777" w:rsidR="006C4010" w:rsidRDefault="006C4010" w:rsidP="00310542">
      <w:pPr>
        <w:spacing w:after="0"/>
      </w:pPr>
    </w:p>
    <w:p w14:paraId="4C09DF10" w14:textId="7E2D817A" w:rsidR="00027859" w:rsidRPr="0089312D" w:rsidRDefault="00027859" w:rsidP="00027859">
      <w:pPr>
        <w:spacing w:after="0"/>
        <w:jc w:val="both"/>
      </w:pPr>
      <w:r w:rsidRPr="0089312D">
        <w:t>It was not allowed to regard carefully the furthest pictures. We had now arrived at the dining room, in the first section of which a manager was receiving accounts. What I also marvelled at especially, were the bundles of sticks with axes fixed to the doorposts of the dining room and something like the bro</w:t>
      </w:r>
      <w:r w:rsidR="0023027B">
        <w:t>n</w:t>
      </w:r>
      <w:r w:rsidRPr="0089312D">
        <w:t xml:space="preserve">ze prow of a ship ended the area below them, on which was written, “To Gaius Pompeius Trimalchio, a </w:t>
      </w:r>
      <w:proofErr w:type="spellStart"/>
      <w:r w:rsidRPr="0089312D">
        <w:t>sevir</w:t>
      </w:r>
      <w:proofErr w:type="spellEnd"/>
      <w:r w:rsidRPr="0089312D">
        <w:t xml:space="preserve"> Augustalis, from his steward, </w:t>
      </w:r>
      <w:proofErr w:type="spellStart"/>
      <w:r w:rsidRPr="0089312D">
        <w:t>Cinnamus</w:t>
      </w:r>
      <w:proofErr w:type="spellEnd"/>
      <w:r w:rsidRPr="0089312D">
        <w:t>.” Below the same inscription, a lamp with two flames was also hanging from the vaulted roof, and there were two boards fixed on one doorpost, one of which had this inscription (if I remember rightly), “Our Gaius dines out on the 30</w:t>
      </w:r>
      <w:r w:rsidRPr="0089312D">
        <w:rPr>
          <w:vertAlign w:val="superscript"/>
        </w:rPr>
        <w:t>th</w:t>
      </w:r>
      <w:r w:rsidRPr="0089312D">
        <w:t xml:space="preserve"> and 31</w:t>
      </w:r>
      <w:r w:rsidRPr="0089312D">
        <w:rPr>
          <w:vertAlign w:val="superscript"/>
        </w:rPr>
        <w:t>st</w:t>
      </w:r>
      <w:r w:rsidRPr="0089312D">
        <w:t xml:space="preserve"> December.” The other had painted images of the seven stars and the path of the moon. Both the days that were good and those which were unfortunate, were marked by distinguishing studs. </w:t>
      </w:r>
    </w:p>
    <w:p w14:paraId="31BF3384" w14:textId="77777777" w:rsidR="00027859" w:rsidRDefault="00027859" w:rsidP="00027859">
      <w:pPr>
        <w:spacing w:after="0"/>
        <w:jc w:val="both"/>
      </w:pPr>
      <w:r w:rsidRPr="0089312D">
        <w:t xml:space="preserve">Filled with these delights, when we tried to enter the dining room, one of the boys (who was previously given this duty) shouted, “On the right foot!” We were anxious for a short time without a doubt, that one of us would cross the threshold against the rule. But when we equally moved our right steps, a slave stripped of his clothes fell down at our feet and began to ask that we snatch him from punishment. He said that his crime, on account of which he was in danger, was not a large one; for the steward’s clothes has been stolen from him at the baths, which were scarcely worth ten sesterces. Therefore we brought back our right feet and we begged the steward, who was counting gold coins in the atrium, to remit the slave’s punishment. He raised his face proudly and said, “No loss will move me so much as the negligence of a most worthless slave. He lost my dinner clothes, which a client has given to me for my birthday, Tyrian of course, but already washed once. What does it matter? I forgive him for you.” </w:t>
      </w:r>
    </w:p>
    <w:p w14:paraId="2E9A8966" w14:textId="77777777" w:rsidR="00814868" w:rsidRDefault="00814868" w:rsidP="00027859">
      <w:pPr>
        <w:spacing w:after="0"/>
        <w:jc w:val="both"/>
      </w:pPr>
    </w:p>
    <w:p w14:paraId="03DA714D" w14:textId="77777777" w:rsidR="00814868" w:rsidRDefault="00814868" w:rsidP="00027859">
      <w:pPr>
        <w:spacing w:after="0"/>
        <w:jc w:val="both"/>
      </w:pPr>
    </w:p>
    <w:p w14:paraId="2956D384" w14:textId="77777777" w:rsidR="00814868" w:rsidRDefault="00814868" w:rsidP="00027859">
      <w:pPr>
        <w:spacing w:after="0"/>
        <w:jc w:val="both"/>
      </w:pPr>
    </w:p>
    <w:p w14:paraId="48A7F363" w14:textId="77777777" w:rsidR="00814868" w:rsidRDefault="00814868" w:rsidP="00027859">
      <w:pPr>
        <w:spacing w:after="0"/>
        <w:jc w:val="both"/>
      </w:pPr>
    </w:p>
    <w:p w14:paraId="651D80AB" w14:textId="77777777" w:rsidR="00814868" w:rsidRDefault="00814868" w:rsidP="00027859">
      <w:pPr>
        <w:spacing w:after="0"/>
        <w:jc w:val="both"/>
      </w:pPr>
    </w:p>
    <w:p w14:paraId="5B970F58" w14:textId="77777777" w:rsidR="00814868" w:rsidRDefault="00814868" w:rsidP="00027859">
      <w:pPr>
        <w:spacing w:after="0"/>
        <w:jc w:val="both"/>
      </w:pPr>
    </w:p>
    <w:p w14:paraId="763F6DD8" w14:textId="77777777" w:rsidR="00814868" w:rsidRDefault="00814868" w:rsidP="00027859">
      <w:pPr>
        <w:spacing w:after="0"/>
        <w:jc w:val="both"/>
      </w:pPr>
    </w:p>
    <w:p w14:paraId="348AD6DA" w14:textId="77777777" w:rsidR="00814868" w:rsidRDefault="00814868" w:rsidP="00027859">
      <w:pPr>
        <w:spacing w:after="0"/>
        <w:jc w:val="both"/>
      </w:pPr>
    </w:p>
    <w:p w14:paraId="285DF60C" w14:textId="77777777" w:rsidR="00814868" w:rsidRDefault="00814868" w:rsidP="00027859">
      <w:pPr>
        <w:spacing w:after="0"/>
        <w:jc w:val="both"/>
      </w:pPr>
    </w:p>
    <w:p w14:paraId="314A656F" w14:textId="77777777" w:rsidR="00814868" w:rsidRDefault="00814868" w:rsidP="00027859">
      <w:pPr>
        <w:spacing w:after="0"/>
        <w:jc w:val="both"/>
      </w:pPr>
    </w:p>
    <w:p w14:paraId="4B7FABBB" w14:textId="77777777" w:rsidR="00814868" w:rsidRDefault="00814868" w:rsidP="00027859">
      <w:pPr>
        <w:spacing w:after="0"/>
        <w:jc w:val="both"/>
      </w:pPr>
    </w:p>
    <w:p w14:paraId="25BC9912" w14:textId="77777777" w:rsidR="00814868" w:rsidRPr="0089312D" w:rsidRDefault="00814868" w:rsidP="00027859">
      <w:pPr>
        <w:spacing w:after="0"/>
        <w:jc w:val="both"/>
      </w:pPr>
    </w:p>
    <w:p w14:paraId="44A34864" w14:textId="77777777" w:rsidR="006C4010" w:rsidRDefault="006C4010" w:rsidP="00310542">
      <w:pPr>
        <w:spacing w:after="0"/>
      </w:pPr>
    </w:p>
    <w:p w14:paraId="6C81F9F5" w14:textId="292312C6" w:rsidR="00027859" w:rsidRPr="0089312D" w:rsidRDefault="0089312D" w:rsidP="00310542">
      <w:pPr>
        <w:spacing w:after="0"/>
        <w:rPr>
          <w:b/>
          <w:bCs/>
          <w:sz w:val="28"/>
          <w:szCs w:val="28"/>
          <w:u w:val="single"/>
        </w:rPr>
      </w:pPr>
      <w:r w:rsidRPr="0089312D">
        <w:rPr>
          <w:b/>
          <w:bCs/>
          <w:sz w:val="28"/>
          <w:szCs w:val="28"/>
          <w:u w:val="single"/>
        </w:rPr>
        <w:lastRenderedPageBreak/>
        <w:t>Commentary on Petron</w:t>
      </w:r>
      <w:r w:rsidR="00F64784">
        <w:rPr>
          <w:b/>
          <w:bCs/>
          <w:sz w:val="28"/>
          <w:szCs w:val="28"/>
          <w:u w:val="single"/>
        </w:rPr>
        <w:t>ius,</w:t>
      </w:r>
      <w:r w:rsidRPr="0089312D">
        <w:rPr>
          <w:b/>
          <w:bCs/>
          <w:sz w:val="28"/>
          <w:szCs w:val="28"/>
          <w:u w:val="single"/>
        </w:rPr>
        <w:t xml:space="preserve"> </w:t>
      </w:r>
      <w:r w:rsidRPr="00F64784">
        <w:rPr>
          <w:b/>
          <w:bCs/>
          <w:i/>
          <w:iCs/>
          <w:sz w:val="28"/>
          <w:szCs w:val="28"/>
          <w:u w:val="single"/>
        </w:rPr>
        <w:t>Sa</w:t>
      </w:r>
      <w:r w:rsidR="00F64784">
        <w:rPr>
          <w:b/>
          <w:bCs/>
          <w:i/>
          <w:iCs/>
          <w:sz w:val="28"/>
          <w:szCs w:val="28"/>
          <w:u w:val="single"/>
        </w:rPr>
        <w:t>tyricon</w:t>
      </w:r>
      <w:r w:rsidRPr="0089312D">
        <w:rPr>
          <w:b/>
          <w:bCs/>
          <w:sz w:val="28"/>
          <w:szCs w:val="28"/>
          <w:u w:val="single"/>
        </w:rPr>
        <w:t xml:space="preserve"> 32</w:t>
      </w:r>
    </w:p>
    <w:p w14:paraId="142F5E73" w14:textId="77777777" w:rsidR="0089312D" w:rsidRDefault="0089312D" w:rsidP="00310542">
      <w:pPr>
        <w:spacing w:after="0"/>
      </w:pPr>
    </w:p>
    <w:p w14:paraId="4B921235" w14:textId="55371FAA" w:rsidR="00A21F93" w:rsidRDefault="000B6213" w:rsidP="00472C90">
      <w:pPr>
        <w:spacing w:after="0"/>
        <w:jc w:val="both"/>
      </w:pPr>
      <w:r>
        <w:t>Although there has been some debate throughout</w:t>
      </w:r>
      <w:r w:rsidR="00B35D3D">
        <w:t xml:space="preserve"> history over the authorship of the </w:t>
      </w:r>
      <w:r w:rsidR="00B35D3D" w:rsidRPr="00A21F93">
        <w:rPr>
          <w:i/>
          <w:iCs/>
        </w:rPr>
        <w:t>Satyricon</w:t>
      </w:r>
      <w:r w:rsidR="00B35D3D">
        <w:t xml:space="preserve">, </w:t>
      </w:r>
      <w:r w:rsidR="00A901DF">
        <w:t>almost all modern scholarship</w:t>
      </w:r>
      <w:r w:rsidR="00A21F93">
        <w:t xml:space="preserve"> (Walsh, 1997, p. xiii)</w:t>
      </w:r>
      <w:r w:rsidR="00A901DF">
        <w:t xml:space="preserve"> believes that its author </w:t>
      </w:r>
      <w:r w:rsidR="00A901DF" w:rsidRPr="00A21F93">
        <w:t>Petronius</w:t>
      </w:r>
      <w:r w:rsidR="00A901DF">
        <w:t xml:space="preserve"> can be identified as the same</w:t>
      </w:r>
      <w:r w:rsidR="00A15D80">
        <w:t xml:space="preserve"> Petronius who was consul </w:t>
      </w:r>
      <w:proofErr w:type="spellStart"/>
      <w:r w:rsidR="00A15D80">
        <w:t>suffectus</w:t>
      </w:r>
      <w:proofErr w:type="spellEnd"/>
      <w:r w:rsidR="00A15D80">
        <w:t xml:space="preserve"> in 62 CE and whose death Tacitus describes in </w:t>
      </w:r>
      <w:r w:rsidR="00AA1356">
        <w:t xml:space="preserve">Book 16 of his </w:t>
      </w:r>
      <w:r w:rsidR="00AA1356" w:rsidRPr="00A21F93">
        <w:rPr>
          <w:i/>
          <w:iCs/>
        </w:rPr>
        <w:t>Annals</w:t>
      </w:r>
      <w:r w:rsidR="00844C65">
        <w:rPr>
          <w:rStyle w:val="FootnoteReference"/>
          <w:i/>
          <w:iCs/>
        </w:rPr>
        <w:footnoteReference w:id="1"/>
      </w:r>
      <w:r w:rsidR="00AA1356">
        <w:t>.</w:t>
      </w:r>
      <w:r w:rsidR="00C062A4">
        <w:t xml:space="preserve"> As Tacitus recounts, Nero selected Petronius to be his </w:t>
      </w:r>
      <w:r w:rsidR="006D4450">
        <w:t>“</w:t>
      </w:r>
      <w:proofErr w:type="spellStart"/>
      <w:r w:rsidR="006D4450">
        <w:t>elegentiae</w:t>
      </w:r>
      <w:proofErr w:type="spellEnd"/>
      <w:r w:rsidR="00FC3235">
        <w:t xml:space="preserve"> arbiter</w:t>
      </w:r>
      <w:r w:rsidR="006D4450">
        <w:t>”</w:t>
      </w:r>
      <w:r w:rsidR="00450E39">
        <w:rPr>
          <w:rStyle w:val="FootnoteReference"/>
        </w:rPr>
        <w:footnoteReference w:id="2"/>
      </w:r>
      <w:r w:rsidR="00187B3E">
        <w:t xml:space="preserve"> and </w:t>
      </w:r>
      <w:r w:rsidR="008545B2">
        <w:t xml:space="preserve">Petronius had a wide </w:t>
      </w:r>
      <w:r w:rsidR="00CD4A3E">
        <w:t>literary circle and was very much aware of the works, either completed or ongoing, of other authors of that time</w:t>
      </w:r>
      <w:r w:rsidR="00450E39">
        <w:t xml:space="preserve">, such as Seneca and Lucan. </w:t>
      </w:r>
      <w:r w:rsidR="00117DF4">
        <w:t>Knowing that the author is this Petronius also allows for a closer dating of the work, with many arguing for its composition between 63 and 65 CE</w:t>
      </w:r>
      <w:r w:rsidR="000C49B7">
        <w:t xml:space="preserve"> and Walsh arguing for it to be written and completed in 65 CE itself</w:t>
      </w:r>
      <w:r w:rsidR="00491BA7">
        <w:t xml:space="preserve"> (Walsh, 1997</w:t>
      </w:r>
      <w:r w:rsidR="000675DD">
        <w:t>, p. xiv). Only a small section of the Satyricon survives</w:t>
      </w:r>
      <w:r w:rsidR="001D0A4F">
        <w:t xml:space="preserve"> and </w:t>
      </w:r>
      <w:r w:rsidR="00F43933">
        <w:t>this is from Book</w:t>
      </w:r>
      <w:r w:rsidR="008875BC">
        <w:t>s XIV-XVI of the original work</w:t>
      </w:r>
      <w:r w:rsidR="00B464C9">
        <w:t xml:space="preserve">; it is unknown how many books there originally were. </w:t>
      </w:r>
      <w:r w:rsidR="005C1BB2">
        <w:t xml:space="preserve">The section that survives is narrated by Encolpius, who tells the tale of what happened to him. In this section, he is in </w:t>
      </w:r>
      <w:r w:rsidR="009E75C5">
        <w:t xml:space="preserve">a town on </w:t>
      </w:r>
      <w:r w:rsidR="005C1BB2">
        <w:t>the Bay of Naples</w:t>
      </w:r>
      <w:r w:rsidR="00416B5D">
        <w:t xml:space="preserve"> and is accompanied by Giton, who is acting as his slave and his lover, as well as Ascyltus, </w:t>
      </w:r>
      <w:r w:rsidR="009F51C1">
        <w:t>who is a</w:t>
      </w:r>
      <w:r w:rsidR="0023297E">
        <w:t xml:space="preserve">lso interested in Giton and there is continually rivalry between Encolpius and Ascyltus to win Giton’s </w:t>
      </w:r>
      <w:r w:rsidR="00B23245">
        <w:t>love</w:t>
      </w:r>
      <w:r w:rsidR="00C67CD9">
        <w:t xml:space="preserve">. </w:t>
      </w:r>
      <w:r w:rsidR="00416B5D">
        <w:t>Immediately prior to this section</w:t>
      </w:r>
      <w:r w:rsidR="00B23245">
        <w:t>, Encolpius has been at the baths and discovered that Trimal</w:t>
      </w:r>
      <w:r w:rsidR="00F16810">
        <w:t xml:space="preserve">chio, a local rich freedman, will be his host tonight and had observed him playing ball games at the baths. </w:t>
      </w:r>
      <w:r w:rsidR="00E47985">
        <w:t>Encolpius, Ascyltus and Giton have arrived at Trimalchio’s house, wondered at some of the decorations</w:t>
      </w:r>
      <w:r w:rsidR="00812E3D">
        <w:t xml:space="preserve">, have begged for a slave’s punishment to be forgiven and have just settled themselves on the dining couches in the dining room when this section of the section begins. </w:t>
      </w:r>
    </w:p>
    <w:p w14:paraId="1BC6B933" w14:textId="77777777" w:rsidR="000423CF" w:rsidRDefault="000423CF" w:rsidP="00472C90">
      <w:pPr>
        <w:spacing w:after="0"/>
        <w:jc w:val="both"/>
      </w:pPr>
    </w:p>
    <w:p w14:paraId="05732D24" w14:textId="4AEAF2F5" w:rsidR="000423CF" w:rsidRDefault="000423CF" w:rsidP="00472C90">
      <w:pPr>
        <w:spacing w:after="0"/>
        <w:jc w:val="both"/>
      </w:pPr>
      <w:r>
        <w:t>Petronius</w:t>
      </w:r>
      <w:r w:rsidR="00E872A9">
        <w:t>’ use of the word “</w:t>
      </w:r>
      <w:proofErr w:type="spellStart"/>
      <w:r w:rsidR="00E872A9">
        <w:t>lautitiis</w:t>
      </w:r>
      <w:proofErr w:type="spellEnd"/>
      <w:r w:rsidR="00E872A9">
        <w:t>” at the beginning of this section</w:t>
      </w:r>
      <w:r>
        <w:t xml:space="preserve"> reminds his audience that </w:t>
      </w:r>
      <w:r w:rsidR="00D22F4C">
        <w:t>Trimalchio is aiming to impress all of his guests</w:t>
      </w:r>
      <w:r w:rsidR="00337D2A">
        <w:t xml:space="preserve">. </w:t>
      </w:r>
      <w:r w:rsidR="0054062F">
        <w:t>It recalls the initial description of Trimalchio at the beginning of this tale of the dinner as a “</w:t>
      </w:r>
      <w:proofErr w:type="spellStart"/>
      <w:r w:rsidR="0054062F">
        <w:t>l</w:t>
      </w:r>
      <w:r w:rsidR="00AD2FE7">
        <w:t>autissimus</w:t>
      </w:r>
      <w:proofErr w:type="spellEnd"/>
      <w:r w:rsidR="00AD2FE7">
        <w:t xml:space="preserve"> homo”</w:t>
      </w:r>
      <w:r w:rsidR="006F60EA">
        <w:rPr>
          <w:rStyle w:val="FootnoteReference"/>
        </w:rPr>
        <w:footnoteReference w:id="3"/>
      </w:r>
      <w:r w:rsidR="006F60EA">
        <w:t xml:space="preserve"> and Petronius has continued to use different variations of this throughout </w:t>
      </w:r>
      <w:r w:rsidR="0013706D">
        <w:t>Encolpius’ recollection of events.</w:t>
      </w:r>
      <w:r w:rsidR="00B52949">
        <w:t xml:space="preserve"> Whilst “</w:t>
      </w:r>
      <w:proofErr w:type="spellStart"/>
      <w:r w:rsidR="00B52949">
        <w:t>lautitiis</w:t>
      </w:r>
      <w:proofErr w:type="spellEnd"/>
      <w:r w:rsidR="00B52949">
        <w:t xml:space="preserve">” means ‘splendours’ here, </w:t>
      </w:r>
      <w:r w:rsidR="00754C06">
        <w:t xml:space="preserve">it must also be read in the satirical tone that it has been used previously to describe Trimalchio and his house. Whenever it is used, it </w:t>
      </w:r>
      <w:r w:rsidR="0081720C">
        <w:t xml:space="preserve">describes something which </w:t>
      </w:r>
      <w:r w:rsidR="00B50486">
        <w:t xml:space="preserve">has clearly been thought of to impress </w:t>
      </w:r>
      <w:r w:rsidR="00797A34">
        <w:t xml:space="preserve">people, but unfortunately </w:t>
      </w:r>
      <w:r w:rsidR="00805558">
        <w:t xml:space="preserve">often has the opposite effect, for example, our first view of Trimalchio </w:t>
      </w:r>
      <w:r w:rsidR="00597D10">
        <w:t xml:space="preserve">is him playing ball games at the baths in green slippers, </w:t>
      </w:r>
      <w:r w:rsidR="00CD2A81">
        <w:t xml:space="preserve">urinating during the game in a </w:t>
      </w:r>
      <w:r w:rsidR="0023027B">
        <w:t>chamber pot</w:t>
      </w:r>
      <w:r w:rsidR="00CD2A81">
        <w:t xml:space="preserve"> and drying his hands on a slave’s hair</w:t>
      </w:r>
      <w:r w:rsidR="00A84A11">
        <w:t xml:space="preserve">; </w:t>
      </w:r>
      <w:r w:rsidR="00424EED">
        <w:t xml:space="preserve">whilst this does suggest that he is rich and important, he also clearly lacks manners and is </w:t>
      </w:r>
      <w:r w:rsidR="00F00B00">
        <w:t>more effeminate in his appearance</w:t>
      </w:r>
      <w:r w:rsidR="00CD2A81">
        <w:t>. Petronius’ role as “</w:t>
      </w:r>
      <w:proofErr w:type="spellStart"/>
      <w:r w:rsidR="00CD2A81">
        <w:t>elegentiae</w:t>
      </w:r>
      <w:proofErr w:type="spellEnd"/>
      <w:r w:rsidR="00CD2A81">
        <w:t xml:space="preserve"> arbiter”  </w:t>
      </w:r>
      <w:r w:rsidR="00597480">
        <w:t>also lends authority to Encolpius’ view on the other characters, house and proceedings</w:t>
      </w:r>
      <w:r w:rsidR="008C018B">
        <w:t xml:space="preserve">, encouraging the audience to revel </w:t>
      </w:r>
      <w:r w:rsidR="008C018B">
        <w:lastRenderedPageBreak/>
        <w:t>in the</w:t>
      </w:r>
      <w:r w:rsidR="009F21FB">
        <w:t>ir own level of refinement in comparison to that demonstrated by</w:t>
      </w:r>
      <w:r w:rsidR="0005702F">
        <w:t xml:space="preserve"> </w:t>
      </w:r>
      <w:r w:rsidR="009F21FB">
        <w:t xml:space="preserve">Trimalchio. </w:t>
      </w:r>
      <w:r w:rsidR="000F599E">
        <w:t>The fact that the audience should be s</w:t>
      </w:r>
      <w:r w:rsidR="00483EFF">
        <w:t>niggering at Trimalchio is</w:t>
      </w:r>
      <w:r w:rsidR="0005702F">
        <w:t xml:space="preserve"> </w:t>
      </w:r>
      <w:r w:rsidR="0023027B">
        <w:t>explicitly</w:t>
      </w:r>
      <w:r w:rsidR="0005702F">
        <w:t xml:space="preserve"> stated later in the sentence</w:t>
      </w:r>
      <w:r w:rsidR="000F599E">
        <w:t>. “</w:t>
      </w:r>
      <w:proofErr w:type="spellStart"/>
      <w:r w:rsidR="000F599E">
        <w:t>expressit</w:t>
      </w:r>
      <w:proofErr w:type="spellEnd"/>
      <w:r w:rsidR="000F599E">
        <w:t xml:space="preserve"> </w:t>
      </w:r>
      <w:proofErr w:type="spellStart"/>
      <w:r w:rsidR="000F599E">
        <w:t>imprudentibus</w:t>
      </w:r>
      <w:proofErr w:type="spellEnd"/>
      <w:r w:rsidR="000F599E">
        <w:t xml:space="preserve"> </w:t>
      </w:r>
      <w:proofErr w:type="spellStart"/>
      <w:r w:rsidR="000F599E">
        <w:t>risum</w:t>
      </w:r>
      <w:proofErr w:type="spellEnd"/>
      <w:r w:rsidR="000F599E">
        <w:t xml:space="preserve">”. </w:t>
      </w:r>
      <w:r w:rsidR="00D46DB0">
        <w:t xml:space="preserve">He has just been carried into the dining room accompanied by music, “ad </w:t>
      </w:r>
      <w:proofErr w:type="spellStart"/>
      <w:r w:rsidR="00D46DB0">
        <w:t>symphoniam</w:t>
      </w:r>
      <w:proofErr w:type="spellEnd"/>
      <w:r w:rsidR="00D46DB0">
        <w:t xml:space="preserve">”. </w:t>
      </w:r>
      <w:r w:rsidR="00AB4E05">
        <w:t xml:space="preserve">Once again, Trimalchio has opted to highlight his money by having not just one musician playing to </w:t>
      </w:r>
      <w:r w:rsidR="00D51DC4">
        <w:t xml:space="preserve">highlight his entrance, but to have several of them, since ‘symphonia’ </w:t>
      </w:r>
      <w:r w:rsidR="00E84CA7">
        <w:t xml:space="preserve">(adopted from the Greek </w:t>
      </w:r>
      <w:proofErr w:type="spellStart"/>
      <w:r w:rsidR="001F2EE3" w:rsidRPr="001F2EE3">
        <w:rPr>
          <w:rFonts w:ascii="Palatino Linotype" w:hAnsi="Palatino Linotype"/>
        </w:rPr>
        <w:t>συμφωνί</w:t>
      </w:r>
      <w:proofErr w:type="spellEnd"/>
      <w:r w:rsidR="001F2EE3" w:rsidRPr="001F2EE3">
        <w:rPr>
          <w:rFonts w:ascii="Palatino Linotype" w:hAnsi="Palatino Linotype"/>
        </w:rPr>
        <w:t>α</w:t>
      </w:r>
      <w:r w:rsidR="001F2EE3">
        <w:t xml:space="preserve">) </w:t>
      </w:r>
      <w:r w:rsidR="002966D3">
        <w:t>suggests a harmony of sounds</w:t>
      </w:r>
      <w:r w:rsidR="00657E1F">
        <w:rPr>
          <w:rStyle w:val="FootnoteReference"/>
        </w:rPr>
        <w:footnoteReference w:id="4"/>
      </w:r>
      <w:r w:rsidR="002966D3">
        <w:t xml:space="preserve">. </w:t>
      </w:r>
      <w:r w:rsidR="00AE1459">
        <w:t>This extravagance of his is further enhanced by the chiastic use of the passive in “</w:t>
      </w:r>
      <w:proofErr w:type="spellStart"/>
      <w:r w:rsidR="00AE1459">
        <w:t>allatus</w:t>
      </w:r>
      <w:proofErr w:type="spellEnd"/>
      <w:r w:rsidR="00AE1459">
        <w:t xml:space="preserve"> </w:t>
      </w:r>
      <w:proofErr w:type="spellStart"/>
      <w:r w:rsidR="00AE1459">
        <w:t>est</w:t>
      </w:r>
      <w:proofErr w:type="spellEnd"/>
      <w:r w:rsidR="00AE1459">
        <w:t xml:space="preserve"> </w:t>
      </w:r>
      <w:proofErr w:type="spellStart"/>
      <w:r w:rsidR="00AE1459">
        <w:t>positusque</w:t>
      </w:r>
      <w:proofErr w:type="spellEnd"/>
      <w:r w:rsidR="00AE1459">
        <w:t>”, which suggests that he was carried into the dining room on a litter by</w:t>
      </w:r>
      <w:r w:rsidR="005942D4">
        <w:t xml:space="preserve"> his slaves</w:t>
      </w:r>
      <w:r w:rsidR="00D13C56">
        <w:t>, despite this not being explicitly stated in the text. A</w:t>
      </w:r>
      <w:r w:rsidR="005942D4">
        <w:t>gain</w:t>
      </w:r>
      <w:r w:rsidR="00D13C56">
        <w:t xml:space="preserve"> this</w:t>
      </w:r>
      <w:r w:rsidR="005942D4">
        <w:t xml:space="preserve"> highlight</w:t>
      </w:r>
      <w:r w:rsidR="00D13C56">
        <w:t>s</w:t>
      </w:r>
      <w:r w:rsidR="005942D4">
        <w:t xml:space="preserve"> his riches that he has so many slaves </w:t>
      </w:r>
      <w:r w:rsidR="00094006">
        <w:t>that some carry him in</w:t>
      </w:r>
      <w:r w:rsidR="00770D8F">
        <w:t xml:space="preserve"> to dine. </w:t>
      </w:r>
    </w:p>
    <w:p w14:paraId="06A1B040" w14:textId="77777777" w:rsidR="00770D8F" w:rsidRDefault="00770D8F" w:rsidP="00472C90">
      <w:pPr>
        <w:spacing w:after="0"/>
        <w:jc w:val="both"/>
      </w:pPr>
    </w:p>
    <w:p w14:paraId="177039E1" w14:textId="0D872D60" w:rsidR="00DB313D" w:rsidRDefault="00770D8F" w:rsidP="00472C90">
      <w:pPr>
        <w:spacing w:after="0"/>
        <w:jc w:val="both"/>
      </w:pPr>
      <w:r>
        <w:t>Petronius then gives a detailed description of</w:t>
      </w:r>
      <w:r w:rsidR="00FC30B8">
        <w:t xml:space="preserve"> how Trimalchio is dressed</w:t>
      </w:r>
      <w:r w:rsidR="00657E1F">
        <w:t>. He introduces this with “</w:t>
      </w:r>
      <w:proofErr w:type="spellStart"/>
      <w:r w:rsidR="00657E1F">
        <w:t>enim</w:t>
      </w:r>
      <w:proofErr w:type="spellEnd"/>
      <w:r w:rsidR="00657E1F">
        <w:t xml:space="preserve">”; the causal aspect of this conjunction tells his audience that the following description is the reason why they should be laughing at Trimalchio, </w:t>
      </w:r>
      <w:r w:rsidR="003B78F0">
        <w:t>further</w:t>
      </w:r>
      <w:r w:rsidR="00CA6D96">
        <w:t xml:space="preserve"> creating the image of him as </w:t>
      </w:r>
      <w:r w:rsidR="001D17A2">
        <w:t xml:space="preserve">one </w:t>
      </w:r>
      <w:r w:rsidR="00CA6D96">
        <w:t xml:space="preserve">to mock and </w:t>
      </w:r>
      <w:r w:rsidR="001D17A2">
        <w:t xml:space="preserve">sneer at afterwards. </w:t>
      </w:r>
      <w:r w:rsidR="00200FB1">
        <w:t>The use of “</w:t>
      </w:r>
      <w:proofErr w:type="spellStart"/>
      <w:r w:rsidR="00200FB1">
        <w:t>pallio</w:t>
      </w:r>
      <w:proofErr w:type="spellEnd"/>
      <w:r w:rsidR="00200FB1">
        <w:t xml:space="preserve">” to describe his cloak </w:t>
      </w:r>
      <w:r w:rsidR="00782391">
        <w:t>suggests that Trimalchio is trying to</w:t>
      </w:r>
      <w:r w:rsidR="004716BD">
        <w:t xml:space="preserve"> demonstrate how cultured he is</w:t>
      </w:r>
      <w:r w:rsidR="00782391">
        <w:t xml:space="preserve">, as ‘pallium’ is </w:t>
      </w:r>
      <w:r w:rsidR="002E61EC">
        <w:t>the word for a Greek cloak</w:t>
      </w:r>
      <w:r w:rsidR="002E61EC">
        <w:rPr>
          <w:rStyle w:val="FootnoteReference"/>
        </w:rPr>
        <w:footnoteReference w:id="5"/>
      </w:r>
      <w:r w:rsidR="002E61EC">
        <w:t>, worn esp</w:t>
      </w:r>
      <w:r w:rsidR="004716BD">
        <w:t xml:space="preserve">ecially by Greek philosophers. </w:t>
      </w:r>
      <w:r w:rsidR="00246288">
        <w:t xml:space="preserve">Whilst this word could just be used as the </w:t>
      </w:r>
      <w:r w:rsidR="00A62CA9">
        <w:t xml:space="preserve">normal word for a cloak in the Bay of Naples, an area which commonly used a lot of Greek words within Latin and was </w:t>
      </w:r>
      <w:r w:rsidR="0095325B">
        <w:t>within Magna Graecia, the fact that it is used just before the “</w:t>
      </w:r>
      <w:proofErr w:type="spellStart"/>
      <w:r w:rsidR="0095325B">
        <w:t>enim</w:t>
      </w:r>
      <w:proofErr w:type="spellEnd"/>
      <w:r w:rsidR="0095325B">
        <w:t xml:space="preserve">” suggests that this was another reason to laugh at Trimalchio and that he saw himself as a philosopher. </w:t>
      </w:r>
      <w:r w:rsidR="00BC2EFD">
        <w:t xml:space="preserve"> </w:t>
      </w:r>
      <w:r w:rsidR="001E26FF">
        <w:t xml:space="preserve">Petronius further emphasises </w:t>
      </w:r>
      <w:proofErr w:type="spellStart"/>
      <w:r w:rsidR="001E26FF">
        <w:t>Trimalchio’s</w:t>
      </w:r>
      <w:proofErr w:type="spellEnd"/>
      <w:r w:rsidR="001E26FF">
        <w:t xml:space="preserve"> grand aspirations by describing his napkin as “</w:t>
      </w:r>
      <w:proofErr w:type="spellStart"/>
      <w:r w:rsidR="001E26FF">
        <w:t>laticlaviam</w:t>
      </w:r>
      <w:proofErr w:type="spellEnd"/>
      <w:r w:rsidR="001E26FF">
        <w:t xml:space="preserve">”. </w:t>
      </w:r>
      <w:r w:rsidR="008C2E9A">
        <w:t xml:space="preserve">The hyperbaton here not only </w:t>
      </w:r>
      <w:r w:rsidR="00E00EEA">
        <w:t>aids the audience in picturing</w:t>
      </w:r>
      <w:r w:rsidR="008C2E9A">
        <w:t xml:space="preserve"> the napkin encircling his neck (“</w:t>
      </w:r>
      <w:proofErr w:type="spellStart"/>
      <w:r w:rsidR="008C2E9A">
        <w:t>laticlaviam</w:t>
      </w:r>
      <w:proofErr w:type="spellEnd"/>
      <w:r w:rsidR="008C2E9A">
        <w:t xml:space="preserve"> </w:t>
      </w:r>
      <w:proofErr w:type="spellStart"/>
      <w:r w:rsidR="008C2E9A">
        <w:t>immiserat</w:t>
      </w:r>
      <w:proofErr w:type="spellEnd"/>
      <w:r w:rsidR="008C2E9A">
        <w:t xml:space="preserve"> </w:t>
      </w:r>
      <w:proofErr w:type="spellStart"/>
      <w:r w:rsidR="008C2E9A">
        <w:t>mappam</w:t>
      </w:r>
      <w:proofErr w:type="spellEnd"/>
      <w:r w:rsidR="008C2E9A">
        <w:t>”), but</w:t>
      </w:r>
      <w:r w:rsidR="00E00EEA">
        <w:t xml:space="preserve"> </w:t>
      </w:r>
      <w:r w:rsidR="00111EE8">
        <w:t>also the word “</w:t>
      </w:r>
      <w:proofErr w:type="spellStart"/>
      <w:r w:rsidR="00111EE8">
        <w:t>laticlaviam</w:t>
      </w:r>
      <w:proofErr w:type="spellEnd"/>
      <w:r w:rsidR="00111EE8">
        <w:t>” itself. Thi</w:t>
      </w:r>
      <w:r w:rsidR="00EA7736">
        <w:t xml:space="preserve">s is used to describe the broad purple stripe </w:t>
      </w:r>
      <w:r w:rsidR="0086009A">
        <w:t xml:space="preserve">which was reserved for the use of </w:t>
      </w:r>
      <w:r w:rsidR="00ED3254">
        <w:t>senatorial families</w:t>
      </w:r>
      <w:r w:rsidR="00C1675C">
        <w:t xml:space="preserve"> and Trimalchio, a freedman, would not be entitled to wear it on his tunic or toga. </w:t>
      </w:r>
      <w:r w:rsidR="00FC5804">
        <w:t>By using it on his napkin, he is skirting around these rules whilst trying to appear more important and significant than he is</w:t>
      </w:r>
      <w:r w:rsidR="000524DD">
        <w:t xml:space="preserve">; </w:t>
      </w:r>
      <w:r w:rsidR="001B6FE7">
        <w:t xml:space="preserve">this attempt to </w:t>
      </w:r>
      <w:r w:rsidR="00A83E5B">
        <w:t>claim a higher rank than he is allowed to</w:t>
      </w:r>
      <w:r w:rsidR="00565495">
        <w:t xml:space="preserve"> </w:t>
      </w:r>
      <w:r w:rsidR="00A748C7">
        <w:t>is a significant social faux pa</w:t>
      </w:r>
      <w:r w:rsidR="005321EB">
        <w:t xml:space="preserve">s and laughable. This </w:t>
      </w:r>
      <w:r w:rsidR="00D51DDC">
        <w:t>is further highlighted by Petronius’ description of the rings that he is wearing as “</w:t>
      </w:r>
      <w:proofErr w:type="spellStart"/>
      <w:r w:rsidR="00D51DDC">
        <w:t>subauratum</w:t>
      </w:r>
      <w:proofErr w:type="spellEnd"/>
      <w:r w:rsidR="00D51DDC">
        <w:t xml:space="preserve">” and </w:t>
      </w:r>
      <w:r w:rsidR="00E25894">
        <w:t>“</w:t>
      </w:r>
      <w:proofErr w:type="spellStart"/>
      <w:r w:rsidR="00E25894">
        <w:t>totum</w:t>
      </w:r>
      <w:proofErr w:type="spellEnd"/>
      <w:r w:rsidR="00E25894">
        <w:t xml:space="preserve"> </w:t>
      </w:r>
      <w:proofErr w:type="spellStart"/>
      <w:r w:rsidR="00E25894">
        <w:t>aureum</w:t>
      </w:r>
      <w:proofErr w:type="spellEnd"/>
      <w:r w:rsidR="00E25894">
        <w:t>”. Only senators and equestrians were allowed to wear gold rings</w:t>
      </w:r>
      <w:r w:rsidR="003F27C2">
        <w:t xml:space="preserve">, so once again Trimalchio is </w:t>
      </w:r>
      <w:r w:rsidR="00770726">
        <w:t xml:space="preserve"> </w:t>
      </w:r>
      <w:r w:rsidR="003F27C2">
        <w:t xml:space="preserve">attempting to suggest that he is of a higher social rank than he is. </w:t>
      </w:r>
      <w:r w:rsidR="00770726">
        <w:t>Petronius’ use of “</w:t>
      </w:r>
      <w:proofErr w:type="spellStart"/>
      <w:r w:rsidR="00770726">
        <w:t>ut</w:t>
      </w:r>
      <w:proofErr w:type="spellEnd"/>
      <w:r w:rsidR="00770726">
        <w:t xml:space="preserve"> mihi </w:t>
      </w:r>
      <w:proofErr w:type="spellStart"/>
      <w:r w:rsidR="00770726">
        <w:t>videbatur</w:t>
      </w:r>
      <w:proofErr w:type="spellEnd"/>
      <w:r w:rsidR="00770726">
        <w:t xml:space="preserve">” to qualify the ring made of gold further suggests that Trimalchio is again attempting to follow the letter of the law legally and that the ring is not actually made from gold, but </w:t>
      </w:r>
      <w:r w:rsidR="00B407BA">
        <w:t xml:space="preserve">similarly to the napkin, he is attempting to make it look to the uninformed or those of lower social status that he is </w:t>
      </w:r>
      <w:r w:rsidR="0023027B">
        <w:t xml:space="preserve">either a senator or equestrian. </w:t>
      </w:r>
      <w:r w:rsidR="00DB313D">
        <w:t xml:space="preserve">Petronius completes his description of </w:t>
      </w:r>
      <w:proofErr w:type="spellStart"/>
      <w:r w:rsidR="00DB313D">
        <w:t>Trimalchio’s</w:t>
      </w:r>
      <w:proofErr w:type="spellEnd"/>
      <w:r w:rsidR="00DB313D">
        <w:t xml:space="preserve"> dress by discussing </w:t>
      </w:r>
      <w:r w:rsidR="0054160F">
        <w:t xml:space="preserve">the other jewellery that he is wearing, an “armilla </w:t>
      </w:r>
      <w:proofErr w:type="spellStart"/>
      <w:r w:rsidR="0054160F">
        <w:t>aurea</w:t>
      </w:r>
      <w:proofErr w:type="spellEnd"/>
      <w:r w:rsidR="0054160F">
        <w:t>” and an “</w:t>
      </w:r>
      <w:proofErr w:type="spellStart"/>
      <w:r w:rsidR="0054160F">
        <w:t>eboreo</w:t>
      </w:r>
      <w:proofErr w:type="spellEnd"/>
      <w:r w:rsidR="0054160F">
        <w:t xml:space="preserve"> </w:t>
      </w:r>
      <w:proofErr w:type="spellStart"/>
      <w:r w:rsidR="0054160F">
        <w:t>circulo</w:t>
      </w:r>
      <w:proofErr w:type="spellEnd"/>
      <w:r w:rsidR="0054160F">
        <w:t xml:space="preserve">”. </w:t>
      </w:r>
      <w:r w:rsidR="00D61063">
        <w:t xml:space="preserve">Once again, these two </w:t>
      </w:r>
      <w:r w:rsidR="000C2B0A">
        <w:t xml:space="preserve">items are made out of </w:t>
      </w:r>
      <w:r w:rsidR="000C2B0A">
        <w:lastRenderedPageBreak/>
        <w:t xml:space="preserve">extremely valuable materials, gold and ivory, which are clearly there to show off </w:t>
      </w:r>
      <w:r w:rsidR="00EA2BFA">
        <w:t xml:space="preserve">his wealth. </w:t>
      </w:r>
      <w:r w:rsidR="00022C4A">
        <w:t>This is made even more evident by Petronius’ use of “</w:t>
      </w:r>
      <w:proofErr w:type="spellStart"/>
      <w:r w:rsidR="00022C4A">
        <w:t>nudavit</w:t>
      </w:r>
      <w:proofErr w:type="spellEnd"/>
      <w:r w:rsidR="00022C4A">
        <w:t xml:space="preserve">” to describe how </w:t>
      </w:r>
      <w:r w:rsidR="002346E9">
        <w:t xml:space="preserve">the dinner guests could easily see </w:t>
      </w:r>
      <w:proofErr w:type="spellStart"/>
      <w:r w:rsidR="002346E9">
        <w:t>Trimalchio’s</w:t>
      </w:r>
      <w:proofErr w:type="spellEnd"/>
      <w:r w:rsidR="002346E9">
        <w:t xml:space="preserve"> right arm. </w:t>
      </w:r>
      <w:r w:rsidR="00A46195">
        <w:t xml:space="preserve">It means </w:t>
      </w:r>
      <w:r w:rsidR="00D027E9">
        <w:t>‘to make naked’ or ‘to bare’</w:t>
      </w:r>
      <w:r w:rsidR="00D027E9">
        <w:rPr>
          <w:rStyle w:val="FootnoteReference"/>
        </w:rPr>
        <w:footnoteReference w:id="6"/>
      </w:r>
      <w:r w:rsidR="00D027E9">
        <w:t>, and it</w:t>
      </w:r>
      <w:r w:rsidR="00A46195">
        <w:t xml:space="preserve">s transitive nature suggests that </w:t>
      </w:r>
      <w:r w:rsidR="005F4D7F">
        <w:t xml:space="preserve">Trimalchio has intentionally ensured that there is no clothing to impede his guests’ view of his bracelets. </w:t>
      </w:r>
      <w:r w:rsidR="00DB7FE6">
        <w:t xml:space="preserve">Petronius’ emphasis on these bracelets also </w:t>
      </w:r>
      <w:r w:rsidR="00EC2014">
        <w:t xml:space="preserve">suggests that Trimalchio is slightly effeminate; although an “armilla” </w:t>
      </w:r>
      <w:r w:rsidR="00453646">
        <w:t xml:space="preserve">could be worn by either men or women, the description of it as gold, especially when accompanied </w:t>
      </w:r>
      <w:r w:rsidR="001D17CD">
        <w:t>with the ivory bracelet</w:t>
      </w:r>
      <w:r w:rsidR="009D074F">
        <w:t xml:space="preserve">, would suggest that it was more likely to be worn by a female. </w:t>
      </w:r>
    </w:p>
    <w:p w14:paraId="1BC37CFC" w14:textId="77777777" w:rsidR="009F21FB" w:rsidRDefault="009F21FB" w:rsidP="00472C90">
      <w:pPr>
        <w:spacing w:after="0"/>
        <w:jc w:val="both"/>
      </w:pPr>
    </w:p>
    <w:p w14:paraId="44B0F532" w14:textId="77777777" w:rsidR="00B4784A" w:rsidRDefault="00B4784A" w:rsidP="00472C90">
      <w:pPr>
        <w:spacing w:after="0"/>
        <w:jc w:val="both"/>
      </w:pPr>
    </w:p>
    <w:p w14:paraId="084586ED" w14:textId="77777777" w:rsidR="00DB2DAE" w:rsidRDefault="00DB2DAE" w:rsidP="00472C90">
      <w:pPr>
        <w:spacing w:after="0"/>
        <w:jc w:val="both"/>
      </w:pPr>
    </w:p>
    <w:p w14:paraId="72AAEF2C" w14:textId="77777777" w:rsidR="00DB2DAE" w:rsidRDefault="00DB2DAE" w:rsidP="00472C90">
      <w:pPr>
        <w:spacing w:after="0"/>
        <w:jc w:val="both"/>
      </w:pPr>
    </w:p>
    <w:p w14:paraId="63657976" w14:textId="77777777" w:rsidR="00DB2DAE" w:rsidRDefault="00DB2DAE" w:rsidP="00472C90">
      <w:pPr>
        <w:spacing w:after="0"/>
        <w:jc w:val="both"/>
      </w:pPr>
    </w:p>
    <w:p w14:paraId="3C58D8EE" w14:textId="77777777" w:rsidR="00DB2DAE" w:rsidRDefault="00DB2DAE" w:rsidP="00472C90">
      <w:pPr>
        <w:spacing w:after="0"/>
        <w:jc w:val="both"/>
      </w:pPr>
    </w:p>
    <w:p w14:paraId="517E3CA7" w14:textId="77777777" w:rsidR="00DB2DAE" w:rsidRDefault="00DB2DAE" w:rsidP="00472C90">
      <w:pPr>
        <w:spacing w:after="0"/>
        <w:jc w:val="both"/>
      </w:pPr>
    </w:p>
    <w:p w14:paraId="08B9F258" w14:textId="77777777" w:rsidR="00DB2DAE" w:rsidRDefault="00DB2DAE" w:rsidP="00472C90">
      <w:pPr>
        <w:spacing w:after="0"/>
        <w:jc w:val="both"/>
      </w:pPr>
    </w:p>
    <w:p w14:paraId="79E92B34" w14:textId="77777777" w:rsidR="00DB2DAE" w:rsidRDefault="00DB2DAE" w:rsidP="00472C90">
      <w:pPr>
        <w:spacing w:after="0"/>
        <w:jc w:val="both"/>
      </w:pPr>
    </w:p>
    <w:p w14:paraId="7ADF5D76" w14:textId="77777777" w:rsidR="00DB2DAE" w:rsidRDefault="00DB2DAE" w:rsidP="00472C90">
      <w:pPr>
        <w:spacing w:after="0"/>
        <w:jc w:val="both"/>
      </w:pPr>
    </w:p>
    <w:p w14:paraId="458BDB05" w14:textId="77777777" w:rsidR="00DB2DAE" w:rsidRDefault="00DB2DAE" w:rsidP="00472C90">
      <w:pPr>
        <w:spacing w:after="0"/>
        <w:jc w:val="both"/>
      </w:pPr>
    </w:p>
    <w:p w14:paraId="3419A8E7" w14:textId="77777777" w:rsidR="00DB2DAE" w:rsidRDefault="00DB2DAE" w:rsidP="00472C90">
      <w:pPr>
        <w:spacing w:after="0"/>
        <w:jc w:val="both"/>
      </w:pPr>
    </w:p>
    <w:p w14:paraId="372DF36F" w14:textId="77777777" w:rsidR="00DB2DAE" w:rsidRDefault="00DB2DAE" w:rsidP="00472C90">
      <w:pPr>
        <w:spacing w:after="0"/>
        <w:jc w:val="both"/>
      </w:pPr>
    </w:p>
    <w:p w14:paraId="62C88720" w14:textId="77777777" w:rsidR="00DB2DAE" w:rsidRDefault="00DB2DAE" w:rsidP="00472C90">
      <w:pPr>
        <w:spacing w:after="0"/>
        <w:jc w:val="both"/>
      </w:pPr>
    </w:p>
    <w:p w14:paraId="652DBF5D" w14:textId="77777777" w:rsidR="00DB2DAE" w:rsidRDefault="00DB2DAE" w:rsidP="00472C90">
      <w:pPr>
        <w:spacing w:after="0"/>
        <w:jc w:val="both"/>
      </w:pPr>
    </w:p>
    <w:p w14:paraId="2827AAD4" w14:textId="77777777" w:rsidR="00DB2DAE" w:rsidRDefault="00DB2DAE" w:rsidP="00472C90">
      <w:pPr>
        <w:spacing w:after="0"/>
        <w:jc w:val="both"/>
      </w:pPr>
    </w:p>
    <w:p w14:paraId="3F104825" w14:textId="77777777" w:rsidR="00DB2DAE" w:rsidRDefault="00DB2DAE" w:rsidP="00472C90">
      <w:pPr>
        <w:spacing w:after="0"/>
        <w:jc w:val="both"/>
      </w:pPr>
    </w:p>
    <w:p w14:paraId="6D1C502C" w14:textId="77777777" w:rsidR="00DB2DAE" w:rsidRDefault="00DB2DAE" w:rsidP="00472C90">
      <w:pPr>
        <w:spacing w:after="0"/>
        <w:jc w:val="both"/>
      </w:pPr>
    </w:p>
    <w:p w14:paraId="17054520" w14:textId="77777777" w:rsidR="00DB2DAE" w:rsidRDefault="00DB2DAE" w:rsidP="00472C90">
      <w:pPr>
        <w:spacing w:after="0"/>
        <w:jc w:val="both"/>
      </w:pPr>
    </w:p>
    <w:p w14:paraId="7D0EF375" w14:textId="77777777" w:rsidR="00DB2DAE" w:rsidRDefault="00DB2DAE" w:rsidP="00472C90">
      <w:pPr>
        <w:spacing w:after="0"/>
        <w:jc w:val="both"/>
      </w:pPr>
    </w:p>
    <w:p w14:paraId="029EFB02" w14:textId="77777777" w:rsidR="00DB2DAE" w:rsidRDefault="00DB2DAE" w:rsidP="00472C90">
      <w:pPr>
        <w:spacing w:after="0"/>
        <w:jc w:val="both"/>
      </w:pPr>
    </w:p>
    <w:p w14:paraId="0F2398C0" w14:textId="77777777" w:rsidR="00DB2DAE" w:rsidRDefault="00DB2DAE" w:rsidP="00472C90">
      <w:pPr>
        <w:spacing w:after="0"/>
        <w:jc w:val="both"/>
      </w:pPr>
    </w:p>
    <w:p w14:paraId="34830184" w14:textId="77777777" w:rsidR="00DB2DAE" w:rsidRDefault="00DB2DAE" w:rsidP="00472C90">
      <w:pPr>
        <w:spacing w:after="0"/>
        <w:jc w:val="both"/>
      </w:pPr>
    </w:p>
    <w:p w14:paraId="0081780B" w14:textId="77777777" w:rsidR="00DB2DAE" w:rsidRDefault="00DB2DAE" w:rsidP="00472C90">
      <w:pPr>
        <w:spacing w:after="0"/>
        <w:jc w:val="both"/>
      </w:pPr>
    </w:p>
    <w:p w14:paraId="111E5F6A" w14:textId="77777777" w:rsidR="00DB2DAE" w:rsidRDefault="00DB2DAE" w:rsidP="00472C90">
      <w:pPr>
        <w:spacing w:after="0"/>
        <w:jc w:val="both"/>
      </w:pPr>
    </w:p>
    <w:p w14:paraId="6FD80FD9" w14:textId="77777777" w:rsidR="00DB2DAE" w:rsidRDefault="00DB2DAE" w:rsidP="00472C90">
      <w:pPr>
        <w:spacing w:after="0"/>
        <w:jc w:val="both"/>
      </w:pPr>
    </w:p>
    <w:p w14:paraId="3F7CB4EB" w14:textId="77777777" w:rsidR="00DB2DAE" w:rsidRDefault="00DB2DAE" w:rsidP="00472C90">
      <w:pPr>
        <w:spacing w:after="0"/>
        <w:jc w:val="both"/>
      </w:pPr>
    </w:p>
    <w:p w14:paraId="53688F97" w14:textId="77777777" w:rsidR="00DB2DAE" w:rsidRDefault="00DB2DAE" w:rsidP="00472C90">
      <w:pPr>
        <w:spacing w:after="0"/>
        <w:jc w:val="both"/>
      </w:pPr>
    </w:p>
    <w:p w14:paraId="1D13DD58" w14:textId="77777777" w:rsidR="00DB2DAE" w:rsidRDefault="00DB2DAE" w:rsidP="00472C90">
      <w:pPr>
        <w:spacing w:after="0"/>
        <w:jc w:val="both"/>
      </w:pPr>
    </w:p>
    <w:p w14:paraId="2110DE88" w14:textId="77777777" w:rsidR="00A21F93" w:rsidRDefault="00A21F93" w:rsidP="00310542">
      <w:pPr>
        <w:spacing w:after="0"/>
      </w:pPr>
    </w:p>
    <w:p w14:paraId="2D918310" w14:textId="77777777" w:rsidR="00A21F93" w:rsidRPr="00913A6A" w:rsidRDefault="00A21F93" w:rsidP="00310542">
      <w:pPr>
        <w:spacing w:after="0"/>
        <w:rPr>
          <w:b/>
          <w:bCs/>
        </w:rPr>
      </w:pPr>
      <w:r w:rsidRPr="00913A6A">
        <w:rPr>
          <w:b/>
          <w:bCs/>
        </w:rPr>
        <w:lastRenderedPageBreak/>
        <w:t>Bibliography</w:t>
      </w:r>
    </w:p>
    <w:p w14:paraId="79F6A126" w14:textId="77777777" w:rsidR="00913A6A" w:rsidRDefault="00913A6A" w:rsidP="00310542">
      <w:pPr>
        <w:spacing w:after="0"/>
      </w:pPr>
    </w:p>
    <w:p w14:paraId="24A77A5A" w14:textId="0FA4E65B" w:rsidR="00A21F93" w:rsidRDefault="00321426" w:rsidP="00FF2573">
      <w:pPr>
        <w:pStyle w:val="ListParagraph"/>
        <w:numPr>
          <w:ilvl w:val="0"/>
          <w:numId w:val="1"/>
        </w:numPr>
        <w:spacing w:after="0"/>
      </w:pPr>
      <w:r>
        <w:t xml:space="preserve">Petronius, </w:t>
      </w:r>
      <w:r w:rsidRPr="00FF2573">
        <w:rPr>
          <w:i/>
          <w:iCs/>
        </w:rPr>
        <w:t>The Satyricon</w:t>
      </w:r>
      <w:r>
        <w:t xml:space="preserve">. P. G. Walsh (trans.). 1997. </w:t>
      </w:r>
      <w:r w:rsidR="00913A6A">
        <w:t>Oxford: Oxford University Press</w:t>
      </w:r>
    </w:p>
    <w:p w14:paraId="12D949C4" w14:textId="623F7CAB" w:rsidR="00530C7C" w:rsidRDefault="00530C7C" w:rsidP="00FF2573">
      <w:pPr>
        <w:pStyle w:val="ListParagraph"/>
        <w:numPr>
          <w:ilvl w:val="0"/>
          <w:numId w:val="1"/>
        </w:numPr>
        <w:spacing w:after="0"/>
      </w:pPr>
      <w:r>
        <w:t xml:space="preserve">Petronius, </w:t>
      </w:r>
      <w:r w:rsidR="002204E2" w:rsidRPr="00FF2573">
        <w:rPr>
          <w:i/>
          <w:iCs/>
        </w:rPr>
        <w:t>The Satyricon</w:t>
      </w:r>
      <w:r w:rsidR="002204E2">
        <w:t xml:space="preserve">. </w:t>
      </w:r>
      <w:r w:rsidR="0056616A">
        <w:t>G. Schmeling (</w:t>
      </w:r>
      <w:r w:rsidR="00DA2AEE">
        <w:t>trans</w:t>
      </w:r>
      <w:r w:rsidR="009404F7">
        <w:t xml:space="preserve">.). 2020. </w:t>
      </w:r>
      <w:r w:rsidR="00484A39">
        <w:t>Cambridge: Harvard University Press</w:t>
      </w:r>
    </w:p>
    <w:p w14:paraId="3DEDB286" w14:textId="0B94B648" w:rsidR="009D2F1D" w:rsidRDefault="00801E11" w:rsidP="00FF2573">
      <w:pPr>
        <w:pStyle w:val="ListParagraph"/>
        <w:numPr>
          <w:ilvl w:val="0"/>
          <w:numId w:val="1"/>
        </w:numPr>
        <w:spacing w:after="0"/>
      </w:pPr>
      <w:r>
        <w:t>Sedgwick,</w:t>
      </w:r>
      <w:r w:rsidR="00FF2573">
        <w:t xml:space="preserve"> W. B. (1950)</w:t>
      </w:r>
      <w:r>
        <w:t xml:space="preserve"> </w:t>
      </w:r>
      <w:r w:rsidRPr="00FF2573">
        <w:rPr>
          <w:i/>
          <w:iCs/>
        </w:rPr>
        <w:t xml:space="preserve">The Cena </w:t>
      </w:r>
      <w:proofErr w:type="spellStart"/>
      <w:r w:rsidRPr="00FF2573">
        <w:rPr>
          <w:i/>
          <w:iCs/>
        </w:rPr>
        <w:t>Trimalchionis</w:t>
      </w:r>
      <w:proofErr w:type="spellEnd"/>
      <w:r w:rsidRPr="00FF2573">
        <w:rPr>
          <w:i/>
          <w:iCs/>
        </w:rPr>
        <w:t xml:space="preserve"> of Petronius</w:t>
      </w:r>
      <w:r w:rsidR="00FF2573">
        <w:t>.</w:t>
      </w:r>
      <w:r w:rsidR="005A7FA0">
        <w:t xml:space="preserve"> 2</w:t>
      </w:r>
      <w:r w:rsidR="005A7FA0" w:rsidRPr="00FF2573">
        <w:rPr>
          <w:vertAlign w:val="superscript"/>
        </w:rPr>
        <w:t>nd</w:t>
      </w:r>
      <w:r w:rsidR="005A7FA0">
        <w:t xml:space="preserve"> </w:t>
      </w:r>
      <w:proofErr w:type="spellStart"/>
      <w:r w:rsidR="005A7FA0">
        <w:t>ed</w:t>
      </w:r>
      <w:r w:rsidR="00FF2573">
        <w:t>n</w:t>
      </w:r>
      <w:proofErr w:type="spellEnd"/>
      <w:r w:rsidR="00FF2573">
        <w:t xml:space="preserve">. </w:t>
      </w:r>
      <w:r w:rsidR="005A7FA0">
        <w:t>Oxford: Oxford University Press</w:t>
      </w:r>
    </w:p>
    <w:p w14:paraId="5A352E37" w14:textId="425DD454" w:rsidR="0089312D" w:rsidRDefault="00AA1356" w:rsidP="00310542">
      <w:pPr>
        <w:spacing w:after="0"/>
      </w:pPr>
      <w:r>
        <w:t xml:space="preserve"> </w:t>
      </w:r>
    </w:p>
    <w:p w14:paraId="4B457B1D" w14:textId="77777777" w:rsidR="00310542" w:rsidRDefault="00310542" w:rsidP="00310542">
      <w:pPr>
        <w:spacing w:after="0"/>
      </w:pPr>
    </w:p>
    <w:p w14:paraId="2A1CDACA" w14:textId="77777777" w:rsidR="00310542" w:rsidRDefault="00310542" w:rsidP="00310542">
      <w:pPr>
        <w:spacing w:after="0"/>
      </w:pPr>
    </w:p>
    <w:sectPr w:rsidR="0031054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E76BC" w14:textId="77777777" w:rsidR="009200AF" w:rsidRDefault="009200AF" w:rsidP="009200AF">
      <w:pPr>
        <w:spacing w:after="0" w:line="240" w:lineRule="auto"/>
      </w:pPr>
      <w:r>
        <w:separator/>
      </w:r>
    </w:p>
  </w:endnote>
  <w:endnote w:type="continuationSeparator" w:id="0">
    <w:p w14:paraId="35E3E6F0" w14:textId="77777777" w:rsidR="009200AF" w:rsidRDefault="009200AF" w:rsidP="00920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8F9E3" w14:textId="77777777" w:rsidR="009200AF" w:rsidRDefault="009200AF" w:rsidP="009200AF">
      <w:pPr>
        <w:spacing w:after="0" w:line="240" w:lineRule="auto"/>
      </w:pPr>
      <w:r>
        <w:separator/>
      </w:r>
    </w:p>
  </w:footnote>
  <w:footnote w:type="continuationSeparator" w:id="0">
    <w:p w14:paraId="7AF6348B" w14:textId="77777777" w:rsidR="009200AF" w:rsidRDefault="009200AF" w:rsidP="009200AF">
      <w:pPr>
        <w:spacing w:after="0" w:line="240" w:lineRule="auto"/>
      </w:pPr>
      <w:r>
        <w:continuationSeparator/>
      </w:r>
    </w:p>
  </w:footnote>
  <w:footnote w:id="1">
    <w:p w14:paraId="682A9ECA" w14:textId="1CB0FE27" w:rsidR="00844C65" w:rsidRDefault="00844C65">
      <w:pPr>
        <w:pStyle w:val="FootnoteText"/>
      </w:pPr>
      <w:r>
        <w:rPr>
          <w:rStyle w:val="FootnoteReference"/>
        </w:rPr>
        <w:footnoteRef/>
      </w:r>
      <w:r>
        <w:t xml:space="preserve"> Tac. </w:t>
      </w:r>
      <w:r w:rsidRPr="00613B82">
        <w:rPr>
          <w:i/>
          <w:iCs/>
        </w:rPr>
        <w:t>Ann</w:t>
      </w:r>
      <w:r>
        <w:t>. 16.</w:t>
      </w:r>
      <w:r w:rsidR="00613B82">
        <w:t>18-19</w:t>
      </w:r>
    </w:p>
  </w:footnote>
  <w:footnote w:id="2">
    <w:p w14:paraId="4BE3FBB2" w14:textId="5781ACB2" w:rsidR="00450E39" w:rsidRDefault="00450E39">
      <w:pPr>
        <w:pStyle w:val="FootnoteText"/>
      </w:pPr>
      <w:r>
        <w:rPr>
          <w:rStyle w:val="FootnoteReference"/>
        </w:rPr>
        <w:footnoteRef/>
      </w:r>
      <w:r>
        <w:t xml:space="preserve"> Tac. Ann. 16. </w:t>
      </w:r>
      <w:r w:rsidR="00C824C2">
        <w:t>18</w:t>
      </w:r>
    </w:p>
  </w:footnote>
  <w:footnote w:id="3">
    <w:p w14:paraId="2428D4E4" w14:textId="47BF45EF" w:rsidR="006F60EA" w:rsidRDefault="006F60EA">
      <w:pPr>
        <w:pStyle w:val="FootnoteText"/>
      </w:pPr>
      <w:r>
        <w:rPr>
          <w:rStyle w:val="FootnoteReference"/>
        </w:rPr>
        <w:footnoteRef/>
      </w:r>
      <w:r>
        <w:t xml:space="preserve"> Petron. </w:t>
      </w:r>
      <w:r w:rsidRPr="006F60EA">
        <w:rPr>
          <w:i/>
          <w:iCs/>
        </w:rPr>
        <w:t>Sat</w:t>
      </w:r>
      <w:r>
        <w:t>. 26</w:t>
      </w:r>
    </w:p>
  </w:footnote>
  <w:footnote w:id="4">
    <w:p w14:paraId="5ACA3796" w14:textId="63FB24FC" w:rsidR="00657E1F" w:rsidRDefault="00657E1F">
      <w:pPr>
        <w:pStyle w:val="FootnoteText"/>
      </w:pPr>
      <w:r>
        <w:rPr>
          <w:rStyle w:val="FootnoteReference"/>
        </w:rPr>
        <w:footnoteRef/>
      </w:r>
      <w:r>
        <w:t xml:space="preserve"> Lewis</w:t>
      </w:r>
      <w:r w:rsidR="00E40350">
        <w:t>, C. T and</w:t>
      </w:r>
      <w:r>
        <w:t xml:space="preserve"> Short</w:t>
      </w:r>
      <w:r w:rsidR="00E40350">
        <w:t xml:space="preserve">, C. </w:t>
      </w:r>
      <w:r w:rsidR="000636A6">
        <w:t xml:space="preserve">(1879). </w:t>
      </w:r>
      <w:r w:rsidR="00E40350" w:rsidRPr="000636A6">
        <w:rPr>
          <w:i/>
          <w:iCs/>
        </w:rPr>
        <w:t>A Latin Dictionary</w:t>
      </w:r>
      <w:r w:rsidR="00E40350">
        <w:t>. Oxford</w:t>
      </w:r>
      <w:r w:rsidR="00CE4271">
        <w:t>: Clarendon Pres</w:t>
      </w:r>
      <w:r w:rsidR="000636A6">
        <w:t>s</w:t>
      </w:r>
    </w:p>
  </w:footnote>
  <w:footnote w:id="5">
    <w:p w14:paraId="0C2DE402" w14:textId="35CA375A" w:rsidR="002E61EC" w:rsidRDefault="002E61EC">
      <w:pPr>
        <w:pStyle w:val="FootnoteText"/>
      </w:pPr>
      <w:r>
        <w:rPr>
          <w:rStyle w:val="FootnoteReference"/>
        </w:rPr>
        <w:footnoteRef/>
      </w:r>
      <w:r>
        <w:t xml:space="preserve"> </w:t>
      </w:r>
      <w:r>
        <w:t xml:space="preserve">Lewis, C. T and Short, C. (1879). </w:t>
      </w:r>
      <w:r w:rsidRPr="000636A6">
        <w:rPr>
          <w:i/>
          <w:iCs/>
        </w:rPr>
        <w:t>A Latin Dictionary</w:t>
      </w:r>
      <w:r>
        <w:t>. Oxford: Clarendon Press</w:t>
      </w:r>
    </w:p>
  </w:footnote>
  <w:footnote w:id="6">
    <w:p w14:paraId="7C2D4AD5" w14:textId="3E7E3A7B" w:rsidR="00D027E9" w:rsidRDefault="00D027E9">
      <w:pPr>
        <w:pStyle w:val="FootnoteText"/>
      </w:pPr>
      <w:r>
        <w:rPr>
          <w:rStyle w:val="FootnoteReference"/>
        </w:rPr>
        <w:footnoteRef/>
      </w:r>
      <w:r>
        <w:t xml:space="preserve"> </w:t>
      </w:r>
      <w:r w:rsidR="005F4D7F">
        <w:t xml:space="preserve">Lewis, C. T and Short, C. (1879). </w:t>
      </w:r>
      <w:r w:rsidR="005F4D7F" w:rsidRPr="000636A6">
        <w:rPr>
          <w:i/>
          <w:iCs/>
        </w:rPr>
        <w:t>A Latin Dictionary</w:t>
      </w:r>
      <w:r w:rsidR="005F4D7F">
        <w:t>. Oxford: Clarendon Press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03044" w14:textId="0E3DBDCD" w:rsidR="009200AF" w:rsidRDefault="006C4010">
    <w:pPr>
      <w:pStyle w:val="Header"/>
    </w:pPr>
    <w:r>
      <w:t xml:space="preserve">L </w:t>
    </w:r>
    <w:r w:rsidR="009200AF">
      <w:t>Cullen - 2223169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13897"/>
    <w:multiLevelType w:val="hybridMultilevel"/>
    <w:tmpl w:val="60145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9894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F1C"/>
    <w:rsid w:val="00022C4A"/>
    <w:rsid w:val="00027859"/>
    <w:rsid w:val="000423CF"/>
    <w:rsid w:val="000524DD"/>
    <w:rsid w:val="0005702F"/>
    <w:rsid w:val="000636A6"/>
    <w:rsid w:val="000675DD"/>
    <w:rsid w:val="00094006"/>
    <w:rsid w:val="000B6213"/>
    <w:rsid w:val="000C2B0A"/>
    <w:rsid w:val="000C49B7"/>
    <w:rsid w:val="000F599E"/>
    <w:rsid w:val="00111EE8"/>
    <w:rsid w:val="00117DF4"/>
    <w:rsid w:val="0013706D"/>
    <w:rsid w:val="00187B3E"/>
    <w:rsid w:val="001B6FE7"/>
    <w:rsid w:val="001D0A4F"/>
    <w:rsid w:val="001D17A2"/>
    <w:rsid w:val="001D17CD"/>
    <w:rsid w:val="001E26FF"/>
    <w:rsid w:val="001F2EE3"/>
    <w:rsid w:val="00200FB1"/>
    <w:rsid w:val="002204E2"/>
    <w:rsid w:val="0023027B"/>
    <w:rsid w:val="0023297E"/>
    <w:rsid w:val="002346E9"/>
    <w:rsid w:val="00246288"/>
    <w:rsid w:val="002966D3"/>
    <w:rsid w:val="002A3DD6"/>
    <w:rsid w:val="002E61EC"/>
    <w:rsid w:val="00310542"/>
    <w:rsid w:val="00321426"/>
    <w:rsid w:val="00337D2A"/>
    <w:rsid w:val="003B78F0"/>
    <w:rsid w:val="003F27C2"/>
    <w:rsid w:val="00416B5D"/>
    <w:rsid w:val="00424EED"/>
    <w:rsid w:val="00450E39"/>
    <w:rsid w:val="00453646"/>
    <w:rsid w:val="004716BD"/>
    <w:rsid w:val="00472C90"/>
    <w:rsid w:val="00483EFF"/>
    <w:rsid w:val="00484A39"/>
    <w:rsid w:val="00491BA7"/>
    <w:rsid w:val="00510392"/>
    <w:rsid w:val="00530C7C"/>
    <w:rsid w:val="005321EB"/>
    <w:rsid w:val="0054062F"/>
    <w:rsid w:val="0054160F"/>
    <w:rsid w:val="00565495"/>
    <w:rsid w:val="0056616A"/>
    <w:rsid w:val="005942D4"/>
    <w:rsid w:val="00597480"/>
    <w:rsid w:val="00597D10"/>
    <w:rsid w:val="005A7FA0"/>
    <w:rsid w:val="005C1BB2"/>
    <w:rsid w:val="005E2531"/>
    <w:rsid w:val="005F4D7F"/>
    <w:rsid w:val="00613B82"/>
    <w:rsid w:val="00657E1F"/>
    <w:rsid w:val="00674020"/>
    <w:rsid w:val="006C4010"/>
    <w:rsid w:val="006D4450"/>
    <w:rsid w:val="006F60EA"/>
    <w:rsid w:val="00743037"/>
    <w:rsid w:val="00753789"/>
    <w:rsid w:val="00754C06"/>
    <w:rsid w:val="00770726"/>
    <w:rsid w:val="00770D8F"/>
    <w:rsid w:val="00782391"/>
    <w:rsid w:val="00797A34"/>
    <w:rsid w:val="00801E11"/>
    <w:rsid w:val="00805558"/>
    <w:rsid w:val="00812E3D"/>
    <w:rsid w:val="00814868"/>
    <w:rsid w:val="0081720C"/>
    <w:rsid w:val="00844C65"/>
    <w:rsid w:val="008545B2"/>
    <w:rsid w:val="0086009A"/>
    <w:rsid w:val="0087712A"/>
    <w:rsid w:val="008875BC"/>
    <w:rsid w:val="0089312D"/>
    <w:rsid w:val="008C018B"/>
    <w:rsid w:val="008C2E9A"/>
    <w:rsid w:val="00913A6A"/>
    <w:rsid w:val="009200AF"/>
    <w:rsid w:val="009404F7"/>
    <w:rsid w:val="0095205D"/>
    <w:rsid w:val="0095325B"/>
    <w:rsid w:val="009D074F"/>
    <w:rsid w:val="009D2F1D"/>
    <w:rsid w:val="009E75C5"/>
    <w:rsid w:val="009F21FB"/>
    <w:rsid w:val="009F51C1"/>
    <w:rsid w:val="00A15D80"/>
    <w:rsid w:val="00A21F93"/>
    <w:rsid w:val="00A36433"/>
    <w:rsid w:val="00A46195"/>
    <w:rsid w:val="00A62CA9"/>
    <w:rsid w:val="00A748C7"/>
    <w:rsid w:val="00A83E5B"/>
    <w:rsid w:val="00A84A11"/>
    <w:rsid w:val="00A901DF"/>
    <w:rsid w:val="00AA1356"/>
    <w:rsid w:val="00AB4E05"/>
    <w:rsid w:val="00AD2FE7"/>
    <w:rsid w:val="00AE1459"/>
    <w:rsid w:val="00B23245"/>
    <w:rsid w:val="00B35D3D"/>
    <w:rsid w:val="00B407BA"/>
    <w:rsid w:val="00B464C9"/>
    <w:rsid w:val="00B4784A"/>
    <w:rsid w:val="00B50486"/>
    <w:rsid w:val="00B52949"/>
    <w:rsid w:val="00BC2EFD"/>
    <w:rsid w:val="00C062A4"/>
    <w:rsid w:val="00C1675C"/>
    <w:rsid w:val="00C64F1B"/>
    <w:rsid w:val="00C67CD9"/>
    <w:rsid w:val="00C80FED"/>
    <w:rsid w:val="00C824C2"/>
    <w:rsid w:val="00CA6D96"/>
    <w:rsid w:val="00CD2A81"/>
    <w:rsid w:val="00CD4A3E"/>
    <w:rsid w:val="00CE4271"/>
    <w:rsid w:val="00D027E9"/>
    <w:rsid w:val="00D13C56"/>
    <w:rsid w:val="00D22F4C"/>
    <w:rsid w:val="00D46DB0"/>
    <w:rsid w:val="00D51DC4"/>
    <w:rsid w:val="00D51DDC"/>
    <w:rsid w:val="00D61063"/>
    <w:rsid w:val="00DA2AEE"/>
    <w:rsid w:val="00DB2DAE"/>
    <w:rsid w:val="00DB313D"/>
    <w:rsid w:val="00DB7FE6"/>
    <w:rsid w:val="00E00EEA"/>
    <w:rsid w:val="00E23A71"/>
    <w:rsid w:val="00E25894"/>
    <w:rsid w:val="00E40350"/>
    <w:rsid w:val="00E43F1C"/>
    <w:rsid w:val="00E47985"/>
    <w:rsid w:val="00E574AE"/>
    <w:rsid w:val="00E74D22"/>
    <w:rsid w:val="00E84CA7"/>
    <w:rsid w:val="00E872A9"/>
    <w:rsid w:val="00EA2BFA"/>
    <w:rsid w:val="00EA7736"/>
    <w:rsid w:val="00EC2014"/>
    <w:rsid w:val="00ED3254"/>
    <w:rsid w:val="00F00B00"/>
    <w:rsid w:val="00F16810"/>
    <w:rsid w:val="00F43933"/>
    <w:rsid w:val="00F64784"/>
    <w:rsid w:val="00FB2C35"/>
    <w:rsid w:val="00FC30B8"/>
    <w:rsid w:val="00FC3235"/>
    <w:rsid w:val="00FC5804"/>
    <w:rsid w:val="00FF2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E1C4C"/>
  <w15:chartTrackingRefBased/>
  <w15:docId w15:val="{611B2C6A-E7B4-4C33-9A93-5B627C318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F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F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F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F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F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F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F1C"/>
    <w:rPr>
      <w:rFonts w:eastAsiaTheme="majorEastAsia" w:cstheme="majorBidi"/>
      <w:color w:val="272727" w:themeColor="text1" w:themeTint="D8"/>
    </w:rPr>
  </w:style>
  <w:style w:type="paragraph" w:styleId="Title">
    <w:name w:val="Title"/>
    <w:basedOn w:val="Normal"/>
    <w:next w:val="Normal"/>
    <w:link w:val="TitleChar"/>
    <w:uiPriority w:val="10"/>
    <w:qFormat/>
    <w:rsid w:val="00E43F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F1C"/>
    <w:pPr>
      <w:spacing w:before="160"/>
      <w:jc w:val="center"/>
    </w:pPr>
    <w:rPr>
      <w:i/>
      <w:iCs/>
      <w:color w:val="404040" w:themeColor="text1" w:themeTint="BF"/>
    </w:rPr>
  </w:style>
  <w:style w:type="character" w:customStyle="1" w:styleId="QuoteChar">
    <w:name w:val="Quote Char"/>
    <w:basedOn w:val="DefaultParagraphFont"/>
    <w:link w:val="Quote"/>
    <w:uiPriority w:val="29"/>
    <w:rsid w:val="00E43F1C"/>
    <w:rPr>
      <w:i/>
      <w:iCs/>
      <w:color w:val="404040" w:themeColor="text1" w:themeTint="BF"/>
    </w:rPr>
  </w:style>
  <w:style w:type="paragraph" w:styleId="ListParagraph">
    <w:name w:val="List Paragraph"/>
    <w:basedOn w:val="Normal"/>
    <w:uiPriority w:val="34"/>
    <w:qFormat/>
    <w:rsid w:val="00E43F1C"/>
    <w:pPr>
      <w:ind w:left="720"/>
      <w:contextualSpacing/>
    </w:pPr>
  </w:style>
  <w:style w:type="character" w:styleId="IntenseEmphasis">
    <w:name w:val="Intense Emphasis"/>
    <w:basedOn w:val="DefaultParagraphFont"/>
    <w:uiPriority w:val="21"/>
    <w:qFormat/>
    <w:rsid w:val="00E43F1C"/>
    <w:rPr>
      <w:i/>
      <w:iCs/>
      <w:color w:val="0F4761" w:themeColor="accent1" w:themeShade="BF"/>
    </w:rPr>
  </w:style>
  <w:style w:type="paragraph" w:styleId="IntenseQuote">
    <w:name w:val="Intense Quote"/>
    <w:basedOn w:val="Normal"/>
    <w:next w:val="Normal"/>
    <w:link w:val="IntenseQuoteChar"/>
    <w:uiPriority w:val="30"/>
    <w:qFormat/>
    <w:rsid w:val="00E43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F1C"/>
    <w:rPr>
      <w:i/>
      <w:iCs/>
      <w:color w:val="0F4761" w:themeColor="accent1" w:themeShade="BF"/>
    </w:rPr>
  </w:style>
  <w:style w:type="character" w:styleId="IntenseReference">
    <w:name w:val="Intense Reference"/>
    <w:basedOn w:val="DefaultParagraphFont"/>
    <w:uiPriority w:val="32"/>
    <w:qFormat/>
    <w:rsid w:val="00E43F1C"/>
    <w:rPr>
      <w:b/>
      <w:bCs/>
      <w:smallCaps/>
      <w:color w:val="0F4761" w:themeColor="accent1" w:themeShade="BF"/>
      <w:spacing w:val="5"/>
    </w:rPr>
  </w:style>
  <w:style w:type="paragraph" w:styleId="Header">
    <w:name w:val="header"/>
    <w:basedOn w:val="Normal"/>
    <w:link w:val="HeaderChar"/>
    <w:uiPriority w:val="99"/>
    <w:unhideWhenUsed/>
    <w:rsid w:val="009200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0AF"/>
  </w:style>
  <w:style w:type="paragraph" w:styleId="Footer">
    <w:name w:val="footer"/>
    <w:basedOn w:val="Normal"/>
    <w:link w:val="FooterChar"/>
    <w:uiPriority w:val="99"/>
    <w:unhideWhenUsed/>
    <w:rsid w:val="009200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0AF"/>
  </w:style>
  <w:style w:type="paragraph" w:styleId="FootnoteText">
    <w:name w:val="footnote text"/>
    <w:basedOn w:val="Normal"/>
    <w:link w:val="FootnoteTextChar"/>
    <w:uiPriority w:val="99"/>
    <w:semiHidden/>
    <w:unhideWhenUsed/>
    <w:rsid w:val="00AA13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1356"/>
    <w:rPr>
      <w:sz w:val="20"/>
      <w:szCs w:val="20"/>
    </w:rPr>
  </w:style>
  <w:style w:type="character" w:styleId="FootnoteReference">
    <w:name w:val="footnote reference"/>
    <w:basedOn w:val="DefaultParagraphFont"/>
    <w:uiPriority w:val="99"/>
    <w:semiHidden/>
    <w:unhideWhenUsed/>
    <w:rsid w:val="00AA13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4" ma:contentTypeDescription="Create a new document." ma:contentTypeScope="" ma:versionID="2301e5af25462821c49a678f167e3ee9">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61bfa6567e1b2c38c7bc47587013095e"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78B67-4EB5-40E5-9948-11ECA2BAA4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EECAB2-3D52-415E-A54E-88CEDF35E157}">
  <ds:schemaRefs>
    <ds:schemaRef ds:uri="http://schemas.microsoft.com/sharepoint/v3/contenttype/forms"/>
  </ds:schemaRefs>
</ds:datastoreItem>
</file>

<file path=customXml/itemProps3.xml><?xml version="1.0" encoding="utf-8"?>
<ds:datastoreItem xmlns:ds="http://schemas.openxmlformats.org/officeDocument/2006/customXml" ds:itemID="{DE46524F-1C7C-4435-964D-AB2F35E8BCAF}">
  <ds:schemaRefs>
    <ds:schemaRef ds:uri="http://schemas.microsoft.com/office/2006/metadata/properties"/>
    <ds:schemaRef ds:uri="http://purl.org/dc/terms/"/>
    <ds:schemaRef ds:uri="6a54e978-cb18-42b6-abb5-328168dae7a5"/>
    <ds:schemaRef ds:uri="http://schemas.microsoft.com/office/2006/documentManagement/types"/>
    <ds:schemaRef ds:uri="http://purl.org/dc/elements/1.1/"/>
    <ds:schemaRef ds:uri="http://purl.org/dc/dcmitype/"/>
    <ds:schemaRef ds:uri="http://www.w3.org/XML/1998/namespace"/>
    <ds:schemaRef ds:uri="http://schemas.microsoft.com/office/infopath/2007/PartnerControls"/>
    <ds:schemaRef ds:uri="http://schemas.openxmlformats.org/package/2006/metadata/core-properties"/>
    <ds:schemaRef ds:uri="8037f1ae-8227-4d98-9712-32142d774c3b"/>
  </ds:schemaRefs>
</ds:datastoreItem>
</file>

<file path=customXml/itemProps4.xml><?xml version="1.0" encoding="utf-8"?>
<ds:datastoreItem xmlns:ds="http://schemas.openxmlformats.org/officeDocument/2006/customXml" ds:itemID="{781487DC-8D72-4478-A63F-8AAF0DB04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5</Pages>
  <Words>1390</Words>
  <Characters>7927</Characters>
  <Application>Microsoft Office Word</Application>
  <DocSecurity>0</DocSecurity>
  <Lines>66</Lines>
  <Paragraphs>18</Paragraphs>
  <ScaleCrop>false</ScaleCrop>
  <Company/>
  <LinksUpToDate>false</LinksUpToDate>
  <CharactersWithSpaces>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Cullen (2223169)</dc:creator>
  <cp:keywords/>
  <dc:description/>
  <cp:lastModifiedBy>Lindsey Cullen (2223169)</cp:lastModifiedBy>
  <cp:revision>160</cp:revision>
  <dcterms:created xsi:type="dcterms:W3CDTF">2024-02-14T08:51:00Z</dcterms:created>
  <dcterms:modified xsi:type="dcterms:W3CDTF">2024-02-14T20:59:00Z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