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A6F5D6" w14:textId="6C2DA115" w:rsidR="00D00335" w:rsidRPr="00D00335" w:rsidRDefault="00D00335">
      <w:pPr>
        <w:spacing w:after="120"/>
        <w:jc w:val="center"/>
        <w:rPr>
          <w:b/>
          <w:bCs/>
          <w:sz w:val="28"/>
          <w:szCs w:val="28"/>
        </w:rPr>
      </w:pPr>
      <w:r w:rsidRPr="00D00335">
        <w:rPr>
          <w:b/>
          <w:bCs/>
          <w:sz w:val="28"/>
          <w:szCs w:val="28"/>
        </w:rPr>
        <w:t xml:space="preserve">Lenuta Raducanu </w:t>
      </w:r>
    </w:p>
    <w:p w14:paraId="1168BB29" w14:textId="2D899280" w:rsidR="00D00335" w:rsidRPr="00D00335" w:rsidRDefault="00D00335" w:rsidP="00D00335">
      <w:pPr>
        <w:spacing w:after="120"/>
        <w:jc w:val="center"/>
        <w:rPr>
          <w:rStyle w:val="Strong"/>
          <w:color w:val="0F1115"/>
          <w:sz w:val="28"/>
          <w:szCs w:val="28"/>
          <w:shd w:val="clear" w:color="auto" w:fill="FFFFFF"/>
        </w:rPr>
      </w:pPr>
      <w:r w:rsidRPr="00D00335">
        <w:rPr>
          <w:rStyle w:val="Strong"/>
          <w:color w:val="0F1115"/>
          <w:sz w:val="28"/>
          <w:szCs w:val="28"/>
          <w:shd w:val="clear" w:color="auto" w:fill="FFFFFF"/>
        </w:rPr>
        <w:t>HPRS 5905- Modern Christian Theology</w:t>
      </w:r>
    </w:p>
    <w:p w14:paraId="7583F33E" w14:textId="308D4B0E" w:rsidR="00D00335" w:rsidRPr="00D00335" w:rsidRDefault="00D00335" w:rsidP="00D00335">
      <w:pPr>
        <w:spacing w:after="120"/>
        <w:jc w:val="center"/>
        <w:rPr>
          <w:b/>
          <w:bCs/>
          <w:sz w:val="28"/>
          <w:szCs w:val="28"/>
        </w:rPr>
      </w:pPr>
      <w:r w:rsidRPr="00D00335">
        <w:rPr>
          <w:rStyle w:val="Strong"/>
          <w:color w:val="0F1115"/>
          <w:sz w:val="28"/>
          <w:szCs w:val="28"/>
          <w:shd w:val="clear" w:color="auto" w:fill="FFFFFF"/>
        </w:rPr>
        <w:t>Assessment Two</w:t>
      </w:r>
    </w:p>
    <w:p w14:paraId="3D8A0D7D" w14:textId="77777777" w:rsidR="00D00335" w:rsidRPr="00D00335" w:rsidRDefault="00D00335">
      <w:pPr>
        <w:spacing w:after="120"/>
        <w:jc w:val="center"/>
        <w:rPr>
          <w:b/>
          <w:bCs/>
          <w:sz w:val="28"/>
          <w:szCs w:val="28"/>
        </w:rPr>
      </w:pPr>
    </w:p>
    <w:p w14:paraId="6E8EC626" w14:textId="79E0BB9A" w:rsidR="00B86393" w:rsidRPr="00D00335" w:rsidRDefault="00E27159">
      <w:pPr>
        <w:spacing w:after="120"/>
        <w:jc w:val="center"/>
        <w:rPr>
          <w:sz w:val="28"/>
          <w:szCs w:val="28"/>
        </w:rPr>
      </w:pPr>
      <w:r w:rsidRPr="00D00335">
        <w:rPr>
          <w:b/>
          <w:bCs/>
          <w:sz w:val="28"/>
          <w:szCs w:val="28"/>
        </w:rPr>
        <w:t>What do Schleiermacher, Ritschl, Troeltsch, Tillich, and Bultmann have in Common, and what most Significantly Divides them?</w:t>
      </w:r>
    </w:p>
    <w:p w14:paraId="765496A3" w14:textId="77777777" w:rsidR="00B86393" w:rsidRPr="00D00335" w:rsidRDefault="00E27159">
      <w:pPr>
        <w:spacing w:after="360"/>
        <w:jc w:val="center"/>
        <w:rPr>
          <w:sz w:val="28"/>
          <w:szCs w:val="28"/>
        </w:rPr>
      </w:pPr>
      <w:r w:rsidRPr="00D00335">
        <w:rPr>
          <w:i/>
          <w:iCs/>
          <w:sz w:val="28"/>
          <w:szCs w:val="28"/>
        </w:rPr>
        <w:t>An Essay in Modern Protestant Theology</w:t>
      </w:r>
    </w:p>
    <w:p w14:paraId="2623EEB7" w14:textId="77777777" w:rsidR="00B86393" w:rsidRPr="00D00335" w:rsidRDefault="00E27159">
      <w:pPr>
        <w:pStyle w:val="Heading1"/>
        <w:spacing w:before="120" w:after="120"/>
        <w:rPr>
          <w:color w:val="000000" w:themeColor="text1"/>
          <w:sz w:val="28"/>
          <w:szCs w:val="28"/>
        </w:rPr>
      </w:pPr>
      <w:r w:rsidRPr="00D00335">
        <w:rPr>
          <w:b/>
          <w:bCs/>
          <w:color w:val="000000" w:themeColor="text1"/>
          <w:sz w:val="28"/>
          <w:szCs w:val="28"/>
        </w:rPr>
        <w:t>Introduction</w:t>
      </w:r>
    </w:p>
    <w:p w14:paraId="4B89B3ED" w14:textId="77777777" w:rsidR="00B86393" w:rsidRPr="00D00335" w:rsidRDefault="00E27159">
      <w:pPr>
        <w:spacing w:line="360" w:lineRule="auto"/>
        <w:jc w:val="both"/>
        <w:rPr>
          <w:sz w:val="28"/>
          <w:szCs w:val="28"/>
        </w:rPr>
      </w:pPr>
      <w:r w:rsidRPr="00D00335">
        <w:rPr>
          <w:sz w:val="28"/>
          <w:szCs w:val="28"/>
        </w:rPr>
        <w:t xml:space="preserve">The five theologians named in this question belong to a single, if internally contested, tradition of liberal Protestant thought that runs from the early nineteenth century into the middle of the twentieth. Friedrich Schleiermacher, Albrecht Ritschl, Ernst Troeltsch, Paul Tillich, and Rudolf Bultmann are frequently grouped together in histories of modern theology precisely because they share a common intellectual inheritance and a common problem. Each </w:t>
      </w:r>
      <w:proofErr w:type="gramStart"/>
      <w:r w:rsidRPr="00D00335">
        <w:rPr>
          <w:sz w:val="28"/>
          <w:szCs w:val="28"/>
        </w:rPr>
        <w:t>writes</w:t>
      </w:r>
      <w:proofErr w:type="gramEnd"/>
      <w:r w:rsidRPr="00D00335">
        <w:rPr>
          <w:sz w:val="28"/>
          <w:szCs w:val="28"/>
        </w:rPr>
        <w:t xml:space="preserve"> in the aftermath of the Enlightenment and in conscious dialogue with the critical philosophy of Immanuel Kant, and each accepts that the older forms of Protestant orthodoxy can no longer simply be repeated. What unites them, this essay argues, is a shared commitment to reconstructing Christian theology </w:t>
      </w:r>
      <w:proofErr w:type="gramStart"/>
      <w:r w:rsidRPr="00D00335">
        <w:rPr>
          <w:sz w:val="28"/>
          <w:szCs w:val="28"/>
        </w:rPr>
        <w:t>on the basis of</w:t>
      </w:r>
      <w:proofErr w:type="gramEnd"/>
      <w:r w:rsidRPr="00D00335">
        <w:rPr>
          <w:sz w:val="28"/>
          <w:szCs w:val="28"/>
        </w:rPr>
        <w:t xml:space="preserve"> human religious experience and historical consciousness rather than on the authority of an externally imposed dogma. What most significantly divides them is the question of history: spe</w:t>
      </w:r>
      <w:r w:rsidRPr="00D00335">
        <w:rPr>
          <w:sz w:val="28"/>
          <w:szCs w:val="28"/>
        </w:rPr>
        <w:t>cifically, whether the historical relativity exposed by critical scholarship can be contained within a theology of experience, or whether it fundamentally undermines the claim that Christianity possesses any final and unconditioned truth. This division, sharpest between Troeltsch on one side and Bultmann on the other, marks the internal fracture of the liberal tradition itself.</w:t>
      </w:r>
    </w:p>
    <w:p w14:paraId="7CC875F1" w14:textId="77777777" w:rsidR="00B86393" w:rsidRPr="00D00335" w:rsidRDefault="00E27159">
      <w:pPr>
        <w:pStyle w:val="Heading1"/>
        <w:spacing w:before="240" w:after="120"/>
        <w:rPr>
          <w:color w:val="000000" w:themeColor="text1"/>
          <w:sz w:val="28"/>
          <w:szCs w:val="28"/>
        </w:rPr>
      </w:pPr>
      <w:r w:rsidRPr="00D00335">
        <w:rPr>
          <w:b/>
          <w:bCs/>
          <w:color w:val="000000" w:themeColor="text1"/>
          <w:sz w:val="28"/>
          <w:szCs w:val="28"/>
        </w:rPr>
        <w:t>The Common Ground: Experience, Anthropology, and the Turn to the Subject</w:t>
      </w:r>
    </w:p>
    <w:p w14:paraId="31619F81" w14:textId="77777777" w:rsidR="00B86393" w:rsidRPr="00D00335" w:rsidRDefault="00E27159">
      <w:pPr>
        <w:spacing w:line="360" w:lineRule="auto"/>
        <w:ind w:firstLine="480"/>
        <w:jc w:val="both"/>
        <w:rPr>
          <w:sz w:val="28"/>
          <w:szCs w:val="28"/>
        </w:rPr>
      </w:pPr>
      <w:r w:rsidRPr="00D00335">
        <w:rPr>
          <w:sz w:val="28"/>
          <w:szCs w:val="28"/>
        </w:rPr>
        <w:lastRenderedPageBreak/>
        <w:t xml:space="preserve">The most obvious feature shared by all five figures is what may be called the turn to the subject, a methodological decision to locate the ground of theology not in propositional revelation but in the structures of human consciousness. This turn originates decisively with Schleiermacher, whom Karl Barth famously and not entirely approvingly named the father of modern theology. In his early </w:t>
      </w:r>
      <w:r w:rsidRPr="00D00335">
        <w:rPr>
          <w:i/>
          <w:iCs/>
          <w:sz w:val="28"/>
          <w:szCs w:val="28"/>
        </w:rPr>
        <w:t>Speeches</w:t>
      </w:r>
      <w:r w:rsidRPr="00D00335">
        <w:rPr>
          <w:sz w:val="28"/>
          <w:szCs w:val="28"/>
        </w:rPr>
        <w:t xml:space="preserve"> Schleiermacher defined the essence of religion as neither a matter of knowing nor of doing but as a distinct province of the mind, a “sense and taste for the infinite.”</w:t>
      </w:r>
      <w:r w:rsidRPr="00D00335">
        <w:rPr>
          <w:sz w:val="28"/>
          <w:szCs w:val="28"/>
          <w:vertAlign w:val="superscript"/>
        </w:rPr>
        <w:t>1</w:t>
      </w:r>
      <w:r w:rsidRPr="00D00335">
        <w:rPr>
          <w:sz w:val="28"/>
          <w:szCs w:val="28"/>
        </w:rPr>
        <w:t xml:space="preserve"> In his mature dogmatics he refined this into the celebrated formula that the common element in all religious affections is the “consciousness of being absolutely dependent.”</w:t>
      </w:r>
      <w:r w:rsidRPr="00D00335">
        <w:rPr>
          <w:sz w:val="28"/>
          <w:szCs w:val="28"/>
          <w:vertAlign w:val="superscript"/>
        </w:rPr>
        <w:t>2</w:t>
      </w:r>
      <w:r w:rsidRPr="00D00335">
        <w:rPr>
          <w:sz w:val="28"/>
          <w:szCs w:val="28"/>
        </w:rPr>
        <w:t xml:space="preserve"> Doctrine, on this account, does not describe an object standing over against the believer; it is rather, as B. A. Gerrish observes, an attempt to give a coherent account of the affections of the pious self-consciousness.</w:t>
      </w:r>
      <w:r w:rsidRPr="00D00335">
        <w:rPr>
          <w:sz w:val="28"/>
          <w:szCs w:val="28"/>
          <w:vertAlign w:val="superscript"/>
        </w:rPr>
        <w:t>3</w:t>
      </w:r>
      <w:r w:rsidRPr="00D00335">
        <w:rPr>
          <w:sz w:val="28"/>
          <w:szCs w:val="28"/>
        </w:rPr>
        <w:t xml:space="preserve"> The consequence is a theology that begins with the believing community and works outward to God, rather than beginning with God and working down to the believer.</w:t>
      </w:r>
    </w:p>
    <w:p w14:paraId="0930E292" w14:textId="77777777" w:rsidR="00B86393" w:rsidRPr="00D00335" w:rsidRDefault="00E27159">
      <w:pPr>
        <w:spacing w:line="360" w:lineRule="auto"/>
        <w:ind w:firstLine="480"/>
        <w:jc w:val="both"/>
        <w:rPr>
          <w:sz w:val="28"/>
          <w:szCs w:val="28"/>
        </w:rPr>
      </w:pPr>
      <w:r w:rsidRPr="00D00335">
        <w:rPr>
          <w:sz w:val="28"/>
          <w:szCs w:val="28"/>
        </w:rPr>
        <w:t>This anthropological orientation is inherited, in various forms, by all who follow. Ritschl, though he sharply rejected the mysticism he detected in Schleiermacher’s language of feeling, retained the basic conviction that theology must be grounded in the concrete life of the religious community rather than in metaphysical speculation. For Ritschl the key category is not feeling but value: religious knowledge consists of independent value-judgements, judgements about what a thing is worth for the moral and r</w:t>
      </w:r>
      <w:r w:rsidRPr="00D00335">
        <w:rPr>
          <w:sz w:val="28"/>
          <w:szCs w:val="28"/>
        </w:rPr>
        <w:t>eligious life, and these are irreducibly different from the disinterested theoretical judgements of science.</w:t>
      </w:r>
      <w:r w:rsidRPr="00D00335">
        <w:rPr>
          <w:sz w:val="28"/>
          <w:szCs w:val="28"/>
          <w:vertAlign w:val="superscript"/>
        </w:rPr>
        <w:t>4</w:t>
      </w:r>
      <w:r w:rsidRPr="00D00335">
        <w:rPr>
          <w:sz w:val="28"/>
          <w:szCs w:val="28"/>
        </w:rPr>
        <w:t xml:space="preserve"> As James Richmond notes, this allowed Ritschl to insulate faith from the corrosive effects of metaphysics while still rooting it firmly in historical revelation, above all in the person and teaching of Jesus and in the kingdom of God understood as a moral community.</w:t>
      </w:r>
      <w:r w:rsidRPr="00D00335">
        <w:rPr>
          <w:sz w:val="28"/>
          <w:szCs w:val="28"/>
          <w:vertAlign w:val="superscript"/>
        </w:rPr>
        <w:t>5</w:t>
      </w:r>
      <w:r w:rsidRPr="00D00335">
        <w:rPr>
          <w:sz w:val="28"/>
          <w:szCs w:val="28"/>
        </w:rPr>
        <w:t xml:space="preserve"> The common thread with Schleiermacher is unmistakable: theology speaks of God only as God is given within human religious and moral experience.</w:t>
      </w:r>
    </w:p>
    <w:p w14:paraId="3370B230" w14:textId="77777777" w:rsidR="00B86393" w:rsidRPr="00D00335" w:rsidRDefault="00E27159">
      <w:pPr>
        <w:spacing w:line="360" w:lineRule="auto"/>
        <w:ind w:firstLine="480"/>
        <w:jc w:val="both"/>
        <w:rPr>
          <w:sz w:val="28"/>
          <w:szCs w:val="28"/>
        </w:rPr>
      </w:pPr>
      <w:r w:rsidRPr="00D00335">
        <w:rPr>
          <w:sz w:val="28"/>
          <w:szCs w:val="28"/>
        </w:rPr>
        <w:lastRenderedPageBreak/>
        <w:t>Troeltsch, Ritschl’s student before he broke decisively with his teacher, likewise begins from religious experience, though he subjects it to the discipline of the history of religions. Tillich, writing a generation later, translates the same impulse into the language of existentialist ontology, grounding theology in the human experience of being grasped by an ultimate concern. Bultmann, finally, roots faith in the existential self-understanding of the believer confronted by the proclaimed word. Despite the</w:t>
      </w:r>
      <w:r w:rsidRPr="00D00335">
        <w:rPr>
          <w:sz w:val="28"/>
          <w:szCs w:val="28"/>
        </w:rPr>
        <w:t>ir considerable differences of idiom, all five refuse to treat revelation as the communication of supernatural information from outside; all five insist that whatever is said of God must be correlated with something disclosed in human existence. This is the durable common ground of the tradition.</w:t>
      </w:r>
    </w:p>
    <w:p w14:paraId="0570A94B" w14:textId="77777777" w:rsidR="00B86393" w:rsidRPr="00D00335" w:rsidRDefault="00E27159">
      <w:pPr>
        <w:pStyle w:val="Heading1"/>
        <w:spacing w:before="240" w:after="120"/>
        <w:rPr>
          <w:color w:val="000000" w:themeColor="text1"/>
          <w:sz w:val="28"/>
          <w:szCs w:val="28"/>
        </w:rPr>
      </w:pPr>
      <w:r w:rsidRPr="00D00335">
        <w:rPr>
          <w:b/>
          <w:bCs/>
          <w:color w:val="000000" w:themeColor="text1"/>
          <w:sz w:val="28"/>
          <w:szCs w:val="28"/>
        </w:rPr>
        <w:t>A Shared Antagonist: The Rejection of Orthodoxy and of Naive Supernaturalism</w:t>
      </w:r>
    </w:p>
    <w:p w14:paraId="4E1B4B28" w14:textId="77777777" w:rsidR="00B86393" w:rsidRPr="00D00335" w:rsidRDefault="00E27159">
      <w:pPr>
        <w:spacing w:line="360" w:lineRule="auto"/>
        <w:ind w:firstLine="480"/>
        <w:jc w:val="both"/>
        <w:rPr>
          <w:sz w:val="28"/>
          <w:szCs w:val="28"/>
        </w:rPr>
      </w:pPr>
      <w:r w:rsidRPr="00D00335">
        <w:rPr>
          <w:sz w:val="28"/>
          <w:szCs w:val="28"/>
        </w:rPr>
        <w:t xml:space="preserve">A second unifying feature is negative but no less significant. All five theologians define themselves against two shared antagonists: the propositional supernaturalism of Protestant orthodoxy, and the reductive rationalism that would dissolve religion into ethics or metaphysics. Each is engaged in a mediating project, seeking to preserve the substance of Christian faith while surrendering those of its historic forms that had become intellectually untenable. Schleiermacher addressed his </w:t>
      </w:r>
      <w:r w:rsidRPr="00D00335">
        <w:rPr>
          <w:i/>
          <w:iCs/>
          <w:sz w:val="28"/>
          <w:szCs w:val="28"/>
        </w:rPr>
        <w:t>Speeches</w:t>
      </w:r>
      <w:r w:rsidRPr="00D00335">
        <w:rPr>
          <w:sz w:val="28"/>
          <w:szCs w:val="28"/>
        </w:rPr>
        <w:t xml:space="preserve"> to religion’s cultured despisers precisely because he believed the educated classes had rejected a caricature of faith and needed to be shown its true seat in the self. Ritschl polemicised against both scholastic orthodoxy and the intrusion of Hegelian metaphysics into dogmatics. Troeltsch battled against the ecclesiastical dogmatism that would exempt Christianity from the ordinary conditions of historical existence.</w:t>
      </w:r>
    </w:p>
    <w:p w14:paraId="081F1E1E" w14:textId="77777777" w:rsidR="00B86393" w:rsidRPr="00D00335" w:rsidRDefault="00E27159">
      <w:pPr>
        <w:spacing w:line="360" w:lineRule="auto"/>
        <w:ind w:firstLine="480"/>
        <w:jc w:val="both"/>
        <w:rPr>
          <w:sz w:val="28"/>
          <w:szCs w:val="28"/>
        </w:rPr>
      </w:pPr>
      <w:r w:rsidRPr="00D00335">
        <w:rPr>
          <w:sz w:val="28"/>
          <w:szCs w:val="28"/>
        </w:rPr>
        <w:t>This mediating temper is most visible in the twentieth-century figures in their handling of the miraculous and the mythological. Bultmann’s programme of demythologisation rests on the premise that the New Testament proclamation is expressed in the mythical world-picture of late antiquity, a picture of a three-</w:t>
      </w:r>
      <w:r w:rsidRPr="00D00335">
        <w:rPr>
          <w:sz w:val="28"/>
          <w:szCs w:val="28"/>
        </w:rPr>
        <w:lastRenderedPageBreak/>
        <w:t>storeyed universe that is simply incredible to modern people who use electric light and the wireless.</w:t>
      </w:r>
      <w:r w:rsidRPr="00D00335">
        <w:rPr>
          <w:sz w:val="28"/>
          <w:szCs w:val="28"/>
          <w:vertAlign w:val="superscript"/>
        </w:rPr>
        <w:t>10</w:t>
      </w:r>
      <w:r w:rsidRPr="00D00335">
        <w:rPr>
          <w:sz w:val="28"/>
          <w:szCs w:val="28"/>
        </w:rPr>
        <w:t xml:space="preserve"> The task is not to eliminate the myth but to interpret it existentially, to ask after the understanding of human existence that it expresses. Tillich pursues a structurally similar move through his method of correlation, in which the symbols of the Christian message are shown to answer the questions implied in human existence.</w:t>
      </w:r>
      <w:r w:rsidRPr="00D00335">
        <w:rPr>
          <w:sz w:val="28"/>
          <w:szCs w:val="28"/>
          <w:vertAlign w:val="superscript"/>
        </w:rPr>
        <w:t>8</w:t>
      </w:r>
      <w:r w:rsidRPr="00D00335">
        <w:rPr>
          <w:sz w:val="28"/>
          <w:szCs w:val="28"/>
        </w:rPr>
        <w:t xml:space="preserve"> In every case the strategy is the same: to reinterpret rather than to repeat, and to render Christianity credible to a modern consciousness shaped by natural science and historical criticism. This shared refusal of both supernaturalist literalism and rationalist reduction is, again, a mark of family resemblance.</w:t>
      </w:r>
    </w:p>
    <w:p w14:paraId="2CD31D8C" w14:textId="77777777" w:rsidR="00B86393" w:rsidRPr="00D00335" w:rsidRDefault="00E27159">
      <w:pPr>
        <w:pStyle w:val="Heading1"/>
        <w:spacing w:before="240" w:after="120"/>
        <w:rPr>
          <w:color w:val="000000" w:themeColor="text1"/>
          <w:sz w:val="28"/>
          <w:szCs w:val="28"/>
        </w:rPr>
      </w:pPr>
      <w:r w:rsidRPr="00D00335">
        <w:rPr>
          <w:b/>
          <w:bCs/>
          <w:color w:val="000000" w:themeColor="text1"/>
          <w:sz w:val="28"/>
          <w:szCs w:val="28"/>
        </w:rPr>
        <w:t>The Decisive Division: History, Relativity, and the Absoluteness of Christianity</w:t>
      </w:r>
    </w:p>
    <w:p w14:paraId="3A2143A0" w14:textId="77777777" w:rsidR="00B86393" w:rsidRPr="00D00335" w:rsidRDefault="00E27159">
      <w:pPr>
        <w:spacing w:line="360" w:lineRule="auto"/>
        <w:ind w:firstLine="480"/>
        <w:jc w:val="both"/>
        <w:rPr>
          <w:sz w:val="28"/>
          <w:szCs w:val="28"/>
        </w:rPr>
      </w:pPr>
      <w:r w:rsidRPr="00D00335">
        <w:rPr>
          <w:sz w:val="28"/>
          <w:szCs w:val="28"/>
        </w:rPr>
        <w:t>If experience and mediation unite the five, it is the problem of history that most sharply divides them. The rise of the historical-critical method and of the comparative study of religions posed a question that the tradition could not evade: if Christianity is a historical phenomenon, subject like all others to development, conditioning, and decay, in what sense can it still be called the absolute or final religion? On this question the tradition splits, and the fault line runs most visibly through Troelts</w:t>
      </w:r>
      <w:r w:rsidRPr="00D00335">
        <w:rPr>
          <w:sz w:val="28"/>
          <w:szCs w:val="28"/>
        </w:rPr>
        <w:t>ch.</w:t>
      </w:r>
    </w:p>
    <w:p w14:paraId="292C1AB5" w14:textId="77777777" w:rsidR="00B86393" w:rsidRPr="00D00335" w:rsidRDefault="00E27159">
      <w:pPr>
        <w:spacing w:line="360" w:lineRule="auto"/>
        <w:ind w:firstLine="480"/>
        <w:jc w:val="both"/>
        <w:rPr>
          <w:sz w:val="28"/>
          <w:szCs w:val="28"/>
        </w:rPr>
      </w:pPr>
      <w:r w:rsidRPr="00D00335">
        <w:rPr>
          <w:sz w:val="28"/>
          <w:szCs w:val="28"/>
        </w:rPr>
        <w:t xml:space="preserve">Troeltsch drew the most rigorous and unsettling conclusions. Committed to the historical method with its principles of criticism, analogy, and correlation, he argued that once this method is admitted it cannot be halted at the borders of Christianity. Every historical phenomenon is individual and relative, bound to its context, and no single moment within the stream of history can claim to be an absolute standing outside it. In </w:t>
      </w:r>
      <w:r w:rsidRPr="00D00335">
        <w:rPr>
          <w:i/>
          <w:iCs/>
          <w:sz w:val="28"/>
          <w:szCs w:val="28"/>
        </w:rPr>
        <w:t>The Absoluteness of Christianity</w:t>
      </w:r>
      <w:r w:rsidRPr="00D00335">
        <w:rPr>
          <w:sz w:val="28"/>
          <w:szCs w:val="28"/>
        </w:rPr>
        <w:t xml:space="preserve"> he therefore concluded that Christianity can be affirmed only as the highest religious value known to us within our own European cultural circle, not as an unconditioned absolute valid for all peoples and all times.</w:t>
      </w:r>
      <w:r w:rsidRPr="00D00335">
        <w:rPr>
          <w:sz w:val="28"/>
          <w:szCs w:val="28"/>
          <w:vertAlign w:val="superscript"/>
        </w:rPr>
        <w:t>6</w:t>
      </w:r>
      <w:r w:rsidRPr="00D00335">
        <w:rPr>
          <w:sz w:val="28"/>
          <w:szCs w:val="28"/>
        </w:rPr>
        <w:t xml:space="preserve"> As his later essays make plain, the historical consciousness relativises every claim to finality, and the theologian </w:t>
      </w:r>
      <w:r w:rsidRPr="00D00335">
        <w:rPr>
          <w:sz w:val="28"/>
          <w:szCs w:val="28"/>
        </w:rPr>
        <w:lastRenderedPageBreak/>
        <w:t>must learn to live within that relativity rather than seeking a spurious escape from it.</w:t>
      </w:r>
      <w:r w:rsidRPr="00D00335">
        <w:rPr>
          <w:sz w:val="28"/>
          <w:szCs w:val="28"/>
          <w:vertAlign w:val="superscript"/>
        </w:rPr>
        <w:t>7</w:t>
      </w:r>
      <w:r w:rsidRPr="00D00335">
        <w:rPr>
          <w:sz w:val="28"/>
          <w:szCs w:val="28"/>
        </w:rPr>
        <w:t xml:space="preserve"> Troeltsch thus pushes the experiential and historical premises of the tradition to a conclusion that threatens the tradition’s own confessional core.</w:t>
      </w:r>
    </w:p>
    <w:p w14:paraId="1C095378" w14:textId="77777777" w:rsidR="00B86393" w:rsidRPr="00D00335" w:rsidRDefault="00E27159">
      <w:pPr>
        <w:spacing w:line="360" w:lineRule="auto"/>
        <w:ind w:firstLine="480"/>
        <w:jc w:val="both"/>
        <w:rPr>
          <w:sz w:val="28"/>
          <w:szCs w:val="28"/>
        </w:rPr>
      </w:pPr>
      <w:r w:rsidRPr="00D00335">
        <w:rPr>
          <w:sz w:val="28"/>
          <w:szCs w:val="28"/>
        </w:rPr>
        <w:t xml:space="preserve">Here the earlier figures appear, in retrospect, to have stopped short. Schleiermacher located the finality of Christianity in the perfect God-consciousness of the Redeemer, a datum of faith rather than of historical demonstration, and thus never squarely faced the levelling force of the comparative method. Ritschl secured Christianity’s uniqueness by appeal to the value-judgement of the community and the historical revelation in Jesus, but his confidence that the moral kingdom of God stood above historical </w:t>
      </w:r>
      <w:r w:rsidRPr="00D00335">
        <w:rPr>
          <w:sz w:val="28"/>
          <w:szCs w:val="28"/>
        </w:rPr>
        <w:t>relativity looks, after Troeltsch, more like an unexamined assumption than an argument. Claude Welch rightly observes that the nineteenth-century tradition tended to assume the superiority of Christianity as a starting point, an assumption that Troeltsch’s consistent historicism finally rendered problematic.</w:t>
      </w:r>
      <w:r w:rsidRPr="00D00335">
        <w:rPr>
          <w:sz w:val="28"/>
          <w:szCs w:val="28"/>
          <w:vertAlign w:val="superscript"/>
        </w:rPr>
        <w:t>14</w:t>
      </w:r>
    </w:p>
    <w:p w14:paraId="2CD3E189" w14:textId="77777777" w:rsidR="00B86393" w:rsidRPr="00D00335" w:rsidRDefault="00E27159">
      <w:pPr>
        <w:spacing w:line="360" w:lineRule="auto"/>
        <w:ind w:firstLine="480"/>
        <w:jc w:val="both"/>
        <w:rPr>
          <w:sz w:val="28"/>
          <w:szCs w:val="28"/>
        </w:rPr>
      </w:pPr>
      <w:r w:rsidRPr="00D00335">
        <w:rPr>
          <w:sz w:val="28"/>
          <w:szCs w:val="28"/>
        </w:rPr>
        <w:t>The twentieth-century figures respond to Troeltsch’s challenge by relocating faith away from the terrain of history altogether. Bultmann represents the sharpest reaction. Deeply shaped by dialectical theology as well as by liberal scholarship, he drives a wedge between the Jesus of history and the Christ of the kerygma, insisting that faith rests not on the reconstructed results of historical research, which are always provisional, but on the present address of the proclaimed word. Faith, he insists, must n</w:t>
      </w:r>
      <w:r w:rsidRPr="00D00335">
        <w:rPr>
          <w:sz w:val="28"/>
          <w:szCs w:val="28"/>
        </w:rPr>
        <w:t>ot be made dependent on the shifting verdicts of the historians; to seek such a foundation is itself a form of unbelief, a demand for worldly security.</w:t>
      </w:r>
      <w:r w:rsidRPr="00D00335">
        <w:rPr>
          <w:sz w:val="28"/>
          <w:szCs w:val="28"/>
          <w:vertAlign w:val="superscript"/>
        </w:rPr>
        <w:t>11</w:t>
      </w:r>
      <w:r w:rsidRPr="00D00335">
        <w:rPr>
          <w:sz w:val="28"/>
          <w:szCs w:val="28"/>
        </w:rPr>
        <w:t xml:space="preserve"> Where Troeltsch dissolves the absolute into history, Bultmann rescues the unconditioned by withdrawing it from history into the moment of existential decision. The historical relativity that undoes Troeltsch’s Christ leaves Bultmann’s kerygma untouched, because the kerygma addresses the hearer as event rather than as fact.</w:t>
      </w:r>
    </w:p>
    <w:p w14:paraId="57800E6C" w14:textId="77777777" w:rsidR="00B86393" w:rsidRPr="00D00335" w:rsidRDefault="00E27159">
      <w:pPr>
        <w:spacing w:line="360" w:lineRule="auto"/>
        <w:ind w:firstLine="480"/>
        <w:jc w:val="both"/>
        <w:rPr>
          <w:sz w:val="28"/>
          <w:szCs w:val="28"/>
        </w:rPr>
      </w:pPr>
      <w:r w:rsidRPr="00D00335">
        <w:rPr>
          <w:sz w:val="28"/>
          <w:szCs w:val="28"/>
        </w:rPr>
        <w:t xml:space="preserve">Tillich occupies a mediating position that is nonetheless closer to Bultmann than to Troeltsch. His distinction between the medium of revelation and its </w:t>
      </w:r>
      <w:r w:rsidRPr="00D00335">
        <w:rPr>
          <w:sz w:val="28"/>
          <w:szCs w:val="28"/>
        </w:rPr>
        <w:lastRenderedPageBreak/>
        <w:t>content, and his location of theology’s ground in an ultimate concern that is by definition beyond the conditioned, allows him to affirm the finality of the New Being in Jesus as the Christ without resting that affirmation on historical proof.</w:t>
      </w:r>
      <w:r w:rsidRPr="00D00335">
        <w:rPr>
          <w:sz w:val="28"/>
          <w:szCs w:val="28"/>
          <w:vertAlign w:val="superscript"/>
        </w:rPr>
        <w:t>9</w:t>
      </w:r>
      <w:r w:rsidRPr="00D00335">
        <w:rPr>
          <w:sz w:val="28"/>
          <w:szCs w:val="28"/>
        </w:rPr>
        <w:t xml:space="preserve"> As Alister McGrath notes, the post-liberal generation increasingly sought to protect the object of faith from the acids of historical criticism by placing it in a sphere that criticism could not reach.</w:t>
      </w:r>
      <w:r w:rsidRPr="00D00335">
        <w:rPr>
          <w:sz w:val="28"/>
          <w:szCs w:val="28"/>
          <w:vertAlign w:val="superscript"/>
        </w:rPr>
        <w:t>15</w:t>
      </w:r>
      <w:r w:rsidRPr="00D00335">
        <w:rPr>
          <w:sz w:val="28"/>
          <w:szCs w:val="28"/>
        </w:rPr>
        <w:t xml:space="preserve"> The decisive division, then, is not merely a disagreement about history but a disagreement about whether the historical relativisation of Christianity must be accepted, as Troeltsch held, or circumvented, as Bultmann and Tillich held, by a theological retreat into the existential present.</w:t>
      </w:r>
    </w:p>
    <w:p w14:paraId="66B63447" w14:textId="77777777" w:rsidR="00B86393" w:rsidRPr="00D00335" w:rsidRDefault="00E27159">
      <w:pPr>
        <w:pStyle w:val="Heading1"/>
        <w:spacing w:before="240" w:after="120"/>
        <w:rPr>
          <w:color w:val="000000" w:themeColor="text1"/>
          <w:sz w:val="28"/>
          <w:szCs w:val="28"/>
        </w:rPr>
      </w:pPr>
      <w:r w:rsidRPr="00D00335">
        <w:rPr>
          <w:b/>
          <w:bCs/>
          <w:color w:val="000000" w:themeColor="text1"/>
          <w:sz w:val="28"/>
          <w:szCs w:val="28"/>
        </w:rPr>
        <w:t>The Common Fate: Barth’s Critique and the Limits of the Tradition</w:t>
      </w:r>
    </w:p>
    <w:p w14:paraId="770068F9" w14:textId="77777777" w:rsidR="00B86393" w:rsidRPr="00D00335" w:rsidRDefault="00E27159">
      <w:pPr>
        <w:spacing w:line="360" w:lineRule="auto"/>
        <w:ind w:firstLine="480"/>
        <w:jc w:val="both"/>
        <w:rPr>
          <w:sz w:val="28"/>
          <w:szCs w:val="28"/>
        </w:rPr>
      </w:pPr>
      <w:r w:rsidRPr="00D00335">
        <w:rPr>
          <w:sz w:val="28"/>
          <w:szCs w:val="28"/>
        </w:rPr>
        <w:t xml:space="preserve">It is illuminating to view the whole tradition through the eyes of its most powerful critic. Karl Barth’s </w:t>
      </w:r>
      <w:r w:rsidRPr="00D00335">
        <w:rPr>
          <w:i/>
          <w:iCs/>
          <w:sz w:val="28"/>
          <w:szCs w:val="28"/>
        </w:rPr>
        <w:t>Epistle to the Romans</w:t>
      </w:r>
      <w:r w:rsidRPr="00D00335">
        <w:rPr>
          <w:sz w:val="28"/>
          <w:szCs w:val="28"/>
        </w:rPr>
        <w:t xml:space="preserve"> of 1919 and 1922 fell, in the famous phrase, like a bomb on the playground of the theologians, and its target was precisely the anthropological starting point common to all five. Barth charged that a theology beginning from human religious experience could never arrive at the wholly other God, that it inevitably domesticated revelation into a projection of the human spirit, and that the infinite qualitative distinction between time and eternity had been fatally obscured.</w:t>
      </w:r>
      <w:r w:rsidRPr="00D00335">
        <w:rPr>
          <w:sz w:val="28"/>
          <w:szCs w:val="28"/>
          <w:vertAlign w:val="superscript"/>
        </w:rPr>
        <w:t>12</w:t>
      </w:r>
      <w:r w:rsidRPr="00D00335">
        <w:rPr>
          <w:sz w:val="28"/>
          <w:szCs w:val="28"/>
        </w:rPr>
        <w:t xml:space="preserve"> Bultmann and Tillich absorbed something of this critique, which is why their theologies of decision and of ultimate concern differ so markedly from the cultural confidence of Ritschl. Yet Barth would insist that even they remained captive to the founding error, still beginning from below. Gary Dorrien’s analysis of the tradition’s idealist logic supports this reading: the whole enterprise, for all its internal variety, shares a governing assumption that the divine is accessible through the analysis of huma</w:t>
      </w:r>
      <w:r w:rsidRPr="00D00335">
        <w:rPr>
          <w:sz w:val="28"/>
          <w:szCs w:val="28"/>
        </w:rPr>
        <w:t>n subjectivity.</w:t>
      </w:r>
      <w:r w:rsidRPr="00D00335">
        <w:rPr>
          <w:sz w:val="28"/>
          <w:szCs w:val="28"/>
          <w:vertAlign w:val="superscript"/>
        </w:rPr>
        <w:t>13</w:t>
      </w:r>
      <w:r w:rsidRPr="00D00335">
        <w:rPr>
          <w:sz w:val="28"/>
          <w:szCs w:val="28"/>
        </w:rPr>
        <w:t xml:space="preserve"> What divides the five internally is real and important; but seen from outside, their shared starting point is what most defines them as a single movement.</w:t>
      </w:r>
    </w:p>
    <w:p w14:paraId="65C808D9" w14:textId="77777777" w:rsidR="00B86393" w:rsidRPr="00D00335" w:rsidRDefault="00E27159">
      <w:pPr>
        <w:pStyle w:val="Heading1"/>
        <w:spacing w:before="240" w:after="120"/>
        <w:rPr>
          <w:color w:val="000000" w:themeColor="text1"/>
          <w:sz w:val="28"/>
          <w:szCs w:val="28"/>
        </w:rPr>
      </w:pPr>
      <w:r w:rsidRPr="00D00335">
        <w:rPr>
          <w:b/>
          <w:bCs/>
          <w:color w:val="000000" w:themeColor="text1"/>
          <w:sz w:val="28"/>
          <w:szCs w:val="28"/>
        </w:rPr>
        <w:lastRenderedPageBreak/>
        <w:t>Conclusion</w:t>
      </w:r>
    </w:p>
    <w:p w14:paraId="4608585B" w14:textId="77777777" w:rsidR="00B86393" w:rsidRPr="00D00335" w:rsidRDefault="00E27159">
      <w:pPr>
        <w:spacing w:line="360" w:lineRule="auto"/>
        <w:ind w:firstLine="480"/>
        <w:jc w:val="both"/>
        <w:rPr>
          <w:sz w:val="28"/>
          <w:szCs w:val="28"/>
        </w:rPr>
      </w:pPr>
      <w:r w:rsidRPr="00D00335">
        <w:rPr>
          <w:sz w:val="28"/>
          <w:szCs w:val="28"/>
        </w:rPr>
        <w:t>Schleiermacher, Ritschl, Troeltsch, Tillich, and Bultmann share a common method and a common problem. Their method is the turn to the human subject, the grounding of theology in religious experience, moral value, existential self-understanding, or ultimate concern rather than in an externally authoritative revelation. Their problem is the reconstruction of Christian faith under the conditions of the modern, post-Enlightenment world, in conscious retreat from both orthodox supernaturalism and rationalist red</w:t>
      </w:r>
      <w:r w:rsidRPr="00D00335">
        <w:rPr>
          <w:sz w:val="28"/>
          <w:szCs w:val="28"/>
        </w:rPr>
        <w:t>uction. What most significantly divides them is the challenge of historical consciousness. Troeltsch alone was willing to follow the historical method to its relativising conclusion, surrendering the claim to unconditioned absoluteness; the others, whether by an unexamined confidence in Christianity’s superiority or by a deliberate relocation of faith into the existential present, sought to preserve finality from the acids of history. The tradition therefore contains within itself the seeds of its own crisi</w:t>
      </w:r>
      <w:r w:rsidRPr="00D00335">
        <w:rPr>
          <w:sz w:val="28"/>
          <w:szCs w:val="28"/>
        </w:rPr>
        <w:t>s, and it is no accident that its internal division over history prepared the ground for the dialectical theology that would call the whole project into question. To read these five together is to watch a coherent theological programme discover, from within, the limits of its own foundations.</w:t>
      </w:r>
    </w:p>
    <w:p w14:paraId="493267A3" w14:textId="77777777" w:rsidR="00B86393" w:rsidRPr="00D00335" w:rsidRDefault="00E27159">
      <w:pPr>
        <w:rPr>
          <w:sz w:val="28"/>
          <w:szCs w:val="28"/>
        </w:rPr>
      </w:pPr>
      <w:r w:rsidRPr="00D00335">
        <w:rPr>
          <w:sz w:val="28"/>
          <w:szCs w:val="28"/>
        </w:rPr>
        <w:br w:type="page"/>
      </w:r>
    </w:p>
    <w:p w14:paraId="11A34AE5" w14:textId="77777777" w:rsidR="00D00335" w:rsidRPr="00D00335" w:rsidRDefault="00D00335" w:rsidP="00D00335">
      <w:pPr>
        <w:pStyle w:val="Heading1"/>
        <w:spacing w:after="200"/>
        <w:rPr>
          <w:color w:val="000000" w:themeColor="text1"/>
          <w:sz w:val="28"/>
          <w:szCs w:val="28"/>
        </w:rPr>
      </w:pPr>
      <w:r w:rsidRPr="00D00335">
        <w:rPr>
          <w:b/>
          <w:bCs/>
          <w:color w:val="000000" w:themeColor="text1"/>
          <w:sz w:val="28"/>
          <w:szCs w:val="28"/>
        </w:rPr>
        <w:lastRenderedPageBreak/>
        <w:t>Footnotes</w:t>
      </w:r>
    </w:p>
    <w:p w14:paraId="407CED09" w14:textId="77777777" w:rsidR="00D00335" w:rsidRPr="00D00335" w:rsidRDefault="00D00335" w:rsidP="00D00335">
      <w:pPr>
        <w:spacing w:after="120" w:line="360" w:lineRule="auto"/>
        <w:ind w:left="340" w:hanging="340"/>
        <w:rPr>
          <w:sz w:val="28"/>
          <w:szCs w:val="28"/>
        </w:rPr>
      </w:pPr>
      <w:r w:rsidRPr="00D00335">
        <w:rPr>
          <w:sz w:val="28"/>
          <w:szCs w:val="28"/>
        </w:rPr>
        <w:t>1.</w:t>
      </w:r>
      <w:r w:rsidRPr="00D00335">
        <w:rPr>
          <w:sz w:val="28"/>
          <w:szCs w:val="28"/>
        </w:rPr>
        <w:tab/>
        <w:t xml:space="preserve">Friedrich Schleiermacher, </w:t>
      </w:r>
      <w:r w:rsidRPr="00D00335">
        <w:rPr>
          <w:i/>
          <w:iCs/>
          <w:sz w:val="28"/>
          <w:szCs w:val="28"/>
        </w:rPr>
        <w:t>On Religion: Speeches to Its Cultured Despisers</w:t>
      </w:r>
      <w:r w:rsidRPr="00D00335">
        <w:rPr>
          <w:sz w:val="28"/>
          <w:szCs w:val="28"/>
        </w:rPr>
        <w:t>, trans. by Richard Crouter (Cambridge: Cambridge University Press, 1996), p. 22.</w:t>
      </w:r>
    </w:p>
    <w:p w14:paraId="139E54CE" w14:textId="77777777" w:rsidR="00D00335" w:rsidRPr="00D00335" w:rsidRDefault="00D00335" w:rsidP="00D00335">
      <w:pPr>
        <w:spacing w:after="120" w:line="360" w:lineRule="auto"/>
        <w:ind w:left="340" w:hanging="340"/>
        <w:rPr>
          <w:sz w:val="28"/>
          <w:szCs w:val="28"/>
        </w:rPr>
      </w:pPr>
      <w:r w:rsidRPr="00D00335">
        <w:rPr>
          <w:sz w:val="28"/>
          <w:szCs w:val="28"/>
        </w:rPr>
        <w:t>2.</w:t>
      </w:r>
      <w:r w:rsidRPr="00D00335">
        <w:rPr>
          <w:sz w:val="28"/>
          <w:szCs w:val="28"/>
        </w:rPr>
        <w:tab/>
        <w:t xml:space="preserve">Friedrich Schleiermacher, </w:t>
      </w:r>
      <w:r w:rsidRPr="00D00335">
        <w:rPr>
          <w:i/>
          <w:iCs/>
          <w:sz w:val="28"/>
          <w:szCs w:val="28"/>
        </w:rPr>
        <w:t>The Christian Faith</w:t>
      </w:r>
      <w:r w:rsidRPr="00D00335">
        <w:rPr>
          <w:sz w:val="28"/>
          <w:szCs w:val="28"/>
        </w:rPr>
        <w:t>, trans. by H. R. Mackintosh and J. S. Stewart (Edinburgh: T&amp;T Clark, 1928), p. 12.</w:t>
      </w:r>
    </w:p>
    <w:p w14:paraId="3C2810D8" w14:textId="77777777" w:rsidR="00D00335" w:rsidRPr="00D00335" w:rsidRDefault="00D00335" w:rsidP="00D00335">
      <w:pPr>
        <w:spacing w:after="120" w:line="360" w:lineRule="auto"/>
        <w:ind w:left="340" w:hanging="340"/>
        <w:rPr>
          <w:sz w:val="28"/>
          <w:szCs w:val="28"/>
        </w:rPr>
      </w:pPr>
      <w:r w:rsidRPr="00D00335">
        <w:rPr>
          <w:sz w:val="28"/>
          <w:szCs w:val="28"/>
        </w:rPr>
        <w:t>3.</w:t>
      </w:r>
      <w:r w:rsidRPr="00D00335">
        <w:rPr>
          <w:sz w:val="28"/>
          <w:szCs w:val="28"/>
        </w:rPr>
        <w:tab/>
        <w:t xml:space="preserve">B. A. Gerrish, </w:t>
      </w:r>
      <w:r w:rsidRPr="00D00335">
        <w:rPr>
          <w:i/>
          <w:iCs/>
          <w:sz w:val="28"/>
          <w:szCs w:val="28"/>
        </w:rPr>
        <w:t>A Prince of the Church: Schleiermacher and the Beginnings of Modern Theology</w:t>
      </w:r>
      <w:r w:rsidRPr="00D00335">
        <w:rPr>
          <w:sz w:val="28"/>
          <w:szCs w:val="28"/>
        </w:rPr>
        <w:t xml:space="preserve"> (Philadelphia: Fortress Press, 1984), p. 30.</w:t>
      </w:r>
    </w:p>
    <w:p w14:paraId="681AF62C" w14:textId="77777777" w:rsidR="00D00335" w:rsidRPr="00D00335" w:rsidRDefault="00D00335" w:rsidP="00D00335">
      <w:pPr>
        <w:spacing w:after="120" w:line="360" w:lineRule="auto"/>
        <w:ind w:left="340" w:hanging="340"/>
        <w:rPr>
          <w:sz w:val="28"/>
          <w:szCs w:val="28"/>
        </w:rPr>
      </w:pPr>
      <w:r w:rsidRPr="00D00335">
        <w:rPr>
          <w:sz w:val="28"/>
          <w:szCs w:val="28"/>
        </w:rPr>
        <w:t>4.</w:t>
      </w:r>
      <w:r w:rsidRPr="00D00335">
        <w:rPr>
          <w:sz w:val="28"/>
          <w:szCs w:val="28"/>
        </w:rPr>
        <w:tab/>
        <w:t xml:space="preserve">Albrecht Ritschl, </w:t>
      </w:r>
      <w:r w:rsidRPr="00D00335">
        <w:rPr>
          <w:i/>
          <w:iCs/>
          <w:sz w:val="28"/>
          <w:szCs w:val="28"/>
        </w:rPr>
        <w:t>The Christian Doctrine of Justification and Reconciliation</w:t>
      </w:r>
      <w:r w:rsidRPr="00D00335">
        <w:rPr>
          <w:sz w:val="28"/>
          <w:szCs w:val="28"/>
        </w:rPr>
        <w:t>, trans. by H. R. Mackintosh and A. B. Macaulay (Edinburgh: T&amp;T Clark, 1900), p. 204.</w:t>
      </w:r>
    </w:p>
    <w:p w14:paraId="6D62EFAA" w14:textId="77777777" w:rsidR="00D00335" w:rsidRPr="00D00335" w:rsidRDefault="00D00335" w:rsidP="00D00335">
      <w:pPr>
        <w:spacing w:after="120" w:line="360" w:lineRule="auto"/>
        <w:ind w:left="340" w:hanging="340"/>
        <w:rPr>
          <w:sz w:val="28"/>
          <w:szCs w:val="28"/>
        </w:rPr>
      </w:pPr>
      <w:r w:rsidRPr="00D00335">
        <w:rPr>
          <w:sz w:val="28"/>
          <w:szCs w:val="28"/>
        </w:rPr>
        <w:t>5.</w:t>
      </w:r>
      <w:r w:rsidRPr="00D00335">
        <w:rPr>
          <w:sz w:val="28"/>
          <w:szCs w:val="28"/>
        </w:rPr>
        <w:tab/>
        <w:t xml:space="preserve">James Richmond, </w:t>
      </w:r>
      <w:r w:rsidRPr="00D00335">
        <w:rPr>
          <w:i/>
          <w:iCs/>
          <w:sz w:val="28"/>
          <w:szCs w:val="28"/>
        </w:rPr>
        <w:t>Ritschl: A Reappraisal</w:t>
      </w:r>
      <w:r w:rsidRPr="00D00335">
        <w:rPr>
          <w:sz w:val="28"/>
          <w:szCs w:val="28"/>
        </w:rPr>
        <w:t xml:space="preserve"> (London: Collins, 1978), p. 116.</w:t>
      </w:r>
    </w:p>
    <w:p w14:paraId="07914C5D" w14:textId="77777777" w:rsidR="00D00335" w:rsidRPr="00D00335" w:rsidRDefault="00D00335" w:rsidP="00D00335">
      <w:pPr>
        <w:spacing w:after="120" w:line="360" w:lineRule="auto"/>
        <w:ind w:left="340" w:hanging="340"/>
        <w:rPr>
          <w:sz w:val="28"/>
          <w:szCs w:val="28"/>
        </w:rPr>
      </w:pPr>
      <w:r w:rsidRPr="00D00335">
        <w:rPr>
          <w:sz w:val="28"/>
          <w:szCs w:val="28"/>
        </w:rPr>
        <w:t>6.</w:t>
      </w:r>
      <w:r w:rsidRPr="00D00335">
        <w:rPr>
          <w:sz w:val="28"/>
          <w:szCs w:val="28"/>
        </w:rPr>
        <w:tab/>
        <w:t xml:space="preserve">Ernst Troeltsch, </w:t>
      </w:r>
      <w:r w:rsidRPr="00D00335">
        <w:rPr>
          <w:i/>
          <w:iCs/>
          <w:sz w:val="28"/>
          <w:szCs w:val="28"/>
        </w:rPr>
        <w:t>The Absoluteness of Christianity and the History of Religions</w:t>
      </w:r>
      <w:r w:rsidRPr="00D00335">
        <w:rPr>
          <w:sz w:val="28"/>
          <w:szCs w:val="28"/>
        </w:rPr>
        <w:t>, trans. by David Reid (Richmond, VA: John Knox Press, 1971), p. 85.</w:t>
      </w:r>
    </w:p>
    <w:p w14:paraId="6C2B4C25" w14:textId="77777777" w:rsidR="00D00335" w:rsidRPr="00D00335" w:rsidRDefault="00D00335" w:rsidP="00D00335">
      <w:pPr>
        <w:spacing w:after="120" w:line="360" w:lineRule="auto"/>
        <w:ind w:left="340" w:hanging="340"/>
        <w:rPr>
          <w:sz w:val="28"/>
          <w:szCs w:val="28"/>
        </w:rPr>
      </w:pPr>
      <w:r w:rsidRPr="00D00335">
        <w:rPr>
          <w:sz w:val="28"/>
          <w:szCs w:val="28"/>
        </w:rPr>
        <w:t>7.</w:t>
      </w:r>
      <w:r w:rsidRPr="00D00335">
        <w:rPr>
          <w:sz w:val="28"/>
          <w:szCs w:val="28"/>
        </w:rPr>
        <w:tab/>
        <w:t xml:space="preserve">Ernst Troeltsch, </w:t>
      </w:r>
      <w:r w:rsidRPr="00D00335">
        <w:rPr>
          <w:i/>
          <w:iCs/>
          <w:sz w:val="28"/>
          <w:szCs w:val="28"/>
        </w:rPr>
        <w:t>Religion in History</w:t>
      </w:r>
      <w:r w:rsidRPr="00D00335">
        <w:rPr>
          <w:sz w:val="28"/>
          <w:szCs w:val="28"/>
        </w:rPr>
        <w:t>, trans. by James Luther Adams and Walter F. Bense (Minneapolis: Fortress Press, 1991), p. 24.</w:t>
      </w:r>
    </w:p>
    <w:p w14:paraId="541528C4" w14:textId="77777777" w:rsidR="00D00335" w:rsidRPr="00D00335" w:rsidRDefault="00D00335" w:rsidP="00D00335">
      <w:pPr>
        <w:spacing w:after="120" w:line="360" w:lineRule="auto"/>
        <w:ind w:left="340" w:hanging="340"/>
        <w:rPr>
          <w:sz w:val="28"/>
          <w:szCs w:val="28"/>
        </w:rPr>
      </w:pPr>
      <w:r w:rsidRPr="00D00335">
        <w:rPr>
          <w:sz w:val="28"/>
          <w:szCs w:val="28"/>
        </w:rPr>
        <w:t>8.</w:t>
      </w:r>
      <w:r w:rsidRPr="00D00335">
        <w:rPr>
          <w:sz w:val="28"/>
          <w:szCs w:val="28"/>
        </w:rPr>
        <w:tab/>
        <w:t xml:space="preserve">Paul Tillich, </w:t>
      </w:r>
      <w:r w:rsidRPr="00D00335">
        <w:rPr>
          <w:i/>
          <w:iCs/>
          <w:sz w:val="28"/>
          <w:szCs w:val="28"/>
        </w:rPr>
        <w:t>Systematic Theology</w:t>
      </w:r>
      <w:r w:rsidRPr="00D00335">
        <w:rPr>
          <w:sz w:val="28"/>
          <w:szCs w:val="28"/>
        </w:rPr>
        <w:t>, 3 vols (Chicago: University of Chicago Press, 1951-63), I, p. 60.</w:t>
      </w:r>
    </w:p>
    <w:p w14:paraId="4AC9D4D3" w14:textId="77777777" w:rsidR="00D00335" w:rsidRPr="00D00335" w:rsidRDefault="00D00335" w:rsidP="00D00335">
      <w:pPr>
        <w:spacing w:after="120" w:line="360" w:lineRule="auto"/>
        <w:ind w:left="340" w:hanging="340"/>
        <w:rPr>
          <w:sz w:val="28"/>
          <w:szCs w:val="28"/>
        </w:rPr>
      </w:pPr>
      <w:r w:rsidRPr="00D00335">
        <w:rPr>
          <w:sz w:val="28"/>
          <w:szCs w:val="28"/>
        </w:rPr>
        <w:t>9.</w:t>
      </w:r>
      <w:r w:rsidRPr="00D00335">
        <w:rPr>
          <w:sz w:val="28"/>
          <w:szCs w:val="28"/>
        </w:rPr>
        <w:tab/>
        <w:t xml:space="preserve">Tillich, </w:t>
      </w:r>
      <w:r w:rsidRPr="00D00335">
        <w:rPr>
          <w:i/>
          <w:iCs/>
          <w:sz w:val="28"/>
          <w:szCs w:val="28"/>
        </w:rPr>
        <w:t>Systematic Theology</w:t>
      </w:r>
      <w:r w:rsidRPr="00D00335">
        <w:rPr>
          <w:sz w:val="28"/>
          <w:szCs w:val="28"/>
        </w:rPr>
        <w:t>, I, p. 12.</w:t>
      </w:r>
    </w:p>
    <w:p w14:paraId="3BF67287" w14:textId="77777777" w:rsidR="00D00335" w:rsidRPr="00D00335" w:rsidRDefault="00D00335" w:rsidP="00D00335">
      <w:pPr>
        <w:spacing w:after="120" w:line="360" w:lineRule="auto"/>
        <w:ind w:left="340" w:hanging="340"/>
        <w:rPr>
          <w:sz w:val="28"/>
          <w:szCs w:val="28"/>
        </w:rPr>
      </w:pPr>
      <w:r w:rsidRPr="00D00335">
        <w:rPr>
          <w:sz w:val="28"/>
          <w:szCs w:val="28"/>
        </w:rPr>
        <w:t>10.</w:t>
      </w:r>
      <w:r w:rsidRPr="00D00335">
        <w:rPr>
          <w:sz w:val="28"/>
          <w:szCs w:val="28"/>
        </w:rPr>
        <w:tab/>
        <w:t xml:space="preserve">Rudolf Bultmann, </w:t>
      </w:r>
      <w:r w:rsidRPr="00D00335">
        <w:rPr>
          <w:i/>
          <w:iCs/>
          <w:sz w:val="28"/>
          <w:szCs w:val="28"/>
        </w:rPr>
        <w:t>New Testament and Mythology and Other Basic Writings</w:t>
      </w:r>
      <w:r w:rsidRPr="00D00335">
        <w:rPr>
          <w:sz w:val="28"/>
          <w:szCs w:val="28"/>
        </w:rPr>
        <w:t>, ed. and trans. by Schubert M. Ogden (Philadelphia: Fortress Press, 1984), p. 9.</w:t>
      </w:r>
    </w:p>
    <w:p w14:paraId="789470A4" w14:textId="77777777" w:rsidR="00D00335" w:rsidRPr="00D00335" w:rsidRDefault="00D00335" w:rsidP="00D00335">
      <w:pPr>
        <w:spacing w:after="120" w:line="360" w:lineRule="auto"/>
        <w:ind w:left="340" w:hanging="340"/>
        <w:rPr>
          <w:sz w:val="28"/>
          <w:szCs w:val="28"/>
        </w:rPr>
      </w:pPr>
      <w:r w:rsidRPr="00D00335">
        <w:rPr>
          <w:sz w:val="28"/>
          <w:szCs w:val="28"/>
        </w:rPr>
        <w:t>11.</w:t>
      </w:r>
      <w:r w:rsidRPr="00D00335">
        <w:rPr>
          <w:sz w:val="28"/>
          <w:szCs w:val="28"/>
        </w:rPr>
        <w:tab/>
        <w:t xml:space="preserve">Rudolf Bultmann, </w:t>
      </w:r>
      <w:r w:rsidRPr="00D00335">
        <w:rPr>
          <w:i/>
          <w:iCs/>
          <w:sz w:val="28"/>
          <w:szCs w:val="28"/>
        </w:rPr>
        <w:t>Jesus Christ and Mythology</w:t>
      </w:r>
      <w:r w:rsidRPr="00D00335">
        <w:rPr>
          <w:sz w:val="28"/>
          <w:szCs w:val="28"/>
        </w:rPr>
        <w:t xml:space="preserve"> (New York: Charles Scribner’s Sons, 1958), p. 18.</w:t>
      </w:r>
    </w:p>
    <w:p w14:paraId="71B24E58" w14:textId="77777777" w:rsidR="00D00335" w:rsidRPr="00D00335" w:rsidRDefault="00D00335" w:rsidP="00D00335">
      <w:pPr>
        <w:spacing w:after="120" w:line="360" w:lineRule="auto"/>
        <w:ind w:left="340" w:hanging="340"/>
        <w:rPr>
          <w:sz w:val="28"/>
          <w:szCs w:val="28"/>
        </w:rPr>
      </w:pPr>
      <w:r w:rsidRPr="00D00335">
        <w:rPr>
          <w:sz w:val="28"/>
          <w:szCs w:val="28"/>
        </w:rPr>
        <w:lastRenderedPageBreak/>
        <w:t>12.</w:t>
      </w:r>
      <w:r w:rsidRPr="00D00335">
        <w:rPr>
          <w:sz w:val="28"/>
          <w:szCs w:val="28"/>
        </w:rPr>
        <w:tab/>
        <w:t xml:space="preserve">Karl Barth, </w:t>
      </w:r>
      <w:r w:rsidRPr="00D00335">
        <w:rPr>
          <w:i/>
          <w:iCs/>
          <w:sz w:val="28"/>
          <w:szCs w:val="28"/>
        </w:rPr>
        <w:t>The Epistle to the Romans</w:t>
      </w:r>
      <w:r w:rsidRPr="00D00335">
        <w:rPr>
          <w:sz w:val="28"/>
          <w:szCs w:val="28"/>
        </w:rPr>
        <w:t>, trans. by Edwyn C. Hoskyns (Oxford: Oxford University Press, 1968), p. 10.</w:t>
      </w:r>
    </w:p>
    <w:p w14:paraId="60746F17" w14:textId="77777777" w:rsidR="00D00335" w:rsidRPr="00D00335" w:rsidRDefault="00D00335" w:rsidP="00D00335">
      <w:pPr>
        <w:spacing w:after="120" w:line="360" w:lineRule="auto"/>
        <w:ind w:left="340" w:hanging="340"/>
        <w:rPr>
          <w:sz w:val="28"/>
          <w:szCs w:val="28"/>
        </w:rPr>
      </w:pPr>
      <w:r w:rsidRPr="00D00335">
        <w:rPr>
          <w:sz w:val="28"/>
          <w:szCs w:val="28"/>
        </w:rPr>
        <w:t>13.</w:t>
      </w:r>
      <w:r w:rsidRPr="00D00335">
        <w:rPr>
          <w:sz w:val="28"/>
          <w:szCs w:val="28"/>
        </w:rPr>
        <w:tab/>
        <w:t xml:space="preserve">Gary Dorrien, </w:t>
      </w:r>
      <w:r w:rsidRPr="00D00335">
        <w:rPr>
          <w:i/>
          <w:iCs/>
          <w:sz w:val="28"/>
          <w:szCs w:val="28"/>
        </w:rPr>
        <w:t>Kantian Reason and Hegelian Spirit: The Idealistic Logic of Modern Theology</w:t>
      </w:r>
      <w:r w:rsidRPr="00D00335">
        <w:rPr>
          <w:sz w:val="28"/>
          <w:szCs w:val="28"/>
        </w:rPr>
        <w:t xml:space="preserve"> (Chichester: Wiley-Blackwell, 2012), p. 4.</w:t>
      </w:r>
    </w:p>
    <w:p w14:paraId="6DD6BF90" w14:textId="77777777" w:rsidR="00D00335" w:rsidRPr="00D00335" w:rsidRDefault="00D00335" w:rsidP="00D00335">
      <w:pPr>
        <w:spacing w:after="120" w:line="360" w:lineRule="auto"/>
        <w:ind w:left="340" w:hanging="340"/>
        <w:rPr>
          <w:sz w:val="28"/>
          <w:szCs w:val="28"/>
        </w:rPr>
      </w:pPr>
      <w:r w:rsidRPr="00D00335">
        <w:rPr>
          <w:sz w:val="28"/>
          <w:szCs w:val="28"/>
        </w:rPr>
        <w:t>14.</w:t>
      </w:r>
      <w:r w:rsidRPr="00D00335">
        <w:rPr>
          <w:sz w:val="28"/>
          <w:szCs w:val="28"/>
        </w:rPr>
        <w:tab/>
        <w:t xml:space="preserve">Claude Welch, </w:t>
      </w:r>
      <w:r w:rsidRPr="00D00335">
        <w:rPr>
          <w:i/>
          <w:iCs/>
          <w:sz w:val="28"/>
          <w:szCs w:val="28"/>
        </w:rPr>
        <w:t>Protestant Thought in the Nineteenth Century</w:t>
      </w:r>
      <w:r w:rsidRPr="00D00335">
        <w:rPr>
          <w:sz w:val="28"/>
          <w:szCs w:val="28"/>
        </w:rPr>
        <w:t>, 2 vols (New Haven: Yale University Press, 1972-85), I, p. 59.</w:t>
      </w:r>
    </w:p>
    <w:p w14:paraId="627FDAF7" w14:textId="77777777" w:rsidR="00D00335" w:rsidRPr="00D00335" w:rsidRDefault="00D00335" w:rsidP="00D00335">
      <w:pPr>
        <w:spacing w:after="120" w:line="360" w:lineRule="auto"/>
        <w:ind w:left="340" w:hanging="340"/>
        <w:rPr>
          <w:sz w:val="28"/>
          <w:szCs w:val="28"/>
        </w:rPr>
      </w:pPr>
      <w:r w:rsidRPr="00D00335">
        <w:rPr>
          <w:sz w:val="28"/>
          <w:szCs w:val="28"/>
        </w:rPr>
        <w:t>15.</w:t>
      </w:r>
      <w:r w:rsidRPr="00D00335">
        <w:rPr>
          <w:sz w:val="28"/>
          <w:szCs w:val="28"/>
        </w:rPr>
        <w:tab/>
        <w:t xml:space="preserve">Alister E. McGrath, </w:t>
      </w:r>
      <w:r w:rsidRPr="00D00335">
        <w:rPr>
          <w:i/>
          <w:iCs/>
          <w:sz w:val="28"/>
          <w:szCs w:val="28"/>
        </w:rPr>
        <w:t>The Making of Modern German Christology 1750-1990</w:t>
      </w:r>
      <w:r w:rsidRPr="00D00335">
        <w:rPr>
          <w:sz w:val="28"/>
          <w:szCs w:val="28"/>
        </w:rPr>
        <w:t xml:space="preserve">, 2nd </w:t>
      </w:r>
      <w:proofErr w:type="spellStart"/>
      <w:r w:rsidRPr="00D00335">
        <w:rPr>
          <w:sz w:val="28"/>
          <w:szCs w:val="28"/>
        </w:rPr>
        <w:t>edn</w:t>
      </w:r>
      <w:proofErr w:type="spellEnd"/>
      <w:r w:rsidRPr="00D00335">
        <w:rPr>
          <w:sz w:val="28"/>
          <w:szCs w:val="28"/>
        </w:rPr>
        <w:t xml:space="preserve"> (Grand Rapids: Zondervan, 1994), p. 143.</w:t>
      </w:r>
    </w:p>
    <w:p w14:paraId="5E00260C" w14:textId="77777777" w:rsidR="00D00335" w:rsidRPr="00D00335" w:rsidRDefault="00D00335" w:rsidP="00D00335">
      <w:pPr>
        <w:rPr>
          <w:sz w:val="28"/>
          <w:szCs w:val="28"/>
        </w:rPr>
      </w:pPr>
      <w:r w:rsidRPr="00D00335">
        <w:rPr>
          <w:sz w:val="28"/>
          <w:szCs w:val="28"/>
        </w:rPr>
        <w:br w:type="page"/>
      </w:r>
    </w:p>
    <w:p w14:paraId="46C07EEA" w14:textId="77777777" w:rsidR="00D00335" w:rsidRPr="00D00335" w:rsidRDefault="00D00335" w:rsidP="00D00335">
      <w:pPr>
        <w:pStyle w:val="Heading1"/>
        <w:spacing w:after="200"/>
        <w:rPr>
          <w:color w:val="000000" w:themeColor="text1"/>
          <w:sz w:val="28"/>
          <w:szCs w:val="28"/>
        </w:rPr>
      </w:pPr>
      <w:r w:rsidRPr="00D00335">
        <w:rPr>
          <w:b/>
          <w:bCs/>
          <w:color w:val="000000" w:themeColor="text1"/>
          <w:sz w:val="28"/>
          <w:szCs w:val="28"/>
        </w:rPr>
        <w:lastRenderedPageBreak/>
        <w:t>Bibliography</w:t>
      </w:r>
    </w:p>
    <w:p w14:paraId="61D1A7B4" w14:textId="77777777" w:rsidR="00D00335" w:rsidRPr="00D00335" w:rsidRDefault="00D00335" w:rsidP="00D00335">
      <w:pPr>
        <w:spacing w:after="120" w:line="360" w:lineRule="auto"/>
        <w:ind w:left="480" w:hanging="480"/>
        <w:rPr>
          <w:sz w:val="28"/>
          <w:szCs w:val="28"/>
        </w:rPr>
      </w:pPr>
      <w:r w:rsidRPr="00D00335">
        <w:rPr>
          <w:sz w:val="28"/>
          <w:szCs w:val="28"/>
        </w:rPr>
        <w:t xml:space="preserve">Barth, Karl, </w:t>
      </w:r>
      <w:r w:rsidRPr="00D00335">
        <w:rPr>
          <w:i/>
          <w:iCs/>
          <w:sz w:val="28"/>
          <w:szCs w:val="28"/>
        </w:rPr>
        <w:t>The Epistle to the Romans</w:t>
      </w:r>
      <w:r w:rsidRPr="00D00335">
        <w:rPr>
          <w:sz w:val="28"/>
          <w:szCs w:val="28"/>
        </w:rPr>
        <w:t>, trans. by Edwyn C. Hoskyns (Oxford: Oxford University Press, 1968)</w:t>
      </w:r>
    </w:p>
    <w:p w14:paraId="431B9648" w14:textId="77777777" w:rsidR="00D00335" w:rsidRPr="00D00335" w:rsidRDefault="00D00335" w:rsidP="00D00335">
      <w:pPr>
        <w:spacing w:after="120" w:line="360" w:lineRule="auto"/>
        <w:ind w:left="480" w:hanging="480"/>
        <w:rPr>
          <w:sz w:val="28"/>
          <w:szCs w:val="28"/>
        </w:rPr>
      </w:pPr>
      <w:r w:rsidRPr="00D00335">
        <w:rPr>
          <w:sz w:val="28"/>
          <w:szCs w:val="28"/>
        </w:rPr>
        <w:t xml:space="preserve">Bultmann, Rudolf, </w:t>
      </w:r>
      <w:r w:rsidRPr="00D00335">
        <w:rPr>
          <w:i/>
          <w:iCs/>
          <w:sz w:val="28"/>
          <w:szCs w:val="28"/>
        </w:rPr>
        <w:t>Jesus Christ and Mythology</w:t>
      </w:r>
      <w:r w:rsidRPr="00D00335">
        <w:rPr>
          <w:sz w:val="28"/>
          <w:szCs w:val="28"/>
        </w:rPr>
        <w:t xml:space="preserve"> (New York: Charles Scribner’s Sons, 1958)</w:t>
      </w:r>
    </w:p>
    <w:p w14:paraId="14612598" w14:textId="77777777" w:rsidR="00D00335" w:rsidRPr="00D00335" w:rsidRDefault="00D00335" w:rsidP="00D00335">
      <w:pPr>
        <w:spacing w:after="120" w:line="360" w:lineRule="auto"/>
        <w:ind w:left="480" w:hanging="480"/>
        <w:rPr>
          <w:sz w:val="28"/>
          <w:szCs w:val="28"/>
        </w:rPr>
      </w:pPr>
      <w:r w:rsidRPr="00D00335">
        <w:rPr>
          <w:sz w:val="28"/>
          <w:szCs w:val="28"/>
        </w:rPr>
        <w:t xml:space="preserve">Bultmann, Rudolf, </w:t>
      </w:r>
      <w:r w:rsidRPr="00D00335">
        <w:rPr>
          <w:i/>
          <w:iCs/>
          <w:sz w:val="28"/>
          <w:szCs w:val="28"/>
        </w:rPr>
        <w:t>New Testament and Mythology and Other Basic Writings</w:t>
      </w:r>
      <w:r w:rsidRPr="00D00335">
        <w:rPr>
          <w:sz w:val="28"/>
          <w:szCs w:val="28"/>
        </w:rPr>
        <w:t>, ed. and trans. by Schubert M. Ogden (Philadelphia: Fortress Press, 1984)</w:t>
      </w:r>
    </w:p>
    <w:p w14:paraId="6DEBFF19" w14:textId="77777777" w:rsidR="00D00335" w:rsidRPr="00D00335" w:rsidRDefault="00D00335" w:rsidP="00D00335">
      <w:pPr>
        <w:spacing w:after="120" w:line="360" w:lineRule="auto"/>
        <w:ind w:left="480" w:hanging="480"/>
        <w:rPr>
          <w:sz w:val="28"/>
          <w:szCs w:val="28"/>
        </w:rPr>
      </w:pPr>
      <w:r w:rsidRPr="00D00335">
        <w:rPr>
          <w:sz w:val="28"/>
          <w:szCs w:val="28"/>
        </w:rPr>
        <w:t xml:space="preserve">Dorrien, Gary, </w:t>
      </w:r>
      <w:r w:rsidRPr="00D00335">
        <w:rPr>
          <w:i/>
          <w:iCs/>
          <w:sz w:val="28"/>
          <w:szCs w:val="28"/>
        </w:rPr>
        <w:t>Kantian Reason and Hegelian Spirit: The Idealistic Logic of Modern Theology</w:t>
      </w:r>
      <w:r w:rsidRPr="00D00335">
        <w:rPr>
          <w:sz w:val="28"/>
          <w:szCs w:val="28"/>
        </w:rPr>
        <w:t xml:space="preserve"> (Chichester: Wiley-Blackwell, 2012)</w:t>
      </w:r>
    </w:p>
    <w:p w14:paraId="11A65BD8" w14:textId="77777777" w:rsidR="00D00335" w:rsidRPr="00D00335" w:rsidRDefault="00D00335" w:rsidP="00D00335">
      <w:pPr>
        <w:spacing w:after="120" w:line="360" w:lineRule="auto"/>
        <w:ind w:left="480" w:hanging="480"/>
        <w:rPr>
          <w:sz w:val="28"/>
          <w:szCs w:val="28"/>
        </w:rPr>
      </w:pPr>
      <w:r w:rsidRPr="00D00335">
        <w:rPr>
          <w:sz w:val="28"/>
          <w:szCs w:val="28"/>
        </w:rPr>
        <w:t xml:space="preserve">Gerrish, B. A., </w:t>
      </w:r>
      <w:r w:rsidRPr="00D00335">
        <w:rPr>
          <w:i/>
          <w:iCs/>
          <w:sz w:val="28"/>
          <w:szCs w:val="28"/>
        </w:rPr>
        <w:t>A Prince of the Church: Schleiermacher and the Beginnings of Modern Theology</w:t>
      </w:r>
      <w:r w:rsidRPr="00D00335">
        <w:rPr>
          <w:sz w:val="28"/>
          <w:szCs w:val="28"/>
        </w:rPr>
        <w:t xml:space="preserve"> (Philadelphia: Fortress Press, 1984)</w:t>
      </w:r>
    </w:p>
    <w:p w14:paraId="361E2764" w14:textId="77777777" w:rsidR="00D00335" w:rsidRPr="00D00335" w:rsidRDefault="00D00335" w:rsidP="00D00335">
      <w:pPr>
        <w:spacing w:after="120" w:line="360" w:lineRule="auto"/>
        <w:ind w:left="480" w:hanging="480"/>
        <w:rPr>
          <w:sz w:val="28"/>
          <w:szCs w:val="28"/>
        </w:rPr>
      </w:pPr>
      <w:r w:rsidRPr="00D00335">
        <w:rPr>
          <w:sz w:val="28"/>
          <w:szCs w:val="28"/>
        </w:rPr>
        <w:t xml:space="preserve">McGrath, Alister E., </w:t>
      </w:r>
      <w:r w:rsidRPr="00D00335">
        <w:rPr>
          <w:i/>
          <w:iCs/>
          <w:sz w:val="28"/>
          <w:szCs w:val="28"/>
        </w:rPr>
        <w:t>The Making of Modern German Christology 1750-1990</w:t>
      </w:r>
      <w:r w:rsidRPr="00D00335">
        <w:rPr>
          <w:sz w:val="28"/>
          <w:szCs w:val="28"/>
        </w:rPr>
        <w:t xml:space="preserve">, 2nd </w:t>
      </w:r>
      <w:proofErr w:type="spellStart"/>
      <w:r w:rsidRPr="00D00335">
        <w:rPr>
          <w:sz w:val="28"/>
          <w:szCs w:val="28"/>
        </w:rPr>
        <w:t>edn</w:t>
      </w:r>
      <w:proofErr w:type="spellEnd"/>
      <w:r w:rsidRPr="00D00335">
        <w:rPr>
          <w:sz w:val="28"/>
          <w:szCs w:val="28"/>
        </w:rPr>
        <w:t xml:space="preserve"> (Grand Rapids: Zondervan, 1994)</w:t>
      </w:r>
    </w:p>
    <w:p w14:paraId="3DD9EA77" w14:textId="77777777" w:rsidR="00D00335" w:rsidRPr="00D00335" w:rsidRDefault="00D00335" w:rsidP="00D00335">
      <w:pPr>
        <w:spacing w:after="120" w:line="360" w:lineRule="auto"/>
        <w:ind w:left="480" w:hanging="480"/>
        <w:rPr>
          <w:sz w:val="28"/>
          <w:szCs w:val="28"/>
        </w:rPr>
      </w:pPr>
      <w:r w:rsidRPr="00D00335">
        <w:rPr>
          <w:sz w:val="28"/>
          <w:szCs w:val="28"/>
        </w:rPr>
        <w:t xml:space="preserve">Richmond, James, </w:t>
      </w:r>
      <w:r w:rsidRPr="00D00335">
        <w:rPr>
          <w:i/>
          <w:iCs/>
          <w:sz w:val="28"/>
          <w:szCs w:val="28"/>
        </w:rPr>
        <w:t>Ritschl: A Reappraisal</w:t>
      </w:r>
      <w:r w:rsidRPr="00D00335">
        <w:rPr>
          <w:sz w:val="28"/>
          <w:szCs w:val="28"/>
        </w:rPr>
        <w:t xml:space="preserve"> (London: Collins, 1978)</w:t>
      </w:r>
    </w:p>
    <w:p w14:paraId="6C04A77A" w14:textId="77777777" w:rsidR="00D00335" w:rsidRPr="00D00335" w:rsidRDefault="00D00335" w:rsidP="00D00335">
      <w:pPr>
        <w:spacing w:after="120" w:line="360" w:lineRule="auto"/>
        <w:ind w:left="480" w:hanging="480"/>
        <w:rPr>
          <w:sz w:val="28"/>
          <w:szCs w:val="28"/>
        </w:rPr>
      </w:pPr>
      <w:r w:rsidRPr="00D00335">
        <w:rPr>
          <w:sz w:val="28"/>
          <w:szCs w:val="28"/>
        </w:rPr>
        <w:t xml:space="preserve">Ritschl, Albrecht, </w:t>
      </w:r>
      <w:r w:rsidRPr="00D00335">
        <w:rPr>
          <w:i/>
          <w:iCs/>
          <w:sz w:val="28"/>
          <w:szCs w:val="28"/>
        </w:rPr>
        <w:t>The Christian Doctrine of Justification and Reconciliation</w:t>
      </w:r>
      <w:r w:rsidRPr="00D00335">
        <w:rPr>
          <w:sz w:val="28"/>
          <w:szCs w:val="28"/>
        </w:rPr>
        <w:t>, trans. by H. R. Mackintosh and A. B. Macaulay (Edinburgh: T&amp;T Clark, 1900)</w:t>
      </w:r>
    </w:p>
    <w:p w14:paraId="0999E1C5" w14:textId="77777777" w:rsidR="00D00335" w:rsidRPr="00D00335" w:rsidRDefault="00D00335" w:rsidP="00D00335">
      <w:pPr>
        <w:spacing w:after="120" w:line="360" w:lineRule="auto"/>
        <w:ind w:left="480" w:hanging="480"/>
        <w:rPr>
          <w:sz w:val="28"/>
          <w:szCs w:val="28"/>
        </w:rPr>
      </w:pPr>
      <w:r w:rsidRPr="00D00335">
        <w:rPr>
          <w:sz w:val="28"/>
          <w:szCs w:val="28"/>
        </w:rPr>
        <w:t xml:space="preserve">Schleiermacher, Friedrich, </w:t>
      </w:r>
      <w:r w:rsidRPr="00D00335">
        <w:rPr>
          <w:i/>
          <w:iCs/>
          <w:sz w:val="28"/>
          <w:szCs w:val="28"/>
        </w:rPr>
        <w:t>The Christian Faith</w:t>
      </w:r>
      <w:r w:rsidRPr="00D00335">
        <w:rPr>
          <w:sz w:val="28"/>
          <w:szCs w:val="28"/>
        </w:rPr>
        <w:t>, trans. by H. R. Mackintosh and J. S. Stewart (Edinburgh: T&amp;T Clark, 1928)</w:t>
      </w:r>
    </w:p>
    <w:p w14:paraId="6F76EC26" w14:textId="77777777" w:rsidR="00D00335" w:rsidRPr="00D00335" w:rsidRDefault="00D00335" w:rsidP="00D00335">
      <w:pPr>
        <w:spacing w:after="120" w:line="360" w:lineRule="auto"/>
        <w:ind w:left="480" w:hanging="480"/>
        <w:rPr>
          <w:sz w:val="28"/>
          <w:szCs w:val="28"/>
        </w:rPr>
      </w:pPr>
      <w:r w:rsidRPr="00D00335">
        <w:rPr>
          <w:sz w:val="28"/>
          <w:szCs w:val="28"/>
        </w:rPr>
        <w:t xml:space="preserve">Schleiermacher, Friedrich, </w:t>
      </w:r>
      <w:r w:rsidRPr="00D00335">
        <w:rPr>
          <w:i/>
          <w:iCs/>
          <w:sz w:val="28"/>
          <w:szCs w:val="28"/>
        </w:rPr>
        <w:t>On Religion: Speeches to Its Cultured Despisers</w:t>
      </w:r>
      <w:r w:rsidRPr="00D00335">
        <w:rPr>
          <w:sz w:val="28"/>
          <w:szCs w:val="28"/>
        </w:rPr>
        <w:t>, trans. by Richard Crouter (Cambridge: Cambridge University Press, 1996)</w:t>
      </w:r>
    </w:p>
    <w:p w14:paraId="404E66BD" w14:textId="77777777" w:rsidR="00D00335" w:rsidRPr="00D00335" w:rsidRDefault="00D00335" w:rsidP="00D00335">
      <w:pPr>
        <w:spacing w:after="120" w:line="360" w:lineRule="auto"/>
        <w:ind w:left="480" w:hanging="480"/>
        <w:rPr>
          <w:sz w:val="28"/>
          <w:szCs w:val="28"/>
        </w:rPr>
      </w:pPr>
      <w:r w:rsidRPr="00D00335">
        <w:rPr>
          <w:sz w:val="28"/>
          <w:szCs w:val="28"/>
        </w:rPr>
        <w:t xml:space="preserve">Tillich, Paul, </w:t>
      </w:r>
      <w:r w:rsidRPr="00D00335">
        <w:rPr>
          <w:i/>
          <w:iCs/>
          <w:sz w:val="28"/>
          <w:szCs w:val="28"/>
        </w:rPr>
        <w:t>Systematic Theology</w:t>
      </w:r>
      <w:r w:rsidRPr="00D00335">
        <w:rPr>
          <w:sz w:val="28"/>
          <w:szCs w:val="28"/>
        </w:rPr>
        <w:t>, 3 vols (Chicago: University of Chicago Press, 1951-63)</w:t>
      </w:r>
    </w:p>
    <w:p w14:paraId="1AC84118" w14:textId="77777777" w:rsidR="00D00335" w:rsidRPr="00D00335" w:rsidRDefault="00D00335" w:rsidP="00D00335">
      <w:pPr>
        <w:spacing w:after="120" w:line="360" w:lineRule="auto"/>
        <w:ind w:left="480" w:hanging="480"/>
        <w:rPr>
          <w:sz w:val="28"/>
          <w:szCs w:val="28"/>
        </w:rPr>
      </w:pPr>
      <w:r w:rsidRPr="00D00335">
        <w:rPr>
          <w:sz w:val="28"/>
          <w:szCs w:val="28"/>
        </w:rPr>
        <w:t xml:space="preserve">Troeltsch, Ernst, </w:t>
      </w:r>
      <w:r w:rsidRPr="00D00335">
        <w:rPr>
          <w:i/>
          <w:iCs/>
          <w:sz w:val="28"/>
          <w:szCs w:val="28"/>
        </w:rPr>
        <w:t>The Absoluteness of Christianity and the History of Religions</w:t>
      </w:r>
      <w:r w:rsidRPr="00D00335">
        <w:rPr>
          <w:sz w:val="28"/>
          <w:szCs w:val="28"/>
        </w:rPr>
        <w:t>, trans. by David Reid (Richmond, VA: John Knox Press, 1971)</w:t>
      </w:r>
    </w:p>
    <w:p w14:paraId="0F7606CB" w14:textId="77777777" w:rsidR="00D00335" w:rsidRPr="00D00335" w:rsidRDefault="00D00335" w:rsidP="00D00335">
      <w:pPr>
        <w:spacing w:after="120" w:line="360" w:lineRule="auto"/>
        <w:ind w:left="480" w:hanging="480"/>
        <w:rPr>
          <w:sz w:val="28"/>
          <w:szCs w:val="28"/>
        </w:rPr>
      </w:pPr>
      <w:r w:rsidRPr="00D00335">
        <w:rPr>
          <w:sz w:val="28"/>
          <w:szCs w:val="28"/>
        </w:rPr>
        <w:lastRenderedPageBreak/>
        <w:t xml:space="preserve">Troeltsch, Ernst, </w:t>
      </w:r>
      <w:r w:rsidRPr="00D00335">
        <w:rPr>
          <w:i/>
          <w:iCs/>
          <w:sz w:val="28"/>
          <w:szCs w:val="28"/>
        </w:rPr>
        <w:t>Religion in History</w:t>
      </w:r>
      <w:r w:rsidRPr="00D00335">
        <w:rPr>
          <w:sz w:val="28"/>
          <w:szCs w:val="28"/>
        </w:rPr>
        <w:t>, trans. by James Luther Adams and Walter F. Bense (Minneapolis: Fortress Press, 1991)</w:t>
      </w:r>
    </w:p>
    <w:p w14:paraId="3DEF61C1" w14:textId="77777777" w:rsidR="00D00335" w:rsidRPr="00D00335" w:rsidRDefault="00D00335" w:rsidP="00D00335">
      <w:pPr>
        <w:spacing w:after="120" w:line="360" w:lineRule="auto"/>
        <w:ind w:left="480" w:hanging="480"/>
        <w:rPr>
          <w:sz w:val="28"/>
          <w:szCs w:val="28"/>
        </w:rPr>
      </w:pPr>
      <w:r w:rsidRPr="00D00335">
        <w:rPr>
          <w:sz w:val="28"/>
          <w:szCs w:val="28"/>
        </w:rPr>
        <w:t xml:space="preserve">Welch, Claude, </w:t>
      </w:r>
      <w:r w:rsidRPr="00D00335">
        <w:rPr>
          <w:i/>
          <w:iCs/>
          <w:sz w:val="28"/>
          <w:szCs w:val="28"/>
        </w:rPr>
        <w:t>Protestant Thought in the Nineteenth Century</w:t>
      </w:r>
      <w:r w:rsidRPr="00D00335">
        <w:rPr>
          <w:sz w:val="28"/>
          <w:szCs w:val="28"/>
        </w:rPr>
        <w:t>, 2 vols (New Haven: Yale University Press, 1972-85)</w:t>
      </w:r>
    </w:p>
    <w:p w14:paraId="7F65558D" w14:textId="77777777" w:rsidR="00D00335" w:rsidRPr="00D00335" w:rsidRDefault="00D00335">
      <w:pPr>
        <w:pStyle w:val="Heading1"/>
        <w:spacing w:after="200"/>
        <w:rPr>
          <w:b/>
          <w:bCs/>
          <w:color w:val="000000" w:themeColor="text1"/>
          <w:sz w:val="28"/>
          <w:szCs w:val="28"/>
        </w:rPr>
      </w:pPr>
    </w:p>
    <w:p w14:paraId="4AED47FF" w14:textId="77777777" w:rsidR="00D00335" w:rsidRDefault="00D00335">
      <w:pPr>
        <w:pStyle w:val="Heading1"/>
        <w:spacing w:after="200"/>
        <w:rPr>
          <w:b/>
          <w:bCs/>
          <w:color w:val="000000" w:themeColor="text1"/>
          <w:sz w:val="26"/>
          <w:szCs w:val="26"/>
        </w:rPr>
      </w:pPr>
    </w:p>
    <w:p w14:paraId="0C70213C" w14:textId="77777777" w:rsidR="00D00335" w:rsidRDefault="00D00335">
      <w:pPr>
        <w:pStyle w:val="Heading1"/>
        <w:spacing w:after="200"/>
        <w:rPr>
          <w:b/>
          <w:bCs/>
          <w:color w:val="000000" w:themeColor="text1"/>
          <w:sz w:val="26"/>
          <w:szCs w:val="26"/>
        </w:rPr>
      </w:pPr>
    </w:p>
    <w:p w14:paraId="58C4A126" w14:textId="77777777" w:rsidR="00D00335" w:rsidRDefault="00D00335">
      <w:pPr>
        <w:pStyle w:val="Heading1"/>
        <w:spacing w:after="200"/>
        <w:rPr>
          <w:b/>
          <w:bCs/>
          <w:color w:val="000000" w:themeColor="text1"/>
          <w:sz w:val="26"/>
          <w:szCs w:val="26"/>
        </w:rPr>
      </w:pPr>
    </w:p>
    <w:p w14:paraId="39AEEA4D" w14:textId="19B3D933" w:rsidR="00B86393" w:rsidRDefault="00B86393">
      <w:pPr>
        <w:spacing w:after="120" w:line="360" w:lineRule="auto"/>
        <w:ind w:left="340" w:hanging="340"/>
      </w:pPr>
    </w:p>
    <w:sectPr w:rsidR="00B8639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DEBA3" w14:textId="77777777" w:rsidR="00E27159" w:rsidRDefault="00E27159">
      <w:r>
        <w:separator/>
      </w:r>
    </w:p>
  </w:endnote>
  <w:endnote w:type="continuationSeparator" w:id="0">
    <w:p w14:paraId="372C1E11" w14:textId="77777777" w:rsidR="00E27159" w:rsidRDefault="00E271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71781E" w14:textId="77777777" w:rsidR="00E27159" w:rsidRDefault="00E27159">
      <w:r>
        <w:separator/>
      </w:r>
    </w:p>
  </w:footnote>
  <w:footnote w:type="continuationSeparator" w:id="0">
    <w:p w14:paraId="59EDA313" w14:textId="77777777" w:rsidR="00E27159" w:rsidRDefault="00E271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544950"/>
    <w:multiLevelType w:val="hybridMultilevel"/>
    <w:tmpl w:val="DFFC4A9C"/>
    <w:lvl w:ilvl="0" w:tplc="9E4EC43A">
      <w:start w:val="1"/>
      <w:numFmt w:val="bullet"/>
      <w:lvlText w:val="●"/>
      <w:lvlJc w:val="left"/>
      <w:pPr>
        <w:ind w:left="720" w:hanging="360"/>
      </w:pPr>
    </w:lvl>
    <w:lvl w:ilvl="1" w:tplc="7A0827C4">
      <w:start w:val="1"/>
      <w:numFmt w:val="bullet"/>
      <w:lvlText w:val="○"/>
      <w:lvlJc w:val="left"/>
      <w:pPr>
        <w:ind w:left="1440" w:hanging="360"/>
      </w:pPr>
    </w:lvl>
    <w:lvl w:ilvl="2" w:tplc="03E608AA">
      <w:start w:val="1"/>
      <w:numFmt w:val="bullet"/>
      <w:lvlText w:val="■"/>
      <w:lvlJc w:val="left"/>
      <w:pPr>
        <w:ind w:left="2160" w:hanging="360"/>
      </w:pPr>
    </w:lvl>
    <w:lvl w:ilvl="3" w:tplc="ACAE36DE">
      <w:start w:val="1"/>
      <w:numFmt w:val="bullet"/>
      <w:lvlText w:val="●"/>
      <w:lvlJc w:val="left"/>
      <w:pPr>
        <w:ind w:left="2880" w:hanging="360"/>
      </w:pPr>
    </w:lvl>
    <w:lvl w:ilvl="4" w:tplc="485E8E5A">
      <w:start w:val="1"/>
      <w:numFmt w:val="bullet"/>
      <w:lvlText w:val="○"/>
      <w:lvlJc w:val="left"/>
      <w:pPr>
        <w:ind w:left="3600" w:hanging="360"/>
      </w:pPr>
    </w:lvl>
    <w:lvl w:ilvl="5" w:tplc="7F345124">
      <w:start w:val="1"/>
      <w:numFmt w:val="bullet"/>
      <w:lvlText w:val="■"/>
      <w:lvlJc w:val="left"/>
      <w:pPr>
        <w:ind w:left="4320" w:hanging="360"/>
      </w:pPr>
    </w:lvl>
    <w:lvl w:ilvl="6" w:tplc="5FB2951C">
      <w:start w:val="1"/>
      <w:numFmt w:val="bullet"/>
      <w:lvlText w:val="●"/>
      <w:lvlJc w:val="left"/>
      <w:pPr>
        <w:ind w:left="5040" w:hanging="360"/>
      </w:pPr>
    </w:lvl>
    <w:lvl w:ilvl="7" w:tplc="DB9A4A86">
      <w:start w:val="1"/>
      <w:numFmt w:val="bullet"/>
      <w:lvlText w:val="●"/>
      <w:lvlJc w:val="left"/>
      <w:pPr>
        <w:ind w:left="5760" w:hanging="360"/>
      </w:pPr>
    </w:lvl>
    <w:lvl w:ilvl="8" w:tplc="4B32343E">
      <w:start w:val="1"/>
      <w:numFmt w:val="bullet"/>
      <w:lvlText w:val="●"/>
      <w:lvlJc w:val="left"/>
      <w:pPr>
        <w:ind w:left="6480" w:hanging="360"/>
      </w:pPr>
    </w:lvl>
  </w:abstractNum>
  <w:num w:numId="1" w16cid:durableId="17874347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393"/>
    <w:rsid w:val="002E6549"/>
    <w:rsid w:val="00485ECA"/>
    <w:rsid w:val="00B86393"/>
    <w:rsid w:val="00D00335"/>
    <w:rsid w:val="00E27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C41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Strong">
    <w:name w:val="Strong"/>
    <w:basedOn w:val="DefaultParagraphFont"/>
    <w:uiPriority w:val="22"/>
    <w:qFormat/>
    <w:rsid w:val="00D00335"/>
    <w:rPr>
      <w:b/>
      <w:bCs/>
    </w:rPr>
  </w:style>
  <w:style w:type="character" w:customStyle="1" w:styleId="Heading1Char">
    <w:name w:val="Heading 1 Char"/>
    <w:basedOn w:val="DefaultParagraphFont"/>
    <w:link w:val="Heading1"/>
    <w:uiPriority w:val="9"/>
    <w:rsid w:val="00D00335"/>
    <w:rPr>
      <w:color w:val="2E74B5"/>
      <w:sz w:val="32"/>
      <w:szCs w:val="32"/>
    </w:rPr>
  </w:style>
  <w:style w:type="paragraph" w:styleId="Header">
    <w:name w:val="header"/>
    <w:basedOn w:val="Normal"/>
    <w:link w:val="HeaderChar"/>
    <w:uiPriority w:val="99"/>
    <w:unhideWhenUsed/>
    <w:rsid w:val="002E6549"/>
    <w:pPr>
      <w:tabs>
        <w:tab w:val="center" w:pos="4513"/>
        <w:tab w:val="right" w:pos="9026"/>
      </w:tabs>
    </w:pPr>
  </w:style>
  <w:style w:type="character" w:customStyle="1" w:styleId="HeaderChar">
    <w:name w:val="Header Char"/>
    <w:basedOn w:val="DefaultParagraphFont"/>
    <w:link w:val="Header"/>
    <w:uiPriority w:val="99"/>
    <w:rsid w:val="002E6549"/>
  </w:style>
  <w:style w:type="paragraph" w:styleId="Footer">
    <w:name w:val="footer"/>
    <w:basedOn w:val="Normal"/>
    <w:link w:val="FooterChar"/>
    <w:uiPriority w:val="99"/>
    <w:unhideWhenUsed/>
    <w:rsid w:val="002E6549"/>
    <w:pPr>
      <w:tabs>
        <w:tab w:val="center" w:pos="4513"/>
        <w:tab w:val="right" w:pos="9026"/>
      </w:tabs>
    </w:pPr>
  </w:style>
  <w:style w:type="character" w:customStyle="1" w:styleId="FooterChar">
    <w:name w:val="Footer Char"/>
    <w:basedOn w:val="DefaultParagraphFont"/>
    <w:link w:val="Footer"/>
    <w:uiPriority w:val="99"/>
    <w:rsid w:val="002E65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2594</Words>
  <Characters>14688</Characters>
  <Application>Microsoft Office Word</Application>
  <DocSecurity>0</DocSecurity>
  <Lines>209</Lines>
  <Paragraphs>49</Paragraphs>
  <ScaleCrop>false</ScaleCrop>
  <Company/>
  <LinksUpToDate>false</LinksUpToDate>
  <CharactersWithSpaces>17233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2026-07-22T16:03:00Z</dcterms:created>
  <dcterms:modified xsi:type="dcterms:W3CDTF">2026-07-22T16:03:00Z</dcterms:modified>
</cp:coreProperties>
</file>