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2D827D" w14:textId="77777777" w:rsidR="005A6F76" w:rsidRPr="003F1A11" w:rsidRDefault="005A6F76" w:rsidP="005A6F76">
      <w:pPr>
        <w:spacing w:line="240" w:lineRule="auto"/>
        <w:jc w:val="center"/>
        <w:rPr>
          <w:rFonts w:cs="Times New Roman"/>
          <w:b/>
          <w:sz w:val="32"/>
          <w:szCs w:val="32"/>
        </w:rPr>
      </w:pPr>
      <w:r w:rsidRPr="003F1A11">
        <w:rPr>
          <w:rFonts w:cs="Times New Roman"/>
          <w:noProof/>
          <w:lang w:val="en-IN" w:eastAsia="en-IN" w:bidi="hi-IN"/>
        </w:rPr>
        <w:drawing>
          <wp:inline distT="0" distB="0" distL="0" distR="0" wp14:anchorId="1B5BAF67" wp14:editId="2764AFE7">
            <wp:extent cx="4503420" cy="1492250"/>
            <wp:effectExtent l="133350" t="76200" r="87630" b="127000"/>
            <wp:docPr id="868110649" name="Picture 86811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3420" cy="1492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3F3B865" w14:textId="77777777" w:rsidR="005A6F76" w:rsidRPr="003F1A11" w:rsidRDefault="005A6F76" w:rsidP="005A6F76">
      <w:pPr>
        <w:spacing w:line="240" w:lineRule="auto"/>
        <w:jc w:val="center"/>
        <w:rPr>
          <w:rFonts w:cs="Times New Roman"/>
          <w:b/>
          <w:sz w:val="32"/>
          <w:szCs w:val="32"/>
        </w:rPr>
      </w:pPr>
    </w:p>
    <w:sdt>
      <w:sdtPr>
        <w:rPr>
          <w:rFonts w:ascii="Times New Roman" w:eastAsia="Aptos" w:hAnsi="Times New Roman" w:cs="Times New Roman"/>
          <w:color w:val="4F81BD" w:themeColor="accent1"/>
          <w:kern w:val="2"/>
          <w:sz w:val="24"/>
          <w:szCs w:val="24"/>
          <w:lang w:val="en-GB" w:eastAsia="en-IN"/>
          <w14:ligatures w14:val="standardContextual"/>
        </w:rPr>
        <w:id w:val="-194394175"/>
        <w:docPartObj>
          <w:docPartGallery w:val="Cover Pages"/>
          <w:docPartUnique/>
        </w:docPartObj>
      </w:sdtPr>
      <w:sdtEndPr>
        <w:rPr>
          <w:rFonts w:ascii="Arial" w:eastAsia="Arial" w:hAnsi="Arial"/>
          <w:b/>
          <w:color w:val="auto"/>
          <w:kern w:val="0"/>
          <w:sz w:val="28"/>
          <w:szCs w:val="28"/>
          <w:lang w:eastAsia="en-US"/>
          <w14:ligatures w14:val="none"/>
        </w:rPr>
      </w:sdtEndPr>
      <w:sdtContent>
        <w:sdt>
          <w:sdtPr>
            <w:rPr>
              <w:rFonts w:ascii="Times New Roman" w:hAnsi="Times New Roman" w:cs="Times New Roman"/>
              <w:b/>
              <w:bCs/>
              <w:color w:val="92CDDC" w:themeColor="accent5" w:themeTint="99"/>
              <w:sz w:val="52"/>
              <w:szCs w:val="52"/>
              <w:lang w:val="en-IN"/>
            </w:rPr>
            <w:alias w:val="Title"/>
            <w:tag w:val=""/>
            <w:id w:val="1735040861"/>
            <w:placeholder>
              <w:docPart w:val="55420BBCD40344E281B3E4ED78784032"/>
            </w:placeholder>
            <w:dataBinding w:prefixMappings="xmlns:ns0='http://purl.org/dc/elements/1.1/' xmlns:ns1='http://schemas.openxmlformats.org/package/2006/metadata/core-properties' " w:xpath="/ns1:coreProperties[1]/ns0:title[1]" w:storeItemID="{6C3C8BC8-F283-45AE-878A-BAB7291924A1}"/>
            <w:text/>
          </w:sdtPr>
          <w:sdtEndPr/>
          <w:sdtContent>
            <w:p w14:paraId="47F5E35E" w14:textId="6E805D82" w:rsidR="005A6F76" w:rsidRPr="003F1A11" w:rsidRDefault="005A6F76" w:rsidP="005A6F76">
              <w:pPr>
                <w:pStyle w:val="NoSpacing"/>
                <w:pBdr>
                  <w:top w:val="single" w:sz="6" w:space="6" w:color="4F81BD" w:themeColor="accent1"/>
                  <w:bottom w:val="single" w:sz="6" w:space="6" w:color="4F81BD" w:themeColor="accent1"/>
                </w:pBdr>
                <w:spacing w:after="240" w:line="360" w:lineRule="auto"/>
                <w:jc w:val="center"/>
                <w:rPr>
                  <w:rFonts w:ascii="Times New Roman" w:eastAsiaTheme="majorEastAsia" w:hAnsi="Times New Roman" w:cs="Times New Roman"/>
                  <w:caps/>
                  <w:color w:val="4F81BD" w:themeColor="accent1"/>
                  <w:sz w:val="80"/>
                  <w:szCs w:val="80"/>
                </w:rPr>
              </w:pPr>
              <w:r w:rsidRPr="00653B8F">
                <w:rPr>
                  <w:rFonts w:ascii="Times New Roman" w:hAnsi="Times New Roman" w:cs="Times New Roman"/>
                  <w:b/>
                  <w:bCs/>
                  <w:color w:val="92CDDC" w:themeColor="accent5" w:themeTint="99"/>
                  <w:sz w:val="52"/>
                  <w:szCs w:val="52"/>
                  <w:lang w:val="en-IN"/>
                </w:rPr>
                <w:t>FINANCIAL MANAGEMENT</w:t>
              </w:r>
            </w:p>
          </w:sdtContent>
        </w:sdt>
        <w:p w14:paraId="3F205D79" w14:textId="77777777" w:rsidR="005A6F76" w:rsidRPr="003F1A11" w:rsidRDefault="005A6F76" w:rsidP="005A6F76">
          <w:pPr>
            <w:jc w:val="center"/>
            <w:rPr>
              <w:rFonts w:cs="Times New Roman"/>
              <w:b/>
              <w:bCs/>
              <w:i/>
              <w:iCs/>
              <w:noProof/>
              <w:sz w:val="12"/>
              <w:szCs w:val="12"/>
              <w:lang w:val="en-IN" w:eastAsia="en-IN" w:bidi="hi-IN"/>
            </w:rPr>
          </w:pPr>
        </w:p>
        <w:p w14:paraId="57AEBA01" w14:textId="77777777" w:rsidR="005A6F76" w:rsidRPr="003F1A11" w:rsidRDefault="005A6F76" w:rsidP="005A6F76">
          <w:pPr>
            <w:spacing w:line="480" w:lineRule="auto"/>
            <w:jc w:val="center"/>
          </w:pPr>
          <w:r>
            <w:rPr>
              <w:noProof/>
              <w:lang w:val="en-IN" w:eastAsia="en-IN" w:bidi="hi-IN"/>
            </w:rPr>
            <w:drawing>
              <wp:inline distT="0" distB="0" distL="0" distR="0" wp14:anchorId="5CBCEE35" wp14:editId="570B576C">
                <wp:extent cx="3623946" cy="241583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men-hands-white-table-with-documents-draft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0213" cy="2420008"/>
                        </a:xfrm>
                        <a:prstGeom prst="rect">
                          <a:avLst/>
                        </a:prstGeom>
                      </pic:spPr>
                    </pic:pic>
                  </a:graphicData>
                </a:graphic>
              </wp:inline>
            </w:drawing>
          </w:r>
        </w:p>
        <w:p w14:paraId="6522AA67" w14:textId="77777777" w:rsidR="005A6F76" w:rsidRPr="003F1A11" w:rsidRDefault="005A6F76" w:rsidP="005A6F76">
          <w:pPr>
            <w:spacing w:line="480" w:lineRule="auto"/>
            <w:jc w:val="center"/>
            <w:rPr>
              <w:rFonts w:cs="Times New Roman"/>
              <w:b/>
              <w:bCs/>
              <w:i/>
              <w:iCs/>
              <w:sz w:val="12"/>
              <w:szCs w:val="12"/>
            </w:rPr>
          </w:pPr>
        </w:p>
        <w:p w14:paraId="7DF01CC9" w14:textId="77777777" w:rsidR="005A6F76" w:rsidRPr="003F1A11" w:rsidRDefault="005A6F76" w:rsidP="005A6F76">
          <w:pPr>
            <w:spacing w:line="480" w:lineRule="auto"/>
            <w:jc w:val="center"/>
            <w:rPr>
              <w:rFonts w:cs="Times New Roman"/>
              <w:i/>
              <w:iCs/>
              <w:sz w:val="28"/>
              <w:szCs w:val="28"/>
            </w:rPr>
          </w:pPr>
          <w:r w:rsidRPr="003F1A11">
            <w:rPr>
              <w:rFonts w:cs="Times New Roman"/>
              <w:sz w:val="28"/>
              <w:szCs w:val="28"/>
            </w:rPr>
            <w:t>Student Name:</w:t>
          </w:r>
          <w:r w:rsidRPr="003F1A11">
            <w:rPr>
              <w:rFonts w:cs="Times New Roman"/>
              <w:b/>
              <w:bCs/>
              <w:i/>
              <w:iCs/>
              <w:sz w:val="28"/>
              <w:szCs w:val="28"/>
            </w:rPr>
            <w:t xml:space="preserve"> </w:t>
          </w:r>
          <w:proofErr w:type="spellStart"/>
          <w:r>
            <w:rPr>
              <w:rFonts w:cs="Times New Roman"/>
              <w:b/>
              <w:bCs/>
              <w:sz w:val="28"/>
              <w:szCs w:val="28"/>
            </w:rPr>
            <w:t>Fennyben</w:t>
          </w:r>
          <w:proofErr w:type="spellEnd"/>
          <w:r>
            <w:rPr>
              <w:rFonts w:cs="Times New Roman"/>
              <w:b/>
              <w:bCs/>
              <w:sz w:val="28"/>
              <w:szCs w:val="28"/>
            </w:rPr>
            <w:t xml:space="preserve"> </w:t>
          </w:r>
          <w:proofErr w:type="spellStart"/>
          <w:r>
            <w:rPr>
              <w:rFonts w:cs="Times New Roman"/>
              <w:b/>
              <w:bCs/>
              <w:sz w:val="28"/>
              <w:szCs w:val="28"/>
            </w:rPr>
            <w:t>Vijaykumar</w:t>
          </w:r>
          <w:proofErr w:type="spellEnd"/>
          <w:r>
            <w:rPr>
              <w:rFonts w:cs="Times New Roman"/>
              <w:b/>
              <w:bCs/>
              <w:sz w:val="28"/>
              <w:szCs w:val="28"/>
            </w:rPr>
            <w:t xml:space="preserve"> </w:t>
          </w:r>
          <w:proofErr w:type="spellStart"/>
          <w:r>
            <w:rPr>
              <w:rFonts w:cs="Times New Roman"/>
              <w:b/>
              <w:bCs/>
              <w:sz w:val="28"/>
              <w:szCs w:val="28"/>
            </w:rPr>
            <w:t>Surti</w:t>
          </w:r>
          <w:proofErr w:type="spellEnd"/>
        </w:p>
        <w:p w14:paraId="7F8D5662" w14:textId="77777777" w:rsidR="005A6F76" w:rsidRPr="003F1A11" w:rsidRDefault="005A6F76" w:rsidP="005A6F76">
          <w:pPr>
            <w:spacing w:line="480" w:lineRule="auto"/>
            <w:jc w:val="center"/>
            <w:rPr>
              <w:rFonts w:cs="Times New Roman"/>
              <w:b/>
              <w:bCs/>
              <w:sz w:val="28"/>
              <w:szCs w:val="28"/>
            </w:rPr>
          </w:pPr>
          <w:r w:rsidRPr="003F1A11">
            <w:rPr>
              <w:rFonts w:cs="Times New Roman"/>
              <w:sz w:val="28"/>
              <w:szCs w:val="28"/>
            </w:rPr>
            <w:t>Student ID Number</w:t>
          </w:r>
          <w:r w:rsidRPr="003F1A11">
            <w:rPr>
              <w:rFonts w:cs="Times New Roman"/>
              <w:b/>
              <w:bCs/>
              <w:i/>
              <w:iCs/>
              <w:sz w:val="28"/>
              <w:szCs w:val="28"/>
            </w:rPr>
            <w:t xml:space="preserve">: </w:t>
          </w:r>
          <w:r>
            <w:rPr>
              <w:rFonts w:cs="Times New Roman"/>
              <w:b/>
              <w:bCs/>
              <w:sz w:val="28"/>
              <w:szCs w:val="28"/>
            </w:rPr>
            <w:t>2534403</w:t>
          </w:r>
        </w:p>
        <w:p w14:paraId="6C37E81B" w14:textId="77777777" w:rsidR="005A6F76" w:rsidRPr="003F1A11" w:rsidRDefault="005A6F76" w:rsidP="005A6F76">
          <w:pPr>
            <w:spacing w:line="480" w:lineRule="auto"/>
            <w:jc w:val="center"/>
            <w:rPr>
              <w:rFonts w:cs="Times New Roman"/>
              <w:i/>
              <w:iCs/>
              <w:sz w:val="28"/>
              <w:szCs w:val="28"/>
            </w:rPr>
          </w:pPr>
          <w:r w:rsidRPr="003F1A11">
            <w:rPr>
              <w:rFonts w:cs="Times New Roman"/>
              <w:sz w:val="28"/>
              <w:szCs w:val="28"/>
            </w:rPr>
            <w:t>Course Name</w:t>
          </w:r>
          <w:r w:rsidRPr="003F1A11">
            <w:rPr>
              <w:rFonts w:cs="Times New Roman"/>
              <w:b/>
              <w:bCs/>
              <w:i/>
              <w:iCs/>
              <w:sz w:val="28"/>
              <w:szCs w:val="28"/>
            </w:rPr>
            <w:t>:</w:t>
          </w:r>
          <w:r w:rsidRPr="003F1A11">
            <w:rPr>
              <w:rFonts w:cs="Times New Roman"/>
              <w:i/>
              <w:iCs/>
              <w:sz w:val="28"/>
              <w:szCs w:val="28"/>
            </w:rPr>
            <w:t xml:space="preserve"> </w:t>
          </w:r>
          <w:r>
            <w:rPr>
              <w:rFonts w:cs="Times New Roman"/>
              <w:b/>
              <w:bCs/>
              <w:sz w:val="28"/>
              <w:szCs w:val="28"/>
            </w:rPr>
            <w:t>MBA International Business Management</w:t>
          </w:r>
        </w:p>
        <w:p w14:paraId="37D0536A" w14:textId="5288F7A9" w:rsidR="005A6F76" w:rsidRPr="003F1A11" w:rsidRDefault="005A6F76" w:rsidP="005A6F76">
          <w:pPr>
            <w:spacing w:line="480" w:lineRule="auto"/>
            <w:jc w:val="center"/>
            <w:rPr>
              <w:rFonts w:cs="Times New Roman"/>
              <w:i/>
              <w:iCs/>
              <w:sz w:val="28"/>
              <w:szCs w:val="28"/>
            </w:rPr>
          </w:pPr>
          <w:r w:rsidRPr="003F1A11">
            <w:rPr>
              <w:rFonts w:cs="Times New Roman"/>
              <w:sz w:val="28"/>
              <w:szCs w:val="28"/>
            </w:rPr>
            <w:t>Lecturer Name</w:t>
          </w:r>
          <w:r w:rsidR="00C57735">
            <w:rPr>
              <w:rFonts w:cs="Times New Roman"/>
              <w:b/>
              <w:bCs/>
              <w:i/>
              <w:iCs/>
              <w:sz w:val="28"/>
              <w:szCs w:val="28"/>
            </w:rPr>
            <w:t>:</w:t>
          </w:r>
          <w:r w:rsidR="00C57735" w:rsidRPr="00C57735">
            <w:rPr>
              <w:rFonts w:cs="Times New Roman"/>
              <w:b/>
              <w:bCs/>
              <w:sz w:val="28"/>
              <w:szCs w:val="28"/>
            </w:rPr>
            <w:t xml:space="preserve"> </w:t>
          </w:r>
          <w:bookmarkStart w:id="0" w:name="_GoBack"/>
          <w:bookmarkEnd w:id="0"/>
          <w:r w:rsidR="00C57735">
            <w:rPr>
              <w:rFonts w:cs="Times New Roman"/>
              <w:b/>
              <w:bCs/>
              <w:sz w:val="28"/>
              <w:szCs w:val="28"/>
            </w:rPr>
            <w:t xml:space="preserve">MD </w:t>
          </w:r>
          <w:proofErr w:type="spellStart"/>
          <w:r w:rsidR="00C57735">
            <w:rPr>
              <w:rFonts w:cs="Times New Roman"/>
              <w:b/>
              <w:bCs/>
              <w:sz w:val="28"/>
              <w:szCs w:val="28"/>
            </w:rPr>
            <w:t>kalam</w:t>
          </w:r>
          <w:proofErr w:type="spellEnd"/>
        </w:p>
        <w:p w14:paraId="4E1CC9DF" w14:textId="77777777" w:rsidR="005A6F76" w:rsidRPr="003F1A11" w:rsidRDefault="005A6F76" w:rsidP="005A6F76">
          <w:pPr>
            <w:spacing w:line="480" w:lineRule="auto"/>
            <w:jc w:val="center"/>
            <w:rPr>
              <w:rFonts w:cs="Times New Roman"/>
              <w:sz w:val="28"/>
              <w:szCs w:val="28"/>
            </w:rPr>
          </w:pPr>
          <w:r w:rsidRPr="003F1A11">
            <w:rPr>
              <w:rFonts w:cs="Times New Roman"/>
              <w:sz w:val="28"/>
              <w:szCs w:val="28"/>
            </w:rPr>
            <w:t>Term</w:t>
          </w:r>
          <w:r w:rsidRPr="003F1A11">
            <w:rPr>
              <w:rFonts w:cs="Times New Roman"/>
              <w:i/>
              <w:iCs/>
              <w:sz w:val="28"/>
              <w:szCs w:val="28"/>
            </w:rPr>
            <w:t xml:space="preserve">: </w:t>
          </w:r>
          <w:r>
            <w:rPr>
              <w:rFonts w:cs="Times New Roman"/>
              <w:b/>
              <w:bCs/>
              <w:sz w:val="28"/>
              <w:szCs w:val="28"/>
            </w:rPr>
            <w:t>June 2026</w:t>
          </w:r>
        </w:p>
        <w:p w14:paraId="41794AFA" w14:textId="0E3333D7" w:rsidR="005A6F76" w:rsidRPr="003F1A11" w:rsidRDefault="005A6F76" w:rsidP="005A6F76">
          <w:pPr>
            <w:spacing w:line="480" w:lineRule="auto"/>
            <w:jc w:val="center"/>
            <w:rPr>
              <w:rFonts w:cs="Times New Roman"/>
              <w:b/>
              <w:bCs/>
              <w:i/>
              <w:iCs/>
              <w:sz w:val="28"/>
              <w:szCs w:val="28"/>
              <w:lang w:bidi="gu-IN"/>
            </w:rPr>
          </w:pPr>
          <w:r w:rsidRPr="003F1A11">
            <w:rPr>
              <w:rFonts w:cs="Times New Roman"/>
              <w:sz w:val="28"/>
              <w:szCs w:val="28"/>
            </w:rPr>
            <w:t>Word count</w:t>
          </w:r>
          <w:r>
            <w:rPr>
              <w:rFonts w:cs="Times New Roman"/>
              <w:b/>
              <w:bCs/>
              <w:sz w:val="28"/>
              <w:szCs w:val="28"/>
            </w:rPr>
            <w:t>: 5226</w:t>
          </w:r>
        </w:p>
        <w:p w14:paraId="2C52EDD1" w14:textId="189EA6E6" w:rsidR="00664A03" w:rsidRPr="005A6F76" w:rsidRDefault="005A6F76" w:rsidP="005A6F76">
          <w:pPr>
            <w:spacing w:before="120" w:after="120" w:line="480" w:lineRule="auto"/>
            <w:jc w:val="center"/>
            <w:rPr>
              <w:rFonts w:cs="Times New Roman"/>
              <w:b/>
              <w:sz w:val="28"/>
              <w:szCs w:val="28"/>
            </w:rPr>
          </w:pPr>
          <w:r w:rsidRPr="003F1A11">
            <w:rPr>
              <w:rFonts w:cs="Times New Roman"/>
              <w:sz w:val="28"/>
              <w:szCs w:val="28"/>
            </w:rPr>
            <w:t>Submission deadline</w:t>
          </w:r>
          <w:r w:rsidRPr="003F1A11">
            <w:rPr>
              <w:rFonts w:cs="Times New Roman"/>
              <w:b/>
              <w:bCs/>
              <w:i/>
              <w:iCs/>
              <w:sz w:val="28"/>
              <w:szCs w:val="28"/>
            </w:rPr>
            <w:t xml:space="preserve">: </w:t>
          </w:r>
          <w:r>
            <w:rPr>
              <w:rFonts w:cs="Times New Roman"/>
              <w:b/>
              <w:bCs/>
              <w:sz w:val="28"/>
              <w:szCs w:val="28"/>
            </w:rPr>
            <w:t>13</w:t>
          </w:r>
          <w:r>
            <w:rPr>
              <w:rFonts w:cs="Times New Roman"/>
              <w:b/>
              <w:bCs/>
              <w:sz w:val="28"/>
              <w:szCs w:val="28"/>
              <w:vertAlign w:val="superscript"/>
            </w:rPr>
            <w:t>th</w:t>
          </w:r>
          <w:r>
            <w:rPr>
              <w:rFonts w:cs="Times New Roman"/>
              <w:b/>
              <w:bCs/>
              <w:sz w:val="28"/>
              <w:szCs w:val="28"/>
            </w:rPr>
            <w:t xml:space="preserve"> August 2026</w:t>
          </w:r>
        </w:p>
      </w:sdtContent>
    </w:sdt>
    <w:sdt>
      <w:sdtPr>
        <w:rPr>
          <w:rFonts w:ascii="Arial" w:eastAsia="Arial" w:hAnsi="Arial" w:cs="Arial"/>
          <w:color w:val="auto"/>
          <w:sz w:val="22"/>
          <w:szCs w:val="22"/>
          <w:lang w:val="en-GB"/>
        </w:rPr>
        <w:id w:val="-1933117934"/>
        <w:docPartObj>
          <w:docPartGallery w:val="Table of Contents"/>
          <w:docPartUnique/>
        </w:docPartObj>
      </w:sdtPr>
      <w:sdtEndPr>
        <w:rPr>
          <w:b/>
          <w:bCs/>
          <w:noProof/>
          <w:sz w:val="24"/>
          <w:szCs w:val="24"/>
        </w:rPr>
      </w:sdtEndPr>
      <w:sdtContent>
        <w:p w14:paraId="758E62CF" w14:textId="3C488D5B" w:rsidR="00664A03" w:rsidRPr="00E805AD" w:rsidRDefault="00664A03" w:rsidP="00E805AD">
          <w:pPr>
            <w:pStyle w:val="TOCHeading"/>
            <w:spacing w:before="0" w:after="240" w:line="360" w:lineRule="auto"/>
            <w:jc w:val="center"/>
            <w:rPr>
              <w:rFonts w:ascii="Arial" w:hAnsi="Arial" w:cs="Arial"/>
              <w:b/>
              <w:bCs/>
              <w:color w:val="auto"/>
              <w:sz w:val="28"/>
              <w:szCs w:val="28"/>
            </w:rPr>
          </w:pPr>
          <w:r w:rsidRPr="00E805AD">
            <w:rPr>
              <w:rFonts w:ascii="Arial" w:hAnsi="Arial" w:cs="Arial"/>
              <w:b/>
              <w:bCs/>
              <w:color w:val="auto"/>
              <w:sz w:val="28"/>
              <w:szCs w:val="28"/>
            </w:rPr>
            <w:t>Table of Contents</w:t>
          </w:r>
        </w:p>
        <w:p w14:paraId="0FD54711" w14:textId="4AA2B8E6" w:rsidR="00E805AD" w:rsidRPr="00E805AD" w:rsidRDefault="00664A03">
          <w:pPr>
            <w:pStyle w:val="TOC1"/>
            <w:tabs>
              <w:tab w:val="right" w:leader="dot" w:pos="9019"/>
            </w:tabs>
            <w:rPr>
              <w:rFonts w:eastAsiaTheme="minorEastAsia"/>
              <w:noProof/>
              <w:sz w:val="24"/>
              <w:szCs w:val="24"/>
              <w:lang w:val="en-US"/>
            </w:rPr>
          </w:pPr>
          <w:r w:rsidRPr="00E805AD">
            <w:rPr>
              <w:sz w:val="24"/>
              <w:szCs w:val="24"/>
            </w:rPr>
            <w:fldChar w:fldCharType="begin"/>
          </w:r>
          <w:r w:rsidRPr="00E805AD">
            <w:rPr>
              <w:sz w:val="24"/>
              <w:szCs w:val="24"/>
            </w:rPr>
            <w:instrText xml:space="preserve"> TOC \o "1-3" \h \z \u </w:instrText>
          </w:r>
          <w:r w:rsidRPr="00E805AD">
            <w:rPr>
              <w:sz w:val="24"/>
              <w:szCs w:val="24"/>
            </w:rPr>
            <w:fldChar w:fldCharType="separate"/>
          </w:r>
          <w:hyperlink w:anchor="_Toc234863804" w:history="1">
            <w:r w:rsidR="00E805AD" w:rsidRPr="00E805AD">
              <w:rPr>
                <w:rStyle w:val="Hyperlink"/>
                <w:noProof/>
                <w:sz w:val="24"/>
                <w:szCs w:val="24"/>
              </w:rPr>
              <w:t>1. Introduction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_Toc234863804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3</w:t>
            </w:r>
            <w:r w:rsidR="00E805AD" w:rsidRPr="00E805AD">
              <w:rPr>
                <w:noProof/>
                <w:webHidden/>
                <w:sz w:val="24"/>
                <w:szCs w:val="24"/>
              </w:rPr>
              <w:fldChar w:fldCharType="end"/>
            </w:r>
          </w:hyperlink>
        </w:p>
        <w:p w14:paraId="041405EF" w14:textId="0AC2CE59" w:rsidR="00E805AD" w:rsidRPr="00E805AD" w:rsidRDefault="008F38BB">
          <w:pPr>
            <w:pStyle w:val="TOC1"/>
            <w:tabs>
              <w:tab w:val="right" w:leader="dot" w:pos="9019"/>
            </w:tabs>
            <w:rPr>
              <w:rFonts w:eastAsiaTheme="minorEastAsia"/>
              <w:noProof/>
              <w:sz w:val="24"/>
              <w:szCs w:val="24"/>
              <w:lang w:val="en-US"/>
            </w:rPr>
          </w:pPr>
          <w:hyperlink w:anchor="_Toc234863805" w:history="1">
            <w:r w:rsidR="00E805AD" w:rsidRPr="00E805AD">
              <w:rPr>
                <w:rStyle w:val="Hyperlink"/>
                <w:noProof/>
                <w:sz w:val="24"/>
                <w:szCs w:val="24"/>
              </w:rPr>
              <w:t>2. Financial Health Check</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_Toc234863805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3</w:t>
            </w:r>
            <w:r w:rsidR="00E805AD" w:rsidRPr="00E805AD">
              <w:rPr>
                <w:noProof/>
                <w:webHidden/>
                <w:sz w:val="24"/>
                <w:szCs w:val="24"/>
              </w:rPr>
              <w:fldChar w:fldCharType="end"/>
            </w:r>
          </w:hyperlink>
        </w:p>
        <w:p w14:paraId="0F34627E" w14:textId="10D1C0B4" w:rsidR="00E805AD" w:rsidRPr="00E805AD" w:rsidRDefault="008F38BB">
          <w:pPr>
            <w:pStyle w:val="TOC2"/>
            <w:tabs>
              <w:tab w:val="right" w:leader="dot" w:pos="9019"/>
            </w:tabs>
            <w:rPr>
              <w:rFonts w:eastAsiaTheme="minorEastAsia"/>
              <w:noProof/>
              <w:sz w:val="24"/>
              <w:szCs w:val="24"/>
              <w:lang w:val="en-US"/>
            </w:rPr>
          </w:pPr>
          <w:hyperlink w:anchor="_Toc234863806" w:history="1">
            <w:r w:rsidR="00E805AD" w:rsidRPr="00E805AD">
              <w:rPr>
                <w:rStyle w:val="Hyperlink"/>
                <w:noProof/>
                <w:sz w:val="24"/>
                <w:szCs w:val="24"/>
              </w:rPr>
              <w:t>2.1 Analyse the firm’s financial statements over the past five years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_Toc234863806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3</w:t>
            </w:r>
            <w:r w:rsidR="00E805AD" w:rsidRPr="00E805AD">
              <w:rPr>
                <w:noProof/>
                <w:webHidden/>
                <w:sz w:val="24"/>
                <w:szCs w:val="24"/>
              </w:rPr>
              <w:fldChar w:fldCharType="end"/>
            </w:r>
          </w:hyperlink>
        </w:p>
        <w:p w14:paraId="67B325E2" w14:textId="5B8CAFCB" w:rsidR="00E805AD" w:rsidRPr="00E805AD" w:rsidRDefault="008F38BB">
          <w:pPr>
            <w:pStyle w:val="TOC2"/>
            <w:tabs>
              <w:tab w:val="right" w:leader="dot" w:pos="9019"/>
            </w:tabs>
            <w:rPr>
              <w:rFonts w:eastAsiaTheme="minorEastAsia"/>
              <w:noProof/>
              <w:sz w:val="24"/>
              <w:szCs w:val="24"/>
              <w:lang w:val="en-US"/>
            </w:rPr>
          </w:pPr>
          <w:hyperlink w:anchor="_Toc234863807" w:history="1">
            <w:r w:rsidR="00E805AD" w:rsidRPr="00E805AD">
              <w:rPr>
                <w:rStyle w:val="Hyperlink"/>
                <w:noProof/>
                <w:sz w:val="24"/>
                <w:szCs w:val="24"/>
              </w:rPr>
              <w:t>2.2 Ratio analysis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_Toc234863807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3</w:t>
            </w:r>
            <w:r w:rsidR="00E805AD" w:rsidRPr="00E805AD">
              <w:rPr>
                <w:noProof/>
                <w:webHidden/>
                <w:sz w:val="24"/>
                <w:szCs w:val="24"/>
              </w:rPr>
              <w:fldChar w:fldCharType="end"/>
            </w:r>
          </w:hyperlink>
        </w:p>
        <w:p w14:paraId="5EC12C16" w14:textId="52BBED52" w:rsidR="00E805AD" w:rsidRPr="00E805AD" w:rsidRDefault="008F38BB">
          <w:pPr>
            <w:pStyle w:val="TOC2"/>
            <w:tabs>
              <w:tab w:val="right" w:leader="dot" w:pos="9019"/>
            </w:tabs>
            <w:rPr>
              <w:rFonts w:eastAsiaTheme="minorEastAsia"/>
              <w:noProof/>
              <w:sz w:val="24"/>
              <w:szCs w:val="24"/>
              <w:lang w:val="en-US"/>
            </w:rPr>
          </w:pPr>
          <w:hyperlink w:anchor="_Toc234863808" w:history="1">
            <w:r w:rsidR="00E805AD" w:rsidRPr="00E805AD">
              <w:rPr>
                <w:rStyle w:val="Hyperlink"/>
                <w:noProof/>
                <w:sz w:val="24"/>
                <w:szCs w:val="24"/>
              </w:rPr>
              <w:t>2.3 Identification of different factor</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_Toc234863808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5</w:t>
            </w:r>
            <w:r w:rsidR="00E805AD" w:rsidRPr="00E805AD">
              <w:rPr>
                <w:noProof/>
                <w:webHidden/>
                <w:sz w:val="24"/>
                <w:szCs w:val="24"/>
              </w:rPr>
              <w:fldChar w:fldCharType="end"/>
            </w:r>
          </w:hyperlink>
        </w:p>
        <w:p w14:paraId="33C531CB" w14:textId="70776C81" w:rsidR="00E805AD" w:rsidRPr="00E805AD" w:rsidRDefault="008F38BB">
          <w:pPr>
            <w:pStyle w:val="TOC2"/>
            <w:tabs>
              <w:tab w:val="right" w:leader="dot" w:pos="9019"/>
            </w:tabs>
            <w:rPr>
              <w:rFonts w:eastAsiaTheme="minorEastAsia"/>
              <w:noProof/>
              <w:sz w:val="24"/>
              <w:szCs w:val="24"/>
              <w:lang w:val="en-US"/>
            </w:rPr>
          </w:pPr>
          <w:hyperlink w:anchor="_Toc234863809" w:history="1">
            <w:r w:rsidR="00E805AD" w:rsidRPr="00E805AD">
              <w:rPr>
                <w:rStyle w:val="Hyperlink"/>
                <w:noProof/>
                <w:sz w:val="24"/>
                <w:szCs w:val="24"/>
              </w:rPr>
              <w:t>2.4 Comparison of liquidity ratios with industry benchmarks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_Toc234863809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6</w:t>
            </w:r>
            <w:r w:rsidR="00E805AD" w:rsidRPr="00E805AD">
              <w:rPr>
                <w:noProof/>
                <w:webHidden/>
                <w:sz w:val="24"/>
                <w:szCs w:val="24"/>
              </w:rPr>
              <w:fldChar w:fldCharType="end"/>
            </w:r>
          </w:hyperlink>
        </w:p>
        <w:p w14:paraId="2F13FE81" w14:textId="206AA3F8" w:rsidR="00E805AD" w:rsidRPr="00E805AD" w:rsidRDefault="008F38BB">
          <w:pPr>
            <w:pStyle w:val="TOC1"/>
            <w:tabs>
              <w:tab w:val="right" w:leader="dot" w:pos="9019"/>
            </w:tabs>
            <w:rPr>
              <w:rFonts w:eastAsiaTheme="minorEastAsia"/>
              <w:noProof/>
              <w:sz w:val="24"/>
              <w:szCs w:val="24"/>
              <w:lang w:val="en-US"/>
            </w:rPr>
          </w:pPr>
          <w:hyperlink w:anchor="_Toc234863810" w:history="1">
            <w:r w:rsidR="00E805AD" w:rsidRPr="00E805AD">
              <w:rPr>
                <w:rStyle w:val="Hyperlink"/>
                <w:noProof/>
                <w:sz w:val="24"/>
                <w:szCs w:val="24"/>
              </w:rPr>
              <w:t>3. Working Capital Management Analysis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_Toc234863810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7</w:t>
            </w:r>
            <w:r w:rsidR="00E805AD" w:rsidRPr="00E805AD">
              <w:rPr>
                <w:noProof/>
                <w:webHidden/>
                <w:sz w:val="24"/>
                <w:szCs w:val="24"/>
              </w:rPr>
              <w:fldChar w:fldCharType="end"/>
            </w:r>
          </w:hyperlink>
        </w:p>
        <w:p w14:paraId="2D1778D3" w14:textId="5D8592AC" w:rsidR="00E805AD" w:rsidRPr="00E805AD" w:rsidRDefault="008F38BB">
          <w:pPr>
            <w:pStyle w:val="TOC2"/>
            <w:tabs>
              <w:tab w:val="right" w:leader="dot" w:pos="9019"/>
            </w:tabs>
            <w:rPr>
              <w:rFonts w:eastAsiaTheme="minorEastAsia"/>
              <w:noProof/>
              <w:sz w:val="24"/>
              <w:szCs w:val="24"/>
              <w:lang w:val="en-US"/>
            </w:rPr>
          </w:pPr>
          <w:hyperlink w:anchor="_Toc234863811" w:history="1">
            <w:r w:rsidR="00E805AD" w:rsidRPr="00E805AD">
              <w:rPr>
                <w:rStyle w:val="Hyperlink"/>
                <w:noProof/>
                <w:sz w:val="24"/>
                <w:szCs w:val="24"/>
              </w:rPr>
              <w:t>3.1 Cash Operating Cycle</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_Toc234863811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7</w:t>
            </w:r>
            <w:r w:rsidR="00E805AD" w:rsidRPr="00E805AD">
              <w:rPr>
                <w:noProof/>
                <w:webHidden/>
                <w:sz w:val="24"/>
                <w:szCs w:val="24"/>
              </w:rPr>
              <w:fldChar w:fldCharType="end"/>
            </w:r>
          </w:hyperlink>
        </w:p>
        <w:p w14:paraId="788307F2" w14:textId="0BBE69DA" w:rsidR="00E805AD" w:rsidRPr="00E805AD" w:rsidRDefault="008F38BB">
          <w:pPr>
            <w:pStyle w:val="TOC2"/>
            <w:tabs>
              <w:tab w:val="right" w:leader="dot" w:pos="9019"/>
            </w:tabs>
            <w:rPr>
              <w:rFonts w:eastAsiaTheme="minorEastAsia"/>
              <w:noProof/>
              <w:sz w:val="24"/>
              <w:szCs w:val="24"/>
              <w:lang w:val="en-US"/>
            </w:rPr>
          </w:pPr>
          <w:hyperlink w:anchor="_Toc234863812" w:history="1">
            <w:r w:rsidR="00E805AD" w:rsidRPr="00E805AD">
              <w:rPr>
                <w:rStyle w:val="Hyperlink"/>
                <w:noProof/>
                <w:sz w:val="24"/>
                <w:szCs w:val="24"/>
              </w:rPr>
              <w:t>3.2 Recommend Strategies to Improve Liquidity through Working Capital Reform</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_Toc234863812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9</w:t>
            </w:r>
            <w:r w:rsidR="00E805AD" w:rsidRPr="00E805AD">
              <w:rPr>
                <w:noProof/>
                <w:webHidden/>
                <w:sz w:val="24"/>
                <w:szCs w:val="24"/>
              </w:rPr>
              <w:fldChar w:fldCharType="end"/>
            </w:r>
          </w:hyperlink>
        </w:p>
        <w:p w14:paraId="55D4D230" w14:textId="6F0C2BBC" w:rsidR="00E805AD" w:rsidRPr="00E805AD" w:rsidRDefault="008F38BB">
          <w:pPr>
            <w:pStyle w:val="TOC2"/>
            <w:tabs>
              <w:tab w:val="right" w:leader="dot" w:pos="9019"/>
            </w:tabs>
            <w:rPr>
              <w:rFonts w:eastAsiaTheme="minorEastAsia"/>
              <w:noProof/>
              <w:sz w:val="24"/>
              <w:szCs w:val="24"/>
              <w:lang w:val="en-US"/>
            </w:rPr>
          </w:pPr>
          <w:hyperlink w:anchor="_Toc234863813" w:history="1">
            <w:r w:rsidR="00E805AD" w:rsidRPr="00E805AD">
              <w:rPr>
                <w:rStyle w:val="Hyperlink"/>
                <w:noProof/>
                <w:sz w:val="24"/>
                <w:szCs w:val="24"/>
              </w:rPr>
              <w:t>3.3 Comparison of Short-Term Vs Long-Term Financing Options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_Toc234863813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9</w:t>
            </w:r>
            <w:r w:rsidR="00E805AD" w:rsidRPr="00E805AD">
              <w:rPr>
                <w:noProof/>
                <w:webHidden/>
                <w:sz w:val="24"/>
                <w:szCs w:val="24"/>
              </w:rPr>
              <w:fldChar w:fldCharType="end"/>
            </w:r>
          </w:hyperlink>
        </w:p>
        <w:p w14:paraId="60905E44" w14:textId="61B33A01" w:rsidR="00E805AD" w:rsidRPr="00E805AD" w:rsidRDefault="008F38BB">
          <w:pPr>
            <w:pStyle w:val="TOC1"/>
            <w:tabs>
              <w:tab w:val="right" w:leader="dot" w:pos="9019"/>
            </w:tabs>
            <w:rPr>
              <w:rFonts w:eastAsiaTheme="minorEastAsia"/>
              <w:noProof/>
              <w:sz w:val="24"/>
              <w:szCs w:val="24"/>
              <w:lang w:val="en-US"/>
            </w:rPr>
          </w:pPr>
          <w:hyperlink w:anchor="_Toc234863814" w:history="1">
            <w:r w:rsidR="00E805AD" w:rsidRPr="00E805AD">
              <w:rPr>
                <w:rStyle w:val="Hyperlink"/>
                <w:noProof/>
                <w:sz w:val="24"/>
                <w:szCs w:val="24"/>
              </w:rPr>
              <w:t>4. Strategic Financial Restructuring Plan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_Toc234863814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10</w:t>
            </w:r>
            <w:r w:rsidR="00E805AD" w:rsidRPr="00E805AD">
              <w:rPr>
                <w:noProof/>
                <w:webHidden/>
                <w:sz w:val="24"/>
                <w:szCs w:val="24"/>
              </w:rPr>
              <w:fldChar w:fldCharType="end"/>
            </w:r>
          </w:hyperlink>
        </w:p>
        <w:p w14:paraId="1D7D46F3" w14:textId="61C96869" w:rsidR="00E805AD" w:rsidRPr="00E805AD" w:rsidRDefault="008F38BB">
          <w:pPr>
            <w:pStyle w:val="TOC2"/>
            <w:tabs>
              <w:tab w:val="right" w:leader="dot" w:pos="9019"/>
            </w:tabs>
            <w:rPr>
              <w:rFonts w:eastAsiaTheme="minorEastAsia"/>
              <w:noProof/>
              <w:sz w:val="24"/>
              <w:szCs w:val="24"/>
              <w:lang w:val="en-US"/>
            </w:rPr>
          </w:pPr>
          <w:hyperlink w:anchor="_Toc234863815" w:history="1">
            <w:r w:rsidR="00E805AD" w:rsidRPr="00E805AD">
              <w:rPr>
                <w:rStyle w:val="Hyperlink"/>
                <w:noProof/>
                <w:sz w:val="24"/>
                <w:szCs w:val="24"/>
              </w:rPr>
              <w:t>4.1 Financial Restructuring Options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_Toc234863815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10</w:t>
            </w:r>
            <w:r w:rsidR="00E805AD" w:rsidRPr="00E805AD">
              <w:rPr>
                <w:noProof/>
                <w:webHidden/>
                <w:sz w:val="24"/>
                <w:szCs w:val="24"/>
              </w:rPr>
              <w:fldChar w:fldCharType="end"/>
            </w:r>
          </w:hyperlink>
        </w:p>
        <w:p w14:paraId="6A178F7F" w14:textId="33AB7F1E" w:rsidR="00E805AD" w:rsidRPr="00E805AD" w:rsidRDefault="008F38BB">
          <w:pPr>
            <w:pStyle w:val="TOC2"/>
            <w:tabs>
              <w:tab w:val="right" w:leader="dot" w:pos="9019"/>
            </w:tabs>
            <w:rPr>
              <w:rFonts w:eastAsiaTheme="minorEastAsia"/>
              <w:noProof/>
              <w:sz w:val="24"/>
              <w:szCs w:val="24"/>
              <w:lang w:val="en-US"/>
            </w:rPr>
          </w:pPr>
          <w:hyperlink w:anchor="_Toc234863816" w:history="1">
            <w:r w:rsidR="00E805AD" w:rsidRPr="00E805AD">
              <w:rPr>
                <w:rStyle w:val="Hyperlink"/>
                <w:noProof/>
                <w:sz w:val="24"/>
                <w:szCs w:val="24"/>
              </w:rPr>
              <w:t>4.2 Evaluation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_Toc234863816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11</w:t>
            </w:r>
            <w:r w:rsidR="00E805AD" w:rsidRPr="00E805AD">
              <w:rPr>
                <w:noProof/>
                <w:webHidden/>
                <w:sz w:val="24"/>
                <w:szCs w:val="24"/>
              </w:rPr>
              <w:fldChar w:fldCharType="end"/>
            </w:r>
          </w:hyperlink>
        </w:p>
        <w:p w14:paraId="24E8F652" w14:textId="18AE421F" w:rsidR="00E805AD" w:rsidRPr="00E805AD" w:rsidRDefault="008F38BB">
          <w:pPr>
            <w:pStyle w:val="TOC2"/>
            <w:tabs>
              <w:tab w:val="right" w:leader="dot" w:pos="9019"/>
            </w:tabs>
            <w:rPr>
              <w:rFonts w:eastAsiaTheme="minorEastAsia"/>
              <w:noProof/>
              <w:sz w:val="24"/>
              <w:szCs w:val="24"/>
              <w:lang w:val="en-US"/>
            </w:rPr>
          </w:pPr>
          <w:hyperlink w:anchor="_Toc234863817" w:history="1">
            <w:r w:rsidR="00E805AD" w:rsidRPr="00E805AD">
              <w:rPr>
                <w:rStyle w:val="Hyperlink"/>
                <w:noProof/>
                <w:sz w:val="24"/>
                <w:szCs w:val="24"/>
              </w:rPr>
              <w:t>4.3 International and Ethical Considerations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_Toc234863817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12</w:t>
            </w:r>
            <w:r w:rsidR="00E805AD" w:rsidRPr="00E805AD">
              <w:rPr>
                <w:noProof/>
                <w:webHidden/>
                <w:sz w:val="24"/>
                <w:szCs w:val="24"/>
              </w:rPr>
              <w:fldChar w:fldCharType="end"/>
            </w:r>
          </w:hyperlink>
        </w:p>
        <w:p w14:paraId="183E72F2" w14:textId="3D156929" w:rsidR="00E805AD" w:rsidRPr="00E805AD" w:rsidRDefault="008F38BB">
          <w:pPr>
            <w:pStyle w:val="TOC1"/>
            <w:tabs>
              <w:tab w:val="right" w:leader="dot" w:pos="9019"/>
            </w:tabs>
            <w:rPr>
              <w:rFonts w:eastAsiaTheme="minorEastAsia"/>
              <w:noProof/>
              <w:sz w:val="24"/>
              <w:szCs w:val="24"/>
              <w:lang w:val="en-US"/>
            </w:rPr>
          </w:pPr>
          <w:hyperlink w:anchor="_Toc234863818" w:history="1">
            <w:r w:rsidR="00E805AD" w:rsidRPr="00E805AD">
              <w:rPr>
                <w:rStyle w:val="Hyperlink"/>
                <w:noProof/>
                <w:sz w:val="24"/>
                <w:szCs w:val="24"/>
              </w:rPr>
              <w:t>5. Investment Appraisal and Capital Budgeting</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_Toc234863818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13</w:t>
            </w:r>
            <w:r w:rsidR="00E805AD" w:rsidRPr="00E805AD">
              <w:rPr>
                <w:noProof/>
                <w:webHidden/>
                <w:sz w:val="24"/>
                <w:szCs w:val="24"/>
              </w:rPr>
              <w:fldChar w:fldCharType="end"/>
            </w:r>
          </w:hyperlink>
        </w:p>
        <w:p w14:paraId="2ECC6882" w14:textId="605D795D" w:rsidR="00E805AD" w:rsidRPr="00E805AD" w:rsidRDefault="008F38BB">
          <w:pPr>
            <w:pStyle w:val="TOC2"/>
            <w:tabs>
              <w:tab w:val="right" w:leader="dot" w:pos="9019"/>
            </w:tabs>
            <w:rPr>
              <w:rFonts w:eastAsiaTheme="minorEastAsia"/>
              <w:noProof/>
              <w:sz w:val="24"/>
              <w:szCs w:val="24"/>
              <w:lang w:val="en-US"/>
            </w:rPr>
          </w:pPr>
          <w:hyperlink w:anchor="_Toc234863819" w:history="1">
            <w:r w:rsidR="00E805AD" w:rsidRPr="00E805AD">
              <w:rPr>
                <w:rStyle w:val="Hyperlink"/>
                <w:noProof/>
                <w:sz w:val="24"/>
                <w:szCs w:val="24"/>
              </w:rPr>
              <w:t>5.1 Investment Projects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_Toc234863819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13</w:t>
            </w:r>
            <w:r w:rsidR="00E805AD" w:rsidRPr="00E805AD">
              <w:rPr>
                <w:noProof/>
                <w:webHidden/>
                <w:sz w:val="24"/>
                <w:szCs w:val="24"/>
              </w:rPr>
              <w:fldChar w:fldCharType="end"/>
            </w:r>
          </w:hyperlink>
        </w:p>
        <w:p w14:paraId="72D21EB6" w14:textId="72D9845E" w:rsidR="00E805AD" w:rsidRPr="00E805AD" w:rsidRDefault="008F38BB">
          <w:pPr>
            <w:pStyle w:val="TOC2"/>
            <w:tabs>
              <w:tab w:val="right" w:leader="dot" w:pos="9019"/>
            </w:tabs>
            <w:rPr>
              <w:rFonts w:eastAsiaTheme="minorEastAsia"/>
              <w:noProof/>
              <w:sz w:val="24"/>
              <w:szCs w:val="24"/>
              <w:lang w:val="en-US"/>
            </w:rPr>
          </w:pPr>
          <w:hyperlink w:anchor="_Toc234863820" w:history="1">
            <w:r w:rsidR="00E805AD" w:rsidRPr="00E805AD">
              <w:rPr>
                <w:rStyle w:val="Hyperlink"/>
                <w:noProof/>
                <w:sz w:val="24"/>
                <w:szCs w:val="24"/>
              </w:rPr>
              <w:t>5.2 Recommendation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_Toc234863820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14</w:t>
            </w:r>
            <w:r w:rsidR="00E805AD" w:rsidRPr="00E805AD">
              <w:rPr>
                <w:noProof/>
                <w:webHidden/>
                <w:sz w:val="24"/>
                <w:szCs w:val="24"/>
              </w:rPr>
              <w:fldChar w:fldCharType="end"/>
            </w:r>
          </w:hyperlink>
        </w:p>
        <w:p w14:paraId="01F12402" w14:textId="0A58B7C2" w:rsidR="00E805AD" w:rsidRPr="00E805AD" w:rsidRDefault="008F38BB">
          <w:pPr>
            <w:pStyle w:val="TOC2"/>
            <w:tabs>
              <w:tab w:val="right" w:leader="dot" w:pos="9019"/>
            </w:tabs>
            <w:rPr>
              <w:rFonts w:eastAsiaTheme="minorEastAsia"/>
              <w:noProof/>
              <w:sz w:val="24"/>
              <w:szCs w:val="24"/>
              <w:lang w:val="en-US"/>
            </w:rPr>
          </w:pPr>
          <w:hyperlink w:anchor="_Toc234863821" w:history="1">
            <w:r w:rsidR="00E805AD" w:rsidRPr="00E805AD">
              <w:rPr>
                <w:rStyle w:val="Hyperlink"/>
                <w:noProof/>
                <w:sz w:val="24"/>
                <w:szCs w:val="24"/>
              </w:rPr>
              <w:t>5.3 Justification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_Toc234863821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15</w:t>
            </w:r>
            <w:r w:rsidR="00E805AD" w:rsidRPr="00E805AD">
              <w:rPr>
                <w:noProof/>
                <w:webHidden/>
                <w:sz w:val="24"/>
                <w:szCs w:val="24"/>
              </w:rPr>
              <w:fldChar w:fldCharType="end"/>
            </w:r>
          </w:hyperlink>
        </w:p>
        <w:p w14:paraId="1AFF05D2" w14:textId="2371401B" w:rsidR="00E805AD" w:rsidRPr="00E805AD" w:rsidRDefault="008F38BB">
          <w:pPr>
            <w:pStyle w:val="TOC2"/>
            <w:tabs>
              <w:tab w:val="right" w:leader="dot" w:pos="9019"/>
            </w:tabs>
            <w:rPr>
              <w:rFonts w:eastAsiaTheme="minorEastAsia"/>
              <w:noProof/>
              <w:sz w:val="24"/>
              <w:szCs w:val="24"/>
              <w:lang w:val="en-US"/>
            </w:rPr>
          </w:pPr>
          <w:hyperlink w:anchor="_Toc234863822" w:history="1">
            <w:r w:rsidR="00E805AD" w:rsidRPr="00E805AD">
              <w:rPr>
                <w:rStyle w:val="Hyperlink"/>
                <w:noProof/>
                <w:sz w:val="24"/>
                <w:szCs w:val="24"/>
              </w:rPr>
              <w:t>5.4 Example Assumption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_Toc234863822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15</w:t>
            </w:r>
            <w:r w:rsidR="00E805AD" w:rsidRPr="00E805AD">
              <w:rPr>
                <w:noProof/>
                <w:webHidden/>
                <w:sz w:val="24"/>
                <w:szCs w:val="24"/>
              </w:rPr>
              <w:fldChar w:fldCharType="end"/>
            </w:r>
          </w:hyperlink>
        </w:p>
        <w:p w14:paraId="448EF965" w14:textId="23E92CBD" w:rsidR="00E805AD" w:rsidRPr="00E805AD" w:rsidRDefault="008F38BB">
          <w:pPr>
            <w:pStyle w:val="TOC1"/>
            <w:tabs>
              <w:tab w:val="right" w:leader="dot" w:pos="9019"/>
            </w:tabs>
            <w:rPr>
              <w:rFonts w:eastAsiaTheme="minorEastAsia"/>
              <w:noProof/>
              <w:sz w:val="24"/>
              <w:szCs w:val="24"/>
              <w:lang w:val="en-US"/>
            </w:rPr>
          </w:pPr>
          <w:hyperlink w:anchor="_Toc234863823" w:history="1">
            <w:r w:rsidR="00E805AD" w:rsidRPr="00E805AD">
              <w:rPr>
                <w:rStyle w:val="Hyperlink"/>
                <w:noProof/>
                <w:sz w:val="24"/>
                <w:szCs w:val="24"/>
              </w:rPr>
              <w:t>6. Critical Reflection on AI Usage</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_Toc234863823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16</w:t>
            </w:r>
            <w:r w:rsidR="00E805AD" w:rsidRPr="00E805AD">
              <w:rPr>
                <w:noProof/>
                <w:webHidden/>
                <w:sz w:val="24"/>
                <w:szCs w:val="24"/>
              </w:rPr>
              <w:fldChar w:fldCharType="end"/>
            </w:r>
          </w:hyperlink>
        </w:p>
        <w:p w14:paraId="3C0279B3" w14:textId="34D4C4CC" w:rsidR="00E805AD" w:rsidRPr="00E805AD" w:rsidRDefault="008F38BB">
          <w:pPr>
            <w:pStyle w:val="TOC2"/>
            <w:tabs>
              <w:tab w:val="right" w:leader="dot" w:pos="9019"/>
            </w:tabs>
            <w:rPr>
              <w:rFonts w:eastAsiaTheme="minorEastAsia"/>
              <w:noProof/>
              <w:sz w:val="24"/>
              <w:szCs w:val="24"/>
              <w:lang w:val="en-US"/>
            </w:rPr>
          </w:pPr>
          <w:hyperlink w:anchor="_Toc234863824" w:history="1">
            <w:r w:rsidR="00E805AD" w:rsidRPr="00E805AD">
              <w:rPr>
                <w:rStyle w:val="Hyperlink"/>
                <w:noProof/>
                <w:sz w:val="24"/>
                <w:szCs w:val="24"/>
              </w:rPr>
              <w:t>6.1 Tool Disclosure</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_Toc234863824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16</w:t>
            </w:r>
            <w:r w:rsidR="00E805AD" w:rsidRPr="00E805AD">
              <w:rPr>
                <w:noProof/>
                <w:webHidden/>
                <w:sz w:val="24"/>
                <w:szCs w:val="24"/>
              </w:rPr>
              <w:fldChar w:fldCharType="end"/>
            </w:r>
          </w:hyperlink>
        </w:p>
        <w:p w14:paraId="460391FB" w14:textId="1583F5DE" w:rsidR="00E805AD" w:rsidRPr="00E805AD" w:rsidRDefault="008F38BB">
          <w:pPr>
            <w:pStyle w:val="TOC2"/>
            <w:tabs>
              <w:tab w:val="right" w:leader="dot" w:pos="9019"/>
            </w:tabs>
            <w:rPr>
              <w:rFonts w:eastAsiaTheme="minorEastAsia"/>
              <w:noProof/>
              <w:sz w:val="24"/>
              <w:szCs w:val="24"/>
              <w:lang w:val="en-US"/>
            </w:rPr>
          </w:pPr>
          <w:hyperlink w:anchor="_Toc234863825" w:history="1">
            <w:r w:rsidR="00E805AD" w:rsidRPr="00E805AD">
              <w:rPr>
                <w:rStyle w:val="Hyperlink"/>
                <w:noProof/>
                <w:sz w:val="24"/>
                <w:szCs w:val="24"/>
              </w:rPr>
              <w:t>6.2 Critical Evaluation of AI Output</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_Toc234863825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16</w:t>
            </w:r>
            <w:r w:rsidR="00E805AD" w:rsidRPr="00E805AD">
              <w:rPr>
                <w:noProof/>
                <w:webHidden/>
                <w:sz w:val="24"/>
                <w:szCs w:val="24"/>
              </w:rPr>
              <w:fldChar w:fldCharType="end"/>
            </w:r>
          </w:hyperlink>
        </w:p>
        <w:p w14:paraId="12042EBE" w14:textId="3C89CD8B" w:rsidR="00E805AD" w:rsidRPr="00E805AD" w:rsidRDefault="008F38BB">
          <w:pPr>
            <w:pStyle w:val="TOC2"/>
            <w:tabs>
              <w:tab w:val="right" w:leader="dot" w:pos="9019"/>
            </w:tabs>
            <w:rPr>
              <w:rFonts w:eastAsiaTheme="minorEastAsia"/>
              <w:noProof/>
              <w:sz w:val="24"/>
              <w:szCs w:val="24"/>
              <w:lang w:val="en-US"/>
            </w:rPr>
          </w:pPr>
          <w:hyperlink w:anchor="_Toc234863826" w:history="1">
            <w:r w:rsidR="00E805AD" w:rsidRPr="00E805AD">
              <w:rPr>
                <w:rStyle w:val="Hyperlink"/>
                <w:noProof/>
                <w:sz w:val="24"/>
                <w:szCs w:val="24"/>
              </w:rPr>
              <w:t>6.3 Contribution Analysis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_Toc234863826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17</w:t>
            </w:r>
            <w:r w:rsidR="00E805AD" w:rsidRPr="00E805AD">
              <w:rPr>
                <w:noProof/>
                <w:webHidden/>
                <w:sz w:val="24"/>
                <w:szCs w:val="24"/>
              </w:rPr>
              <w:fldChar w:fldCharType="end"/>
            </w:r>
          </w:hyperlink>
        </w:p>
        <w:p w14:paraId="4581D95C" w14:textId="3941165C" w:rsidR="00E805AD" w:rsidRPr="00E805AD" w:rsidRDefault="008F38BB">
          <w:pPr>
            <w:pStyle w:val="TOC2"/>
            <w:tabs>
              <w:tab w:val="right" w:leader="dot" w:pos="9019"/>
            </w:tabs>
            <w:rPr>
              <w:rFonts w:eastAsiaTheme="minorEastAsia"/>
              <w:noProof/>
              <w:sz w:val="24"/>
              <w:szCs w:val="24"/>
              <w:lang w:val="en-US"/>
            </w:rPr>
          </w:pPr>
          <w:hyperlink w:anchor="_Toc234863827" w:history="1">
            <w:r w:rsidR="00E805AD" w:rsidRPr="00E805AD">
              <w:rPr>
                <w:rStyle w:val="Hyperlink"/>
                <w:noProof/>
                <w:sz w:val="24"/>
                <w:szCs w:val="24"/>
              </w:rPr>
              <w:t>6.4   Ethical and Professional Reflection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_Toc234863827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17</w:t>
            </w:r>
            <w:r w:rsidR="00E805AD" w:rsidRPr="00E805AD">
              <w:rPr>
                <w:noProof/>
                <w:webHidden/>
                <w:sz w:val="24"/>
                <w:szCs w:val="24"/>
              </w:rPr>
              <w:fldChar w:fldCharType="end"/>
            </w:r>
          </w:hyperlink>
        </w:p>
        <w:p w14:paraId="217C69F4" w14:textId="2C4F8971" w:rsidR="00E805AD" w:rsidRPr="00E805AD" w:rsidRDefault="008F38BB">
          <w:pPr>
            <w:pStyle w:val="TOC1"/>
            <w:tabs>
              <w:tab w:val="right" w:leader="dot" w:pos="9019"/>
            </w:tabs>
            <w:rPr>
              <w:rFonts w:eastAsiaTheme="minorEastAsia"/>
              <w:noProof/>
              <w:sz w:val="24"/>
              <w:szCs w:val="24"/>
              <w:lang w:val="en-US"/>
            </w:rPr>
          </w:pPr>
          <w:hyperlink w:anchor="_Toc234863828" w:history="1">
            <w:r w:rsidR="00E805AD" w:rsidRPr="00E805AD">
              <w:rPr>
                <w:rStyle w:val="Hyperlink"/>
                <w:noProof/>
                <w:sz w:val="24"/>
                <w:szCs w:val="24"/>
              </w:rPr>
              <w:t>7. Conclusion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_Toc234863828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18</w:t>
            </w:r>
            <w:r w:rsidR="00E805AD" w:rsidRPr="00E805AD">
              <w:rPr>
                <w:noProof/>
                <w:webHidden/>
                <w:sz w:val="24"/>
                <w:szCs w:val="24"/>
              </w:rPr>
              <w:fldChar w:fldCharType="end"/>
            </w:r>
          </w:hyperlink>
        </w:p>
        <w:p w14:paraId="3CF96CB7" w14:textId="66E9A9EA" w:rsidR="00E805AD" w:rsidRPr="00E805AD" w:rsidRDefault="008F38BB">
          <w:pPr>
            <w:pStyle w:val="TOC1"/>
            <w:tabs>
              <w:tab w:val="right" w:leader="dot" w:pos="9019"/>
            </w:tabs>
            <w:rPr>
              <w:rFonts w:eastAsiaTheme="minorEastAsia"/>
              <w:noProof/>
              <w:sz w:val="24"/>
              <w:szCs w:val="24"/>
              <w:lang w:val="en-US"/>
            </w:rPr>
          </w:pPr>
          <w:hyperlink w:anchor="_Toc234863829" w:history="1">
            <w:r w:rsidR="00E805AD" w:rsidRPr="00E805AD">
              <w:rPr>
                <w:rStyle w:val="Hyperlink"/>
                <w:noProof/>
                <w:sz w:val="24"/>
                <w:szCs w:val="24"/>
              </w:rPr>
              <w:t>8. References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_Toc234863829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19</w:t>
            </w:r>
            <w:r w:rsidR="00E805AD" w:rsidRPr="00E805AD">
              <w:rPr>
                <w:noProof/>
                <w:webHidden/>
                <w:sz w:val="24"/>
                <w:szCs w:val="24"/>
              </w:rPr>
              <w:fldChar w:fldCharType="end"/>
            </w:r>
          </w:hyperlink>
        </w:p>
        <w:p w14:paraId="47CC6F5D" w14:textId="0F05FEC6" w:rsidR="00E805AD" w:rsidRPr="00E805AD" w:rsidRDefault="008F38BB">
          <w:pPr>
            <w:pStyle w:val="TOC2"/>
            <w:tabs>
              <w:tab w:val="right" w:leader="dot" w:pos="9019"/>
            </w:tabs>
            <w:rPr>
              <w:rFonts w:eastAsiaTheme="minorEastAsia"/>
              <w:noProof/>
              <w:sz w:val="24"/>
              <w:szCs w:val="24"/>
              <w:lang w:val="en-US"/>
            </w:rPr>
          </w:pPr>
          <w:hyperlink w:anchor="_Toc234863830" w:history="1">
            <w:r w:rsidR="00E805AD" w:rsidRPr="00E805AD">
              <w:rPr>
                <w:rStyle w:val="Hyperlink"/>
                <w:noProof/>
                <w:sz w:val="24"/>
                <w:szCs w:val="24"/>
              </w:rPr>
              <w:t>Appendix B: Investment appraisal calculations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_Toc234863830 \h </w:instrText>
            </w:r>
            <w:r w:rsidR="00E805AD" w:rsidRPr="00E805AD">
              <w:rPr>
                <w:noProof/>
                <w:webHidden/>
                <w:sz w:val="24"/>
                <w:szCs w:val="24"/>
              </w:rPr>
            </w:r>
            <w:r w:rsidR="00E805AD" w:rsidRPr="00E805AD">
              <w:rPr>
                <w:noProof/>
                <w:webHidden/>
                <w:sz w:val="24"/>
                <w:szCs w:val="24"/>
              </w:rPr>
              <w:fldChar w:fldCharType="separate"/>
            </w:r>
            <w:r w:rsidR="00E805AD" w:rsidRPr="00E805AD">
              <w:rPr>
                <w:noProof/>
                <w:webHidden/>
                <w:sz w:val="24"/>
                <w:szCs w:val="24"/>
              </w:rPr>
              <w:t>32</w:t>
            </w:r>
            <w:r w:rsidR="00E805AD" w:rsidRPr="00E805AD">
              <w:rPr>
                <w:noProof/>
                <w:webHidden/>
                <w:sz w:val="24"/>
                <w:szCs w:val="24"/>
              </w:rPr>
              <w:fldChar w:fldCharType="end"/>
            </w:r>
          </w:hyperlink>
        </w:p>
        <w:p w14:paraId="7271A338" w14:textId="15BD077F" w:rsidR="00664A03" w:rsidRPr="00E805AD" w:rsidRDefault="00664A03" w:rsidP="00E805AD">
          <w:pPr>
            <w:spacing w:line="360" w:lineRule="auto"/>
            <w:jc w:val="both"/>
            <w:rPr>
              <w:sz w:val="24"/>
              <w:szCs w:val="24"/>
            </w:rPr>
          </w:pPr>
          <w:r w:rsidRPr="00E805AD">
            <w:rPr>
              <w:b/>
              <w:bCs/>
              <w:noProof/>
              <w:sz w:val="24"/>
              <w:szCs w:val="24"/>
            </w:rPr>
            <w:fldChar w:fldCharType="end"/>
          </w:r>
        </w:p>
      </w:sdtContent>
    </w:sdt>
    <w:p w14:paraId="5F068365" w14:textId="77777777" w:rsidR="00664A03" w:rsidRPr="00E805AD" w:rsidRDefault="00664A03" w:rsidP="00E805AD">
      <w:pPr>
        <w:spacing w:line="360" w:lineRule="auto"/>
        <w:jc w:val="both"/>
        <w:rPr>
          <w:rFonts w:eastAsia="Times New Roman"/>
          <w:sz w:val="24"/>
          <w:szCs w:val="24"/>
        </w:rPr>
      </w:pPr>
      <w:r w:rsidRPr="00E805AD">
        <w:rPr>
          <w:rFonts w:eastAsia="Times New Roman"/>
          <w:sz w:val="24"/>
          <w:szCs w:val="24"/>
        </w:rPr>
        <w:br w:type="page"/>
      </w:r>
    </w:p>
    <w:p w14:paraId="00000001" w14:textId="047A3316" w:rsidR="003E62FA" w:rsidRPr="00E805AD" w:rsidRDefault="00123D4C" w:rsidP="00E805AD">
      <w:pPr>
        <w:pStyle w:val="Heading1"/>
      </w:pPr>
      <w:bookmarkStart w:id="1" w:name="_Toc234863804"/>
      <w:r w:rsidRPr="00E805AD">
        <w:lastRenderedPageBreak/>
        <w:t>1. Introduction</w:t>
      </w:r>
      <w:bookmarkEnd w:id="1"/>
      <w:r w:rsidRPr="00E805AD">
        <w:t xml:space="preserve"> </w:t>
      </w:r>
    </w:p>
    <w:p w14:paraId="00000002" w14:textId="6803B8DB" w:rsidR="003E62FA"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Marriott International is a globally recognised multinational hospitality firm that offers the most powerful portfolio to its consumers. This firm has maintained its strong brand position in more than 146 countries and territories (Marriott, 2026). Under an asset-light business model, this firm generates revenue through licensing agreements, franchising and hotel management. Besides that, it also maintains a strong brand presence on a global basis. The purpose of this report is to critically examine the financial performance of Marriott over the period of 2021-2025. Working capital, financial restructuring strategies and three investment projects with the use of capital budgeting techniques have also been assessed here. For sustainable growth and long-term competitive position evidence based recommendation for Marriott are also given here.             </w:t>
      </w:r>
    </w:p>
    <w:p w14:paraId="00000003" w14:textId="77777777" w:rsidR="003E62FA" w:rsidRPr="00E805AD" w:rsidRDefault="00123D4C" w:rsidP="00E805AD">
      <w:pPr>
        <w:pStyle w:val="Heading1"/>
      </w:pPr>
      <w:bookmarkStart w:id="2" w:name="_Toc234863805"/>
      <w:r w:rsidRPr="00E805AD">
        <w:t>2. Financial Health Check</w:t>
      </w:r>
      <w:bookmarkEnd w:id="2"/>
    </w:p>
    <w:p w14:paraId="00000004" w14:textId="77777777" w:rsidR="003E62FA" w:rsidRPr="00E805AD" w:rsidRDefault="00123D4C" w:rsidP="00E805AD">
      <w:pPr>
        <w:pStyle w:val="Heading2"/>
      </w:pPr>
      <w:bookmarkStart w:id="3" w:name="_Toc234863806"/>
      <w:r w:rsidRPr="00E805AD">
        <w:t>2.1 Analyse the firm’s financial statements over the past five years</w:t>
      </w:r>
      <w:bookmarkEnd w:id="3"/>
    </w:p>
    <w:p w14:paraId="00000005"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International exhibited impressive financial growth from 2021 to 2025. The company’s revenue grew significantly from US$13.86 billion in 2021 to US$26.19 billion in 2025, a growth of 89% approximately (Finance Yahoo, 2026). Showing a post-pandemic recovery highlights the net profit from US$1.10 billion to US$2.60 billion (Marriott, 2026).  </w:t>
      </w:r>
    </w:p>
    <w:p w14:paraId="00000006" w14:textId="262078FE"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Implying reliance on short-term financing highlights the current liabilities continued to maintain current assets across efficient management of working capital (Marriott, 2025). In 2025, insufficiently supported share </w:t>
      </w:r>
      <w:r w:rsidR="00465EF1" w:rsidRPr="00E805AD">
        <w:rPr>
          <w:rFonts w:eastAsia="Times New Roman"/>
          <w:sz w:val="24"/>
          <w:szCs w:val="24"/>
        </w:rPr>
        <w:t>repurchases</w:t>
      </w:r>
      <w:r w:rsidRPr="00E805AD">
        <w:rPr>
          <w:rFonts w:eastAsia="Times New Roman"/>
          <w:sz w:val="24"/>
          <w:szCs w:val="24"/>
        </w:rPr>
        <w:t xml:space="preserve"> and capital return policies grew financial leverage and risk, and a further negative impact on shareholders’ equity resulted in a deficit of US$3.77 billion.</w:t>
      </w:r>
    </w:p>
    <w:p w14:paraId="00000007"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Although there were balance-sheet pressures, investor confidence was very strong. On July 10, 2026, Marriott’s share price was US$376.11, near its peak of US$402.54, while its market cap rose to US$99.18 billion (Marriott, 2026). Considering Marriott’s strong stock performance, investors seem to attach more importance to its earnings growth and brand strength, cash-generating ability and long-term growth prospects than to its negative book equity. </w:t>
      </w:r>
    </w:p>
    <w:p w14:paraId="00000008" w14:textId="77777777" w:rsidR="003E62FA" w:rsidRPr="00E805AD" w:rsidRDefault="00123D4C" w:rsidP="00E805AD">
      <w:pPr>
        <w:pStyle w:val="Heading2"/>
      </w:pPr>
      <w:bookmarkStart w:id="4" w:name="_Toc234863807"/>
      <w:r w:rsidRPr="00E805AD">
        <w:lastRenderedPageBreak/>
        <w:t>2.2 Ratio analysis</w:t>
      </w:r>
      <w:bookmarkEnd w:id="4"/>
    </w:p>
    <w:p w14:paraId="00000009"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A. Profitability Ratios</w:t>
      </w:r>
    </w:p>
    <w:p w14:paraId="0000000A" w14:textId="6FE8B83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Marriott’s profitability ratios indicate a solid recovery and improving earnings performance over the five-year period. With effective cost management amid inflation in the hospitality sector, gross profit margins remained stable at around 20-22%. The operating margins improved from 13 per cent in 2021 to 16 per cent in 2025, whereas the EBITDA margins improved from 15 per cent to 18 per cent. Hilton Worldwide was subject to similar trends, as the recovery in travel demand boosted business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w:t>
      </w:r>
    </w:p>
    <w:p w14:paraId="0000000B"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B. Liquidity Ratios</w:t>
      </w:r>
    </w:p>
    <w:p w14:paraId="0000000C" w14:textId="457D532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Throughout the period, the liquidity position of Marriott was relatively weak.  The current ratio slightly improved from 0.010 to 0.012 but still remained low as the standard benchmark is 1.0. This means current liabilities exceeded current assets.  The ratio of cash had ranged between 0.046 and 0.123 which meant minimum cash resource is available to fulfil short term obligations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 The working capital ratio is negative and its value in the range of -0.990 to -0.988 confirms a working capital deficit. Nevertheless, such a situation is quite common among the asset-light hotel companies (Aslam et al., 2025). For example, because of their strong and predictable operating cash inflows, McDonald’s and Hilton also have low liquidity ratios.</w:t>
      </w:r>
    </w:p>
    <w:p w14:paraId="0000000D"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C. Efficiency Ratios</w:t>
      </w:r>
    </w:p>
    <w:p w14:paraId="0000000E" w14:textId="32C9E5C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total asset turnover ratio increased from 0.63 in 2021 to around 1.09 in 2025, which shows effective utilization of assets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 The receivable turnover ratio improved significantly as receivable days reduced from 36.69 days to mere 4.99 days demonstrating faster collection of money from customers and better credit management (</w:t>
      </w:r>
      <w:proofErr w:type="spellStart"/>
      <w:r w:rsidRPr="00E805AD">
        <w:rPr>
          <w:rFonts w:eastAsia="Times New Roman"/>
          <w:sz w:val="24"/>
          <w:szCs w:val="24"/>
        </w:rPr>
        <w:t>Abdulnafea</w:t>
      </w:r>
      <w:proofErr w:type="spellEnd"/>
      <w:r w:rsidRPr="00E805AD">
        <w:rPr>
          <w:rFonts w:eastAsia="Times New Roman"/>
          <w:sz w:val="24"/>
          <w:szCs w:val="24"/>
        </w:rPr>
        <w:t xml:space="preserve"> et al., 2022). The hotel </w:t>
      </w:r>
      <w:r w:rsidR="00465EF1" w:rsidRPr="00E805AD">
        <w:rPr>
          <w:rFonts w:eastAsia="Times New Roman"/>
          <w:sz w:val="24"/>
          <w:szCs w:val="24"/>
        </w:rPr>
        <w:t>was</w:t>
      </w:r>
      <w:r w:rsidRPr="00E805AD">
        <w:rPr>
          <w:rFonts w:eastAsia="Times New Roman"/>
          <w:sz w:val="24"/>
          <w:szCs w:val="24"/>
        </w:rPr>
        <w:t xml:space="preserve"> able to utilize their properties and infrastructure better in the year under report. At Hilton Worldwide, a similar improvement in return on capital employed took place, with revenue being generated on a lower asset base due to an asset-light business model and franchise.</w:t>
      </w:r>
    </w:p>
    <w:p w14:paraId="0000000F"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 Gearing Ratios</w:t>
      </w:r>
    </w:p>
    <w:p w14:paraId="00000010" w14:textId="1B17575A"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 xml:space="preserve">Marriott’s gearing position represents a more leveraged capital structure. The equity ratio fluctuated between 29% and 38%. This means that a modest proportion of assets were financed through shareholders’ </w:t>
      </w:r>
      <w:r w:rsidR="00465EF1" w:rsidRPr="00E805AD">
        <w:rPr>
          <w:rFonts w:eastAsia="Times New Roman"/>
          <w:sz w:val="24"/>
          <w:szCs w:val="24"/>
        </w:rPr>
        <w:t>funds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00465EF1" w:rsidRPr="00E805AD">
        <w:rPr>
          <w:rFonts w:eastAsia="Times New Roman"/>
          <w:sz w:val="24"/>
          <w:szCs w:val="24"/>
        </w:rPr>
        <w:t>.</w:t>
      </w:r>
    </w:p>
    <w:p w14:paraId="00000011"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E. Investment Ratios</w:t>
      </w:r>
    </w:p>
    <w:p w14:paraId="00000012" w14:textId="404528A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Investment indicators of Marriott are mixed. Earnings per share (EPS) increased from 0.78 in the year 2021 to 4.15 in the year 2022 as global travel demand recovered</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 Despite the fact that subsequent years’ EPS (earnings per share) became negative according to the ratios above, investors rated it highly, favourably due to its brand portfolio, franchise revenues and long-term growth (Siebert, 2024). In July 2026, the company’s shares traded at US$376.11, which is near its all-time high of US$402.54. The market capitalisation rose to about US$99.18 billion. This shows continued investor confidence in the company despite temporary swings in accounting returns.</w:t>
      </w:r>
    </w:p>
    <w:p w14:paraId="00000013"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F. Cash Flow Ratios</w:t>
      </w:r>
    </w:p>
    <w:p w14:paraId="00000014" w14:textId="79A59375"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The cash flow highlights the operating cash system which led to the margins growing from 8% in 2021 to 12% in 2025 to convert revenue into cash (Stavropoulos, and </w:t>
      </w:r>
      <w:proofErr w:type="spellStart"/>
      <w:r w:rsidRPr="00E805AD">
        <w:rPr>
          <w:rFonts w:eastAsia="Times New Roman"/>
          <w:sz w:val="24"/>
          <w:szCs w:val="24"/>
        </w:rPr>
        <w:t>Zounta</w:t>
      </w:r>
      <w:proofErr w:type="spellEnd"/>
      <w:r w:rsidRPr="00E805AD">
        <w:rPr>
          <w:rFonts w:eastAsia="Times New Roman"/>
          <w:sz w:val="24"/>
          <w:szCs w:val="24"/>
        </w:rPr>
        <w:t>, 2025; Farooq et al., 2025). Marriott's operating cash flows were strong and similar to Hilton Worldwide and Hyatt Hotels Corporation.</w:t>
      </w:r>
    </w:p>
    <w:p w14:paraId="00000015" w14:textId="77777777" w:rsidR="003E62FA" w:rsidRPr="00E805AD" w:rsidRDefault="00123D4C" w:rsidP="00E805AD">
      <w:pPr>
        <w:pStyle w:val="Heading2"/>
      </w:pPr>
      <w:bookmarkStart w:id="5" w:name="_Toc234863808"/>
      <w:r w:rsidRPr="00E805AD">
        <w:t>2.3 Identification of different factor</w:t>
      </w:r>
      <w:bookmarkEnd w:id="5"/>
    </w:p>
    <w:p w14:paraId="00000016"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2.3.1 Trends</w:t>
      </w:r>
    </w:p>
    <w:p w14:paraId="00000017"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Over a period of 5 years, Marriott was recovering rapidly due to the pandemic and less operational goods. Revenue nearly doubled from US$13.86b in 2021 to US$26.19b in 2025 while net income increased from US$1.10b to US$2.60b to rise in travel demand as well as footprint of hotels´ occupation. The operating margins look to strengthen to 16% from 13% and EBITDA margins to improve from 15% to 18% (</w:t>
      </w:r>
      <w:proofErr w:type="spellStart"/>
      <w:r w:rsidRPr="00E805AD">
        <w:rPr>
          <w:rFonts w:eastAsia="Times New Roman"/>
          <w:sz w:val="24"/>
          <w:szCs w:val="24"/>
        </w:rPr>
        <w:t>Majka</w:t>
      </w:r>
      <w:proofErr w:type="spellEnd"/>
      <w:r w:rsidRPr="00E805AD">
        <w:rPr>
          <w:rFonts w:eastAsia="Times New Roman"/>
          <w:sz w:val="24"/>
          <w:szCs w:val="24"/>
        </w:rPr>
        <w:t xml:space="preserve"> et al., 2025). There was a big improvement in efficiency as total asset turnover went up from 0.63 to 1.09, while the receivable days were reduced from 36.69 to 4.99 days. Despite decreased cash balances and negative working capital, operating cash flow margins rose by 8% to 12%. The US$99.18 billion market capitalization assigned to Marriott in July 2026 and the share price near its record US$402.54 indicate that investor </w:t>
      </w:r>
      <w:r w:rsidRPr="00E805AD">
        <w:rPr>
          <w:rFonts w:eastAsia="Times New Roman"/>
          <w:sz w:val="24"/>
          <w:szCs w:val="24"/>
        </w:rPr>
        <w:lastRenderedPageBreak/>
        <w:t>confidence remains exceptionally strong as the market expects a solid earnings growth (Wang, 2023).</w:t>
      </w:r>
    </w:p>
    <w:p w14:paraId="00000018"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2.3.2 Strengths</w:t>
      </w:r>
    </w:p>
    <w:p w14:paraId="00000019" w14:textId="0DE6314D"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It possesses a number of major financial strengths which help it to compete in global hospitality. The organization experienced both revenue and earnings spikes. The revenue surged by nearly 89% between 2021-2025 and the net income more than doubled during this period (Chen et al., 2024). Similarly, Hilton Worldwide, Marriott have an asset light business model. An asset light business model has numerous benefits as it is scalable, requires less capital and generates a stable income stream that is fee based (De Keyser, and </w:t>
      </w:r>
      <w:proofErr w:type="spellStart"/>
      <w:r w:rsidRPr="00E805AD">
        <w:rPr>
          <w:rFonts w:eastAsia="Times New Roman"/>
          <w:sz w:val="24"/>
          <w:szCs w:val="24"/>
        </w:rPr>
        <w:t>Mathijs</w:t>
      </w:r>
      <w:proofErr w:type="spellEnd"/>
      <w:r w:rsidRPr="00E805AD">
        <w:rPr>
          <w:rFonts w:eastAsia="Times New Roman"/>
          <w:sz w:val="24"/>
          <w:szCs w:val="24"/>
        </w:rPr>
        <w:t xml:space="preserve">, 2023). These characteristics contribute to better </w:t>
      </w:r>
      <w:r w:rsidR="00465EF1" w:rsidRPr="00E805AD">
        <w:rPr>
          <w:rFonts w:eastAsia="Times New Roman"/>
          <w:sz w:val="24"/>
          <w:szCs w:val="24"/>
        </w:rPr>
        <w:t>long-term</w:t>
      </w:r>
      <w:r w:rsidRPr="00E805AD">
        <w:rPr>
          <w:rFonts w:eastAsia="Times New Roman"/>
          <w:sz w:val="24"/>
          <w:szCs w:val="24"/>
        </w:rPr>
        <w:t xml:space="preserve"> profitability and enhancement of stakeholder value contribution.</w:t>
      </w:r>
    </w:p>
    <w:p w14:paraId="0000001A"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2.3.3 Potential Threats</w:t>
      </w:r>
    </w:p>
    <w:p w14:paraId="0000001B"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The company’s liquidity position is weak as the current ratio and cash ratio are significantly lower than conventional requirements and the working capital deficit continues to remain negative. The aforementioned conditions could place Marriott under short-term funding and refinancing pressures in difficult times. Additionally, the negative equity of shareholders has considerably increased on the back of significant share buyback programmes, amid increasing financial leverage and diminishing flexibility (Hossain et al., 2022). It will put pressure on profitability which highlights the interest rates rise further, so will borrowing costs (Hossain et al., 2025). </w:t>
      </w:r>
    </w:p>
    <w:p w14:paraId="0000001C" w14:textId="77777777" w:rsidR="003E62FA" w:rsidRPr="00E805AD" w:rsidRDefault="00123D4C" w:rsidP="00E805AD">
      <w:pPr>
        <w:pStyle w:val="Heading2"/>
      </w:pPr>
      <w:bookmarkStart w:id="6" w:name="_Toc234863809"/>
      <w:r w:rsidRPr="00E805AD">
        <w:t>2.4 Comparison of liquidity ratios with industry benchmarks</w:t>
      </w:r>
      <w:bookmarkEnd w:id="6"/>
    </w:p>
    <w:p w14:paraId="0000001D" w14:textId="78D4F913"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In 2026, Marriott had US$99.18 billion in total market cap and its share price was close to record levels. Similarly, Hilton Worldwide, Marriott have an asset light business model. An asset light business model has numerous benefits as it is scalable, requires less capital and generates a stable income stream that is fee based (Clement, 2025). These characteristics contribute to better </w:t>
      </w:r>
      <w:r w:rsidR="00465EF1" w:rsidRPr="00E805AD">
        <w:rPr>
          <w:rFonts w:eastAsia="Times New Roman"/>
          <w:sz w:val="24"/>
          <w:szCs w:val="24"/>
        </w:rPr>
        <w:t>long-term</w:t>
      </w:r>
      <w:r w:rsidRPr="00E805AD">
        <w:rPr>
          <w:rFonts w:eastAsia="Times New Roman"/>
          <w:sz w:val="24"/>
          <w:szCs w:val="24"/>
        </w:rPr>
        <w:t xml:space="preserve"> profitability and enhancement of stakeholder value contribution.</w:t>
      </w:r>
    </w:p>
    <w:p w14:paraId="0000001E"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The company’s liquidity position is weak as the current ratio and cash ratio are significantly lower than conventional requirements and the working capital deficit continues to remain negative. </w:t>
      </w:r>
    </w:p>
    <w:p w14:paraId="0000001F" w14:textId="6A518EA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The global occupancy rates of Marriott fell dramatically in 2020, which is an example of an event that impacted the hotel and resort industry. As interest rates rise further, so will borrowing costs which will put pre</w:t>
      </w:r>
      <w:r w:rsidR="00712A08">
        <w:rPr>
          <w:rFonts w:eastAsia="Times New Roman"/>
          <w:sz w:val="24"/>
          <w:szCs w:val="24"/>
        </w:rPr>
        <w:t>ssure on profitability (</w:t>
      </w:r>
      <w:proofErr w:type="spellStart"/>
      <w:r w:rsidR="00712A08">
        <w:rPr>
          <w:rFonts w:eastAsia="Times New Roman"/>
          <w:sz w:val="24"/>
          <w:szCs w:val="24"/>
        </w:rPr>
        <w:t>Behera</w:t>
      </w:r>
      <w:proofErr w:type="spellEnd"/>
      <w:r w:rsidR="00712A08">
        <w:rPr>
          <w:rFonts w:eastAsia="Times New Roman"/>
          <w:sz w:val="24"/>
          <w:szCs w:val="24"/>
        </w:rPr>
        <w:t xml:space="preserve">, </w:t>
      </w:r>
      <w:r w:rsidRPr="00E805AD">
        <w:rPr>
          <w:rFonts w:eastAsia="Times New Roman"/>
          <w:sz w:val="24"/>
          <w:szCs w:val="24"/>
        </w:rPr>
        <w:t xml:space="preserve">and </w:t>
      </w:r>
      <w:proofErr w:type="spellStart"/>
      <w:r w:rsidRPr="00E805AD">
        <w:rPr>
          <w:rFonts w:eastAsia="Times New Roman"/>
          <w:sz w:val="24"/>
          <w:szCs w:val="24"/>
        </w:rPr>
        <w:t>Sethi</w:t>
      </w:r>
      <w:proofErr w:type="spellEnd"/>
      <w:r w:rsidRPr="00E805AD">
        <w:rPr>
          <w:rFonts w:eastAsia="Times New Roman"/>
          <w:sz w:val="24"/>
          <w:szCs w:val="24"/>
        </w:rPr>
        <w:t xml:space="preserve">, 2024). Moreover, Airbnb could limit future revenue growth on pricing, market share, and long-term profitability that </w:t>
      </w:r>
      <w:r w:rsidR="00465EF1" w:rsidRPr="00E805AD">
        <w:rPr>
          <w:rFonts w:eastAsia="Times New Roman"/>
          <w:sz w:val="24"/>
          <w:szCs w:val="24"/>
        </w:rPr>
        <w:t>led</w:t>
      </w:r>
      <w:r w:rsidRPr="00E805AD">
        <w:rPr>
          <w:rFonts w:eastAsia="Times New Roman"/>
          <w:sz w:val="24"/>
          <w:szCs w:val="24"/>
        </w:rPr>
        <w:t xml:space="preserve"> to high competition from hotel chains like Hilton and Hyatt. </w:t>
      </w:r>
    </w:p>
    <w:p w14:paraId="00000020" w14:textId="77777777" w:rsidR="003E62FA" w:rsidRPr="00E805AD" w:rsidRDefault="00123D4C" w:rsidP="00E805AD">
      <w:pPr>
        <w:pStyle w:val="Heading1"/>
      </w:pPr>
      <w:bookmarkStart w:id="7" w:name="_Toc234863810"/>
      <w:r w:rsidRPr="00E805AD">
        <w:t>3. Working Capital Management Analysis</w:t>
      </w:r>
      <w:bookmarkEnd w:id="7"/>
      <w:r w:rsidRPr="00E805AD">
        <w:t xml:space="preserve"> </w:t>
      </w:r>
    </w:p>
    <w:p w14:paraId="00000021" w14:textId="77777777" w:rsidR="003E62FA" w:rsidRPr="00E805AD" w:rsidRDefault="00123D4C" w:rsidP="00E805AD">
      <w:pPr>
        <w:pStyle w:val="Heading2"/>
      </w:pPr>
      <w:bookmarkStart w:id="8" w:name="_Toc234863811"/>
      <w:r w:rsidRPr="00E805AD">
        <w:t>3.1 Cash Operating Cycle</w:t>
      </w:r>
      <w:bookmarkEnd w:id="8"/>
      <w:r w:rsidRPr="00E805AD">
        <w:t xml:space="preserve"> </w:t>
      </w:r>
    </w:p>
    <w:tbl>
      <w:tblPr>
        <w:tblStyle w:val="TableGrid"/>
        <w:tblW w:w="5000" w:type="pct"/>
        <w:tblLook w:val="04A0" w:firstRow="1" w:lastRow="0" w:firstColumn="1" w:lastColumn="0" w:noHBand="0" w:noVBand="1"/>
      </w:tblPr>
      <w:tblGrid>
        <w:gridCol w:w="2649"/>
        <w:gridCol w:w="2820"/>
        <w:gridCol w:w="710"/>
        <w:gridCol w:w="710"/>
        <w:gridCol w:w="710"/>
        <w:gridCol w:w="710"/>
        <w:gridCol w:w="710"/>
      </w:tblGrid>
      <w:tr w:rsidR="00E829E9" w:rsidRPr="00E805AD" w14:paraId="34BC1B3C" w14:textId="77777777" w:rsidTr="00E829E9">
        <w:trPr>
          <w:trHeight w:val="300"/>
        </w:trPr>
        <w:tc>
          <w:tcPr>
            <w:tcW w:w="1349" w:type="pct"/>
            <w:noWrap/>
            <w:hideMark/>
          </w:tcPr>
          <w:p w14:paraId="6DE033BA" w14:textId="77777777" w:rsidR="00E829E9" w:rsidRPr="00E805AD" w:rsidRDefault="00E829E9" w:rsidP="00E805AD">
            <w:pPr>
              <w:spacing w:after="240" w:line="360" w:lineRule="auto"/>
              <w:rPr>
                <w:rFonts w:eastAsia="Times New Roman"/>
                <w:b/>
                <w:color w:val="000000"/>
                <w:sz w:val="24"/>
                <w:szCs w:val="24"/>
                <w:lang w:val="en-US"/>
              </w:rPr>
            </w:pPr>
            <w:r w:rsidRPr="00E805AD">
              <w:rPr>
                <w:rFonts w:eastAsia="Times New Roman"/>
                <w:b/>
                <w:color w:val="000000"/>
                <w:sz w:val="24"/>
                <w:szCs w:val="24"/>
                <w:lang w:val="en-US"/>
              </w:rPr>
              <w:t>Item</w:t>
            </w:r>
          </w:p>
        </w:tc>
        <w:tc>
          <w:tcPr>
            <w:tcW w:w="1431" w:type="pct"/>
            <w:noWrap/>
            <w:hideMark/>
          </w:tcPr>
          <w:p w14:paraId="4D2D5A7C" w14:textId="77777777" w:rsidR="00E829E9" w:rsidRPr="00E805AD" w:rsidRDefault="00E829E9" w:rsidP="00E805AD">
            <w:pPr>
              <w:spacing w:after="240" w:line="360" w:lineRule="auto"/>
              <w:rPr>
                <w:rFonts w:eastAsia="Times New Roman"/>
                <w:b/>
                <w:color w:val="000000"/>
                <w:sz w:val="24"/>
                <w:szCs w:val="24"/>
                <w:lang w:val="en-US"/>
              </w:rPr>
            </w:pPr>
            <w:r w:rsidRPr="00E805AD">
              <w:rPr>
                <w:rFonts w:eastAsia="Times New Roman"/>
                <w:b/>
                <w:color w:val="000000"/>
                <w:sz w:val="24"/>
                <w:szCs w:val="24"/>
                <w:lang w:val="en-US"/>
              </w:rPr>
              <w:t>Formula</w:t>
            </w:r>
          </w:p>
        </w:tc>
        <w:tc>
          <w:tcPr>
            <w:tcW w:w="444" w:type="pct"/>
            <w:noWrap/>
            <w:hideMark/>
          </w:tcPr>
          <w:p w14:paraId="5FF520E2"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44" w:type="pct"/>
            <w:noWrap/>
            <w:hideMark/>
          </w:tcPr>
          <w:p w14:paraId="59FB7623"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44" w:type="pct"/>
            <w:noWrap/>
            <w:hideMark/>
          </w:tcPr>
          <w:p w14:paraId="1EEFF61B"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44" w:type="pct"/>
            <w:noWrap/>
            <w:hideMark/>
          </w:tcPr>
          <w:p w14:paraId="76C13808"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44" w:type="pct"/>
            <w:noWrap/>
            <w:hideMark/>
          </w:tcPr>
          <w:p w14:paraId="6D8F7D05"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E829E9" w:rsidRPr="00E805AD" w14:paraId="01045629" w14:textId="77777777" w:rsidTr="00E829E9">
        <w:trPr>
          <w:trHeight w:val="300"/>
        </w:trPr>
        <w:tc>
          <w:tcPr>
            <w:tcW w:w="1349" w:type="pct"/>
            <w:noWrap/>
            <w:hideMark/>
          </w:tcPr>
          <w:p w14:paraId="2F6D8E5C"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w:t>
            </w:r>
          </w:p>
        </w:tc>
        <w:tc>
          <w:tcPr>
            <w:tcW w:w="1431" w:type="pct"/>
            <w:noWrap/>
            <w:hideMark/>
          </w:tcPr>
          <w:p w14:paraId="18FB36CA"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w:t>
            </w:r>
          </w:p>
        </w:tc>
        <w:tc>
          <w:tcPr>
            <w:tcW w:w="444" w:type="pct"/>
            <w:noWrap/>
            <w:hideMark/>
          </w:tcPr>
          <w:p w14:paraId="7871B54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13,857</w:t>
            </w:r>
          </w:p>
        </w:tc>
        <w:tc>
          <w:tcPr>
            <w:tcW w:w="444" w:type="pct"/>
            <w:noWrap/>
            <w:hideMark/>
          </w:tcPr>
          <w:p w14:paraId="3D44531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20,773</w:t>
            </w:r>
          </w:p>
        </w:tc>
        <w:tc>
          <w:tcPr>
            <w:tcW w:w="444" w:type="pct"/>
            <w:noWrap/>
            <w:hideMark/>
          </w:tcPr>
          <w:p w14:paraId="01345B3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23,713</w:t>
            </w:r>
          </w:p>
        </w:tc>
        <w:tc>
          <w:tcPr>
            <w:tcW w:w="444" w:type="pct"/>
            <w:noWrap/>
            <w:hideMark/>
          </w:tcPr>
          <w:p w14:paraId="509C403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25,100</w:t>
            </w:r>
          </w:p>
        </w:tc>
        <w:tc>
          <w:tcPr>
            <w:tcW w:w="444" w:type="pct"/>
            <w:noWrap/>
            <w:hideMark/>
          </w:tcPr>
          <w:p w14:paraId="15588C2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26,186</w:t>
            </w:r>
          </w:p>
        </w:tc>
      </w:tr>
      <w:tr w:rsidR="00E829E9" w:rsidRPr="00E805AD" w14:paraId="2EC33351" w14:textId="77777777" w:rsidTr="00E829E9">
        <w:trPr>
          <w:trHeight w:val="300"/>
        </w:trPr>
        <w:tc>
          <w:tcPr>
            <w:tcW w:w="1349" w:type="pct"/>
            <w:noWrap/>
            <w:hideMark/>
          </w:tcPr>
          <w:p w14:paraId="1E6A0EA8"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Inventory</w:t>
            </w:r>
          </w:p>
        </w:tc>
        <w:tc>
          <w:tcPr>
            <w:tcW w:w="1431" w:type="pct"/>
            <w:noWrap/>
            <w:hideMark/>
          </w:tcPr>
          <w:p w14:paraId="65C0F981"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 (Assumed)</w:t>
            </w:r>
          </w:p>
        </w:tc>
        <w:tc>
          <w:tcPr>
            <w:tcW w:w="444" w:type="pct"/>
            <w:noWrap/>
            <w:hideMark/>
          </w:tcPr>
          <w:p w14:paraId="3730B13A"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w:t>
            </w:r>
          </w:p>
        </w:tc>
        <w:tc>
          <w:tcPr>
            <w:tcW w:w="444" w:type="pct"/>
            <w:noWrap/>
            <w:hideMark/>
          </w:tcPr>
          <w:p w14:paraId="620BDAAE"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58</w:t>
            </w:r>
          </w:p>
        </w:tc>
        <w:tc>
          <w:tcPr>
            <w:tcW w:w="444" w:type="pct"/>
            <w:noWrap/>
            <w:hideMark/>
          </w:tcPr>
          <w:p w14:paraId="7BD1328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62</w:t>
            </w:r>
          </w:p>
        </w:tc>
        <w:tc>
          <w:tcPr>
            <w:tcW w:w="444" w:type="pct"/>
            <w:noWrap/>
            <w:hideMark/>
          </w:tcPr>
          <w:p w14:paraId="238C65C6"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66</w:t>
            </w:r>
          </w:p>
        </w:tc>
        <w:tc>
          <w:tcPr>
            <w:tcW w:w="444" w:type="pct"/>
            <w:noWrap/>
            <w:hideMark/>
          </w:tcPr>
          <w:p w14:paraId="5C2912CD"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70</w:t>
            </w:r>
          </w:p>
        </w:tc>
      </w:tr>
      <w:tr w:rsidR="00E829E9" w:rsidRPr="00E805AD" w14:paraId="24211090" w14:textId="77777777" w:rsidTr="00E829E9">
        <w:trPr>
          <w:trHeight w:val="300"/>
        </w:trPr>
        <w:tc>
          <w:tcPr>
            <w:tcW w:w="1349" w:type="pct"/>
            <w:noWrap/>
            <w:hideMark/>
          </w:tcPr>
          <w:p w14:paraId="11947309"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Accounts Receivable</w:t>
            </w:r>
          </w:p>
        </w:tc>
        <w:tc>
          <w:tcPr>
            <w:tcW w:w="1431" w:type="pct"/>
            <w:noWrap/>
            <w:hideMark/>
          </w:tcPr>
          <w:p w14:paraId="070DD420"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w:t>
            </w:r>
          </w:p>
        </w:tc>
        <w:tc>
          <w:tcPr>
            <w:tcW w:w="444" w:type="pct"/>
            <w:noWrap/>
            <w:hideMark/>
          </w:tcPr>
          <w:p w14:paraId="388F776A"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1,393</w:t>
            </w:r>
          </w:p>
        </w:tc>
        <w:tc>
          <w:tcPr>
            <w:tcW w:w="444" w:type="pct"/>
            <w:noWrap/>
            <w:hideMark/>
          </w:tcPr>
          <w:p w14:paraId="72E4E24A"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507</w:t>
            </w:r>
          </w:p>
        </w:tc>
        <w:tc>
          <w:tcPr>
            <w:tcW w:w="444" w:type="pct"/>
            <w:noWrap/>
            <w:hideMark/>
          </w:tcPr>
          <w:p w14:paraId="51CA275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338</w:t>
            </w:r>
          </w:p>
        </w:tc>
        <w:tc>
          <w:tcPr>
            <w:tcW w:w="444" w:type="pct"/>
            <w:noWrap/>
            <w:hideMark/>
          </w:tcPr>
          <w:p w14:paraId="53543B8D"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396</w:t>
            </w:r>
          </w:p>
        </w:tc>
        <w:tc>
          <w:tcPr>
            <w:tcW w:w="444" w:type="pct"/>
            <w:noWrap/>
            <w:hideMark/>
          </w:tcPr>
          <w:p w14:paraId="617D6F3B"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358</w:t>
            </w:r>
          </w:p>
        </w:tc>
      </w:tr>
      <w:tr w:rsidR="00E829E9" w:rsidRPr="00E805AD" w14:paraId="1442BB4B" w14:textId="77777777" w:rsidTr="00E829E9">
        <w:trPr>
          <w:trHeight w:val="300"/>
        </w:trPr>
        <w:tc>
          <w:tcPr>
            <w:tcW w:w="1349" w:type="pct"/>
            <w:noWrap/>
            <w:hideMark/>
          </w:tcPr>
          <w:p w14:paraId="23852DE5"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Accounts Payable</w:t>
            </w:r>
          </w:p>
        </w:tc>
        <w:tc>
          <w:tcPr>
            <w:tcW w:w="1431" w:type="pct"/>
            <w:noWrap/>
            <w:hideMark/>
          </w:tcPr>
          <w:p w14:paraId="473E6BE7"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 (Assumed)</w:t>
            </w:r>
          </w:p>
        </w:tc>
        <w:tc>
          <w:tcPr>
            <w:tcW w:w="444" w:type="pct"/>
            <w:noWrap/>
            <w:hideMark/>
          </w:tcPr>
          <w:p w14:paraId="40BE623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1,120</w:t>
            </w:r>
          </w:p>
        </w:tc>
        <w:tc>
          <w:tcPr>
            <w:tcW w:w="444" w:type="pct"/>
            <w:noWrap/>
            <w:hideMark/>
          </w:tcPr>
          <w:p w14:paraId="62CAEE5C"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1,290</w:t>
            </w:r>
          </w:p>
        </w:tc>
        <w:tc>
          <w:tcPr>
            <w:tcW w:w="444" w:type="pct"/>
            <w:noWrap/>
            <w:hideMark/>
          </w:tcPr>
          <w:p w14:paraId="1E272E7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1,410</w:t>
            </w:r>
          </w:p>
        </w:tc>
        <w:tc>
          <w:tcPr>
            <w:tcW w:w="444" w:type="pct"/>
            <w:noWrap/>
            <w:hideMark/>
          </w:tcPr>
          <w:p w14:paraId="602E6C6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1,520</w:t>
            </w:r>
          </w:p>
        </w:tc>
        <w:tc>
          <w:tcPr>
            <w:tcW w:w="444" w:type="pct"/>
            <w:noWrap/>
            <w:hideMark/>
          </w:tcPr>
          <w:p w14:paraId="7001E88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1,635</w:t>
            </w:r>
          </w:p>
        </w:tc>
      </w:tr>
      <w:tr w:rsidR="00E829E9" w:rsidRPr="00E805AD" w14:paraId="070294D3" w14:textId="77777777" w:rsidTr="00E829E9">
        <w:trPr>
          <w:trHeight w:val="300"/>
        </w:trPr>
        <w:tc>
          <w:tcPr>
            <w:tcW w:w="1349" w:type="pct"/>
            <w:noWrap/>
            <w:hideMark/>
          </w:tcPr>
          <w:p w14:paraId="5F17F8E5"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Days Inventory Outstanding (DIO)</w:t>
            </w:r>
          </w:p>
        </w:tc>
        <w:tc>
          <w:tcPr>
            <w:tcW w:w="1431" w:type="pct"/>
            <w:noWrap/>
            <w:hideMark/>
          </w:tcPr>
          <w:p w14:paraId="35B4626D"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(Inventory / Revenue) * 365</w:t>
            </w:r>
          </w:p>
        </w:tc>
        <w:tc>
          <w:tcPr>
            <w:tcW w:w="444" w:type="pct"/>
            <w:noWrap/>
            <w:hideMark/>
          </w:tcPr>
          <w:p w14:paraId="6430C563"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1.37</w:t>
            </w:r>
          </w:p>
        </w:tc>
        <w:tc>
          <w:tcPr>
            <w:tcW w:w="444" w:type="pct"/>
            <w:noWrap/>
            <w:hideMark/>
          </w:tcPr>
          <w:p w14:paraId="3E11665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1.02</w:t>
            </w:r>
          </w:p>
        </w:tc>
        <w:tc>
          <w:tcPr>
            <w:tcW w:w="444" w:type="pct"/>
            <w:noWrap/>
            <w:hideMark/>
          </w:tcPr>
          <w:p w14:paraId="3C900FB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0.95</w:t>
            </w:r>
          </w:p>
        </w:tc>
        <w:tc>
          <w:tcPr>
            <w:tcW w:w="444" w:type="pct"/>
            <w:noWrap/>
            <w:hideMark/>
          </w:tcPr>
          <w:p w14:paraId="7DB7BFD6"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0.96</w:t>
            </w:r>
          </w:p>
        </w:tc>
        <w:tc>
          <w:tcPr>
            <w:tcW w:w="444" w:type="pct"/>
            <w:noWrap/>
            <w:hideMark/>
          </w:tcPr>
          <w:p w14:paraId="0D47653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0.98</w:t>
            </w:r>
          </w:p>
        </w:tc>
      </w:tr>
      <w:tr w:rsidR="00E829E9" w:rsidRPr="00E805AD" w14:paraId="636A28AC" w14:textId="77777777" w:rsidTr="00E829E9">
        <w:trPr>
          <w:trHeight w:val="300"/>
        </w:trPr>
        <w:tc>
          <w:tcPr>
            <w:tcW w:w="1349" w:type="pct"/>
            <w:noWrap/>
            <w:hideMark/>
          </w:tcPr>
          <w:p w14:paraId="09140BB7"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Days Sales Outstanding (DSO)</w:t>
            </w:r>
          </w:p>
        </w:tc>
        <w:tc>
          <w:tcPr>
            <w:tcW w:w="1431" w:type="pct"/>
            <w:noWrap/>
            <w:hideMark/>
          </w:tcPr>
          <w:p w14:paraId="611233A2"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(Receivables / Revenue) * 365</w:t>
            </w:r>
          </w:p>
        </w:tc>
        <w:tc>
          <w:tcPr>
            <w:tcW w:w="444" w:type="pct"/>
            <w:noWrap/>
            <w:hideMark/>
          </w:tcPr>
          <w:p w14:paraId="1253CAFC"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36.69</w:t>
            </w:r>
          </w:p>
        </w:tc>
        <w:tc>
          <w:tcPr>
            <w:tcW w:w="444" w:type="pct"/>
            <w:noWrap/>
            <w:hideMark/>
          </w:tcPr>
          <w:p w14:paraId="339EE61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8.91</w:t>
            </w:r>
          </w:p>
        </w:tc>
        <w:tc>
          <w:tcPr>
            <w:tcW w:w="444" w:type="pct"/>
            <w:noWrap/>
            <w:hideMark/>
          </w:tcPr>
          <w:p w14:paraId="71ECB65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5.20</w:t>
            </w:r>
          </w:p>
        </w:tc>
        <w:tc>
          <w:tcPr>
            <w:tcW w:w="444" w:type="pct"/>
            <w:noWrap/>
            <w:hideMark/>
          </w:tcPr>
          <w:p w14:paraId="211C599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5.76</w:t>
            </w:r>
          </w:p>
        </w:tc>
        <w:tc>
          <w:tcPr>
            <w:tcW w:w="444" w:type="pct"/>
            <w:noWrap/>
            <w:hideMark/>
          </w:tcPr>
          <w:p w14:paraId="57A4AC13"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4.99</w:t>
            </w:r>
          </w:p>
        </w:tc>
      </w:tr>
      <w:tr w:rsidR="00E829E9" w:rsidRPr="00E805AD" w14:paraId="7B1C4F4F" w14:textId="77777777" w:rsidTr="00E829E9">
        <w:trPr>
          <w:trHeight w:val="300"/>
        </w:trPr>
        <w:tc>
          <w:tcPr>
            <w:tcW w:w="1349" w:type="pct"/>
            <w:noWrap/>
            <w:hideMark/>
          </w:tcPr>
          <w:p w14:paraId="7AA72B2B"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Days Payable Outstanding (DPO)</w:t>
            </w:r>
          </w:p>
        </w:tc>
        <w:tc>
          <w:tcPr>
            <w:tcW w:w="1431" w:type="pct"/>
            <w:noWrap/>
            <w:hideMark/>
          </w:tcPr>
          <w:p w14:paraId="7A3004E8"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(Accounts Payable / Revenue) * 365</w:t>
            </w:r>
          </w:p>
        </w:tc>
        <w:tc>
          <w:tcPr>
            <w:tcW w:w="444" w:type="pct"/>
            <w:noWrap/>
            <w:hideMark/>
          </w:tcPr>
          <w:p w14:paraId="1F3934E4"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29.50</w:t>
            </w:r>
          </w:p>
        </w:tc>
        <w:tc>
          <w:tcPr>
            <w:tcW w:w="444" w:type="pct"/>
            <w:noWrap/>
            <w:hideMark/>
          </w:tcPr>
          <w:p w14:paraId="70AEC50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22.67</w:t>
            </w:r>
          </w:p>
        </w:tc>
        <w:tc>
          <w:tcPr>
            <w:tcW w:w="444" w:type="pct"/>
            <w:noWrap/>
            <w:hideMark/>
          </w:tcPr>
          <w:p w14:paraId="7BC8775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21.70</w:t>
            </w:r>
          </w:p>
        </w:tc>
        <w:tc>
          <w:tcPr>
            <w:tcW w:w="444" w:type="pct"/>
            <w:noWrap/>
            <w:hideMark/>
          </w:tcPr>
          <w:p w14:paraId="54979654"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22.10</w:t>
            </w:r>
          </w:p>
        </w:tc>
        <w:tc>
          <w:tcPr>
            <w:tcW w:w="444" w:type="pct"/>
            <w:noWrap/>
            <w:hideMark/>
          </w:tcPr>
          <w:p w14:paraId="566EFE3D"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22.79</w:t>
            </w:r>
          </w:p>
        </w:tc>
      </w:tr>
      <w:tr w:rsidR="00E829E9" w:rsidRPr="00E805AD" w14:paraId="3211D40D" w14:textId="77777777" w:rsidTr="00E829E9">
        <w:trPr>
          <w:trHeight w:val="315"/>
        </w:trPr>
        <w:tc>
          <w:tcPr>
            <w:tcW w:w="1349" w:type="pct"/>
            <w:noWrap/>
            <w:hideMark/>
          </w:tcPr>
          <w:p w14:paraId="081B9226"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Conversion Cycle (CCC)</w:t>
            </w:r>
          </w:p>
        </w:tc>
        <w:tc>
          <w:tcPr>
            <w:tcW w:w="1431" w:type="pct"/>
            <w:noWrap/>
            <w:hideMark/>
          </w:tcPr>
          <w:p w14:paraId="24C26671"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(DIO + DSO - DPO)</w:t>
            </w:r>
          </w:p>
        </w:tc>
        <w:tc>
          <w:tcPr>
            <w:tcW w:w="444" w:type="pct"/>
            <w:noWrap/>
            <w:hideMark/>
          </w:tcPr>
          <w:p w14:paraId="50E0BE16"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8.56</w:t>
            </w:r>
          </w:p>
        </w:tc>
        <w:tc>
          <w:tcPr>
            <w:tcW w:w="444" w:type="pct"/>
            <w:noWrap/>
            <w:hideMark/>
          </w:tcPr>
          <w:p w14:paraId="58E9454E"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-12.74</w:t>
            </w:r>
          </w:p>
        </w:tc>
        <w:tc>
          <w:tcPr>
            <w:tcW w:w="444" w:type="pct"/>
            <w:noWrap/>
            <w:hideMark/>
          </w:tcPr>
          <w:p w14:paraId="0814B015"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-15.55</w:t>
            </w:r>
          </w:p>
        </w:tc>
        <w:tc>
          <w:tcPr>
            <w:tcW w:w="444" w:type="pct"/>
            <w:noWrap/>
            <w:hideMark/>
          </w:tcPr>
          <w:p w14:paraId="1CB3DAF1"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-15.39</w:t>
            </w:r>
          </w:p>
        </w:tc>
        <w:tc>
          <w:tcPr>
            <w:tcW w:w="444" w:type="pct"/>
            <w:noWrap/>
            <w:hideMark/>
          </w:tcPr>
          <w:p w14:paraId="3AE303B4"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-16.82</w:t>
            </w:r>
          </w:p>
        </w:tc>
      </w:tr>
    </w:tbl>
    <w:p w14:paraId="2502B87E" w14:textId="0BF9BF0A" w:rsidR="00E829E9" w:rsidRPr="00E805AD" w:rsidRDefault="00E829E9" w:rsidP="00E805AD">
      <w:pPr>
        <w:spacing w:after="200" w:line="360" w:lineRule="auto"/>
        <w:jc w:val="center"/>
        <w:rPr>
          <w:rFonts w:eastAsia="Times New Roman"/>
          <w:b/>
          <w:bCs/>
          <w:sz w:val="24"/>
          <w:szCs w:val="24"/>
        </w:rPr>
      </w:pPr>
      <w:r w:rsidRPr="00E805AD">
        <w:rPr>
          <w:rFonts w:eastAsia="Times New Roman"/>
          <w:b/>
          <w:bCs/>
          <w:sz w:val="24"/>
          <w:szCs w:val="24"/>
        </w:rPr>
        <w:t>Table 1: Cash Operating Cycle Calculation</w:t>
      </w:r>
    </w:p>
    <w:p w14:paraId="2BBC2742" w14:textId="10EA8B91" w:rsidR="00E829E9" w:rsidRPr="00E805AD" w:rsidRDefault="00E829E9" w:rsidP="00E805AD">
      <w:pPr>
        <w:spacing w:after="200" w:line="360" w:lineRule="auto"/>
        <w:jc w:val="center"/>
        <w:rPr>
          <w:rFonts w:eastAsia="Times New Roman"/>
          <w:sz w:val="24"/>
          <w:szCs w:val="24"/>
        </w:rPr>
      </w:pPr>
      <w:r w:rsidRPr="00E805AD">
        <w:rPr>
          <w:rFonts w:eastAsia="Times New Roman"/>
          <w:sz w:val="24"/>
          <w:szCs w:val="24"/>
        </w:rPr>
        <w:lastRenderedPageBreak/>
        <w:t>(Source: Self-developed)</w:t>
      </w:r>
    </w:p>
    <w:p w14:paraId="00000022" w14:textId="0E927E44"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DIO</w:t>
      </w:r>
    </w:p>
    <w:p w14:paraId="00000023"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Marriott’s Days Inventory Outstanding (DIO) was very low at between 0.95 days and 1.37 days. The relation dropped from 1.37 days in 2021 to 0.98 days in 2025 making it very efficient. This outcome is not surprising as Marriott has an asset-light hospitality business model whereby its inventory consists mainly of food, beverage, and operating supply rather than merchandise for resale (Aslam et al., 2025). Keeping inventory holding periods as low as possible minimizes storage costs, reduces waste and lowers working capital requirement (Burton-Howat, 2025). Hilton Worldwide and Hyatt Hotels Corporation display similar patterns as they also reveal extremely low levels of inventories thanks to their management and franchising businesses.</w:t>
      </w:r>
    </w:p>
    <w:p w14:paraId="00000024"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DSO</w:t>
      </w:r>
    </w:p>
    <w:p w14:paraId="00000025"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 has successfully improved its Days Sales Outstanding (DSO) from 36.69 days in 2021 to only 4.99 days in 2025. This signifies better and faster payments collection from customers and other business partners by the company. The collection of receivables is improved which enhances liquidity and reduces credit risk and accelerates cash inflows for the benefit of operations and investment (Abdallah et al., 2025). The decline is due to global travel revival and increased reliance on digital payment and direct online booking systems (</w:t>
      </w:r>
      <w:proofErr w:type="spellStart"/>
      <w:r w:rsidRPr="00E805AD">
        <w:rPr>
          <w:rFonts w:eastAsia="Times New Roman"/>
          <w:sz w:val="24"/>
          <w:szCs w:val="24"/>
        </w:rPr>
        <w:t>Stivala</w:t>
      </w:r>
      <w:proofErr w:type="spellEnd"/>
      <w:r w:rsidRPr="00E805AD">
        <w:rPr>
          <w:rFonts w:eastAsia="Times New Roman"/>
          <w:sz w:val="24"/>
          <w:szCs w:val="24"/>
        </w:rPr>
        <w:t>, 2022).  A similar trend has been noticed at Hilton Worldwide where tech-based reservation systems and collections of franchise fees help in hastening cash conversion and the receivable cycle.</w:t>
      </w:r>
    </w:p>
    <w:p w14:paraId="00000026"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DPO</w:t>
      </w:r>
    </w:p>
    <w:p w14:paraId="00000027" w14:textId="0F2F2FAA"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DPO of Marriott dropped from 29.50 days in 2021 to 22.79 days in 2025, which reveals that the company will meet its obligations in around three weeks. A lower DPO indicates that Marriott has sufficient cash-generating ability to make timely investor payments therefore maintaining good relations and stability in the supply chain (</w:t>
      </w:r>
      <w:proofErr w:type="spellStart"/>
      <w:r w:rsidRPr="00E805AD">
        <w:rPr>
          <w:rFonts w:eastAsia="Times New Roman"/>
          <w:sz w:val="24"/>
          <w:szCs w:val="24"/>
        </w:rPr>
        <w:t>Tamplin</w:t>
      </w:r>
      <w:proofErr w:type="spellEnd"/>
      <w:r w:rsidRPr="00E805AD">
        <w:rPr>
          <w:rFonts w:eastAsia="Times New Roman"/>
          <w:sz w:val="24"/>
          <w:szCs w:val="24"/>
        </w:rPr>
        <w:t xml:space="preserve">, 2022). It can preserve liquidity to extend the incumbent payment period but overly high DPO can hurt supplier confidence and bargaining power (Joshua et al., 2024). Marriott’s payments practices seem proportional and consistent with </w:t>
      </w:r>
      <w:r w:rsidR="00465EF1" w:rsidRPr="00E805AD">
        <w:rPr>
          <w:rFonts w:eastAsia="Times New Roman"/>
          <w:sz w:val="24"/>
          <w:szCs w:val="24"/>
        </w:rPr>
        <w:t>service less</w:t>
      </w:r>
      <w:r w:rsidRPr="00E805AD">
        <w:rPr>
          <w:rFonts w:eastAsia="Times New Roman"/>
          <w:sz w:val="24"/>
          <w:szCs w:val="24"/>
        </w:rPr>
        <w:t xml:space="preserve"> hospitality businesses. For instance, Hyatt Hotels Corporation optimizes supplier payments to prevent any disruption in the hotel’s operations and the quality of services.</w:t>
      </w:r>
    </w:p>
    <w:p w14:paraId="00000028"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lastRenderedPageBreak/>
        <w:t>CCC</w:t>
      </w:r>
    </w:p>
    <w:p w14:paraId="00000029" w14:textId="392A8F61"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Marriott's cash conversion cycle (CCC) has improved significantly, dropping from 8.56 days in 2021 to -16.82 days in 2025. This negatively growing cash conversion cycle indicates that Marriott is receiving cash from customers and franchise partners much earlier than cash outflow to suppliers. As working capital management improves working capital requirement, reliance on borrowing for </w:t>
      </w:r>
      <w:r w:rsidR="00465EF1" w:rsidRPr="00E805AD">
        <w:rPr>
          <w:rFonts w:eastAsia="Times New Roman"/>
          <w:sz w:val="24"/>
          <w:szCs w:val="24"/>
        </w:rPr>
        <w:t>day-to-day</w:t>
      </w:r>
      <w:r w:rsidRPr="00E805AD">
        <w:rPr>
          <w:rFonts w:eastAsia="Times New Roman"/>
          <w:sz w:val="24"/>
          <w:szCs w:val="24"/>
        </w:rPr>
        <w:t xml:space="preserve"> operation reduces (</w:t>
      </w:r>
      <w:proofErr w:type="spellStart"/>
      <w:r w:rsidRPr="00E805AD">
        <w:rPr>
          <w:rFonts w:eastAsia="Times New Roman"/>
          <w:sz w:val="24"/>
          <w:szCs w:val="24"/>
        </w:rPr>
        <w:t>Reyad</w:t>
      </w:r>
      <w:proofErr w:type="spellEnd"/>
      <w:r w:rsidRPr="00E805AD">
        <w:rPr>
          <w:rFonts w:eastAsia="Times New Roman"/>
          <w:sz w:val="24"/>
          <w:szCs w:val="24"/>
        </w:rPr>
        <w:t xml:space="preserve"> et al., 2022). It boosts liquidity and allows internally generated cash to support growth and shareholder returns. Hilton Worldwide and McDonald’s reflect similarly negative CCC patterns, giving strong brands with reliable cash inflows the ability to operate with a low level of working capital.</w:t>
      </w:r>
    </w:p>
    <w:p w14:paraId="3A48534C" w14:textId="77777777" w:rsidR="00650885" w:rsidRPr="00E805AD" w:rsidRDefault="00650885" w:rsidP="00E805AD">
      <w:pPr>
        <w:pStyle w:val="Heading2"/>
      </w:pPr>
      <w:bookmarkStart w:id="9" w:name="_Toc234863812"/>
      <w:r w:rsidRPr="00E805AD">
        <w:t>3.2 Recommend Strategies to Improve Liquidity through Working Capital Reform</w:t>
      </w:r>
      <w:bookmarkEnd w:id="9"/>
    </w:p>
    <w:p w14:paraId="03B05FBB"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Working capital management improvement is strategic for Marriott’s operation for the improvement in its liquidity level. An asset-light business model in its operation can be effectively maintained with the use of this strategic approach. </w:t>
      </w:r>
      <w:r w:rsidRPr="00E805AD">
        <w:rPr>
          <w:rFonts w:eastAsia="Times New Roman"/>
          <w:b/>
          <w:bCs/>
          <w:i/>
          <w:iCs/>
          <w:sz w:val="24"/>
          <w:szCs w:val="24"/>
        </w:rPr>
        <w:t>Acceleration in receivable collection</w:t>
      </w:r>
      <w:r w:rsidRPr="00E805AD">
        <w:rPr>
          <w:rFonts w:eastAsia="Times New Roman"/>
          <w:sz w:val="24"/>
          <w:szCs w:val="24"/>
        </w:rPr>
        <w:t>: This can be done by the firm with the expansion in direct online booking platforms, automated invoicing and expansion in digital payment systems (</w:t>
      </w:r>
      <w:proofErr w:type="spellStart"/>
      <w:r w:rsidRPr="00E805AD">
        <w:rPr>
          <w:rFonts w:eastAsia="Times New Roman"/>
          <w:sz w:val="24"/>
          <w:szCs w:val="24"/>
        </w:rPr>
        <w:t>Sethupathy</w:t>
      </w:r>
      <w:proofErr w:type="spellEnd"/>
      <w:r w:rsidRPr="00E805AD">
        <w:rPr>
          <w:rFonts w:eastAsia="Times New Roman"/>
          <w:sz w:val="24"/>
          <w:szCs w:val="24"/>
        </w:rPr>
        <w:t xml:space="preserve">, 2025). When franchise fees and consumers’ payments are collected faster, it enables improvement in cash flow, minimisation of credit risk and strengthening the liquidity level.  </w:t>
      </w:r>
    </w:p>
    <w:p w14:paraId="20554999" w14:textId="77777777" w:rsidR="00650885" w:rsidRPr="00E805AD" w:rsidRDefault="00650885" w:rsidP="00E805AD">
      <w:pPr>
        <w:spacing w:after="200" w:line="360" w:lineRule="auto"/>
        <w:jc w:val="both"/>
        <w:rPr>
          <w:rFonts w:eastAsia="Times New Roman"/>
          <w:sz w:val="24"/>
          <w:szCs w:val="24"/>
        </w:rPr>
      </w:pPr>
      <w:r w:rsidRPr="00E805AD">
        <w:rPr>
          <w:rFonts w:eastAsia="Times New Roman"/>
          <w:b/>
          <w:bCs/>
          <w:i/>
          <w:iCs/>
          <w:sz w:val="24"/>
          <w:szCs w:val="24"/>
        </w:rPr>
        <w:t>Negotiation of longer payment terms</w:t>
      </w:r>
      <w:r w:rsidRPr="00E805AD">
        <w:rPr>
          <w:rFonts w:eastAsia="Times New Roman"/>
          <w:sz w:val="24"/>
          <w:szCs w:val="24"/>
        </w:rPr>
        <w:t xml:space="preserve">: Marriott may seek longer time for payment from its suppliers, maintaining long-term positive relationships. Short-term financial requirements can be fulfilled by the firm when it retains cash longer with a moderate extension of payment periods. </w:t>
      </w:r>
    </w:p>
    <w:p w14:paraId="02F5430F" w14:textId="77777777" w:rsidR="00650885" w:rsidRPr="00E805AD" w:rsidRDefault="00650885" w:rsidP="00E805AD">
      <w:pPr>
        <w:spacing w:after="200" w:line="360" w:lineRule="auto"/>
        <w:jc w:val="both"/>
        <w:rPr>
          <w:rFonts w:eastAsia="Times New Roman"/>
          <w:sz w:val="24"/>
          <w:szCs w:val="24"/>
        </w:rPr>
      </w:pPr>
      <w:r w:rsidRPr="00E805AD">
        <w:rPr>
          <w:rFonts w:eastAsia="Times New Roman"/>
          <w:b/>
          <w:bCs/>
          <w:i/>
          <w:iCs/>
          <w:sz w:val="24"/>
          <w:szCs w:val="24"/>
        </w:rPr>
        <w:t>Demand forecasting and improvement in inventory management system</w:t>
      </w:r>
      <w:r w:rsidRPr="00E805AD">
        <w:rPr>
          <w:rFonts w:eastAsia="Times New Roman"/>
          <w:sz w:val="24"/>
          <w:szCs w:val="24"/>
        </w:rPr>
        <w:t>: A low inventory level is maintained at Marriott’s operation. However, it is recommended that there is a need to give priority to the improvement of demand forecasting and inventory management (</w:t>
      </w:r>
      <w:proofErr w:type="spellStart"/>
      <w:r w:rsidRPr="00E805AD">
        <w:rPr>
          <w:rFonts w:eastAsia="Times New Roman"/>
          <w:sz w:val="24"/>
          <w:szCs w:val="24"/>
        </w:rPr>
        <w:t>Akour</w:t>
      </w:r>
      <w:proofErr w:type="spellEnd"/>
      <w:r w:rsidRPr="00E805AD">
        <w:rPr>
          <w:rFonts w:eastAsia="Times New Roman"/>
          <w:sz w:val="24"/>
          <w:szCs w:val="24"/>
        </w:rPr>
        <w:t xml:space="preserve"> et al., 2022). These approaches are significant in reducing waste levels and costs associated with inventory holdings.</w:t>
      </w:r>
    </w:p>
    <w:p w14:paraId="161A4D13" w14:textId="77777777" w:rsidR="00650885" w:rsidRPr="00E805AD" w:rsidRDefault="00650885" w:rsidP="00E805AD">
      <w:pPr>
        <w:spacing w:after="200" w:line="360" w:lineRule="auto"/>
        <w:jc w:val="both"/>
        <w:rPr>
          <w:rFonts w:eastAsia="Times New Roman"/>
          <w:sz w:val="24"/>
          <w:szCs w:val="24"/>
        </w:rPr>
      </w:pPr>
      <w:r w:rsidRPr="00E805AD">
        <w:rPr>
          <w:rFonts w:eastAsia="Times New Roman"/>
          <w:b/>
          <w:bCs/>
          <w:i/>
          <w:iCs/>
          <w:sz w:val="24"/>
          <w:szCs w:val="24"/>
        </w:rPr>
        <w:t>Maintenance of adequate cash reserve</w:t>
      </w:r>
      <w:r w:rsidRPr="00E805AD">
        <w:rPr>
          <w:rFonts w:eastAsia="Times New Roman"/>
          <w:sz w:val="24"/>
          <w:szCs w:val="24"/>
        </w:rPr>
        <w:t xml:space="preserve">: In an uncertain economic situation or a decrease in demand in the travel situation finance resilience can be maintained giving </w:t>
      </w:r>
      <w:r w:rsidRPr="00E805AD">
        <w:rPr>
          <w:rFonts w:eastAsia="Times New Roman"/>
          <w:sz w:val="24"/>
          <w:szCs w:val="24"/>
        </w:rPr>
        <w:lastRenderedPageBreak/>
        <w:t>a focus on an adequate level of cash reserve. In addition, there is also a requirement of ongoing monitoring of working capital policies.</w:t>
      </w:r>
    </w:p>
    <w:p w14:paraId="0A0B9558"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Overall, all these approaches are strategic for the improvement in cash flow level at the operation that maintains seamless operational flow without giving a higher level of dependence on external borrowing. It supports it in ensuring sustainable growth across all levels of its operation.        </w:t>
      </w:r>
    </w:p>
    <w:p w14:paraId="796D075D" w14:textId="77777777" w:rsidR="00650885" w:rsidRPr="00E805AD" w:rsidRDefault="00650885" w:rsidP="00E805AD">
      <w:pPr>
        <w:pStyle w:val="Heading2"/>
      </w:pPr>
      <w:bookmarkStart w:id="10" w:name="_Toc234863813"/>
      <w:r w:rsidRPr="00E805AD">
        <w:t>3.3 Comparison of Short-Term Vs Long-Term Financing Options</w:t>
      </w:r>
      <w:bookmarkEnd w:id="10"/>
    </w:p>
    <w:p w14:paraId="66C0760A" w14:textId="058D6794"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Both short-term and long-term financing approaches can fulfil the working capital requirements at Marriott’s operation. Commercial paper, trade credit, revolving credit facilities and bank overdrafts make up short-term finance at Marriott’s operation. In seasonal fluctuations, quick access of fund supports effective management. At the initial stage, these are less expensive and help in maintaining greater flexibility across all levels of operation. However, interest </w:t>
      </w:r>
      <w:r w:rsidR="00712A08" w:rsidRPr="00E805AD">
        <w:rPr>
          <w:rFonts w:eastAsia="Times New Roman"/>
          <w:sz w:val="24"/>
          <w:szCs w:val="24"/>
        </w:rPr>
        <w:t>rate</w:t>
      </w:r>
      <w:r w:rsidRPr="00E805AD">
        <w:rPr>
          <w:rFonts w:eastAsia="Times New Roman"/>
          <w:sz w:val="24"/>
          <w:szCs w:val="24"/>
        </w:rPr>
        <w:t xml:space="preserve"> fluctuations and refinancing risk have to be faced by Marriott with this financing approach (</w:t>
      </w:r>
      <w:proofErr w:type="spellStart"/>
      <w:r w:rsidRPr="00E805AD">
        <w:rPr>
          <w:rFonts w:eastAsia="Times New Roman"/>
          <w:sz w:val="24"/>
          <w:szCs w:val="24"/>
        </w:rPr>
        <w:t>Adão</w:t>
      </w:r>
      <w:proofErr w:type="spellEnd"/>
      <w:r w:rsidRPr="00E805AD">
        <w:rPr>
          <w:rFonts w:eastAsia="Times New Roman"/>
          <w:sz w:val="24"/>
          <w:szCs w:val="24"/>
        </w:rPr>
        <w:t xml:space="preserve">, 2025). The reason behind it is that frequent renewals are required for short-term borrowing. Moreover, in weak travel demand, there is also the possibility of an enhancement in liquidity pressure when there is excessive reliance on short-term debt. </w:t>
      </w:r>
    </w:p>
    <w:p w14:paraId="30CB5EFF" w14:textId="007D5632"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At Marriott’s operations, long-term financing options include equity financing, long-term bank loans and corporate bonds. In the expansion of hotels, investment in sustainability initiatives and digital transformation, stable financing is received by the firm. Extension of repayment period in long-term financing approach is effective in the minimisation of refinancing risk and achieving greater financial stability. Overall, a balanced financial strategy is effective for the improvement in liquidity and strengthening shareholders' value.  </w:t>
      </w:r>
    </w:p>
    <w:p w14:paraId="0000002A" w14:textId="77777777" w:rsidR="003E62FA" w:rsidRPr="00E805AD" w:rsidRDefault="00123D4C" w:rsidP="00E805AD">
      <w:pPr>
        <w:pStyle w:val="Heading1"/>
      </w:pPr>
      <w:bookmarkStart w:id="11" w:name="_Toc234863814"/>
      <w:r w:rsidRPr="00E805AD">
        <w:t>4. Strategic Financial Restructuring Plan</w:t>
      </w:r>
      <w:bookmarkEnd w:id="11"/>
    </w:p>
    <w:p w14:paraId="0000002B" w14:textId="77777777" w:rsidR="003E62FA" w:rsidRPr="00E805AD" w:rsidRDefault="00123D4C" w:rsidP="00E805AD">
      <w:pPr>
        <w:pStyle w:val="Heading2"/>
      </w:pPr>
      <w:bookmarkStart w:id="12" w:name="_Toc234863815"/>
      <w:r w:rsidRPr="00E805AD">
        <w:t>4.1 Financial Restructuring Options</w:t>
      </w:r>
      <w:bookmarkEnd w:id="12"/>
    </w:p>
    <w:p w14:paraId="0000002C"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Divestiture </w:t>
      </w:r>
    </w:p>
    <w:p w14:paraId="0000002D"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must consider divesting away its non-core assets and owned properties which are not performing up to the expectations. The firm already has an asset-light strategy and focuses largely on management and franchise operations instead of owning </w:t>
      </w:r>
      <w:r w:rsidRPr="00E805AD">
        <w:rPr>
          <w:rFonts w:eastAsia="Times New Roman"/>
          <w:sz w:val="24"/>
          <w:szCs w:val="24"/>
        </w:rPr>
        <w:lastRenderedPageBreak/>
        <w:t xml:space="preserve">hotels. This strategy has proven effective in the real world. Marriott sold St. Regis New York for around US$310 million as of 2013; however, the management is being conducted due to a long-term contract (Huebner, and </w:t>
      </w:r>
      <w:proofErr w:type="spellStart"/>
      <w:r w:rsidRPr="00E805AD">
        <w:rPr>
          <w:rFonts w:eastAsia="Times New Roman"/>
          <w:sz w:val="24"/>
          <w:szCs w:val="24"/>
        </w:rPr>
        <w:t>Flessa</w:t>
      </w:r>
      <w:proofErr w:type="spellEnd"/>
      <w:r w:rsidRPr="00E805AD">
        <w:rPr>
          <w:rFonts w:eastAsia="Times New Roman"/>
          <w:sz w:val="24"/>
          <w:szCs w:val="24"/>
        </w:rPr>
        <w:t>, 2022). The company benefits from transactions in cash inflow, capital intensity, maintenance cost, and financial flexibility while forever retaining narrow management and franchise fee income.</w:t>
      </w:r>
    </w:p>
    <w:p w14:paraId="0000002E"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Merger </w:t>
      </w:r>
    </w:p>
    <w:p w14:paraId="0000002F"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Mergers and acquisitions should be considered by Marriott to enhance its market position. A notable real-world example was Marriott’s purchase of Starwood Hotels &amp; Resorts for almost US$13 billion in 2016, which created the largest hotel company globally, with more than 30 brands and an expanded presence. This transaction boosted economies of scale, improved customer loyalty through a bigger rewards programme and increased bargaining power with suppliers and online travel agencies (</w:t>
      </w:r>
      <w:proofErr w:type="spellStart"/>
      <w:r w:rsidRPr="00E805AD">
        <w:rPr>
          <w:rFonts w:eastAsia="Times New Roman"/>
          <w:sz w:val="24"/>
          <w:szCs w:val="24"/>
        </w:rPr>
        <w:t>Zeqiri</w:t>
      </w:r>
      <w:proofErr w:type="spellEnd"/>
      <w:r w:rsidRPr="00E805AD">
        <w:rPr>
          <w:rFonts w:eastAsia="Times New Roman"/>
          <w:sz w:val="24"/>
          <w:szCs w:val="24"/>
        </w:rPr>
        <w:t xml:space="preserve"> et al., 2025). In the future, Marriott can make targeted acquisitions of boutique or lifestyle hotel brands and tech platforms that attract younger travellers and help Marriott compete with Hilton and Airbnb.</w:t>
      </w:r>
    </w:p>
    <w:p w14:paraId="00000030"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Equity Injection</w:t>
      </w:r>
    </w:p>
    <w:p w14:paraId="00000031"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should make a moderate equity injection to enhance its capital structure and reduce financial risk caused by the increasing negativity of its shareholders’ equity. Additional equity financing can potentially enhance liquidity, facilitate future investment opportunities, and minimize reliance on debt financing in future downtrends (OK, 2025; Islam et al., 2022). </w:t>
      </w:r>
    </w:p>
    <w:p w14:paraId="00000032" w14:textId="77777777" w:rsidR="003E62FA" w:rsidRPr="00E805AD" w:rsidRDefault="00123D4C" w:rsidP="00E805AD">
      <w:pPr>
        <w:pStyle w:val="Heading2"/>
      </w:pPr>
      <w:bookmarkStart w:id="13" w:name="_Toc234863816"/>
      <w:r w:rsidRPr="00E805AD">
        <w:t>4.2 Evaluation</w:t>
      </w:r>
      <w:bookmarkEnd w:id="13"/>
      <w:r w:rsidRPr="00E805AD">
        <w:t xml:space="preserve"> </w:t>
      </w:r>
    </w:p>
    <w:p w14:paraId="00000033"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Shareholder Value</w:t>
      </w:r>
    </w:p>
    <w:p w14:paraId="00000034"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suggested restructuring options are expected to enhance shareholder value through profitability improvement, liquidity strengthening, and long-term growth support (</w:t>
      </w:r>
      <w:proofErr w:type="spellStart"/>
      <w:r w:rsidRPr="00E805AD">
        <w:rPr>
          <w:rFonts w:eastAsia="Times New Roman"/>
          <w:sz w:val="24"/>
          <w:szCs w:val="24"/>
        </w:rPr>
        <w:t>Tamplin</w:t>
      </w:r>
      <w:proofErr w:type="spellEnd"/>
      <w:r w:rsidRPr="00E805AD">
        <w:rPr>
          <w:rFonts w:eastAsia="Times New Roman"/>
          <w:sz w:val="24"/>
          <w:szCs w:val="24"/>
        </w:rPr>
        <w:t xml:space="preserve">, 2022). Marriott’s strategy makes it asset light and makes a number of past sales useful to make higher returns. Marriot’s acquisition of Starwood in 2016 was similar in that it notably enlarged the company’s global market share and loyalty programme and hence earnings and confidence (Joshua et al., 2024). This confidence </w:t>
      </w:r>
      <w:r w:rsidRPr="00E805AD">
        <w:rPr>
          <w:rFonts w:eastAsia="Times New Roman"/>
          <w:sz w:val="24"/>
          <w:szCs w:val="24"/>
        </w:rPr>
        <w:lastRenderedPageBreak/>
        <w:t xml:space="preserve">is illustrated by Marriott’s market capitalization in July 2026 of approximately US$99.18 billion and share price of US$376.11. </w:t>
      </w:r>
    </w:p>
    <w:p w14:paraId="00000035"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Debt Structure</w:t>
      </w:r>
    </w:p>
    <w:p w14:paraId="00000036" w14:textId="724F688C"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Marriott’s growing negative shareholders’ equity as a result of numerous </w:t>
      </w:r>
      <w:r w:rsidR="00465EF1" w:rsidRPr="00E805AD">
        <w:rPr>
          <w:rFonts w:eastAsia="Times New Roman"/>
          <w:sz w:val="24"/>
          <w:szCs w:val="24"/>
        </w:rPr>
        <w:t>shares</w:t>
      </w:r>
      <w:r w:rsidRPr="00E805AD">
        <w:rPr>
          <w:rFonts w:eastAsia="Times New Roman"/>
          <w:sz w:val="24"/>
          <w:szCs w:val="24"/>
        </w:rPr>
        <w:t xml:space="preserve"> repurchases, increasing reliance on liabilities and exposing the company to growing refinancing risks (Abdallah et al., 2025). If Marriott reduces debt reliance and enhances capital reserves, it can strengthen its credit profile (Aslam et al., 2026). Many international hotel groups resorted to similar deleveraging strategies during and after COVID-19 to strengthen balance-sheet and save financial strength.</w:t>
      </w:r>
    </w:p>
    <w:p w14:paraId="00000037"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Operational Flexibility</w:t>
      </w:r>
    </w:p>
    <w:p w14:paraId="00000038"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Selling out owned assets and keeping management contracts can free home capital which can be used for digital transformation, brand building, and entering emerging markets. Strategic acquisitions allow access to a new customer segment, technology, geographic area, etc., improving adaptability to changing consumer preference (Holloway, 2025). Financing through equity also ensures liquidity and provides a cushion during downturns (Edo-</w:t>
      </w:r>
      <w:proofErr w:type="spellStart"/>
      <w:r w:rsidRPr="00E805AD">
        <w:rPr>
          <w:rFonts w:eastAsia="Times New Roman"/>
          <w:sz w:val="24"/>
          <w:szCs w:val="24"/>
        </w:rPr>
        <w:t>Osagie</w:t>
      </w:r>
      <w:proofErr w:type="spellEnd"/>
      <w:r w:rsidRPr="00E805AD">
        <w:rPr>
          <w:rFonts w:eastAsia="Times New Roman"/>
          <w:sz w:val="24"/>
          <w:szCs w:val="24"/>
        </w:rPr>
        <w:t xml:space="preserve">, 2025). </w:t>
      </w:r>
    </w:p>
    <w:p w14:paraId="00000039" w14:textId="77777777" w:rsidR="003E62FA" w:rsidRPr="00E805AD" w:rsidRDefault="00123D4C" w:rsidP="00E805AD">
      <w:pPr>
        <w:pStyle w:val="Heading2"/>
      </w:pPr>
      <w:bookmarkStart w:id="14" w:name="_Toc234863817"/>
      <w:r w:rsidRPr="00E805AD">
        <w:t>4.3 International and Ethical Considerations</w:t>
      </w:r>
      <w:bookmarkEnd w:id="14"/>
    </w:p>
    <w:p w14:paraId="0000003A"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Taxation </w:t>
      </w:r>
    </w:p>
    <w:p w14:paraId="0000003B" w14:textId="1180952B"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Hotel operating costs and pricing strategies can depend on changes in tourism taxes and local levies (</w:t>
      </w:r>
      <w:proofErr w:type="spellStart"/>
      <w:r w:rsidRPr="00E805AD">
        <w:rPr>
          <w:rFonts w:eastAsia="Times New Roman"/>
          <w:sz w:val="24"/>
          <w:szCs w:val="24"/>
        </w:rPr>
        <w:t>Rosselló</w:t>
      </w:r>
      <w:proofErr w:type="spellEnd"/>
      <w:r w:rsidRPr="00E805AD">
        <w:rPr>
          <w:rFonts w:eastAsia="Times New Roman"/>
          <w:sz w:val="24"/>
          <w:szCs w:val="24"/>
        </w:rPr>
        <w:t xml:space="preserve">-Nadal, and </w:t>
      </w:r>
      <w:proofErr w:type="spellStart"/>
      <w:r w:rsidRPr="00E805AD">
        <w:rPr>
          <w:rFonts w:eastAsia="Times New Roman"/>
          <w:sz w:val="24"/>
          <w:szCs w:val="24"/>
        </w:rPr>
        <w:t>Sard</w:t>
      </w:r>
      <w:proofErr w:type="spellEnd"/>
      <w:r w:rsidRPr="00E805AD">
        <w:rPr>
          <w:rFonts w:eastAsia="Times New Roman"/>
          <w:sz w:val="24"/>
          <w:szCs w:val="24"/>
        </w:rPr>
        <w:t>, 2026). For example, the case of Marriott requires the business to maintain an effective tax planning and compliance system to avoid risks.</w:t>
      </w:r>
    </w:p>
    <w:p w14:paraId="0000003C"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Currency Risk</w:t>
      </w:r>
    </w:p>
    <w:p w14:paraId="0000003D"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earns large revenues that are derived from outside North America and, as such, has a large foreign exchange risk. For example, the Euro, the British Pound or the Chinese Yuan, reported earnings from operations abroad will be less when the US dollar appreciates in value relative (RBA, 2026). Hilton Worldwide and Hyatt Hotels Corporation experienced similar difficulties that have affected their earnings because </w:t>
      </w:r>
      <w:r w:rsidRPr="00E805AD">
        <w:rPr>
          <w:rFonts w:eastAsia="Times New Roman"/>
          <w:sz w:val="24"/>
          <w:szCs w:val="24"/>
        </w:rPr>
        <w:lastRenderedPageBreak/>
        <w:t>of exchange-rate fluctuations. To lessen the geographical, financing, and currency risks, Marriott utilizes local financing, geographic diversification, and financial hedges.</w:t>
      </w:r>
    </w:p>
    <w:p w14:paraId="0000003E"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Inflation </w:t>
      </w:r>
    </w:p>
    <w:p w14:paraId="0000003F"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constant rise in prices for labour, energy, food and maintenance due to inflation is a major constraint for Marriott globally. Due to the COVID-19 pandemic, many economies experienced high inflation rates, which increased operating costs significantly in the hospitality sector. For instance, inflation in the United States went over 8% in 2022, which pressured hotels’ cost structure (</w:t>
      </w:r>
      <w:proofErr w:type="spellStart"/>
      <w:r w:rsidRPr="00E805AD">
        <w:rPr>
          <w:rFonts w:eastAsia="Times New Roman"/>
          <w:sz w:val="24"/>
          <w:szCs w:val="24"/>
        </w:rPr>
        <w:t>Poutakidou</w:t>
      </w:r>
      <w:proofErr w:type="spellEnd"/>
      <w:r w:rsidRPr="00E805AD">
        <w:rPr>
          <w:rFonts w:eastAsia="Times New Roman"/>
          <w:sz w:val="24"/>
          <w:szCs w:val="24"/>
        </w:rPr>
        <w:t xml:space="preserve">, and </w:t>
      </w:r>
      <w:proofErr w:type="spellStart"/>
      <w:r w:rsidRPr="00E805AD">
        <w:rPr>
          <w:rFonts w:eastAsia="Times New Roman"/>
          <w:sz w:val="24"/>
          <w:szCs w:val="24"/>
        </w:rPr>
        <w:t>Menegaki</w:t>
      </w:r>
      <w:proofErr w:type="spellEnd"/>
      <w:r w:rsidRPr="00E805AD">
        <w:rPr>
          <w:rFonts w:eastAsia="Times New Roman"/>
          <w:sz w:val="24"/>
          <w:szCs w:val="24"/>
        </w:rPr>
        <w:t>, 2023). Despite being able to offset some of these pressures through higher room rates and strong travel demand, persistent inflation could ultimately dampen consumer demand and business travel.  The same cost pressures have worked against Hilton and Hyatt, proving to be a challenge throughout the industry.</w:t>
      </w:r>
    </w:p>
    <w:p w14:paraId="00000040"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ESG</w:t>
      </w:r>
    </w:p>
    <w:p w14:paraId="00000041" w14:textId="7620F8B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increasingly appreciates the significance of ESG considerations to its stakeholders and their long-term strategy. Within Serve 360: Doing Good in Every Direction </w:t>
      </w:r>
      <w:r w:rsidR="00465EF1" w:rsidRPr="00E805AD">
        <w:rPr>
          <w:rFonts w:eastAsia="Times New Roman"/>
          <w:sz w:val="24"/>
          <w:szCs w:val="24"/>
        </w:rPr>
        <w:t>initiative</w:t>
      </w:r>
      <w:r w:rsidRPr="00E805AD">
        <w:rPr>
          <w:rFonts w:eastAsia="Times New Roman"/>
          <w:sz w:val="24"/>
          <w:szCs w:val="24"/>
        </w:rPr>
        <w:t>, Marriott sustains its sustainability efforts. The initiatives focus on environmental stewardship, engaging communities, upholding human rights, and increasing diversity in the workforce. The organization will lessen carbon footprints, be more energy efficient as well as adopt responsible sourcing practices for their hotels (Islam et al., 2022). In addition, periodic sustainability and ESG reports are published by Marriott. It can improve the brand’s reputation when a company performs impressively in ESG (Francisca, 2025). It also helps in attracting socially responsible investors. In addition, it strengthens customer loyalty. All of these will support sustainable growth. Such growth also helps the creation of long-term shareholder value.</w:t>
      </w:r>
    </w:p>
    <w:p w14:paraId="00000042" w14:textId="77777777" w:rsidR="003E62FA" w:rsidRPr="00E805AD" w:rsidRDefault="00123D4C" w:rsidP="00E805AD">
      <w:pPr>
        <w:pStyle w:val="Heading1"/>
      </w:pPr>
      <w:bookmarkStart w:id="15" w:name="_Toc234863818"/>
      <w:r w:rsidRPr="00E805AD">
        <w:t>5. Investment Appraisal and Capital Budgeting</w:t>
      </w:r>
      <w:bookmarkEnd w:id="15"/>
    </w:p>
    <w:p w14:paraId="00000043" w14:textId="77777777" w:rsidR="003E62FA" w:rsidRPr="00E805AD" w:rsidRDefault="00123D4C" w:rsidP="00E805AD">
      <w:pPr>
        <w:pStyle w:val="Heading2"/>
      </w:pPr>
      <w:bookmarkStart w:id="16" w:name="_Toc234863819"/>
      <w:r w:rsidRPr="00E805AD">
        <w:t>5.1 Investment Projects</w:t>
      </w:r>
      <w:bookmarkEnd w:id="16"/>
    </w:p>
    <w:p w14:paraId="00000044"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Project A</w:t>
      </w:r>
    </w:p>
    <w:p w14:paraId="00000045" w14:textId="324FD5E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A has an initial investment of £50m and produces total undiscounted cash inflows of £54m over 5 years</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xml:space="preserve">. The Payback Period (PBP) of </w:t>
      </w:r>
      <w:r w:rsidRPr="00E805AD">
        <w:rPr>
          <w:rFonts w:eastAsia="Times New Roman"/>
          <w:sz w:val="24"/>
          <w:szCs w:val="24"/>
        </w:rPr>
        <w:lastRenderedPageBreak/>
        <w:t>the project works out to be 4.8 years implying that the investment gets back almost at the end of the life of the project. The project’s accounting rate of return (ARR) is 21.6% which suggests its profitability and exceeding many firms’ minimum accounting returns would be acceptable.</w:t>
      </w:r>
    </w:p>
    <w:p w14:paraId="00000046"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discounted cash flow methods present a contrary picture. The project has a negative NPV of about (£6.54 million), suggesting the present value of incoming cash in future is not sufficient to recover the project’s initial outlay as well as required return. Also, the Profitability Index (PI) of 0.87, which is less than 1.0, indicates that the project earns £0.87 in present value for every £1 invested. Moreover, we notice that the IRR of around 3% is much less than the cost of capital of 8%.</w:t>
      </w:r>
    </w:p>
    <w:p w14:paraId="00000047"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In conclusion, while Project A may seem a reasonable choice when assessed using the payback and accounting profitability measures, the negative NPV, low PI, and IRR below the discount rate indicate that the project will reduce shareholder value and thus should be rejected on principle.</w:t>
      </w:r>
    </w:p>
    <w:p w14:paraId="00000048"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Project B</w:t>
      </w:r>
    </w:p>
    <w:p w14:paraId="00000049" w14:textId="6963B12A"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B will require an initial investment of £50 million which will deliver equal annual cash inflows of £11 million for five years and total cash inflows (undiscounted) of £55 million</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The project has a Payback Period (PBP) of 5 years, meaning the investment is recovered only at the end of the project. This means that if cash inflows are less than expected or delayed, there is no margin of safety. The indicator of accounting profitability is the ARR, whose accounting rate of return is 22% which can be termed as reasonable. ARR is marginally higher than Project A (20%) in accounting profitability terms.</w:t>
      </w:r>
    </w:p>
    <w:p w14:paraId="0000004A"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project is expected to generate negative net present value (NPV) amounting to £6.08 million. This indicates that the future cash inflows will not create sufficient value to offset the initial investment plus a return of 8%. Likewise, the Profitability Index (PI) of 0.88 is less than the benchmark of 1.0. The negative NPV indicates that it generates only 88 pence in present value for every £1 invested. The IRR of about 3% is also significantly less than the company’s cost of capital.</w:t>
      </w:r>
    </w:p>
    <w:p w14:paraId="0000004B" w14:textId="18F2B2A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 xml:space="preserve">According to the metrics of NPV, PI, and IRR, the project should be rejected as it fails to </w:t>
      </w:r>
      <w:r w:rsidR="00465EF1" w:rsidRPr="00E805AD">
        <w:rPr>
          <w:rFonts w:eastAsia="Times New Roman"/>
          <w:sz w:val="24"/>
          <w:szCs w:val="24"/>
        </w:rPr>
        <w:t>fulfil</w:t>
      </w:r>
      <w:r w:rsidRPr="00E805AD">
        <w:rPr>
          <w:rFonts w:eastAsia="Times New Roman"/>
          <w:sz w:val="24"/>
          <w:szCs w:val="24"/>
        </w:rPr>
        <w:t xml:space="preserve"> the required rate of return of the firm and results in a wealth loss of the shareholders.</w:t>
      </w:r>
    </w:p>
    <w:p w14:paraId="0000004C"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Project C</w:t>
      </w:r>
    </w:p>
    <w:p w14:paraId="0000004D" w14:textId="357DC0D1"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C involves first investing £50 million. Thereafter, it generates uneven cash inflows over a time span of five years. Furthermore, cash inflows are significantly higher in Years 3 and 4. It will generate total undiscounted cash inflows: £65 million. In addition, this is the highest cash inflow among the three projects</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A PBP of 4.2 years means that the investor would recover his initial investment fairly quickly and before the end of the project’s life, thus lowering investment risk and improving investment liquidity (</w:t>
      </w:r>
      <w:proofErr w:type="spellStart"/>
      <w:r w:rsidRPr="00E805AD">
        <w:rPr>
          <w:rFonts w:eastAsia="Times New Roman"/>
          <w:sz w:val="24"/>
          <w:szCs w:val="24"/>
        </w:rPr>
        <w:t>Stivala</w:t>
      </w:r>
      <w:proofErr w:type="spellEnd"/>
      <w:r w:rsidRPr="00E805AD">
        <w:rPr>
          <w:rFonts w:eastAsia="Times New Roman"/>
          <w:sz w:val="24"/>
          <w:szCs w:val="24"/>
        </w:rPr>
        <w:t>, 2022). In addition, the ARR of 26% being the highest of the projects reflects strong accounting profit.</w:t>
      </w:r>
    </w:p>
    <w:p w14:paraId="0000004E"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project yields an NPV of roughly £0.86 million which means the present value of the cash inflow is higher than the investment and required return. Likewise, the PI of 1.02 exceeds the acceptance benchmark of 1.0, meaning that for every £1 invested, a value of approximately £1.02 is created. In addition, since the Internal Rate of Return (IRR) of 9% exceeds the cost of capital for the company of 8%, the project generates more than required.</w:t>
      </w:r>
    </w:p>
    <w:p w14:paraId="0000004F"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Given the positive NPV, PI greater than 1 and IRR greater than discount rate, Project C is recommended to be accepted as it is the most attractive profit opportunity of the three projects.</w:t>
      </w:r>
    </w:p>
    <w:p w14:paraId="00000050" w14:textId="77777777" w:rsidR="003E62FA" w:rsidRPr="00E805AD" w:rsidRDefault="00123D4C" w:rsidP="00E805AD">
      <w:pPr>
        <w:pStyle w:val="Heading2"/>
      </w:pPr>
      <w:bookmarkStart w:id="17" w:name="_Toc234863820"/>
      <w:r w:rsidRPr="00E805AD">
        <w:t>5.2 Recommendation</w:t>
      </w:r>
      <w:bookmarkEnd w:id="17"/>
      <w:r w:rsidRPr="00E805AD">
        <w:t xml:space="preserve"> </w:t>
      </w:r>
    </w:p>
    <w:p w14:paraId="00000051"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C is the most financially attractive and should be recommended of the three investment options. Although the accounting returns of Projects A and B appear acceptable, neither generates positive economic value. Project A has an NPV of (£6.54 million) while Project B has an NPV of (£6.08 million). Both projects have IRRs of 3%, which are inferior to the company’s required return of 8%. The 0.87 and 0.88 profitability indices indicate value destruction.</w:t>
      </w:r>
    </w:p>
    <w:p w14:paraId="00000052"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In contrast, Project C is superior to all other projects on key investment criteria. The payback period of 4.2 years is shorter than that of all other proposals. With an </w:t>
      </w:r>
      <w:r w:rsidRPr="00E805AD">
        <w:rPr>
          <w:rFonts w:eastAsia="Times New Roman"/>
          <w:sz w:val="24"/>
          <w:szCs w:val="24"/>
        </w:rPr>
        <w:lastRenderedPageBreak/>
        <w:t>accounting rate of return of 26% and a positive NPV of £0.86 million, it has a profitability index of 1.02 (B) and IRR of 9% (C). By net present value rule and shareholder wealth maximisation theory, project C should be accepted as it has returns higher than the required return and value to shareholders.</w:t>
      </w:r>
    </w:p>
    <w:p w14:paraId="00000053" w14:textId="77777777" w:rsidR="003E62FA" w:rsidRPr="00E805AD" w:rsidRDefault="00123D4C" w:rsidP="00E805AD">
      <w:pPr>
        <w:pStyle w:val="Heading2"/>
      </w:pPr>
      <w:bookmarkStart w:id="18" w:name="_Toc234863821"/>
      <w:r w:rsidRPr="00E805AD">
        <w:t>5.3 Justification</w:t>
      </w:r>
      <w:bookmarkEnd w:id="18"/>
      <w:r w:rsidRPr="00E805AD">
        <w:t xml:space="preserve"> </w:t>
      </w:r>
    </w:p>
    <w:p w14:paraId="00000054" w14:textId="1E4A58EE"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C should be selected as it best matches Marriott International’s present financial position and long-term strategic goals. During the period from 2021 to 2025, revenue of Marriott increased from US$13.86 billion in 2021 to US$26.19 billion in 2025. Moreover, net income increased from US$1.10 billion to US$2.60 billion</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The profitability indicators (operating margin, EBITDA margin) were also on an improving track thereby indicating its capability to generate earnings and support investment opportunities with good return.</w:t>
      </w:r>
    </w:p>
    <w:p w14:paraId="00000055"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It has a weak liquidity position marked by a low current ratio, cash ratio, and continued negative working capital. As a result, the company will invest in projects that return cash quickly and generate economic value (</w:t>
      </w:r>
      <w:proofErr w:type="spellStart"/>
      <w:r w:rsidRPr="00E805AD">
        <w:rPr>
          <w:rFonts w:eastAsia="Times New Roman"/>
          <w:sz w:val="24"/>
          <w:szCs w:val="24"/>
        </w:rPr>
        <w:t>Zeqiri</w:t>
      </w:r>
      <w:proofErr w:type="spellEnd"/>
      <w:r w:rsidRPr="00E805AD">
        <w:rPr>
          <w:rFonts w:eastAsia="Times New Roman"/>
          <w:sz w:val="24"/>
          <w:szCs w:val="24"/>
        </w:rPr>
        <w:t xml:space="preserve"> et al., 2025). Project C meets the criteria as it has the lowest payback period (4.2 years), the highest ARR 26%, a positive NPV (£0.86 million), and IRR (9%) which is greater than the cost of capital 8%.</w:t>
      </w:r>
    </w:p>
    <w:p w14:paraId="00000056"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In addition, customer loyalty is of growing importance in the hotel industry. The stronger returns on Project C give Marriott more financial flexibility to invest in digital services, loyalty programmes such as Marriott </w:t>
      </w:r>
      <w:proofErr w:type="spellStart"/>
      <w:r w:rsidRPr="00E805AD">
        <w:rPr>
          <w:rFonts w:eastAsia="Times New Roman"/>
          <w:sz w:val="24"/>
          <w:szCs w:val="24"/>
        </w:rPr>
        <w:t>Bonvoy</w:t>
      </w:r>
      <w:proofErr w:type="spellEnd"/>
      <w:r w:rsidRPr="00E805AD">
        <w:rPr>
          <w:rFonts w:eastAsia="Times New Roman"/>
          <w:sz w:val="24"/>
          <w:szCs w:val="24"/>
        </w:rPr>
        <w:t xml:space="preserve"> and expansion initiatives in markets to enhance competitive advantage and support sustainable long growth.</w:t>
      </w:r>
    </w:p>
    <w:p w14:paraId="00000057" w14:textId="77777777" w:rsidR="003E62FA" w:rsidRPr="00E805AD" w:rsidRDefault="00123D4C" w:rsidP="00E805AD">
      <w:pPr>
        <w:pStyle w:val="Heading2"/>
      </w:pPr>
      <w:bookmarkStart w:id="19" w:name="_Toc234863822"/>
      <w:r w:rsidRPr="00E805AD">
        <w:t>5.4 Example Assumption</w:t>
      </w:r>
      <w:bookmarkEnd w:id="19"/>
      <w:r w:rsidRPr="00E805AD">
        <w:t xml:space="preserve"> </w:t>
      </w:r>
    </w:p>
    <w:p w14:paraId="00000058"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 can invest a maximum of £100 million, allowing it to undertake two of the three projects as each project needs £50 million as an initial investment. The goal is to choose the combination that maximises shareholder value and maintains financial flexibility.</w:t>
      </w:r>
    </w:p>
    <w:p w14:paraId="00000059" w14:textId="77777777" w:rsidR="003E62FA" w:rsidRPr="00E805AD" w:rsidRDefault="00123D4C" w:rsidP="00E805AD">
      <w:pPr>
        <w:numPr>
          <w:ilvl w:val="0"/>
          <w:numId w:val="1"/>
        </w:numPr>
        <w:spacing w:line="360" w:lineRule="auto"/>
        <w:jc w:val="both"/>
        <w:rPr>
          <w:rFonts w:eastAsia="Times New Roman"/>
          <w:sz w:val="24"/>
          <w:szCs w:val="24"/>
        </w:rPr>
      </w:pPr>
      <w:r w:rsidRPr="00E805AD">
        <w:rPr>
          <w:rFonts w:eastAsia="Times New Roman"/>
          <w:sz w:val="24"/>
          <w:szCs w:val="24"/>
        </w:rPr>
        <w:t>Project A + Project B: Total NPV = (-£6.54m) + (-£6.08m) = -£12.62m</w:t>
      </w:r>
    </w:p>
    <w:p w14:paraId="0000005A" w14:textId="77777777" w:rsidR="003E62FA" w:rsidRPr="00E805AD" w:rsidRDefault="00123D4C" w:rsidP="00E805AD">
      <w:pPr>
        <w:numPr>
          <w:ilvl w:val="0"/>
          <w:numId w:val="1"/>
        </w:numPr>
        <w:spacing w:line="360" w:lineRule="auto"/>
        <w:jc w:val="both"/>
        <w:rPr>
          <w:rFonts w:eastAsia="Times New Roman"/>
          <w:sz w:val="24"/>
          <w:szCs w:val="24"/>
        </w:rPr>
      </w:pPr>
      <w:r w:rsidRPr="00E805AD">
        <w:rPr>
          <w:rFonts w:eastAsia="Times New Roman"/>
          <w:sz w:val="24"/>
          <w:szCs w:val="24"/>
        </w:rPr>
        <w:t>Project A + Project C: Total NPV = (-£6.54m) + (£0.86m) = -£5.68m</w:t>
      </w:r>
    </w:p>
    <w:p w14:paraId="0000005B" w14:textId="77777777" w:rsidR="003E62FA" w:rsidRPr="00E805AD" w:rsidRDefault="00123D4C" w:rsidP="00E805AD">
      <w:pPr>
        <w:numPr>
          <w:ilvl w:val="0"/>
          <w:numId w:val="1"/>
        </w:numPr>
        <w:spacing w:after="200" w:line="360" w:lineRule="auto"/>
        <w:jc w:val="both"/>
        <w:rPr>
          <w:rFonts w:eastAsia="Times New Roman"/>
          <w:sz w:val="24"/>
          <w:szCs w:val="24"/>
        </w:rPr>
      </w:pPr>
      <w:r w:rsidRPr="00E805AD">
        <w:rPr>
          <w:rFonts w:eastAsia="Times New Roman"/>
          <w:sz w:val="24"/>
          <w:szCs w:val="24"/>
        </w:rPr>
        <w:t>Project B + Project C: Total NPV = (-£6.08m) + (£0.86m) = -£5.22m</w:t>
      </w:r>
    </w:p>
    <w:p w14:paraId="0000005C"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The available combinations Projects B and C generate the highest NPV combined (-£5.22 million) and are consequently the least value-destructive option under the capex constraint. From a narrow viewpoint of shareholder wealth maximisation only project C gives value as the only project which gives a positive NPV, and whose IRR (9%) exceeds its cost of capital (8%).</w:t>
      </w:r>
    </w:p>
    <w:p w14:paraId="0000005D" w14:textId="7FD3083B"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Companies in the </w:t>
      </w:r>
      <w:r w:rsidR="00465EF1" w:rsidRPr="00E805AD">
        <w:rPr>
          <w:rFonts w:eastAsia="Times New Roman"/>
          <w:sz w:val="24"/>
          <w:szCs w:val="24"/>
        </w:rPr>
        <w:t>real-world</w:t>
      </w:r>
      <w:r w:rsidRPr="00E805AD">
        <w:rPr>
          <w:rFonts w:eastAsia="Times New Roman"/>
          <w:sz w:val="24"/>
          <w:szCs w:val="24"/>
        </w:rPr>
        <w:t xml:space="preserve"> face similar capital rationing decisions. Keen to maintain liquidity, hotel groups put off investments with a lower expected value. For instance, executives at Marriott and Hilton say the pandemic caused them to delay many projects with shareholders' funds (Joshua et al., 2024). Similarly, it should pursue Project C first, and should the complete budget of £100 million be needed, it should select Project B as the next project as this gives rise to a lesser value loss than Project A</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xml:space="preserve">. This balanced capital constraint, risk and </w:t>
      </w:r>
      <w:r w:rsidR="00465EF1" w:rsidRPr="00E805AD">
        <w:rPr>
          <w:rFonts w:eastAsia="Times New Roman"/>
          <w:sz w:val="24"/>
          <w:szCs w:val="24"/>
        </w:rPr>
        <w:t>long-term</w:t>
      </w:r>
      <w:r w:rsidRPr="00E805AD">
        <w:rPr>
          <w:rFonts w:eastAsia="Times New Roman"/>
          <w:sz w:val="24"/>
          <w:szCs w:val="24"/>
        </w:rPr>
        <w:t xml:space="preserve"> strategic growth objective. </w:t>
      </w:r>
    </w:p>
    <w:p w14:paraId="0000005E" w14:textId="412BBB7E" w:rsidR="003E62FA" w:rsidRPr="00E805AD" w:rsidRDefault="00123D4C" w:rsidP="00E805AD">
      <w:pPr>
        <w:pStyle w:val="Heading1"/>
      </w:pPr>
      <w:bookmarkStart w:id="20" w:name="_Toc234863823"/>
      <w:r w:rsidRPr="00E805AD">
        <w:t>6. Critical Reflection on AI Usage</w:t>
      </w:r>
      <w:bookmarkEnd w:id="20"/>
    </w:p>
    <w:p w14:paraId="2D1E1DC7" w14:textId="77777777" w:rsidR="00650885" w:rsidRPr="00E805AD" w:rsidRDefault="00650885" w:rsidP="00E805AD">
      <w:pPr>
        <w:pStyle w:val="Heading2"/>
      </w:pPr>
      <w:bookmarkStart w:id="21" w:name="_Toc234863824"/>
      <w:r w:rsidRPr="00E805AD">
        <w:t>6.1 Tool Disclosure</w:t>
      </w:r>
      <w:bookmarkEnd w:id="21"/>
    </w:p>
    <w:p w14:paraId="77692C23"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Artificial Intelligence (AI) tool </w:t>
      </w:r>
      <w:proofErr w:type="spellStart"/>
      <w:r w:rsidRPr="00E805AD">
        <w:rPr>
          <w:rFonts w:eastAsia="Times New Roman"/>
          <w:sz w:val="24"/>
          <w:szCs w:val="24"/>
        </w:rPr>
        <w:t>ChatGPT</w:t>
      </w:r>
      <w:proofErr w:type="spellEnd"/>
      <w:r w:rsidRPr="00E805AD">
        <w:rPr>
          <w:rFonts w:eastAsia="Times New Roman"/>
          <w:sz w:val="24"/>
          <w:szCs w:val="24"/>
        </w:rPr>
        <w:t xml:space="preserve"> guided the preparation of the report. The specific use of this tool is in gaining basic financial concepts, refining the structure for improvement in the logical flow of writing that fulfils a higher level of academic standards. This tool also assists in the identification of relevant financial ratios, working capital concepts and investment appraisal techniques. However, the writing has been conducted independently conducting critical evaluation of multiple academic literature and journals. Financial calculation also been done independently using Microsoft Excel and data obtained from Marriott International's published annual reports. The university’s guidelines for AI use have been properly followed here.       </w:t>
      </w:r>
    </w:p>
    <w:p w14:paraId="18CF3A8C" w14:textId="77777777" w:rsidR="00650885" w:rsidRPr="00E805AD" w:rsidRDefault="00650885" w:rsidP="00E805AD">
      <w:pPr>
        <w:pStyle w:val="Heading2"/>
      </w:pPr>
      <w:bookmarkStart w:id="22" w:name="_Toc234863825"/>
      <w:r w:rsidRPr="00E805AD">
        <w:t>6.2 Critical Evaluation of AI Output</w:t>
      </w:r>
      <w:bookmarkEnd w:id="22"/>
    </w:p>
    <w:p w14:paraId="6105BBD6"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The use of this strategic tool, AI, has enabled maintaining a robust structure in the report as well as gaining useful suggestions. However, as AI presents the risk of biased outcomes, critical and careful evaluation of those suggestions has been done before inclusion in the report. Marriott International's annual reports checking, a critical synthesis of literature and independent Excel calculations were made here. While comparing data from AI with relevant resources, I have found that there is some </w:t>
      </w:r>
      <w:r w:rsidRPr="00E805AD">
        <w:rPr>
          <w:rFonts w:eastAsia="Times New Roman"/>
          <w:sz w:val="24"/>
          <w:szCs w:val="24"/>
        </w:rPr>
        <w:lastRenderedPageBreak/>
        <w:t xml:space="preserve">incorrect information provided by AI (Denny et al., 2023). AI-generated content also presented inconsistencies at times. Rigour level verification ensured that the report contains reliable evidence. Thus, in this report AI is only considered as a supporting tool rather than a replacement for critical synthesis of information and overall writing.     </w:t>
      </w:r>
    </w:p>
    <w:p w14:paraId="3403FCAD" w14:textId="77777777" w:rsidR="00650885" w:rsidRPr="00E805AD" w:rsidRDefault="00650885" w:rsidP="00E805AD">
      <w:pPr>
        <w:pStyle w:val="Heading2"/>
      </w:pPr>
      <w:bookmarkStart w:id="23" w:name="_Toc234863826"/>
      <w:r w:rsidRPr="00E805AD">
        <w:t>6.3 Contribution Analysis</w:t>
      </w:r>
      <w:bookmarkEnd w:id="23"/>
    </w:p>
    <w:p w14:paraId="18013CF6"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In the Marriott International project, there is the use of AI only for the structuring and presentation and basic guidance in the report. An advanced AI algorithm has supported the improvement in financial concepts, correct usage of words and refinement in grammar. However, financial ratio calculation and overall writing have been done by me, gaining reliable and credible data from multiple sources. From the published financial statements of Marriott International, there has been calculation of financial ratios. In addition, independent calculations of Net Present Value, Accounting Rate of Return, Payback Period, Internal Rate of Return and Profitability Index have also been made. Evidence-based final recommendations based on the findings are effective for the firm in making informed decisions and achieving better operational outcomes. Overall independent judgement is maintained where only efficiency and time saving are strengthened throughout the preparation of this report.    </w:t>
      </w:r>
    </w:p>
    <w:p w14:paraId="028C611E" w14:textId="77777777" w:rsidR="00650885" w:rsidRPr="00E805AD" w:rsidRDefault="00650885" w:rsidP="00E805AD">
      <w:pPr>
        <w:pStyle w:val="Heading2"/>
      </w:pPr>
      <w:bookmarkStart w:id="24" w:name="_Toc234863827"/>
      <w:r w:rsidRPr="00E805AD">
        <w:t>6.4   Ethical and Professional Reflection</w:t>
      </w:r>
      <w:bookmarkEnd w:id="24"/>
    </w:p>
    <w:p w14:paraId="0000005F" w14:textId="31A071EE" w:rsidR="003E62FA" w:rsidRPr="00E805AD" w:rsidRDefault="00650885" w:rsidP="00E805AD">
      <w:pPr>
        <w:spacing w:line="360" w:lineRule="auto"/>
        <w:jc w:val="both"/>
      </w:pPr>
      <w:r w:rsidRPr="00E805AD">
        <w:rPr>
          <w:rFonts w:eastAsia="Times New Roman"/>
          <w:sz w:val="24"/>
          <w:szCs w:val="24"/>
        </w:rPr>
        <w:t>AI use within this report provided significant benefits in terms of efficiency, strengthening the research process by providing basic structure and contextual insights. In data analysis, it su</w:t>
      </w:r>
      <w:r w:rsidR="0051157A">
        <w:rPr>
          <w:rFonts w:eastAsia="Times New Roman"/>
          <w:sz w:val="24"/>
          <w:szCs w:val="24"/>
        </w:rPr>
        <w:t>pported and also helped in maintain</w:t>
      </w:r>
      <w:r w:rsidRPr="00E805AD">
        <w:rPr>
          <w:rFonts w:eastAsia="Times New Roman"/>
          <w:sz w:val="24"/>
          <w:szCs w:val="24"/>
        </w:rPr>
        <w:t>ing proper logical flow in writing for the improvement in overall outcomes in the report. I became able to accurately forecast finances, budget, and cash flow and properly start planning, gaining proper assistance from AI. Despite strategic benefits, it also raises concerns around ethical and professional considerations. In academic writing, when there is the use of AI, the importance of transparency becomes strategic (Tang et al., 2024). Academic integrity and accountability are maintained when there is disclosure of the use of AI. In the final output, considering this importance, I have highlighted the use of AI tool for my report. While using AI, it is also equally important of maintaining data privacy by not disclosing confidential financial information. Excessive dependence on AI increases the risk of inaccurate financial interpretation, fabricated references or biased recommendations (</w:t>
      </w:r>
      <w:proofErr w:type="spellStart"/>
      <w:r w:rsidRPr="00E805AD">
        <w:rPr>
          <w:rFonts w:eastAsia="Times New Roman"/>
          <w:sz w:val="24"/>
          <w:szCs w:val="24"/>
        </w:rPr>
        <w:t>Harati</w:t>
      </w:r>
      <w:proofErr w:type="spellEnd"/>
      <w:r w:rsidRPr="00E805AD">
        <w:rPr>
          <w:rFonts w:eastAsia="Times New Roman"/>
          <w:sz w:val="24"/>
          <w:szCs w:val="24"/>
        </w:rPr>
        <w:t xml:space="preserve">, 2024). In the context of executive-level financial </w:t>
      </w:r>
      <w:r w:rsidRPr="00E805AD">
        <w:rPr>
          <w:rFonts w:eastAsia="Times New Roman"/>
          <w:sz w:val="24"/>
          <w:szCs w:val="24"/>
        </w:rPr>
        <w:lastRenderedPageBreak/>
        <w:t>decisions or the evaluation of organisational performance, there is a negative impact due to such errors. Therefore, I have only used AI as a supporting tool. I have ensured my report on Marriott is based on a critical assessment of multiple resources and professional judgement.</w:t>
      </w:r>
    </w:p>
    <w:p w14:paraId="00000060" w14:textId="64BCD329" w:rsidR="003E62FA" w:rsidRPr="00E805AD" w:rsidRDefault="00123D4C" w:rsidP="00E805AD">
      <w:pPr>
        <w:pStyle w:val="Heading1"/>
      </w:pPr>
      <w:bookmarkStart w:id="25" w:name="_Toc234863828"/>
      <w:r w:rsidRPr="00E805AD">
        <w:t>7. Conclusion</w:t>
      </w:r>
      <w:bookmarkEnd w:id="25"/>
      <w:r w:rsidRPr="00E805AD">
        <w:t xml:space="preserve"> </w:t>
      </w:r>
    </w:p>
    <w:p w14:paraId="3AFDB47F" w14:textId="33D55BDC" w:rsidR="00650885" w:rsidRPr="00E805AD" w:rsidRDefault="00650885" w:rsidP="00E805AD">
      <w:pPr>
        <w:spacing w:after="240" w:line="360" w:lineRule="auto"/>
        <w:jc w:val="both"/>
      </w:pPr>
      <w:r w:rsidRPr="00E805AD">
        <w:rPr>
          <w:rFonts w:eastAsia="Times New Roman"/>
          <w:sz w:val="24"/>
          <w:szCs w:val="24"/>
        </w:rPr>
        <w:t xml:space="preserve">Critical synthesis of financial performance and financial management practices of Marriott International highlights better financial performance of the firm. Within a competitive hospitality sector, the firm effectively manage working capital, maintain healthy cash conversion cycle and stronger profitability level. Liquidity strengthening and financial flexibility can be maintained at Marriott with working capital reforms and inclusion of a balanced financial strategy. Based on the capital budgeting technique, it has been seen that for the firm, the most financially viable technique is investment appraisal. Overall, Marriott is able in effectively managing financial risk and sustaining competitive position.    </w:t>
      </w:r>
    </w:p>
    <w:p w14:paraId="00000061" w14:textId="77777777" w:rsidR="003E62FA" w:rsidRPr="00E805AD" w:rsidRDefault="003E62FA" w:rsidP="00E805AD">
      <w:pPr>
        <w:spacing w:after="240" w:line="360" w:lineRule="auto"/>
        <w:jc w:val="both"/>
        <w:rPr>
          <w:rFonts w:eastAsia="Times New Roman"/>
          <w:sz w:val="24"/>
          <w:szCs w:val="24"/>
        </w:rPr>
      </w:pPr>
    </w:p>
    <w:p w14:paraId="775C0360" w14:textId="77777777" w:rsidR="00465EF1" w:rsidRPr="00E805AD" w:rsidRDefault="00465EF1" w:rsidP="00E805AD">
      <w:pPr>
        <w:spacing w:line="360" w:lineRule="auto"/>
        <w:rPr>
          <w:rFonts w:eastAsia="Times New Roman"/>
          <w:sz w:val="24"/>
          <w:szCs w:val="24"/>
        </w:rPr>
      </w:pPr>
      <w:r w:rsidRPr="00E805AD">
        <w:rPr>
          <w:rFonts w:eastAsia="Times New Roman"/>
          <w:sz w:val="24"/>
          <w:szCs w:val="24"/>
        </w:rPr>
        <w:br w:type="page"/>
      </w:r>
    </w:p>
    <w:p w14:paraId="00000062" w14:textId="5992FF61" w:rsidR="003E62FA" w:rsidRPr="00E805AD" w:rsidRDefault="00123D4C" w:rsidP="00E805AD">
      <w:pPr>
        <w:pStyle w:val="Heading1"/>
      </w:pPr>
      <w:bookmarkStart w:id="26" w:name="_Toc234863829"/>
      <w:r w:rsidRPr="00E805AD">
        <w:lastRenderedPageBreak/>
        <w:t>8. References</w:t>
      </w:r>
      <w:bookmarkEnd w:id="26"/>
      <w:r w:rsidRPr="00E805AD">
        <w:t xml:space="preserve"> </w:t>
      </w:r>
    </w:p>
    <w:p w14:paraId="5292D728"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Abdallah, A.A., </w:t>
      </w:r>
      <w:proofErr w:type="spellStart"/>
      <w:r w:rsidRPr="00E805AD">
        <w:rPr>
          <w:rFonts w:eastAsia="Times New Roman"/>
          <w:sz w:val="24"/>
          <w:szCs w:val="24"/>
        </w:rPr>
        <w:t>Alshehadeh</w:t>
      </w:r>
      <w:proofErr w:type="spellEnd"/>
      <w:r w:rsidRPr="00E805AD">
        <w:rPr>
          <w:rFonts w:eastAsia="Times New Roman"/>
          <w:sz w:val="24"/>
          <w:szCs w:val="24"/>
        </w:rPr>
        <w:t xml:space="preserve">, A.R. and El </w:t>
      </w:r>
      <w:proofErr w:type="spellStart"/>
      <w:r w:rsidRPr="00E805AD">
        <w:rPr>
          <w:rFonts w:eastAsia="Times New Roman"/>
          <w:sz w:val="24"/>
          <w:szCs w:val="24"/>
        </w:rPr>
        <w:t>Qirem</w:t>
      </w:r>
      <w:proofErr w:type="spellEnd"/>
      <w:r w:rsidRPr="00E805AD">
        <w:rPr>
          <w:rFonts w:eastAsia="Times New Roman"/>
          <w:sz w:val="24"/>
          <w:szCs w:val="24"/>
        </w:rPr>
        <w:t xml:space="preserve">, I.A., 2025. The impact of operating cash flows on IT investment and profitability in commercial banks. </w:t>
      </w:r>
      <w:proofErr w:type="spellStart"/>
      <w:r w:rsidRPr="00E805AD">
        <w:rPr>
          <w:rFonts w:eastAsia="Times New Roman"/>
          <w:i/>
          <w:iCs/>
          <w:sz w:val="24"/>
          <w:szCs w:val="24"/>
        </w:rPr>
        <w:t>Qual</w:t>
      </w:r>
      <w:proofErr w:type="spellEnd"/>
      <w:r w:rsidRPr="00E805AD">
        <w:rPr>
          <w:rFonts w:eastAsia="Times New Roman"/>
          <w:i/>
          <w:iCs/>
          <w:sz w:val="24"/>
          <w:szCs w:val="24"/>
        </w:rPr>
        <w:t xml:space="preserve"> Access Success</w:t>
      </w:r>
      <w:r w:rsidRPr="00E805AD">
        <w:rPr>
          <w:rFonts w:eastAsia="Times New Roman"/>
          <w:sz w:val="24"/>
          <w:szCs w:val="24"/>
        </w:rPr>
        <w:t xml:space="preserve">, </w:t>
      </w:r>
      <w:r w:rsidRPr="00E805AD">
        <w:rPr>
          <w:rFonts w:eastAsia="Times New Roman"/>
          <w:i/>
          <w:iCs/>
          <w:sz w:val="24"/>
          <w:szCs w:val="24"/>
        </w:rPr>
        <w:t>26</w:t>
      </w:r>
      <w:r w:rsidRPr="00E805AD">
        <w:rPr>
          <w:rFonts w:eastAsia="Times New Roman"/>
          <w:sz w:val="24"/>
          <w:szCs w:val="24"/>
        </w:rPr>
        <w:t>, pp.345-354.</w:t>
      </w:r>
      <w:hyperlink r:id="rId10">
        <w:r w:rsidRPr="00E805AD">
          <w:rPr>
            <w:rFonts w:eastAsia="Times New Roman"/>
            <w:sz w:val="24"/>
            <w:szCs w:val="24"/>
          </w:rPr>
          <w:t xml:space="preserve"> </w:t>
        </w:r>
      </w:hyperlink>
      <w:hyperlink r:id="rId11">
        <w:r w:rsidRPr="00E805AD">
          <w:rPr>
            <w:rFonts w:eastAsia="Times New Roman"/>
            <w:color w:val="1155CC"/>
            <w:sz w:val="24"/>
            <w:szCs w:val="24"/>
            <w:u w:val="single"/>
          </w:rPr>
          <w:t>https://www.researchgate.net/profile/Abdul-Razzak-Alshehadeh/publication/390407034_The_Impact_of_Operating_Cash_Flows_on_IT_Investment_and_Profitability_in_Commercial_Banks/links/67eccc11e8041142a15de006/The-Impact-of-Operating-Cash-Flows-on-IT-Investment-and-Profitability-in-Commercial-Banks.pdf</w:t>
        </w:r>
      </w:hyperlink>
    </w:p>
    <w:p w14:paraId="66550640"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Abdulnafea</w:t>
      </w:r>
      <w:proofErr w:type="spellEnd"/>
      <w:r w:rsidRPr="00E805AD">
        <w:rPr>
          <w:rFonts w:eastAsia="Times New Roman"/>
          <w:sz w:val="24"/>
          <w:szCs w:val="24"/>
        </w:rPr>
        <w:t xml:space="preserve">, A.L., </w:t>
      </w:r>
      <w:proofErr w:type="spellStart"/>
      <w:r w:rsidRPr="00E805AD">
        <w:rPr>
          <w:rFonts w:eastAsia="Times New Roman"/>
          <w:sz w:val="24"/>
          <w:szCs w:val="24"/>
        </w:rPr>
        <w:t>Almasria</w:t>
      </w:r>
      <w:proofErr w:type="spellEnd"/>
      <w:r w:rsidRPr="00E805AD">
        <w:rPr>
          <w:rFonts w:eastAsia="Times New Roman"/>
          <w:sz w:val="24"/>
          <w:szCs w:val="24"/>
        </w:rPr>
        <w:t xml:space="preserve">, N.A. and </w:t>
      </w:r>
      <w:proofErr w:type="spellStart"/>
      <w:r w:rsidRPr="00E805AD">
        <w:rPr>
          <w:rFonts w:eastAsia="Times New Roman"/>
          <w:sz w:val="24"/>
          <w:szCs w:val="24"/>
        </w:rPr>
        <w:t>Alawaqleh</w:t>
      </w:r>
      <w:proofErr w:type="spellEnd"/>
      <w:r w:rsidRPr="00E805AD">
        <w:rPr>
          <w:rFonts w:eastAsia="Times New Roman"/>
          <w:sz w:val="24"/>
          <w:szCs w:val="24"/>
        </w:rPr>
        <w:t xml:space="preserve">, Q., 2022. The effect of working capital management and credit management policy on </w:t>
      </w:r>
      <w:proofErr w:type="spellStart"/>
      <w:r w:rsidRPr="00E805AD">
        <w:rPr>
          <w:rFonts w:eastAsia="Times New Roman"/>
          <w:sz w:val="24"/>
          <w:szCs w:val="24"/>
        </w:rPr>
        <w:t>jordanian</w:t>
      </w:r>
      <w:proofErr w:type="spellEnd"/>
      <w:r w:rsidRPr="00E805AD">
        <w:rPr>
          <w:rFonts w:eastAsia="Times New Roman"/>
          <w:sz w:val="24"/>
          <w:szCs w:val="24"/>
        </w:rPr>
        <w:t xml:space="preserve"> banks’ financial performance. </w:t>
      </w:r>
      <w:r w:rsidRPr="00E805AD">
        <w:rPr>
          <w:rFonts w:eastAsia="Times New Roman"/>
          <w:i/>
          <w:iCs/>
          <w:sz w:val="24"/>
          <w:szCs w:val="24"/>
        </w:rPr>
        <w:t>Banks and Bank Systems</w:t>
      </w:r>
      <w:r w:rsidRPr="00E805AD">
        <w:rPr>
          <w:rFonts w:eastAsia="Times New Roman"/>
          <w:sz w:val="24"/>
          <w:szCs w:val="24"/>
        </w:rPr>
        <w:t xml:space="preserve">, </w:t>
      </w:r>
      <w:r w:rsidRPr="00E805AD">
        <w:rPr>
          <w:rFonts w:eastAsia="Times New Roman"/>
          <w:i/>
          <w:iCs/>
          <w:sz w:val="24"/>
          <w:szCs w:val="24"/>
        </w:rPr>
        <w:t>16</w:t>
      </w:r>
      <w:r w:rsidRPr="00E805AD">
        <w:rPr>
          <w:rFonts w:eastAsia="Times New Roman"/>
          <w:sz w:val="24"/>
          <w:szCs w:val="24"/>
        </w:rPr>
        <w:t>(4), pp.229-239.</w:t>
      </w:r>
      <w:hyperlink r:id="rId12">
        <w:r w:rsidRPr="00E805AD">
          <w:rPr>
            <w:rFonts w:eastAsia="Times New Roman"/>
            <w:sz w:val="24"/>
            <w:szCs w:val="24"/>
          </w:rPr>
          <w:t xml:space="preserve"> </w:t>
        </w:r>
      </w:hyperlink>
      <w:hyperlink r:id="rId13">
        <w:r w:rsidRPr="00E805AD">
          <w:rPr>
            <w:rFonts w:eastAsia="Times New Roman"/>
            <w:color w:val="1155CC"/>
            <w:sz w:val="24"/>
            <w:szCs w:val="24"/>
            <w:u w:val="single"/>
          </w:rPr>
          <w:t>https://www.academia.edu/download/118148342/BBS_2021_04_AL-Zararee.pdf</w:t>
        </w:r>
      </w:hyperlink>
    </w:p>
    <w:p w14:paraId="66DDB497"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Adão</w:t>
      </w:r>
      <w:proofErr w:type="spellEnd"/>
      <w:r w:rsidRPr="00E805AD">
        <w:rPr>
          <w:rFonts w:ascii="Arial" w:hAnsi="Arial" w:cs="Arial"/>
          <w:color w:val="222222"/>
          <w:shd w:val="clear" w:color="auto" w:fill="FFFFFF"/>
        </w:rPr>
        <w:t>, R.A.G.D.S., 2025. Marriott International, Inc.–a home run to excellence.</w:t>
      </w:r>
      <w:r w:rsidRPr="00E805AD">
        <w:rPr>
          <w:rFonts w:ascii="Arial" w:hAnsi="Arial" w:cs="Arial"/>
          <w:color w:val="000000"/>
        </w:rPr>
        <w:t xml:space="preserve"> </w:t>
      </w:r>
      <w:hyperlink r:id="rId14" w:history="1">
        <w:r w:rsidRPr="00E805AD">
          <w:rPr>
            <w:rStyle w:val="Hyperlink"/>
            <w:rFonts w:ascii="Arial" w:hAnsi="Arial" w:cs="Arial"/>
            <w:color w:val="1155CC"/>
          </w:rPr>
          <w:t>https://run.unl.pt/bitstreams/4d54356a-5ab2-43be-9886-4a86a01b204e/download</w:t>
        </w:r>
      </w:hyperlink>
    </w:p>
    <w:p w14:paraId="626601E9"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Akour</w:t>
      </w:r>
      <w:proofErr w:type="spellEnd"/>
      <w:r w:rsidRPr="00E805AD">
        <w:rPr>
          <w:rFonts w:ascii="Arial" w:hAnsi="Arial" w:cs="Arial"/>
          <w:color w:val="222222"/>
          <w:shd w:val="clear" w:color="auto" w:fill="FFFFFF"/>
        </w:rPr>
        <w:t xml:space="preserve">, I., Al </w:t>
      </w:r>
      <w:proofErr w:type="spellStart"/>
      <w:r w:rsidRPr="00E805AD">
        <w:rPr>
          <w:rFonts w:ascii="Arial" w:hAnsi="Arial" w:cs="Arial"/>
          <w:color w:val="222222"/>
          <w:shd w:val="clear" w:color="auto" w:fill="FFFFFF"/>
        </w:rPr>
        <w:t>Kurdi</w:t>
      </w:r>
      <w:proofErr w:type="spellEnd"/>
      <w:r w:rsidRPr="00E805AD">
        <w:rPr>
          <w:rFonts w:ascii="Arial" w:hAnsi="Arial" w:cs="Arial"/>
          <w:color w:val="222222"/>
          <w:shd w:val="clear" w:color="auto" w:fill="FFFFFF"/>
        </w:rPr>
        <w:t xml:space="preserve">, B., </w:t>
      </w:r>
      <w:proofErr w:type="spellStart"/>
      <w:r w:rsidRPr="00E805AD">
        <w:rPr>
          <w:rFonts w:ascii="Arial" w:hAnsi="Arial" w:cs="Arial"/>
          <w:color w:val="222222"/>
          <w:shd w:val="clear" w:color="auto" w:fill="FFFFFF"/>
        </w:rPr>
        <w:t>Alshurideh</w:t>
      </w:r>
      <w:proofErr w:type="spellEnd"/>
      <w:r w:rsidRPr="00E805AD">
        <w:rPr>
          <w:rFonts w:ascii="Arial" w:hAnsi="Arial" w:cs="Arial"/>
          <w:color w:val="222222"/>
          <w:shd w:val="clear" w:color="auto" w:fill="FFFFFF"/>
        </w:rPr>
        <w:t xml:space="preserve">, M. and </w:t>
      </w:r>
      <w:proofErr w:type="spellStart"/>
      <w:r w:rsidRPr="00E805AD">
        <w:rPr>
          <w:rFonts w:ascii="Arial" w:hAnsi="Arial" w:cs="Arial"/>
          <w:color w:val="222222"/>
          <w:shd w:val="clear" w:color="auto" w:fill="FFFFFF"/>
        </w:rPr>
        <w:t>AlHamad</w:t>
      </w:r>
      <w:proofErr w:type="spellEnd"/>
      <w:r w:rsidRPr="00E805AD">
        <w:rPr>
          <w:rFonts w:ascii="Arial" w:hAnsi="Arial" w:cs="Arial"/>
          <w:color w:val="222222"/>
          <w:shd w:val="clear" w:color="auto" w:fill="FFFFFF"/>
        </w:rPr>
        <w:t xml:space="preserve">, A., 2022. Impact of information technology capabilities and effective inventory management on enhanced service delivery in hospitality sector. </w:t>
      </w:r>
      <w:r w:rsidRPr="00E805AD">
        <w:rPr>
          <w:rFonts w:ascii="Arial" w:hAnsi="Arial" w:cs="Arial"/>
          <w:i/>
          <w:iCs/>
          <w:color w:val="222222"/>
          <w:shd w:val="clear" w:color="auto" w:fill="FFFFFF"/>
        </w:rPr>
        <w:t>International Journal of Theory of Organization and Practice (IJTOP)</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1</w:t>
      </w:r>
      <w:r w:rsidRPr="00E805AD">
        <w:rPr>
          <w:rFonts w:ascii="Arial" w:hAnsi="Arial" w:cs="Arial"/>
          <w:color w:val="222222"/>
          <w:shd w:val="clear" w:color="auto" w:fill="FFFFFF"/>
        </w:rPr>
        <w:t>(1), pp.79-99.</w:t>
      </w:r>
      <w:r w:rsidRPr="00E805AD">
        <w:rPr>
          <w:rFonts w:ascii="Arial" w:hAnsi="Arial" w:cs="Arial"/>
          <w:color w:val="000000"/>
        </w:rPr>
        <w:t xml:space="preserve"> </w:t>
      </w:r>
      <w:hyperlink r:id="rId15" w:history="1">
        <w:r w:rsidRPr="00E805AD">
          <w:rPr>
            <w:rStyle w:val="Hyperlink"/>
            <w:rFonts w:ascii="Arial" w:hAnsi="Arial" w:cs="Arial"/>
            <w:color w:val="1155CC"/>
          </w:rPr>
          <w:t>https://www.journals.gaftim.com/index.php/ijtop/article/download/147/65</w:t>
        </w:r>
      </w:hyperlink>
    </w:p>
    <w:p w14:paraId="7E64278D"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Aslam, R., Nasir, A. and </w:t>
      </w:r>
      <w:proofErr w:type="spellStart"/>
      <w:r w:rsidRPr="00E805AD">
        <w:rPr>
          <w:rFonts w:eastAsia="Times New Roman"/>
          <w:sz w:val="24"/>
          <w:szCs w:val="24"/>
        </w:rPr>
        <w:t>Rehman</w:t>
      </w:r>
      <w:proofErr w:type="spellEnd"/>
      <w:r w:rsidRPr="00E805AD">
        <w:rPr>
          <w:rFonts w:eastAsia="Times New Roman"/>
          <w:sz w:val="24"/>
          <w:szCs w:val="24"/>
        </w:rPr>
        <w:t>, S., A Bibliometric Analysis of Asset-Light Fee-Oriented (ALFO) Strategy: Potential Future Implications for Hospitality Industry.</w:t>
      </w:r>
      <w:hyperlink r:id="rId16">
        <w:r w:rsidRPr="00E805AD">
          <w:rPr>
            <w:rFonts w:eastAsia="Times New Roman"/>
            <w:sz w:val="24"/>
            <w:szCs w:val="24"/>
          </w:rPr>
          <w:t xml:space="preserve"> </w:t>
        </w:r>
      </w:hyperlink>
      <w:hyperlink r:id="rId17">
        <w:r w:rsidRPr="00E805AD">
          <w:rPr>
            <w:rFonts w:eastAsia="Times New Roman"/>
            <w:color w:val="1155CC"/>
            <w:sz w:val="24"/>
            <w:szCs w:val="24"/>
            <w:u w:val="single"/>
          </w:rPr>
          <w:t>https://www.researchgate.net/profile/Saqib-Rehman-3/publication/368576638_A_Bibliometric_Analysis_of_Asset-Light_Fee-Oriented_ALFO_Strategy_Potential_Future_Implications_for_Hospitality_Industry/links/63ef6d0951d7af0540325e37/A-Bibliometric-Analysis-of-Asset-Light-Fee-Oriented-ALFO-Strategy-Potential-Future-Implications-for-Hospitality-Industry.pdf</w:t>
        </w:r>
      </w:hyperlink>
    </w:p>
    <w:p w14:paraId="634E393E"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Aslam, R., Nasir, A., Asif, R., </w:t>
      </w:r>
      <w:proofErr w:type="spellStart"/>
      <w:r w:rsidRPr="00E805AD">
        <w:rPr>
          <w:rFonts w:eastAsia="Times New Roman"/>
          <w:sz w:val="24"/>
          <w:szCs w:val="24"/>
        </w:rPr>
        <w:t>Abid</w:t>
      </w:r>
      <w:proofErr w:type="spellEnd"/>
      <w:r w:rsidRPr="00E805AD">
        <w:rPr>
          <w:rFonts w:eastAsia="Times New Roman"/>
          <w:sz w:val="24"/>
          <w:szCs w:val="24"/>
        </w:rPr>
        <w:t xml:space="preserve">, H. and Ali, A., 2025. How Macroeconomic Factors Affect the Leverage </w:t>
      </w:r>
      <w:proofErr w:type="spellStart"/>
      <w:r w:rsidRPr="00E805AD">
        <w:rPr>
          <w:rFonts w:eastAsia="Times New Roman"/>
          <w:sz w:val="24"/>
          <w:szCs w:val="24"/>
        </w:rPr>
        <w:t>Behavior</w:t>
      </w:r>
      <w:proofErr w:type="spellEnd"/>
      <w:r w:rsidRPr="00E805AD">
        <w:rPr>
          <w:rFonts w:eastAsia="Times New Roman"/>
          <w:sz w:val="24"/>
          <w:szCs w:val="24"/>
        </w:rPr>
        <w:t xml:space="preserve">? A Model of Asset Light and Fee-Oriented Strategy in the Hospitality Industry. </w:t>
      </w:r>
      <w:r w:rsidRPr="00E805AD">
        <w:rPr>
          <w:rFonts w:eastAsia="Times New Roman"/>
          <w:i/>
          <w:iCs/>
          <w:sz w:val="24"/>
          <w:szCs w:val="24"/>
        </w:rPr>
        <w:t>The Critical Review of Social Sciences Studies</w:t>
      </w:r>
      <w:r w:rsidRPr="00E805AD">
        <w:rPr>
          <w:rFonts w:eastAsia="Times New Roman"/>
          <w:sz w:val="24"/>
          <w:szCs w:val="24"/>
        </w:rPr>
        <w:t xml:space="preserve">, </w:t>
      </w:r>
      <w:r w:rsidRPr="00E805AD">
        <w:rPr>
          <w:rFonts w:eastAsia="Times New Roman"/>
          <w:i/>
          <w:iCs/>
          <w:sz w:val="24"/>
          <w:szCs w:val="24"/>
        </w:rPr>
        <w:t>3</w:t>
      </w:r>
      <w:r w:rsidRPr="00E805AD">
        <w:rPr>
          <w:rFonts w:eastAsia="Times New Roman"/>
          <w:sz w:val="24"/>
          <w:szCs w:val="24"/>
        </w:rPr>
        <w:t>(1), pp.985-1003.</w:t>
      </w:r>
      <w:hyperlink r:id="rId18">
        <w:r w:rsidRPr="00E805AD">
          <w:rPr>
            <w:rFonts w:eastAsia="Times New Roman"/>
            <w:sz w:val="24"/>
            <w:szCs w:val="24"/>
          </w:rPr>
          <w:t xml:space="preserve"> </w:t>
        </w:r>
      </w:hyperlink>
      <w:hyperlink r:id="rId19">
        <w:r w:rsidRPr="00E805AD">
          <w:rPr>
            <w:rFonts w:eastAsia="Times New Roman"/>
            <w:color w:val="1155CC"/>
            <w:sz w:val="24"/>
            <w:szCs w:val="24"/>
            <w:u w:val="single"/>
          </w:rPr>
          <w:t>https://thecrsss.com/index.php/Journal/article/download/204/225</w:t>
        </w:r>
      </w:hyperlink>
    </w:p>
    <w:p w14:paraId="4AF6E474"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lastRenderedPageBreak/>
        <w:t>Behera</w:t>
      </w:r>
      <w:proofErr w:type="spellEnd"/>
      <w:r w:rsidRPr="00E805AD">
        <w:rPr>
          <w:rFonts w:eastAsia="Times New Roman"/>
          <w:sz w:val="24"/>
          <w:szCs w:val="24"/>
        </w:rPr>
        <w:t xml:space="preserve">, S.N. and </w:t>
      </w:r>
      <w:proofErr w:type="spellStart"/>
      <w:r w:rsidRPr="00E805AD">
        <w:rPr>
          <w:rFonts w:eastAsia="Times New Roman"/>
          <w:sz w:val="24"/>
          <w:szCs w:val="24"/>
        </w:rPr>
        <w:t>Sethi</w:t>
      </w:r>
      <w:proofErr w:type="spellEnd"/>
      <w:r w:rsidRPr="00E805AD">
        <w:rPr>
          <w:rFonts w:eastAsia="Times New Roman"/>
          <w:sz w:val="24"/>
          <w:szCs w:val="24"/>
        </w:rPr>
        <w:t xml:space="preserve">, M., 2024. Corporate Borrowings: A Conceptual Perspective. </w:t>
      </w:r>
      <w:r w:rsidRPr="00E805AD">
        <w:rPr>
          <w:rFonts w:eastAsia="Times New Roman"/>
          <w:i/>
          <w:iCs/>
          <w:sz w:val="24"/>
          <w:szCs w:val="24"/>
        </w:rPr>
        <w:t>European Economic Letters (EEL)</w:t>
      </w:r>
      <w:r w:rsidRPr="00E805AD">
        <w:rPr>
          <w:rFonts w:eastAsia="Times New Roman"/>
          <w:sz w:val="24"/>
          <w:szCs w:val="24"/>
        </w:rPr>
        <w:t xml:space="preserve">, </w:t>
      </w:r>
      <w:r w:rsidRPr="00E805AD">
        <w:rPr>
          <w:rFonts w:eastAsia="Times New Roman"/>
          <w:i/>
          <w:iCs/>
          <w:sz w:val="24"/>
          <w:szCs w:val="24"/>
        </w:rPr>
        <w:t>14</w:t>
      </w:r>
      <w:r w:rsidRPr="00E805AD">
        <w:rPr>
          <w:rFonts w:eastAsia="Times New Roman"/>
          <w:sz w:val="24"/>
          <w:szCs w:val="24"/>
        </w:rPr>
        <w:t>(1), pp.396-404.</w:t>
      </w:r>
      <w:hyperlink r:id="rId20">
        <w:r w:rsidRPr="00E805AD">
          <w:rPr>
            <w:rFonts w:eastAsia="Times New Roman"/>
            <w:sz w:val="24"/>
            <w:szCs w:val="24"/>
          </w:rPr>
          <w:t xml:space="preserve"> </w:t>
        </w:r>
      </w:hyperlink>
      <w:hyperlink r:id="rId21">
        <w:r w:rsidRPr="00E805AD">
          <w:rPr>
            <w:rFonts w:eastAsia="Times New Roman"/>
            <w:color w:val="1155CC"/>
            <w:sz w:val="24"/>
            <w:szCs w:val="24"/>
            <w:u w:val="single"/>
          </w:rPr>
          <w:t>https://www.researchgate.net/profile/Maheswar-Sethi/publication/395479418_Corporate_Borrowings/links/68c835e94eef4b024b8b89ca/Corporate-Borrowings.pdf</w:t>
        </w:r>
      </w:hyperlink>
    </w:p>
    <w:p w14:paraId="7CA7035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Bui, T.N., Nguyen, X.H. and Pham, K.T., 2023. The effect of capital structure on firm value: A study of companies listed on the Vietnamese stock market. </w:t>
      </w:r>
      <w:r w:rsidRPr="00E805AD">
        <w:rPr>
          <w:rFonts w:eastAsia="Times New Roman"/>
          <w:i/>
          <w:iCs/>
          <w:sz w:val="24"/>
          <w:szCs w:val="24"/>
        </w:rPr>
        <w:t>International Journal of Financial Studies</w:t>
      </w:r>
      <w:r w:rsidRPr="00E805AD">
        <w:rPr>
          <w:rFonts w:eastAsia="Times New Roman"/>
          <w:sz w:val="24"/>
          <w:szCs w:val="24"/>
        </w:rPr>
        <w:t xml:space="preserve">, </w:t>
      </w:r>
      <w:r w:rsidRPr="00E805AD">
        <w:rPr>
          <w:rFonts w:eastAsia="Times New Roman"/>
          <w:i/>
          <w:iCs/>
          <w:sz w:val="24"/>
          <w:szCs w:val="24"/>
        </w:rPr>
        <w:t>11</w:t>
      </w:r>
      <w:r w:rsidRPr="00E805AD">
        <w:rPr>
          <w:rFonts w:eastAsia="Times New Roman"/>
          <w:sz w:val="24"/>
          <w:szCs w:val="24"/>
        </w:rPr>
        <w:t>(3), p.100.</w:t>
      </w:r>
      <w:hyperlink r:id="rId22">
        <w:r w:rsidRPr="00E805AD">
          <w:rPr>
            <w:rFonts w:eastAsia="Times New Roman"/>
            <w:sz w:val="24"/>
            <w:szCs w:val="24"/>
          </w:rPr>
          <w:t xml:space="preserve"> </w:t>
        </w:r>
      </w:hyperlink>
      <w:hyperlink r:id="rId23">
        <w:r w:rsidRPr="00E805AD">
          <w:rPr>
            <w:rFonts w:eastAsia="Times New Roman"/>
            <w:color w:val="1155CC"/>
            <w:sz w:val="24"/>
            <w:szCs w:val="24"/>
            <w:u w:val="single"/>
          </w:rPr>
          <w:t>https://www.mdpi.com/2227-7072/11/3/100</w:t>
        </w:r>
      </w:hyperlink>
    </w:p>
    <w:p w14:paraId="2E3717B7"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Burton-Howat, N., 2025. </w:t>
      </w:r>
      <w:r w:rsidRPr="00E805AD">
        <w:rPr>
          <w:rFonts w:eastAsia="Times New Roman"/>
          <w:i/>
          <w:iCs/>
          <w:sz w:val="24"/>
          <w:szCs w:val="24"/>
        </w:rPr>
        <w:t>Developing a Successful Hospitality Business: Philosophy and Practice</w:t>
      </w:r>
      <w:r w:rsidRPr="00E805AD">
        <w:rPr>
          <w:rFonts w:eastAsia="Times New Roman"/>
          <w:sz w:val="24"/>
          <w:szCs w:val="24"/>
        </w:rPr>
        <w:t>. Taylor &amp; Francis.</w:t>
      </w:r>
      <w:hyperlink r:id="rId24">
        <w:r w:rsidRPr="00E805AD">
          <w:rPr>
            <w:rFonts w:eastAsia="Times New Roman"/>
            <w:sz w:val="24"/>
            <w:szCs w:val="24"/>
          </w:rPr>
          <w:t xml:space="preserve"> </w:t>
        </w:r>
      </w:hyperlink>
      <w:hyperlink r:id="rId25">
        <w:r w:rsidRPr="00E805AD">
          <w:rPr>
            <w:rFonts w:eastAsia="Times New Roman"/>
            <w:color w:val="1155CC"/>
            <w:sz w:val="24"/>
            <w:szCs w:val="24"/>
            <w:u w:val="single"/>
          </w:rPr>
          <w:t>https://books.google.com/books?hl=en&amp;lr=&amp;id=b5WCEQAAQBAJ&amp;oi=fnd&amp;pg=PP1&amp;dq=an+asset-light+hospitality+business+model+whereby+its+inventory+consists+mainly+of+food,+beverage,+and+operating+supply+rather+than+merchandise+for+resale&amp;ots=qUsRa7bfO8&amp;sig=RAZrGFshBjd64wnEP34guGacCu8</w:t>
        </w:r>
      </w:hyperlink>
    </w:p>
    <w:p w14:paraId="12958081"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Chen, M.R., </w:t>
      </w:r>
      <w:proofErr w:type="spellStart"/>
      <w:r w:rsidRPr="00E805AD">
        <w:rPr>
          <w:rFonts w:eastAsia="Times New Roman"/>
          <w:sz w:val="24"/>
          <w:szCs w:val="24"/>
        </w:rPr>
        <w:t>Guzzo</w:t>
      </w:r>
      <w:proofErr w:type="spellEnd"/>
      <w:r w:rsidRPr="00E805AD">
        <w:rPr>
          <w:rFonts w:eastAsia="Times New Roman"/>
          <w:sz w:val="24"/>
          <w:szCs w:val="24"/>
        </w:rPr>
        <w:t xml:space="preserve">, V., </w:t>
      </w:r>
      <w:proofErr w:type="spellStart"/>
      <w:r w:rsidRPr="00E805AD">
        <w:rPr>
          <w:rFonts w:eastAsia="Times New Roman"/>
          <w:sz w:val="24"/>
          <w:szCs w:val="24"/>
        </w:rPr>
        <w:t>Jamaludin</w:t>
      </w:r>
      <w:proofErr w:type="spellEnd"/>
      <w:r w:rsidRPr="00E805AD">
        <w:rPr>
          <w:rFonts w:eastAsia="Times New Roman"/>
          <w:sz w:val="24"/>
          <w:szCs w:val="24"/>
        </w:rPr>
        <w:t xml:space="preserve">, M.F., </w:t>
      </w:r>
      <w:proofErr w:type="spellStart"/>
      <w:r w:rsidRPr="00E805AD">
        <w:rPr>
          <w:rFonts w:eastAsia="Times New Roman"/>
          <w:sz w:val="24"/>
          <w:szCs w:val="24"/>
        </w:rPr>
        <w:t>Mohommad</w:t>
      </w:r>
      <w:proofErr w:type="spellEnd"/>
      <w:r w:rsidRPr="00E805AD">
        <w:rPr>
          <w:rFonts w:eastAsia="Times New Roman"/>
          <w:sz w:val="24"/>
          <w:szCs w:val="24"/>
        </w:rPr>
        <w:t xml:space="preserve">, M.A., Qu, R. and Zhao, Y., 2024. </w:t>
      </w:r>
      <w:r w:rsidRPr="00E805AD">
        <w:rPr>
          <w:rFonts w:eastAsia="Times New Roman"/>
          <w:i/>
          <w:iCs/>
          <w:sz w:val="24"/>
          <w:szCs w:val="24"/>
        </w:rPr>
        <w:t xml:space="preserve">Bank profitability in </w:t>
      </w:r>
      <w:proofErr w:type="spellStart"/>
      <w:r w:rsidRPr="00E805AD">
        <w:rPr>
          <w:rFonts w:eastAsia="Times New Roman"/>
          <w:i/>
          <w:iCs/>
          <w:sz w:val="24"/>
          <w:szCs w:val="24"/>
        </w:rPr>
        <w:t>europe</w:t>
      </w:r>
      <w:proofErr w:type="spellEnd"/>
      <w:r w:rsidRPr="00E805AD">
        <w:rPr>
          <w:rFonts w:eastAsia="Times New Roman"/>
          <w:i/>
          <w:iCs/>
          <w:sz w:val="24"/>
          <w:szCs w:val="24"/>
        </w:rPr>
        <w:t>: Not here to stay</w:t>
      </w:r>
      <w:r w:rsidRPr="00E805AD">
        <w:rPr>
          <w:rFonts w:eastAsia="Times New Roman"/>
          <w:sz w:val="24"/>
          <w:szCs w:val="24"/>
        </w:rPr>
        <w:t>. International Monetary Fund.</w:t>
      </w:r>
      <w:hyperlink r:id="rId26">
        <w:r w:rsidRPr="00E805AD">
          <w:rPr>
            <w:rFonts w:eastAsia="Times New Roman"/>
            <w:sz w:val="24"/>
            <w:szCs w:val="24"/>
          </w:rPr>
          <w:t xml:space="preserve"> </w:t>
        </w:r>
      </w:hyperlink>
      <w:hyperlink r:id="rId27">
        <w:r w:rsidRPr="00E805AD">
          <w:rPr>
            <w:rFonts w:eastAsia="Times New Roman"/>
            <w:color w:val="1155CC"/>
            <w:sz w:val="24"/>
            <w:szCs w:val="24"/>
            <w:u w:val="single"/>
          </w:rPr>
          <w:t>https://www.elibrary.imf.org/downloadpdf/view/journals/001/2024/142/001.2024.issue-142-en.pdf</w:t>
        </w:r>
      </w:hyperlink>
    </w:p>
    <w:p w14:paraId="0C6F911C"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Clement, M., 2025. Business Models and Revenue Opportunities for Non-Financial Companies.</w:t>
      </w:r>
      <w:hyperlink r:id="rId28">
        <w:r w:rsidRPr="00E805AD">
          <w:rPr>
            <w:rFonts w:eastAsia="Times New Roman"/>
            <w:sz w:val="24"/>
            <w:szCs w:val="24"/>
          </w:rPr>
          <w:t xml:space="preserve"> </w:t>
        </w:r>
      </w:hyperlink>
      <w:hyperlink r:id="rId29">
        <w:r w:rsidRPr="00E805AD">
          <w:rPr>
            <w:rFonts w:eastAsia="Times New Roman"/>
            <w:color w:val="1155CC"/>
            <w:sz w:val="24"/>
            <w:szCs w:val="24"/>
            <w:u w:val="single"/>
          </w:rPr>
          <w:t>https://www.researchgate.net/profile/Mateo-Clement/publication/392078947_Business_Models_and_Revenue_Opportunities_for_Non-_Financial_Companies/links/6832fbe2026fee1034fb54f0/Business-Models-and-Revenue-Opportunities-for-Non-Financial-Companies.pdf</w:t>
        </w:r>
      </w:hyperlink>
    </w:p>
    <w:p w14:paraId="2F1E942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De Keyser, E. and </w:t>
      </w:r>
      <w:proofErr w:type="spellStart"/>
      <w:r w:rsidRPr="00E805AD">
        <w:rPr>
          <w:rFonts w:eastAsia="Times New Roman"/>
          <w:sz w:val="24"/>
          <w:szCs w:val="24"/>
        </w:rPr>
        <w:t>Mathijs</w:t>
      </w:r>
      <w:proofErr w:type="spellEnd"/>
      <w:r w:rsidRPr="00E805AD">
        <w:rPr>
          <w:rFonts w:eastAsia="Times New Roman"/>
          <w:sz w:val="24"/>
          <w:szCs w:val="24"/>
        </w:rPr>
        <w:t xml:space="preserve">, E., 2023. A typology of sustainable circular business models with applications in the </w:t>
      </w:r>
      <w:proofErr w:type="spellStart"/>
      <w:r w:rsidRPr="00E805AD">
        <w:rPr>
          <w:rFonts w:eastAsia="Times New Roman"/>
          <w:sz w:val="24"/>
          <w:szCs w:val="24"/>
        </w:rPr>
        <w:t>bioeconomy</w:t>
      </w:r>
      <w:proofErr w:type="spellEnd"/>
      <w:r w:rsidRPr="00E805AD">
        <w:rPr>
          <w:rFonts w:eastAsia="Times New Roman"/>
          <w:sz w:val="24"/>
          <w:szCs w:val="24"/>
        </w:rPr>
        <w:t xml:space="preserve">. </w:t>
      </w:r>
      <w:r w:rsidRPr="00E805AD">
        <w:rPr>
          <w:rFonts w:eastAsia="Times New Roman"/>
          <w:i/>
          <w:iCs/>
          <w:sz w:val="24"/>
          <w:szCs w:val="24"/>
        </w:rPr>
        <w:t>Frontiers in Sustainable Food Systems</w:t>
      </w:r>
      <w:r w:rsidRPr="00E805AD">
        <w:rPr>
          <w:rFonts w:eastAsia="Times New Roman"/>
          <w:sz w:val="24"/>
          <w:szCs w:val="24"/>
        </w:rPr>
        <w:t xml:space="preserve">, </w:t>
      </w:r>
      <w:r w:rsidRPr="00E805AD">
        <w:rPr>
          <w:rFonts w:eastAsia="Times New Roman"/>
          <w:i/>
          <w:iCs/>
          <w:sz w:val="24"/>
          <w:szCs w:val="24"/>
        </w:rPr>
        <w:t>6</w:t>
      </w:r>
      <w:r w:rsidRPr="00E805AD">
        <w:rPr>
          <w:rFonts w:eastAsia="Times New Roman"/>
          <w:sz w:val="24"/>
          <w:szCs w:val="24"/>
        </w:rPr>
        <w:t>, p.1028877.</w:t>
      </w:r>
      <w:hyperlink r:id="rId30">
        <w:r w:rsidRPr="00E805AD">
          <w:rPr>
            <w:rFonts w:eastAsia="Times New Roman"/>
            <w:sz w:val="24"/>
            <w:szCs w:val="24"/>
          </w:rPr>
          <w:t xml:space="preserve"> </w:t>
        </w:r>
      </w:hyperlink>
      <w:hyperlink r:id="rId31">
        <w:r w:rsidRPr="00E805AD">
          <w:rPr>
            <w:rFonts w:eastAsia="Times New Roman"/>
            <w:color w:val="1155CC"/>
            <w:sz w:val="24"/>
            <w:szCs w:val="24"/>
            <w:u w:val="single"/>
          </w:rPr>
          <w:t>https://www.frontiersin.org/journals/sustainable-food-systems/articles/10.3389/fsufs.2022.1028877/pdf</w:t>
        </w:r>
      </w:hyperlink>
    </w:p>
    <w:p w14:paraId="43263964" w14:textId="77777777" w:rsidR="00650885" w:rsidRPr="00E805AD" w:rsidRDefault="00650885" w:rsidP="00E805AD">
      <w:pPr>
        <w:pStyle w:val="NormalWeb"/>
        <w:spacing w:before="0" w:beforeAutospacing="0" w:after="240" w:afterAutospacing="0" w:line="360" w:lineRule="auto"/>
        <w:jc w:val="both"/>
        <w:rPr>
          <w:rFonts w:ascii="Arial" w:hAnsi="Arial" w:cs="Arial"/>
        </w:rPr>
      </w:pPr>
      <w:r w:rsidRPr="00E805AD">
        <w:rPr>
          <w:rFonts w:ascii="Arial" w:hAnsi="Arial" w:cs="Arial"/>
          <w:color w:val="222222"/>
          <w:shd w:val="clear" w:color="auto" w:fill="FFFFFF"/>
        </w:rPr>
        <w:t xml:space="preserve">Denny, P., </w:t>
      </w:r>
      <w:proofErr w:type="spellStart"/>
      <w:r w:rsidRPr="00E805AD">
        <w:rPr>
          <w:rFonts w:ascii="Arial" w:hAnsi="Arial" w:cs="Arial"/>
          <w:color w:val="222222"/>
          <w:shd w:val="clear" w:color="auto" w:fill="FFFFFF"/>
        </w:rPr>
        <w:t>Khosravi</w:t>
      </w:r>
      <w:proofErr w:type="spellEnd"/>
      <w:r w:rsidRPr="00E805AD">
        <w:rPr>
          <w:rFonts w:ascii="Arial" w:hAnsi="Arial" w:cs="Arial"/>
          <w:color w:val="222222"/>
          <w:shd w:val="clear" w:color="auto" w:fill="FFFFFF"/>
        </w:rPr>
        <w:t xml:space="preserve">, H., Hellas, A., </w:t>
      </w:r>
      <w:proofErr w:type="spellStart"/>
      <w:r w:rsidRPr="00E805AD">
        <w:rPr>
          <w:rFonts w:ascii="Arial" w:hAnsi="Arial" w:cs="Arial"/>
          <w:color w:val="222222"/>
          <w:shd w:val="clear" w:color="auto" w:fill="FFFFFF"/>
        </w:rPr>
        <w:t>Leinonen</w:t>
      </w:r>
      <w:proofErr w:type="spellEnd"/>
      <w:r w:rsidRPr="00E805AD">
        <w:rPr>
          <w:rFonts w:ascii="Arial" w:hAnsi="Arial" w:cs="Arial"/>
          <w:color w:val="222222"/>
          <w:shd w:val="clear" w:color="auto" w:fill="FFFFFF"/>
        </w:rPr>
        <w:t xml:space="preserve">, J. and </w:t>
      </w:r>
      <w:proofErr w:type="spellStart"/>
      <w:r w:rsidRPr="00E805AD">
        <w:rPr>
          <w:rFonts w:ascii="Arial" w:hAnsi="Arial" w:cs="Arial"/>
          <w:color w:val="222222"/>
          <w:shd w:val="clear" w:color="auto" w:fill="FFFFFF"/>
        </w:rPr>
        <w:t>Sarsa</w:t>
      </w:r>
      <w:proofErr w:type="spellEnd"/>
      <w:r w:rsidRPr="00E805AD">
        <w:rPr>
          <w:rFonts w:ascii="Arial" w:hAnsi="Arial" w:cs="Arial"/>
          <w:color w:val="222222"/>
          <w:shd w:val="clear" w:color="auto" w:fill="FFFFFF"/>
        </w:rPr>
        <w:t xml:space="preserve">, S., 2023. Can we trust AI-generated educational content? Comparative analysis of human and AI-generated learning resources. </w:t>
      </w:r>
      <w:proofErr w:type="spellStart"/>
      <w:r w:rsidRPr="00E805AD">
        <w:rPr>
          <w:rFonts w:ascii="Arial" w:hAnsi="Arial" w:cs="Arial"/>
          <w:i/>
          <w:iCs/>
          <w:color w:val="222222"/>
          <w:shd w:val="clear" w:color="auto" w:fill="FFFFFF"/>
        </w:rPr>
        <w:t>arXiv</w:t>
      </w:r>
      <w:proofErr w:type="spellEnd"/>
      <w:r w:rsidRPr="00E805AD">
        <w:rPr>
          <w:rFonts w:ascii="Arial" w:hAnsi="Arial" w:cs="Arial"/>
          <w:i/>
          <w:iCs/>
          <w:color w:val="222222"/>
          <w:shd w:val="clear" w:color="auto" w:fill="FFFFFF"/>
        </w:rPr>
        <w:t xml:space="preserve"> preprint arXiv:2306.10509</w:t>
      </w:r>
      <w:r w:rsidRPr="00E805AD">
        <w:rPr>
          <w:rFonts w:ascii="Arial" w:hAnsi="Arial" w:cs="Arial"/>
          <w:color w:val="222222"/>
          <w:shd w:val="clear" w:color="auto" w:fill="FFFFFF"/>
        </w:rPr>
        <w:t>.</w:t>
      </w:r>
      <w:r w:rsidRPr="00E805AD">
        <w:rPr>
          <w:rFonts w:ascii="Arial" w:hAnsi="Arial" w:cs="Arial"/>
          <w:color w:val="000000"/>
        </w:rPr>
        <w:t xml:space="preserve"> </w:t>
      </w:r>
      <w:hyperlink r:id="rId32" w:history="1">
        <w:r w:rsidRPr="00E805AD">
          <w:rPr>
            <w:rStyle w:val="Hyperlink"/>
            <w:rFonts w:ascii="Arial" w:hAnsi="Arial" w:cs="Arial"/>
            <w:color w:val="1155CC"/>
          </w:rPr>
          <w:t>https://arxiv.org/pdf/2306.10509</w:t>
        </w:r>
      </w:hyperlink>
    </w:p>
    <w:p w14:paraId="2C74850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lastRenderedPageBreak/>
        <w:t>Edo-</w:t>
      </w:r>
      <w:proofErr w:type="spellStart"/>
      <w:r w:rsidRPr="00E805AD">
        <w:rPr>
          <w:rFonts w:eastAsia="Times New Roman"/>
          <w:sz w:val="24"/>
          <w:szCs w:val="24"/>
        </w:rPr>
        <w:t>Osagie</w:t>
      </w:r>
      <w:proofErr w:type="spellEnd"/>
      <w:r w:rsidRPr="00E805AD">
        <w:rPr>
          <w:rFonts w:eastAsia="Times New Roman"/>
          <w:sz w:val="24"/>
          <w:szCs w:val="24"/>
        </w:rPr>
        <w:t xml:space="preserve">, E., 2025. Advanced budgeting and dynamic allocation strategies for maximizing financial resilience amid economic volatility and market shifts. </w:t>
      </w:r>
      <w:r w:rsidRPr="00E805AD">
        <w:rPr>
          <w:rFonts w:eastAsia="Times New Roman"/>
          <w:i/>
          <w:iCs/>
          <w:sz w:val="24"/>
          <w:szCs w:val="24"/>
        </w:rPr>
        <w:t>International Journal of Research Publication and Reviews</w:t>
      </w:r>
      <w:r w:rsidRPr="00E805AD">
        <w:rPr>
          <w:rFonts w:eastAsia="Times New Roman"/>
          <w:sz w:val="24"/>
          <w:szCs w:val="24"/>
        </w:rPr>
        <w:t xml:space="preserve">, </w:t>
      </w:r>
      <w:r w:rsidRPr="00E805AD">
        <w:rPr>
          <w:rFonts w:eastAsia="Times New Roman"/>
          <w:i/>
          <w:iCs/>
          <w:sz w:val="24"/>
          <w:szCs w:val="24"/>
        </w:rPr>
        <w:t>6</w:t>
      </w:r>
      <w:r w:rsidRPr="00E805AD">
        <w:rPr>
          <w:rFonts w:eastAsia="Times New Roman"/>
          <w:sz w:val="24"/>
          <w:szCs w:val="24"/>
        </w:rPr>
        <w:t>(3), pp.1060-1077.</w:t>
      </w:r>
      <w:hyperlink r:id="rId33">
        <w:r w:rsidRPr="00E805AD">
          <w:rPr>
            <w:rFonts w:eastAsia="Times New Roman"/>
            <w:sz w:val="24"/>
            <w:szCs w:val="24"/>
          </w:rPr>
          <w:t xml:space="preserve"> </w:t>
        </w:r>
      </w:hyperlink>
      <w:hyperlink r:id="rId34">
        <w:r w:rsidRPr="00E805AD">
          <w:rPr>
            <w:rFonts w:eastAsia="Times New Roman"/>
            <w:color w:val="1155CC"/>
            <w:sz w:val="24"/>
            <w:szCs w:val="24"/>
            <w:u w:val="single"/>
          </w:rPr>
          <w: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w:t>
        </w:r>
      </w:hyperlink>
    </w:p>
    <w:p w14:paraId="0D200CE7"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Farooq, U., </w:t>
      </w:r>
      <w:proofErr w:type="spellStart"/>
      <w:r w:rsidRPr="00E805AD">
        <w:rPr>
          <w:rFonts w:eastAsia="Times New Roman"/>
          <w:sz w:val="24"/>
          <w:szCs w:val="24"/>
        </w:rPr>
        <w:t>Tabash</w:t>
      </w:r>
      <w:proofErr w:type="spellEnd"/>
      <w:r w:rsidRPr="00E805AD">
        <w:rPr>
          <w:rFonts w:eastAsia="Times New Roman"/>
          <w:sz w:val="24"/>
          <w:szCs w:val="24"/>
        </w:rPr>
        <w:t xml:space="preserve">, M.I., </w:t>
      </w:r>
      <w:proofErr w:type="spellStart"/>
      <w:r w:rsidRPr="00E805AD">
        <w:rPr>
          <w:rFonts w:eastAsia="Times New Roman"/>
          <w:sz w:val="24"/>
          <w:szCs w:val="24"/>
        </w:rPr>
        <w:t>Mamadiyarov</w:t>
      </w:r>
      <w:proofErr w:type="spellEnd"/>
      <w:r w:rsidRPr="00E805AD">
        <w:rPr>
          <w:rFonts w:eastAsia="Times New Roman"/>
          <w:sz w:val="24"/>
          <w:szCs w:val="24"/>
        </w:rPr>
        <w:t xml:space="preserve">, Z., </w:t>
      </w:r>
      <w:proofErr w:type="spellStart"/>
      <w:r w:rsidRPr="00E805AD">
        <w:rPr>
          <w:rFonts w:eastAsia="Times New Roman"/>
          <w:sz w:val="24"/>
          <w:szCs w:val="24"/>
        </w:rPr>
        <w:t>Issa</w:t>
      </w:r>
      <w:proofErr w:type="spellEnd"/>
      <w:r w:rsidRPr="00E805AD">
        <w:rPr>
          <w:rFonts w:eastAsia="Times New Roman"/>
          <w:sz w:val="24"/>
          <w:szCs w:val="24"/>
        </w:rPr>
        <w:t xml:space="preserve">, S.S. and </w:t>
      </w:r>
      <w:proofErr w:type="spellStart"/>
      <w:r w:rsidRPr="00E805AD">
        <w:rPr>
          <w:rFonts w:eastAsia="Times New Roman"/>
          <w:sz w:val="24"/>
          <w:szCs w:val="24"/>
        </w:rPr>
        <w:t>Aldawsari</w:t>
      </w:r>
      <w:proofErr w:type="spellEnd"/>
      <w:r w:rsidRPr="00E805AD">
        <w:rPr>
          <w:rFonts w:eastAsia="Times New Roman"/>
          <w:sz w:val="24"/>
          <w:szCs w:val="24"/>
        </w:rPr>
        <w:t xml:space="preserve">, S.H., 2025. Sustainable financial strategies: the role of intellectual capital in shaping corporate cash holdings. </w:t>
      </w:r>
      <w:r w:rsidRPr="00E805AD">
        <w:rPr>
          <w:rFonts w:eastAsia="Times New Roman"/>
          <w:i/>
          <w:iCs/>
          <w:sz w:val="24"/>
          <w:szCs w:val="24"/>
        </w:rPr>
        <w:t>International Journal of Organizational Analysis</w:t>
      </w:r>
      <w:r w:rsidRPr="00E805AD">
        <w:rPr>
          <w:rFonts w:eastAsia="Times New Roman"/>
          <w:sz w:val="24"/>
          <w:szCs w:val="24"/>
        </w:rPr>
        <w:t>, pp.1-19.</w:t>
      </w:r>
      <w:hyperlink r:id="rId35">
        <w:r w:rsidRPr="00E805AD">
          <w:rPr>
            <w:rFonts w:eastAsia="Times New Roman"/>
            <w:sz w:val="24"/>
            <w:szCs w:val="24"/>
          </w:rPr>
          <w:t xml:space="preserve"> </w:t>
        </w:r>
      </w:hyperlink>
      <w:hyperlink r:id="rId36">
        <w:r w:rsidRPr="00E805AD">
          <w:rPr>
            <w:rFonts w:eastAsia="Times New Roman"/>
            <w:color w:val="1155CC"/>
            <w:sz w:val="24"/>
            <w:szCs w:val="24"/>
            <w:u w:val="single"/>
          </w:rPr>
          <w:t>https://www.researchgate.net/profile/Suzan-Issa/publication/397714869_Sustainable_financial_strategies_the_role_of_intellectual_capital_in_shaping_corporate_cash_holdings/links/6921db47acf4cf6385374a33/Sustainable-financial-strategies-the-role-of-intellectual-capital-in-shaping-corporate-cash-holdings.pdf</w:t>
        </w:r>
      </w:hyperlink>
    </w:p>
    <w:p w14:paraId="219BA59A"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Finance Yahoo (2026) </w:t>
      </w:r>
      <w:r w:rsidRPr="00E805AD">
        <w:rPr>
          <w:rFonts w:eastAsia="Times New Roman"/>
          <w:i/>
          <w:iCs/>
          <w:sz w:val="24"/>
          <w:szCs w:val="24"/>
        </w:rPr>
        <w:t>Marriott International, Inc. (MAR).</w:t>
      </w:r>
      <w:r w:rsidRPr="00E805AD">
        <w:rPr>
          <w:rFonts w:eastAsia="Times New Roman"/>
          <w:sz w:val="24"/>
          <w:szCs w:val="24"/>
        </w:rPr>
        <w:t xml:space="preserve"> Available from:</w:t>
      </w:r>
      <w:hyperlink r:id="rId37">
        <w:r w:rsidRPr="00E805AD">
          <w:rPr>
            <w:rFonts w:eastAsia="Times New Roman"/>
            <w:sz w:val="24"/>
            <w:szCs w:val="24"/>
          </w:rPr>
          <w:t xml:space="preserve"> </w:t>
        </w:r>
      </w:hyperlink>
      <w:hyperlink r:id="rId38">
        <w:r w:rsidRPr="00E805AD">
          <w:rPr>
            <w:rFonts w:eastAsia="Times New Roman"/>
            <w:color w:val="1155CC"/>
            <w:sz w:val="24"/>
            <w:szCs w:val="24"/>
            <w:u w:val="single"/>
          </w:rPr>
          <w:t>https://finance.yahoo.com/quote/MAR/financials/</w:t>
        </w:r>
      </w:hyperlink>
      <w:r w:rsidRPr="00E805AD">
        <w:rPr>
          <w:rFonts w:eastAsia="Times New Roman"/>
          <w:sz w:val="24"/>
          <w:szCs w:val="24"/>
        </w:rPr>
        <w:t xml:space="preserve"> Accessed on 13.07.2026</w:t>
      </w:r>
    </w:p>
    <w:p w14:paraId="6B2CDAD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Francisca, A.Y., 2025. Optimizing debt capital markets through quantitative risk models: enhancing financial stability and SME growth in the US. </w:t>
      </w:r>
      <w:r w:rsidRPr="00E805AD">
        <w:rPr>
          <w:rFonts w:eastAsia="Times New Roman"/>
          <w:i/>
          <w:iCs/>
          <w:sz w:val="24"/>
          <w:szCs w:val="24"/>
        </w:rPr>
        <w:t>International Journal of Research Publication and Reviews</w:t>
      </w:r>
      <w:r w:rsidRPr="00E805AD">
        <w:rPr>
          <w:rFonts w:eastAsia="Times New Roman"/>
          <w:sz w:val="24"/>
          <w:szCs w:val="24"/>
        </w:rPr>
        <w:t xml:space="preserve">, </w:t>
      </w:r>
      <w:r w:rsidRPr="00E805AD">
        <w:rPr>
          <w:rFonts w:eastAsia="Times New Roman"/>
          <w:i/>
          <w:iCs/>
          <w:sz w:val="24"/>
          <w:szCs w:val="24"/>
        </w:rPr>
        <w:t>6</w:t>
      </w:r>
      <w:r w:rsidRPr="00E805AD">
        <w:rPr>
          <w:rFonts w:eastAsia="Times New Roman"/>
          <w:sz w:val="24"/>
          <w:szCs w:val="24"/>
        </w:rPr>
        <w:t>(4), pp.4858-74.</w:t>
      </w:r>
      <w:hyperlink r:id="rId39">
        <w:r w:rsidRPr="00E805AD">
          <w:rPr>
            <w:rFonts w:eastAsia="Times New Roman"/>
            <w:sz w:val="24"/>
            <w:szCs w:val="24"/>
          </w:rPr>
          <w:t xml:space="preserve"> </w:t>
        </w:r>
      </w:hyperlink>
      <w:hyperlink r:id="rId40">
        <w:r w:rsidRPr="00E805AD">
          <w:rPr>
            <w:rFonts w:eastAsia="Times New Roman"/>
            <w:color w:val="1155CC"/>
            <w:sz w:val="24"/>
            <w:szCs w:val="24"/>
            <w:u w:val="single"/>
          </w:rPr>
          <w: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w:t>
        </w:r>
      </w:hyperlink>
    </w:p>
    <w:p w14:paraId="32D33D8C"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Harati</w:t>
      </w:r>
      <w:proofErr w:type="spellEnd"/>
      <w:r w:rsidRPr="00E805AD">
        <w:rPr>
          <w:rFonts w:ascii="Arial" w:hAnsi="Arial" w:cs="Arial"/>
          <w:color w:val="222222"/>
          <w:shd w:val="clear" w:color="auto" w:fill="FFFFFF"/>
        </w:rPr>
        <w:t xml:space="preserve">, K., 2024. </w:t>
      </w:r>
      <w:proofErr w:type="spellStart"/>
      <w:r w:rsidRPr="00E805AD">
        <w:rPr>
          <w:rFonts w:ascii="Arial" w:hAnsi="Arial" w:cs="Arial"/>
          <w:color w:val="222222"/>
          <w:shd w:val="clear" w:color="auto" w:fill="FFFFFF"/>
        </w:rPr>
        <w:t>ChatGPT</w:t>
      </w:r>
      <w:proofErr w:type="spellEnd"/>
      <w:r w:rsidRPr="00E805AD">
        <w:rPr>
          <w:rFonts w:ascii="Arial" w:hAnsi="Arial" w:cs="Arial"/>
          <w:color w:val="222222"/>
          <w:shd w:val="clear" w:color="auto" w:fill="FFFFFF"/>
        </w:rPr>
        <w:t xml:space="preserve"> and AI-powered writing tools: Unveiling risks and ethical challenges in scientific writing. </w:t>
      </w:r>
      <w:r w:rsidRPr="00E805AD">
        <w:rPr>
          <w:rFonts w:ascii="Arial" w:hAnsi="Arial" w:cs="Arial"/>
          <w:i/>
          <w:iCs/>
          <w:color w:val="222222"/>
          <w:shd w:val="clear" w:color="auto" w:fill="FFFFFF"/>
        </w:rPr>
        <w:t>Journal of Reviews in Medical Sciences</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4</w:t>
      </w:r>
      <w:r w:rsidRPr="00E805AD">
        <w:rPr>
          <w:rFonts w:ascii="Arial" w:hAnsi="Arial" w:cs="Arial"/>
          <w:color w:val="222222"/>
          <w:shd w:val="clear" w:color="auto" w:fill="FFFFFF"/>
        </w:rPr>
        <w:t>(1), pp.1-6.</w:t>
      </w:r>
      <w:r w:rsidRPr="00E805AD">
        <w:rPr>
          <w:rFonts w:ascii="Arial" w:hAnsi="Arial" w:cs="Arial"/>
          <w:color w:val="000000"/>
        </w:rPr>
        <w:t xml:space="preserve"> </w:t>
      </w:r>
      <w:hyperlink r:id="rId41" w:history="1">
        <w:r w:rsidRPr="00E805AD">
          <w:rPr>
            <w:rStyle w:val="Hyperlink"/>
            <w:rFonts w:ascii="Arial" w:hAnsi="Arial" w:cs="Arial"/>
            <w:color w:val="1155CC"/>
          </w:rPr>
          <w:t>https://www.jrevmeds.com/article_211431_15ee9d0df2505c6b009c48471f04f09b.pdf</w:t>
        </w:r>
      </w:hyperlink>
    </w:p>
    <w:p w14:paraId="6CECF18F"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lastRenderedPageBreak/>
        <w:t xml:space="preserve">Hossain, M.M., </w:t>
      </w:r>
      <w:proofErr w:type="spellStart"/>
      <w:r w:rsidRPr="00E805AD">
        <w:rPr>
          <w:rFonts w:eastAsia="Times New Roman"/>
          <w:sz w:val="24"/>
          <w:szCs w:val="24"/>
        </w:rPr>
        <w:t>Nodia</w:t>
      </w:r>
      <w:proofErr w:type="spellEnd"/>
      <w:r w:rsidRPr="00E805AD">
        <w:rPr>
          <w:rFonts w:eastAsia="Times New Roman"/>
          <w:sz w:val="24"/>
          <w:szCs w:val="24"/>
        </w:rPr>
        <w:t xml:space="preserve">, U.Z.Z., Rahman, F., </w:t>
      </w:r>
      <w:proofErr w:type="spellStart"/>
      <w:r w:rsidRPr="00E805AD">
        <w:rPr>
          <w:rFonts w:eastAsia="Times New Roman"/>
          <w:sz w:val="24"/>
          <w:szCs w:val="24"/>
        </w:rPr>
        <w:t>Antor</w:t>
      </w:r>
      <w:proofErr w:type="spellEnd"/>
      <w:r w:rsidRPr="00E805AD">
        <w:rPr>
          <w:rFonts w:eastAsia="Times New Roman"/>
          <w:sz w:val="24"/>
          <w:szCs w:val="24"/>
        </w:rPr>
        <w:t xml:space="preserve">, M.M.H., Ahmed, M.T. and </w:t>
      </w:r>
      <w:proofErr w:type="spellStart"/>
      <w:r w:rsidRPr="00E805AD">
        <w:rPr>
          <w:rFonts w:eastAsia="Times New Roman"/>
          <w:sz w:val="24"/>
          <w:szCs w:val="24"/>
        </w:rPr>
        <w:t>Priya</w:t>
      </w:r>
      <w:proofErr w:type="spellEnd"/>
      <w:r w:rsidRPr="00E805AD">
        <w:rPr>
          <w:rFonts w:eastAsia="Times New Roman"/>
          <w:sz w:val="24"/>
          <w:szCs w:val="24"/>
        </w:rPr>
        <w:t>, F.A., Determinants and consequences of share repurchases: Evidence from US public firms.</w:t>
      </w:r>
      <w:hyperlink r:id="rId42">
        <w:r w:rsidRPr="00E805AD">
          <w:rPr>
            <w:rFonts w:eastAsia="Times New Roman"/>
            <w:sz w:val="24"/>
            <w:szCs w:val="24"/>
          </w:rPr>
          <w:t xml:space="preserve"> </w:t>
        </w:r>
      </w:hyperlink>
      <w:hyperlink r:id="rId43">
        <w:r w:rsidRPr="00E805AD">
          <w:rPr>
            <w:rFonts w:eastAsia="Times New Roman"/>
            <w:color w:val="1155CC"/>
            <w:sz w:val="24"/>
            <w:szCs w:val="24"/>
            <w:u w:val="single"/>
          </w:rPr>
          <w:t>https://www.researchgate.net/profile/Minar-Hossain/publication/398078708_Determinants_and_consequences_of_share_repurchases_Evidence_from_US_public_firms/links/6929d01b71855517106470b6/Determinants-and-consequences-of-share-repurchases-Evidence-from-US-public-firms.pdf</w:t>
        </w:r>
      </w:hyperlink>
    </w:p>
    <w:p w14:paraId="58FBE2A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Hossain, M.M., </w:t>
      </w:r>
      <w:proofErr w:type="spellStart"/>
      <w:r w:rsidRPr="00E805AD">
        <w:rPr>
          <w:rFonts w:eastAsia="Times New Roman"/>
          <w:sz w:val="24"/>
          <w:szCs w:val="24"/>
        </w:rPr>
        <w:t>Nodia</w:t>
      </w:r>
      <w:proofErr w:type="spellEnd"/>
      <w:r w:rsidRPr="00E805AD">
        <w:rPr>
          <w:rFonts w:eastAsia="Times New Roman"/>
          <w:sz w:val="24"/>
          <w:szCs w:val="24"/>
        </w:rPr>
        <w:t xml:space="preserve">, U.Z.Z., Rahman, F., </w:t>
      </w:r>
      <w:proofErr w:type="spellStart"/>
      <w:r w:rsidRPr="00E805AD">
        <w:rPr>
          <w:rFonts w:eastAsia="Times New Roman"/>
          <w:sz w:val="24"/>
          <w:szCs w:val="24"/>
        </w:rPr>
        <w:t>Antor</w:t>
      </w:r>
      <w:proofErr w:type="spellEnd"/>
      <w:r w:rsidRPr="00E805AD">
        <w:rPr>
          <w:rFonts w:eastAsia="Times New Roman"/>
          <w:sz w:val="24"/>
          <w:szCs w:val="24"/>
        </w:rPr>
        <w:t xml:space="preserve">, M.M.H., Ahmed, M.T. and </w:t>
      </w:r>
      <w:proofErr w:type="spellStart"/>
      <w:r w:rsidRPr="00E805AD">
        <w:rPr>
          <w:rFonts w:eastAsia="Times New Roman"/>
          <w:sz w:val="24"/>
          <w:szCs w:val="24"/>
        </w:rPr>
        <w:t>Priya</w:t>
      </w:r>
      <w:proofErr w:type="spellEnd"/>
      <w:r w:rsidRPr="00E805AD">
        <w:rPr>
          <w:rFonts w:eastAsia="Times New Roman"/>
          <w:sz w:val="24"/>
          <w:szCs w:val="24"/>
        </w:rPr>
        <w:t>, F.A., Determinants and consequences of share repurchases: Evidence from US public firms.</w:t>
      </w:r>
      <w:hyperlink r:id="rId44">
        <w:r w:rsidRPr="00E805AD">
          <w:rPr>
            <w:rFonts w:eastAsia="Times New Roman"/>
            <w:sz w:val="24"/>
            <w:szCs w:val="24"/>
          </w:rPr>
          <w:t xml:space="preserve"> </w:t>
        </w:r>
      </w:hyperlink>
      <w:hyperlink r:id="rId45">
        <w:r w:rsidRPr="00E805AD">
          <w:rPr>
            <w:rFonts w:eastAsia="Times New Roman"/>
            <w:color w:val="1155CC"/>
            <w:sz w:val="24"/>
            <w:szCs w:val="24"/>
            <w:u w:val="single"/>
          </w:rPr>
          <w:t>https://www.researchgate.net/profile/Minar-Hossain/publication/398078708_Determinants_and_consequences_of_share_repurchases_Evidence_from_US_public_firms/links/6929d01b71855517106470b6/Determinants-and-consequences-of-share-repurchases-Evidence-from-US-public-firms.pdf</w:t>
        </w:r>
      </w:hyperlink>
    </w:p>
    <w:p w14:paraId="5232E321"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Hossain, M.M., </w:t>
      </w:r>
      <w:proofErr w:type="spellStart"/>
      <w:r w:rsidRPr="00E805AD">
        <w:rPr>
          <w:rFonts w:eastAsia="Times New Roman"/>
          <w:sz w:val="24"/>
          <w:szCs w:val="24"/>
        </w:rPr>
        <w:t>Nodia</w:t>
      </w:r>
      <w:proofErr w:type="spellEnd"/>
      <w:r w:rsidRPr="00E805AD">
        <w:rPr>
          <w:rFonts w:eastAsia="Times New Roman"/>
          <w:sz w:val="24"/>
          <w:szCs w:val="24"/>
        </w:rPr>
        <w:t xml:space="preserve">, U.Z.Z., Rahman, F., </w:t>
      </w:r>
      <w:proofErr w:type="spellStart"/>
      <w:r w:rsidRPr="00E805AD">
        <w:rPr>
          <w:rFonts w:eastAsia="Times New Roman"/>
          <w:sz w:val="24"/>
          <w:szCs w:val="24"/>
        </w:rPr>
        <w:t>Antor</w:t>
      </w:r>
      <w:proofErr w:type="spellEnd"/>
      <w:r w:rsidRPr="00E805AD">
        <w:rPr>
          <w:rFonts w:eastAsia="Times New Roman"/>
          <w:sz w:val="24"/>
          <w:szCs w:val="24"/>
        </w:rPr>
        <w:t xml:space="preserve">, M.M.H., Ahmed, M.T. and </w:t>
      </w:r>
      <w:proofErr w:type="spellStart"/>
      <w:r w:rsidRPr="00E805AD">
        <w:rPr>
          <w:rFonts w:eastAsia="Times New Roman"/>
          <w:sz w:val="24"/>
          <w:szCs w:val="24"/>
        </w:rPr>
        <w:t>Priya</w:t>
      </w:r>
      <w:proofErr w:type="spellEnd"/>
      <w:r w:rsidRPr="00E805AD">
        <w:rPr>
          <w:rFonts w:eastAsia="Times New Roman"/>
          <w:sz w:val="24"/>
          <w:szCs w:val="24"/>
        </w:rPr>
        <w:t>, F.A., Determinants and consequences of share repurchases: Evidence from US public firms.</w:t>
      </w:r>
    </w:p>
    <w:p w14:paraId="05404741"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Huebner, C. and </w:t>
      </w:r>
      <w:proofErr w:type="spellStart"/>
      <w:r w:rsidRPr="00E805AD">
        <w:rPr>
          <w:rFonts w:eastAsia="Times New Roman"/>
          <w:sz w:val="24"/>
          <w:szCs w:val="24"/>
        </w:rPr>
        <w:t>Flessa</w:t>
      </w:r>
      <w:proofErr w:type="spellEnd"/>
      <w:r w:rsidRPr="00E805AD">
        <w:rPr>
          <w:rFonts w:eastAsia="Times New Roman"/>
          <w:sz w:val="24"/>
          <w:szCs w:val="24"/>
        </w:rPr>
        <w:t xml:space="preserve">, S., 2022. Strategic management in healthcare: a call for long-term and systems-thinking in an uncertain system. </w:t>
      </w:r>
      <w:r w:rsidRPr="00E805AD">
        <w:rPr>
          <w:rFonts w:eastAsia="Times New Roman"/>
          <w:i/>
          <w:iCs/>
          <w:sz w:val="24"/>
          <w:szCs w:val="24"/>
        </w:rPr>
        <w:t>International journal of environmental research and public health</w:t>
      </w:r>
      <w:r w:rsidRPr="00E805AD">
        <w:rPr>
          <w:rFonts w:eastAsia="Times New Roman"/>
          <w:sz w:val="24"/>
          <w:szCs w:val="24"/>
        </w:rPr>
        <w:t xml:space="preserve">, </w:t>
      </w:r>
      <w:r w:rsidRPr="00E805AD">
        <w:rPr>
          <w:rFonts w:eastAsia="Times New Roman"/>
          <w:i/>
          <w:iCs/>
          <w:sz w:val="24"/>
          <w:szCs w:val="24"/>
        </w:rPr>
        <w:t>19</w:t>
      </w:r>
      <w:r w:rsidRPr="00E805AD">
        <w:rPr>
          <w:rFonts w:eastAsia="Times New Roman"/>
          <w:sz w:val="24"/>
          <w:szCs w:val="24"/>
        </w:rPr>
        <w:t>(14), p.8617.</w:t>
      </w:r>
      <w:hyperlink r:id="rId46">
        <w:r w:rsidRPr="00E805AD">
          <w:rPr>
            <w:rFonts w:eastAsia="Times New Roman"/>
            <w:sz w:val="24"/>
            <w:szCs w:val="24"/>
          </w:rPr>
          <w:t xml:space="preserve"> </w:t>
        </w:r>
      </w:hyperlink>
      <w:hyperlink r:id="rId47">
        <w:r w:rsidRPr="00E805AD">
          <w:rPr>
            <w:rFonts w:eastAsia="Times New Roman"/>
            <w:color w:val="1155CC"/>
            <w:sz w:val="24"/>
            <w:szCs w:val="24"/>
            <w:u w:val="single"/>
          </w:rPr>
          <w:t>https://www.mdpi.com/1660-4601/19/14/8617</w:t>
        </w:r>
      </w:hyperlink>
    </w:p>
    <w:p w14:paraId="0DFA291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Islam, R., </w:t>
      </w:r>
      <w:proofErr w:type="spellStart"/>
      <w:r w:rsidRPr="00E805AD">
        <w:rPr>
          <w:rFonts w:eastAsia="Times New Roman"/>
          <w:sz w:val="24"/>
          <w:szCs w:val="24"/>
        </w:rPr>
        <w:t>Haque</w:t>
      </w:r>
      <w:proofErr w:type="spellEnd"/>
      <w:r w:rsidRPr="00E805AD">
        <w:rPr>
          <w:rFonts w:eastAsia="Times New Roman"/>
          <w:sz w:val="24"/>
          <w:szCs w:val="24"/>
        </w:rPr>
        <w:t xml:space="preserve">, Z. and </w:t>
      </w:r>
      <w:proofErr w:type="spellStart"/>
      <w:r w:rsidRPr="00E805AD">
        <w:rPr>
          <w:rFonts w:eastAsia="Times New Roman"/>
          <w:sz w:val="24"/>
          <w:szCs w:val="24"/>
        </w:rPr>
        <w:t>Moutushi</w:t>
      </w:r>
      <w:proofErr w:type="spellEnd"/>
      <w:r w:rsidRPr="00E805AD">
        <w:rPr>
          <w:rFonts w:eastAsia="Times New Roman"/>
          <w:sz w:val="24"/>
          <w:szCs w:val="24"/>
        </w:rPr>
        <w:t xml:space="preserve">, R.H., 2022. Earnings quality and financial flexibility: A moderating role of corporate governance. </w:t>
      </w:r>
      <w:r w:rsidRPr="00E805AD">
        <w:rPr>
          <w:rFonts w:eastAsia="Times New Roman"/>
          <w:i/>
          <w:iCs/>
          <w:sz w:val="24"/>
          <w:szCs w:val="24"/>
        </w:rPr>
        <w:t>Cogent Business &amp; Management</w:t>
      </w:r>
      <w:r w:rsidRPr="00E805AD">
        <w:rPr>
          <w:rFonts w:eastAsia="Times New Roman"/>
          <w:sz w:val="24"/>
          <w:szCs w:val="24"/>
        </w:rPr>
        <w:t xml:space="preserve">, </w:t>
      </w:r>
      <w:r w:rsidRPr="00E805AD">
        <w:rPr>
          <w:rFonts w:eastAsia="Times New Roman"/>
          <w:i/>
          <w:iCs/>
          <w:sz w:val="24"/>
          <w:szCs w:val="24"/>
        </w:rPr>
        <w:t>9</w:t>
      </w:r>
      <w:r w:rsidRPr="00E805AD">
        <w:rPr>
          <w:rFonts w:eastAsia="Times New Roman"/>
          <w:sz w:val="24"/>
          <w:szCs w:val="24"/>
        </w:rPr>
        <w:t>(1), p.2097620.</w:t>
      </w:r>
      <w:hyperlink r:id="rId48">
        <w:r w:rsidRPr="00E805AD">
          <w:rPr>
            <w:rFonts w:eastAsia="Times New Roman"/>
            <w:sz w:val="24"/>
            <w:szCs w:val="24"/>
          </w:rPr>
          <w:t xml:space="preserve"> </w:t>
        </w:r>
      </w:hyperlink>
      <w:hyperlink r:id="rId49">
        <w:r w:rsidRPr="00E805AD">
          <w:rPr>
            <w:rFonts w:eastAsia="Times New Roman"/>
            <w:color w:val="1155CC"/>
            <w:sz w:val="24"/>
            <w:szCs w:val="24"/>
            <w:u w:val="single"/>
          </w:rPr>
          <w:t>https://www.tandfonline.com/doi/pdf/10.1080/23311975.2022.2097620</w:t>
        </w:r>
      </w:hyperlink>
    </w:p>
    <w:p w14:paraId="5105F0E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Joshua, C., </w:t>
      </w:r>
      <w:proofErr w:type="spellStart"/>
      <w:r w:rsidRPr="00E805AD">
        <w:rPr>
          <w:rFonts w:eastAsia="Times New Roman"/>
          <w:sz w:val="24"/>
          <w:szCs w:val="24"/>
        </w:rPr>
        <w:t>imran</w:t>
      </w:r>
      <w:proofErr w:type="spellEnd"/>
      <w:r w:rsidRPr="00E805AD">
        <w:rPr>
          <w:rFonts w:eastAsia="Times New Roman"/>
          <w:sz w:val="24"/>
          <w:szCs w:val="24"/>
        </w:rPr>
        <w:t xml:space="preserve"> Khan, M., Hussain, R.Y. and </w:t>
      </w:r>
      <w:proofErr w:type="spellStart"/>
      <w:r w:rsidRPr="00E805AD">
        <w:rPr>
          <w:rFonts w:eastAsia="Times New Roman"/>
          <w:sz w:val="24"/>
          <w:szCs w:val="24"/>
        </w:rPr>
        <w:t>Pratiwi</w:t>
      </w:r>
      <w:proofErr w:type="spellEnd"/>
      <w:r w:rsidRPr="00E805AD">
        <w:rPr>
          <w:rFonts w:eastAsia="Times New Roman"/>
          <w:sz w:val="24"/>
          <w:szCs w:val="24"/>
        </w:rPr>
        <w:t>, R.E., 2024. Impact of Procure-to-Pay Automation on Component Manufacturers’ Working Capital Efficiency.</w:t>
      </w:r>
      <w:hyperlink r:id="rId50">
        <w:r w:rsidRPr="00E805AD">
          <w:rPr>
            <w:rFonts w:eastAsia="Times New Roman"/>
            <w:sz w:val="24"/>
            <w:szCs w:val="24"/>
          </w:rPr>
          <w:t xml:space="preserve"> </w:t>
        </w:r>
      </w:hyperlink>
      <w:hyperlink r:id="rId51">
        <w:r w:rsidRPr="00E805AD">
          <w:rPr>
            <w:rFonts w:eastAsia="Times New Roman"/>
            <w:color w:val="1155CC"/>
            <w:sz w:val="24"/>
            <w:szCs w:val="24"/>
            <w:u w:val="single"/>
          </w:rPr>
          <w:t>https://www.researchgate.net/profile/Chidiebere-Joshua/publication/398020195_Impact_of_Procure-to-Pay_Automation_on_Component_Manufacturers'_Working_Capital_Efficiency/links/69278f57a130337711bfa4e7/Impact-of-Procure-to-Pay-Automation-on-Component-Manufacturers-Working-Capital-Efficiency.pdf</w:t>
        </w:r>
      </w:hyperlink>
    </w:p>
    <w:p w14:paraId="6BF6A5B4"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Majka</w:t>
      </w:r>
      <w:proofErr w:type="spellEnd"/>
      <w:r w:rsidRPr="00E805AD">
        <w:rPr>
          <w:rFonts w:eastAsia="Times New Roman"/>
          <w:sz w:val="24"/>
          <w:szCs w:val="24"/>
        </w:rPr>
        <w:t>, M., EBITDA vs. Net Income: Key Differences and Their Importance in Financial Analysis.</w:t>
      </w:r>
      <w:hyperlink r:id="rId52">
        <w:r w:rsidRPr="00E805AD">
          <w:rPr>
            <w:rFonts w:eastAsia="Times New Roman"/>
            <w:sz w:val="24"/>
            <w:szCs w:val="24"/>
          </w:rPr>
          <w:t xml:space="preserve"> </w:t>
        </w:r>
      </w:hyperlink>
      <w:hyperlink r:id="rId53">
        <w:r w:rsidRPr="00E805AD">
          <w:rPr>
            <w:rFonts w:eastAsia="Times New Roman"/>
            <w:color w:val="1155CC"/>
            <w:sz w:val="24"/>
            <w:szCs w:val="24"/>
            <w:u w:val="single"/>
          </w:rPr>
          <w:t>https://www.researchgate.net/profile/Marcin-Majka-</w:t>
        </w:r>
        <w:r w:rsidRPr="00E805AD">
          <w:rPr>
            <w:rFonts w:eastAsia="Times New Roman"/>
            <w:color w:val="1155CC"/>
            <w:sz w:val="24"/>
            <w:szCs w:val="24"/>
            <w:u w:val="single"/>
          </w:rPr>
          <w:lastRenderedPageBreak/>
          <w:t>2/publication/385936952_EBITDA_vs_Net_Income_Key_Differences_and_Their_Importance_in_Financial_Analysis/links/673c5be9c1b80e56164627d9/EBITDA-vs-Net-Income-Key-Differences-and-Their-Importance-in-Financial-Analysis.pdf</w:t>
        </w:r>
      </w:hyperlink>
    </w:p>
    <w:p w14:paraId="703FCC8B"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Marriott (2025) Marriott International 2025 Annual Report. Available from:</w:t>
      </w:r>
      <w:hyperlink r:id="rId54">
        <w:r w:rsidRPr="00E805AD">
          <w:rPr>
            <w:rFonts w:eastAsia="Times New Roman"/>
            <w:sz w:val="24"/>
            <w:szCs w:val="24"/>
          </w:rPr>
          <w:t xml:space="preserve"> </w:t>
        </w:r>
      </w:hyperlink>
      <w:hyperlink r:id="rId55">
        <w:r w:rsidRPr="00E805AD">
          <w:rPr>
            <w:rFonts w:eastAsia="Times New Roman"/>
            <w:color w:val="1155CC"/>
            <w:sz w:val="24"/>
            <w:szCs w:val="24"/>
            <w:u w:val="single"/>
          </w:rPr>
          <w:t>https://marriott.gcs-web.com/static-files/9cf0e9b0-bbfa-48a6-9e21-ffbdbc4b2d78</w:t>
        </w:r>
      </w:hyperlink>
      <w:r w:rsidRPr="00E805AD">
        <w:rPr>
          <w:rFonts w:eastAsia="Times New Roman"/>
          <w:sz w:val="24"/>
          <w:szCs w:val="24"/>
        </w:rPr>
        <w:t xml:space="preserve"> Accessed on 13.07.2026</w:t>
      </w:r>
    </w:p>
    <w:p w14:paraId="5A96EEE6"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Marriott (2026) </w:t>
      </w:r>
      <w:r w:rsidRPr="00E805AD">
        <w:rPr>
          <w:rFonts w:eastAsia="Times New Roman"/>
          <w:i/>
          <w:iCs/>
          <w:sz w:val="24"/>
          <w:szCs w:val="24"/>
        </w:rPr>
        <w:t>Financial Reports &amp; Proxy.</w:t>
      </w:r>
      <w:r w:rsidRPr="00E805AD">
        <w:rPr>
          <w:rFonts w:eastAsia="Times New Roman"/>
          <w:sz w:val="24"/>
          <w:szCs w:val="24"/>
        </w:rPr>
        <w:t xml:space="preserve"> Available from:</w:t>
      </w:r>
      <w:hyperlink r:id="rId56">
        <w:r w:rsidRPr="00E805AD">
          <w:rPr>
            <w:rFonts w:eastAsia="Times New Roman"/>
            <w:sz w:val="24"/>
            <w:szCs w:val="24"/>
          </w:rPr>
          <w:t xml:space="preserve"> </w:t>
        </w:r>
      </w:hyperlink>
      <w:hyperlink r:id="rId57">
        <w:r w:rsidRPr="00E805AD">
          <w:rPr>
            <w:rFonts w:eastAsia="Times New Roman"/>
            <w:color w:val="1155CC"/>
            <w:sz w:val="24"/>
            <w:szCs w:val="24"/>
            <w:u w:val="single"/>
          </w:rPr>
          <w:t>https://marriott.gcs-web.com/annual</w:t>
        </w:r>
      </w:hyperlink>
      <w:r w:rsidRPr="00E805AD">
        <w:rPr>
          <w:rFonts w:eastAsia="Times New Roman"/>
          <w:sz w:val="24"/>
          <w:szCs w:val="24"/>
        </w:rPr>
        <w:t xml:space="preserve"> Accessed on 13.07.2026</w:t>
      </w:r>
    </w:p>
    <w:p w14:paraId="6B57D7E0" w14:textId="77777777" w:rsidR="00650885" w:rsidRPr="00E805AD" w:rsidRDefault="00650885" w:rsidP="00E805AD">
      <w:pPr>
        <w:pStyle w:val="NormalWeb"/>
        <w:spacing w:before="0" w:beforeAutospacing="0" w:after="240" w:afterAutospacing="0" w:line="360" w:lineRule="auto"/>
        <w:jc w:val="both"/>
        <w:rPr>
          <w:rFonts w:ascii="Arial" w:hAnsi="Arial" w:cs="Arial"/>
        </w:rPr>
      </w:pPr>
      <w:r w:rsidRPr="00E805AD">
        <w:rPr>
          <w:rFonts w:ascii="Arial" w:hAnsi="Arial" w:cs="Arial"/>
          <w:color w:val="000000"/>
        </w:rPr>
        <w:t>Marriott, (2026)</w:t>
      </w:r>
      <w:r w:rsidRPr="00E805AD">
        <w:rPr>
          <w:rFonts w:ascii="Arial" w:hAnsi="Arial" w:cs="Arial"/>
          <w:i/>
          <w:iCs/>
          <w:color w:val="000000"/>
        </w:rPr>
        <w:t xml:space="preserve"> We Are Marriott International</w:t>
      </w:r>
      <w:r w:rsidRPr="00E805AD">
        <w:rPr>
          <w:rFonts w:ascii="Arial" w:hAnsi="Arial" w:cs="Arial"/>
          <w:color w:val="000000"/>
        </w:rPr>
        <w:t xml:space="preserve"> Available from:  </w:t>
      </w:r>
      <w:hyperlink r:id="rId58" w:history="1">
        <w:r w:rsidRPr="00E805AD">
          <w:rPr>
            <w:rStyle w:val="Hyperlink"/>
            <w:rFonts w:ascii="Arial" w:hAnsi="Arial" w:cs="Arial"/>
            <w:color w:val="1155CC"/>
          </w:rPr>
          <w:t>https://www.marriott.com/marriott/aboutmarriott.mi</w:t>
        </w:r>
      </w:hyperlink>
      <w:r w:rsidRPr="00E805AD">
        <w:rPr>
          <w:rFonts w:ascii="Arial" w:hAnsi="Arial" w:cs="Arial"/>
          <w:color w:val="000000"/>
        </w:rPr>
        <w:t xml:space="preserve"> Accessed on 13.7.26. </w:t>
      </w:r>
    </w:p>
    <w:p w14:paraId="2401A2EA"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OK, E., 2025. Debt vs. Equity Financing for R&amp;D Investments in Emerging Markets: Trends, Challenges, and Best Practices.</w:t>
      </w:r>
      <w:hyperlink r:id="rId59">
        <w:r w:rsidRPr="00E805AD">
          <w:rPr>
            <w:rFonts w:eastAsia="Times New Roman"/>
            <w:sz w:val="24"/>
            <w:szCs w:val="24"/>
          </w:rPr>
          <w:t xml:space="preserve"> </w:t>
        </w:r>
      </w:hyperlink>
      <w:hyperlink r:id="rId60">
        <w:r w:rsidRPr="00E805AD">
          <w:rPr>
            <w:rFonts w:eastAsia="Times New Roman"/>
            <w:color w:val="1155CC"/>
            <w:sz w:val="24"/>
            <w:szCs w:val="24"/>
            <w:u w:val="single"/>
          </w:rPr>
          <w:t>https://www.researchgate.net/profile/Emmanuel-Ok-2/publication/388800588_Debt_vs_Equity_Financing_for_RD_Investments_in_Emerging_Markets_Trends_Challenges_and_Best_Practices/links/67a6a0c1461fb56424cdbf9d/Debt-vs-Equity-Financing-for-R-D-Investments-in-Emerging-Markets-Trends-Challenges-and-Best-Practices.pdf</w:t>
        </w:r>
      </w:hyperlink>
    </w:p>
    <w:p w14:paraId="6DD3AC45"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Poutakidou</w:t>
      </w:r>
      <w:proofErr w:type="spellEnd"/>
      <w:r w:rsidRPr="00E805AD">
        <w:rPr>
          <w:rFonts w:eastAsia="Times New Roman"/>
          <w:sz w:val="24"/>
          <w:szCs w:val="24"/>
        </w:rPr>
        <w:t xml:space="preserve">, G. and </w:t>
      </w:r>
      <w:proofErr w:type="spellStart"/>
      <w:r w:rsidRPr="00E805AD">
        <w:rPr>
          <w:rFonts w:eastAsia="Times New Roman"/>
          <w:sz w:val="24"/>
          <w:szCs w:val="24"/>
        </w:rPr>
        <w:t>Menegaki</w:t>
      </w:r>
      <w:proofErr w:type="spellEnd"/>
      <w:r w:rsidRPr="00E805AD">
        <w:rPr>
          <w:rFonts w:eastAsia="Times New Roman"/>
          <w:sz w:val="24"/>
          <w:szCs w:val="24"/>
        </w:rPr>
        <w:t>, A.N., 2023. Do energy prices put the tourism sector at risk</w:t>
      </w:r>
      <w:proofErr w:type="gramStart"/>
      <w:r w:rsidRPr="00E805AD">
        <w:rPr>
          <w:rFonts w:eastAsia="Times New Roman"/>
          <w:sz w:val="24"/>
          <w:szCs w:val="24"/>
        </w:rPr>
        <w:t>?.</w:t>
      </w:r>
      <w:proofErr w:type="gramEnd"/>
      <w:r w:rsidRPr="00E805AD">
        <w:rPr>
          <w:rFonts w:eastAsia="Times New Roman"/>
          <w:sz w:val="24"/>
          <w:szCs w:val="24"/>
        </w:rPr>
        <w:t xml:space="preserve"> </w:t>
      </w:r>
      <w:r w:rsidRPr="00E805AD">
        <w:rPr>
          <w:rFonts w:eastAsia="Times New Roman"/>
          <w:i/>
          <w:iCs/>
          <w:sz w:val="24"/>
          <w:szCs w:val="24"/>
        </w:rPr>
        <w:t>Economies</w:t>
      </w:r>
      <w:r w:rsidRPr="00E805AD">
        <w:rPr>
          <w:rFonts w:eastAsia="Times New Roman"/>
          <w:sz w:val="24"/>
          <w:szCs w:val="24"/>
        </w:rPr>
        <w:t xml:space="preserve">, </w:t>
      </w:r>
      <w:r w:rsidRPr="00E805AD">
        <w:rPr>
          <w:rFonts w:eastAsia="Times New Roman"/>
          <w:i/>
          <w:iCs/>
          <w:sz w:val="24"/>
          <w:szCs w:val="24"/>
        </w:rPr>
        <w:t>11</w:t>
      </w:r>
      <w:r w:rsidRPr="00E805AD">
        <w:rPr>
          <w:rFonts w:eastAsia="Times New Roman"/>
          <w:sz w:val="24"/>
          <w:szCs w:val="24"/>
        </w:rPr>
        <w:t>(7), p.197.</w:t>
      </w:r>
      <w:hyperlink r:id="rId61">
        <w:r w:rsidRPr="00E805AD">
          <w:rPr>
            <w:rFonts w:eastAsia="Times New Roman"/>
            <w:sz w:val="24"/>
            <w:szCs w:val="24"/>
          </w:rPr>
          <w:t xml:space="preserve"> </w:t>
        </w:r>
      </w:hyperlink>
      <w:hyperlink r:id="rId62">
        <w:r w:rsidRPr="00E805AD">
          <w:rPr>
            <w:rFonts w:eastAsia="Times New Roman"/>
            <w:color w:val="1155CC"/>
            <w:sz w:val="24"/>
            <w:szCs w:val="24"/>
            <w:u w:val="single"/>
          </w:rPr>
          <w:t>https://www.mdpi.com/2227-7099/11/7/197</w:t>
        </w:r>
      </w:hyperlink>
    </w:p>
    <w:p w14:paraId="6C84B4EC"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Putri</w:t>
      </w:r>
      <w:proofErr w:type="spellEnd"/>
      <w:r w:rsidRPr="00E805AD">
        <w:rPr>
          <w:rFonts w:eastAsia="Times New Roman"/>
          <w:sz w:val="24"/>
          <w:szCs w:val="24"/>
        </w:rPr>
        <w:t xml:space="preserve">, V.R., Mohamad </w:t>
      </w:r>
      <w:proofErr w:type="spellStart"/>
      <w:r w:rsidRPr="00E805AD">
        <w:rPr>
          <w:rFonts w:eastAsia="Times New Roman"/>
          <w:sz w:val="24"/>
          <w:szCs w:val="24"/>
        </w:rPr>
        <w:t>Yunus</w:t>
      </w:r>
      <w:proofErr w:type="spellEnd"/>
      <w:r w:rsidRPr="00E805AD">
        <w:rPr>
          <w:rFonts w:eastAsia="Times New Roman"/>
          <w:sz w:val="24"/>
          <w:szCs w:val="24"/>
        </w:rPr>
        <w:t xml:space="preserve">, M.H.S., </w:t>
      </w:r>
      <w:proofErr w:type="spellStart"/>
      <w:r w:rsidRPr="00E805AD">
        <w:rPr>
          <w:rFonts w:eastAsia="Times New Roman"/>
          <w:sz w:val="24"/>
          <w:szCs w:val="24"/>
        </w:rPr>
        <w:t>Zakaria</w:t>
      </w:r>
      <w:proofErr w:type="spellEnd"/>
      <w:r w:rsidRPr="00E805AD">
        <w:rPr>
          <w:rFonts w:eastAsia="Times New Roman"/>
          <w:sz w:val="24"/>
          <w:szCs w:val="24"/>
        </w:rPr>
        <w:t xml:space="preserve">, N.B., </w:t>
      </w:r>
      <w:proofErr w:type="spellStart"/>
      <w:r w:rsidRPr="00E805AD">
        <w:rPr>
          <w:rFonts w:eastAsia="Times New Roman"/>
          <w:sz w:val="24"/>
          <w:szCs w:val="24"/>
        </w:rPr>
        <w:t>Zifi</w:t>
      </w:r>
      <w:proofErr w:type="spellEnd"/>
      <w:r w:rsidRPr="00E805AD">
        <w:rPr>
          <w:rFonts w:eastAsia="Times New Roman"/>
          <w:sz w:val="24"/>
          <w:szCs w:val="24"/>
        </w:rPr>
        <w:t xml:space="preserve">, M.P., </w:t>
      </w:r>
      <w:proofErr w:type="spellStart"/>
      <w:r w:rsidRPr="00E805AD">
        <w:rPr>
          <w:rFonts w:eastAsia="Times New Roman"/>
          <w:sz w:val="24"/>
          <w:szCs w:val="24"/>
        </w:rPr>
        <w:t>Sastrodiharjo</w:t>
      </w:r>
      <w:proofErr w:type="spellEnd"/>
      <w:r w:rsidRPr="00E805AD">
        <w:rPr>
          <w:rFonts w:eastAsia="Times New Roman"/>
          <w:sz w:val="24"/>
          <w:szCs w:val="24"/>
        </w:rPr>
        <w:t xml:space="preserve">, I. and </w:t>
      </w:r>
      <w:proofErr w:type="spellStart"/>
      <w:r w:rsidRPr="00E805AD">
        <w:rPr>
          <w:rFonts w:eastAsia="Times New Roman"/>
          <w:sz w:val="24"/>
          <w:szCs w:val="24"/>
        </w:rPr>
        <w:t>Dewi</w:t>
      </w:r>
      <w:proofErr w:type="spellEnd"/>
      <w:r w:rsidRPr="00E805AD">
        <w:rPr>
          <w:rFonts w:eastAsia="Times New Roman"/>
          <w:sz w:val="24"/>
          <w:szCs w:val="24"/>
        </w:rPr>
        <w:t xml:space="preserve">, R., 2024. Tax avoidance with </w:t>
      </w:r>
      <w:proofErr w:type="spellStart"/>
      <w:r w:rsidRPr="00E805AD">
        <w:rPr>
          <w:rFonts w:eastAsia="Times New Roman"/>
          <w:sz w:val="24"/>
          <w:szCs w:val="24"/>
        </w:rPr>
        <w:t>maqasid</w:t>
      </w:r>
      <w:proofErr w:type="spellEnd"/>
      <w:r w:rsidRPr="00E805AD">
        <w:rPr>
          <w:rFonts w:eastAsia="Times New Roman"/>
          <w:sz w:val="24"/>
          <w:szCs w:val="24"/>
        </w:rPr>
        <w:t xml:space="preserve"> </w:t>
      </w:r>
      <w:proofErr w:type="spellStart"/>
      <w:r w:rsidRPr="00E805AD">
        <w:rPr>
          <w:rFonts w:eastAsia="Times New Roman"/>
          <w:sz w:val="24"/>
          <w:szCs w:val="24"/>
        </w:rPr>
        <w:t>syariah</w:t>
      </w:r>
      <w:proofErr w:type="spellEnd"/>
      <w:r w:rsidRPr="00E805AD">
        <w:rPr>
          <w:rFonts w:eastAsia="Times New Roman"/>
          <w:sz w:val="24"/>
          <w:szCs w:val="24"/>
        </w:rPr>
        <w:t xml:space="preserve">: Empirical insights on derivatives, debt shifting, transfer pricing, and financial distress. </w:t>
      </w:r>
      <w:r w:rsidRPr="00E805AD">
        <w:rPr>
          <w:rFonts w:eastAsia="Times New Roman"/>
          <w:i/>
          <w:iCs/>
          <w:sz w:val="24"/>
          <w:szCs w:val="24"/>
        </w:rPr>
        <w:t>Journal of Risk and Financial Management</w:t>
      </w:r>
      <w:r w:rsidRPr="00E805AD">
        <w:rPr>
          <w:rFonts w:eastAsia="Times New Roman"/>
          <w:sz w:val="24"/>
          <w:szCs w:val="24"/>
        </w:rPr>
        <w:t xml:space="preserve">, </w:t>
      </w:r>
      <w:r w:rsidRPr="00E805AD">
        <w:rPr>
          <w:rFonts w:eastAsia="Times New Roman"/>
          <w:i/>
          <w:iCs/>
          <w:sz w:val="24"/>
          <w:szCs w:val="24"/>
        </w:rPr>
        <w:t>17</w:t>
      </w:r>
      <w:r w:rsidRPr="00E805AD">
        <w:rPr>
          <w:rFonts w:eastAsia="Times New Roman"/>
          <w:sz w:val="24"/>
          <w:szCs w:val="24"/>
        </w:rPr>
        <w:t>(11), p.519.</w:t>
      </w:r>
      <w:hyperlink r:id="rId63">
        <w:r w:rsidRPr="00E805AD">
          <w:rPr>
            <w:rFonts w:eastAsia="Times New Roman"/>
            <w:sz w:val="24"/>
            <w:szCs w:val="24"/>
          </w:rPr>
          <w:t xml:space="preserve"> </w:t>
        </w:r>
      </w:hyperlink>
      <w:hyperlink r:id="rId64">
        <w:r w:rsidRPr="00E805AD">
          <w:rPr>
            <w:rFonts w:eastAsia="Times New Roman"/>
            <w:color w:val="1155CC"/>
            <w:sz w:val="24"/>
            <w:szCs w:val="24"/>
            <w:u w:val="single"/>
          </w:rPr>
          <w:t>https://www.mdpi.com/1911-8074/17/11/519</w:t>
        </w:r>
      </w:hyperlink>
    </w:p>
    <w:p w14:paraId="3A1DA444"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RBA (2026) </w:t>
      </w:r>
      <w:r w:rsidRPr="00E805AD">
        <w:rPr>
          <w:rFonts w:eastAsia="Times New Roman"/>
          <w:i/>
          <w:iCs/>
          <w:sz w:val="24"/>
          <w:szCs w:val="24"/>
        </w:rPr>
        <w:t>The Exchange Rate and the Reserve Bank's Role in the Foreign Exchange Market.</w:t>
      </w:r>
      <w:r w:rsidRPr="00E805AD">
        <w:rPr>
          <w:rFonts w:eastAsia="Times New Roman"/>
          <w:sz w:val="24"/>
          <w:szCs w:val="24"/>
        </w:rPr>
        <w:t xml:space="preserve"> Available from:</w:t>
      </w:r>
      <w:hyperlink r:id="rId65">
        <w:r w:rsidRPr="00E805AD">
          <w:rPr>
            <w:rFonts w:eastAsia="Times New Roman"/>
            <w:sz w:val="24"/>
            <w:szCs w:val="24"/>
          </w:rPr>
          <w:t xml:space="preserve"> </w:t>
        </w:r>
      </w:hyperlink>
      <w:hyperlink r:id="rId66">
        <w:r w:rsidRPr="00E805AD">
          <w:rPr>
            <w:rFonts w:eastAsia="Times New Roman"/>
            <w:color w:val="1155CC"/>
            <w:sz w:val="24"/>
            <w:szCs w:val="24"/>
            <w:u w:val="single"/>
          </w:rPr>
          <w:t>https://www.rba.gov.au/mkt-operations/ex-rate-rba-role-fx-mkt.html</w:t>
        </w:r>
      </w:hyperlink>
      <w:r w:rsidRPr="00E805AD">
        <w:rPr>
          <w:rFonts w:eastAsia="Times New Roman"/>
          <w:sz w:val="24"/>
          <w:szCs w:val="24"/>
        </w:rPr>
        <w:t xml:space="preserve"> Accessed on 13.07.2026</w:t>
      </w:r>
    </w:p>
    <w:p w14:paraId="1E339926"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Reyad</w:t>
      </w:r>
      <w:proofErr w:type="spellEnd"/>
      <w:r w:rsidRPr="00E805AD">
        <w:rPr>
          <w:rFonts w:eastAsia="Times New Roman"/>
          <w:sz w:val="24"/>
          <w:szCs w:val="24"/>
        </w:rPr>
        <w:t xml:space="preserve">, H.M., </w:t>
      </w:r>
      <w:proofErr w:type="spellStart"/>
      <w:r w:rsidRPr="00E805AD">
        <w:rPr>
          <w:rFonts w:eastAsia="Times New Roman"/>
          <w:sz w:val="24"/>
          <w:szCs w:val="24"/>
        </w:rPr>
        <w:t>Zariyawati</w:t>
      </w:r>
      <w:proofErr w:type="spellEnd"/>
      <w:r w:rsidRPr="00E805AD">
        <w:rPr>
          <w:rFonts w:eastAsia="Times New Roman"/>
          <w:sz w:val="24"/>
          <w:szCs w:val="24"/>
        </w:rPr>
        <w:t xml:space="preserve">, M.A., Ong, T.S. and Muhamad, H., 2022. The impact of macroeconomic risk factors, the adoption of financial derivatives on working capital management, and firm performance. </w:t>
      </w:r>
      <w:r w:rsidRPr="00E805AD">
        <w:rPr>
          <w:rFonts w:eastAsia="Times New Roman"/>
          <w:i/>
          <w:iCs/>
          <w:sz w:val="24"/>
          <w:szCs w:val="24"/>
        </w:rPr>
        <w:t>Sustainability</w:t>
      </w:r>
      <w:r w:rsidRPr="00E805AD">
        <w:rPr>
          <w:rFonts w:eastAsia="Times New Roman"/>
          <w:sz w:val="24"/>
          <w:szCs w:val="24"/>
        </w:rPr>
        <w:t xml:space="preserve">, </w:t>
      </w:r>
      <w:r w:rsidRPr="00E805AD">
        <w:rPr>
          <w:rFonts w:eastAsia="Times New Roman"/>
          <w:i/>
          <w:iCs/>
          <w:sz w:val="24"/>
          <w:szCs w:val="24"/>
        </w:rPr>
        <w:t>14</w:t>
      </w:r>
      <w:r w:rsidRPr="00E805AD">
        <w:rPr>
          <w:rFonts w:eastAsia="Times New Roman"/>
          <w:sz w:val="24"/>
          <w:szCs w:val="24"/>
        </w:rPr>
        <w:t>(21), p.14447.</w:t>
      </w:r>
      <w:hyperlink r:id="rId67">
        <w:r w:rsidRPr="00E805AD">
          <w:rPr>
            <w:rFonts w:eastAsia="Times New Roman"/>
            <w:sz w:val="24"/>
            <w:szCs w:val="24"/>
          </w:rPr>
          <w:t xml:space="preserve"> </w:t>
        </w:r>
      </w:hyperlink>
      <w:hyperlink r:id="rId68">
        <w:r w:rsidRPr="00E805AD">
          <w:rPr>
            <w:rFonts w:eastAsia="Times New Roman"/>
            <w:color w:val="1155CC"/>
            <w:sz w:val="24"/>
            <w:szCs w:val="24"/>
            <w:u w:val="single"/>
          </w:rPr>
          <w:t>https://www.mdpi.com/2071-1050/14/21/14447</w:t>
        </w:r>
      </w:hyperlink>
    </w:p>
    <w:p w14:paraId="3C87157B"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lastRenderedPageBreak/>
        <w:t>Rosselló</w:t>
      </w:r>
      <w:proofErr w:type="spellEnd"/>
      <w:r w:rsidRPr="00E805AD">
        <w:rPr>
          <w:rFonts w:eastAsia="Times New Roman"/>
          <w:sz w:val="24"/>
          <w:szCs w:val="24"/>
        </w:rPr>
        <w:t xml:space="preserve">-Nadal, J. and </w:t>
      </w:r>
      <w:proofErr w:type="spellStart"/>
      <w:r w:rsidRPr="00E805AD">
        <w:rPr>
          <w:rFonts w:eastAsia="Times New Roman"/>
          <w:sz w:val="24"/>
          <w:szCs w:val="24"/>
        </w:rPr>
        <w:t>Sard</w:t>
      </w:r>
      <w:proofErr w:type="spellEnd"/>
      <w:r w:rsidRPr="00E805AD">
        <w:rPr>
          <w:rFonts w:eastAsia="Times New Roman"/>
          <w:sz w:val="24"/>
          <w:szCs w:val="24"/>
        </w:rPr>
        <w:t xml:space="preserve">, M., 2026. Tourism Taxation: Balancing revenues, competitiveness and sustainability in destination management. </w:t>
      </w:r>
      <w:r w:rsidRPr="00E805AD">
        <w:rPr>
          <w:rFonts w:eastAsia="Times New Roman"/>
          <w:i/>
          <w:iCs/>
          <w:sz w:val="24"/>
          <w:szCs w:val="24"/>
        </w:rPr>
        <w:t>Tourism Management</w:t>
      </w:r>
      <w:r w:rsidRPr="00E805AD">
        <w:rPr>
          <w:rFonts w:eastAsia="Times New Roman"/>
          <w:sz w:val="24"/>
          <w:szCs w:val="24"/>
        </w:rPr>
        <w:t xml:space="preserve">, </w:t>
      </w:r>
      <w:r w:rsidRPr="00E805AD">
        <w:rPr>
          <w:rFonts w:eastAsia="Times New Roman"/>
          <w:i/>
          <w:iCs/>
          <w:sz w:val="24"/>
          <w:szCs w:val="24"/>
        </w:rPr>
        <w:t>113</w:t>
      </w:r>
      <w:r w:rsidRPr="00E805AD">
        <w:rPr>
          <w:rFonts w:eastAsia="Times New Roman"/>
          <w:sz w:val="24"/>
          <w:szCs w:val="24"/>
        </w:rPr>
        <w:t>, p.105326.</w:t>
      </w:r>
      <w:hyperlink r:id="rId69">
        <w:r w:rsidRPr="00E805AD">
          <w:rPr>
            <w:rFonts w:eastAsia="Times New Roman"/>
            <w:sz w:val="24"/>
            <w:szCs w:val="24"/>
          </w:rPr>
          <w:t xml:space="preserve"> </w:t>
        </w:r>
      </w:hyperlink>
      <w:hyperlink r:id="rId70">
        <w:r w:rsidRPr="00E805AD">
          <w:rPr>
            <w:rFonts w:eastAsia="Times New Roman"/>
            <w:color w:val="1155CC"/>
            <w:sz w:val="24"/>
            <w:szCs w:val="24"/>
            <w:u w:val="single"/>
          </w:rPr>
          <w:t>https://www.sciencedirect.com/science/article/pii/S0261517725001967</w:t>
        </w:r>
      </w:hyperlink>
    </w:p>
    <w:p w14:paraId="254FDEE2"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Sethupathy</w:t>
      </w:r>
      <w:proofErr w:type="spellEnd"/>
      <w:r w:rsidRPr="00E805AD">
        <w:rPr>
          <w:rFonts w:ascii="Arial" w:hAnsi="Arial" w:cs="Arial"/>
          <w:color w:val="222222"/>
          <w:shd w:val="clear" w:color="auto" w:fill="FFFFFF"/>
        </w:rPr>
        <w:t xml:space="preserve">, U.K.A., 2025. The Future of B2B Payments: A Framework for AI-Driven Accounts Receivable Automation. </w:t>
      </w:r>
      <w:r w:rsidRPr="00E805AD">
        <w:rPr>
          <w:rFonts w:ascii="Arial" w:hAnsi="Arial" w:cs="Arial"/>
          <w:i/>
          <w:iCs/>
          <w:color w:val="222222"/>
          <w:shd w:val="clear" w:color="auto" w:fill="FFFFFF"/>
        </w:rPr>
        <w:t xml:space="preserve">Journal </w:t>
      </w:r>
      <w:proofErr w:type="gramStart"/>
      <w:r w:rsidRPr="00E805AD">
        <w:rPr>
          <w:rFonts w:ascii="Arial" w:hAnsi="Arial" w:cs="Arial"/>
          <w:i/>
          <w:iCs/>
          <w:color w:val="222222"/>
          <w:shd w:val="clear" w:color="auto" w:fill="FFFFFF"/>
        </w:rPr>
        <w:t>Of Engineering And</w:t>
      </w:r>
      <w:proofErr w:type="gramEnd"/>
      <w:r w:rsidRPr="00E805AD">
        <w:rPr>
          <w:rFonts w:ascii="Arial" w:hAnsi="Arial" w:cs="Arial"/>
          <w:i/>
          <w:iCs/>
          <w:color w:val="222222"/>
          <w:shd w:val="clear" w:color="auto" w:fill="FFFFFF"/>
        </w:rPr>
        <w:t xml:space="preserve"> Computer Sciences</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4</w:t>
      </w:r>
      <w:r w:rsidRPr="00E805AD">
        <w:rPr>
          <w:rFonts w:ascii="Arial" w:hAnsi="Arial" w:cs="Arial"/>
          <w:color w:val="222222"/>
          <w:shd w:val="clear" w:color="auto" w:fill="FFFFFF"/>
        </w:rPr>
        <w:t>(7), pp.1330-1344.</w:t>
      </w:r>
      <w:r w:rsidRPr="00E805AD">
        <w:rPr>
          <w:rFonts w:ascii="Arial" w:hAnsi="Arial" w:cs="Arial"/>
          <w:color w:val="000000"/>
        </w:rPr>
        <w:t xml:space="preserve"> </w:t>
      </w:r>
      <w:hyperlink r:id="rId71" w:history="1">
        <w:r w:rsidRPr="00E805AD">
          <w:rPr>
            <w:rStyle w:val="Hyperlink"/>
            <w:rFonts w:ascii="Arial" w:hAnsi="Arial" w:cs="Arial"/>
            <w:color w:val="1155CC"/>
          </w:rPr>
          <w:t>https://sarcouncil.com/download-article/SJECS-289_-2025-1330-1344.pdf</w:t>
        </w:r>
      </w:hyperlink>
    </w:p>
    <w:p w14:paraId="04265DB8"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Siebert, M., 2024. </w:t>
      </w:r>
      <w:r w:rsidRPr="00E805AD">
        <w:rPr>
          <w:rFonts w:eastAsia="Times New Roman"/>
          <w:i/>
          <w:iCs/>
          <w:sz w:val="24"/>
          <w:szCs w:val="24"/>
        </w:rPr>
        <w:t>Franchise your business: The guide to employing the greatest growth strategy ever</w:t>
      </w:r>
      <w:r w:rsidRPr="00E805AD">
        <w:rPr>
          <w:rFonts w:eastAsia="Times New Roman"/>
          <w:sz w:val="24"/>
          <w:szCs w:val="24"/>
        </w:rPr>
        <w:t>. Entrepreneur Press.</w:t>
      </w:r>
      <w:hyperlink r:id="rId72">
        <w:r w:rsidRPr="00E805AD">
          <w:rPr>
            <w:rFonts w:eastAsia="Times New Roman"/>
            <w:sz w:val="24"/>
            <w:szCs w:val="24"/>
          </w:rPr>
          <w:t xml:space="preserve"> </w:t>
        </w:r>
      </w:hyperlink>
      <w:hyperlink r:id="rId73">
        <w:r w:rsidRPr="00E805AD">
          <w:rPr>
            <w:rFonts w:eastAsia="Times New Roman"/>
            <w:color w:val="1155CC"/>
            <w:sz w:val="24"/>
            <w:szCs w:val="24"/>
            <w:u w:val="single"/>
          </w:rPr>
          <w:t>https://www.academia.edu/download/56425727/how_to_franchise_your_business.pdf</w:t>
        </w:r>
      </w:hyperlink>
    </w:p>
    <w:p w14:paraId="4EE6189C"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Stavropoulos, A.S. and </w:t>
      </w:r>
      <w:proofErr w:type="spellStart"/>
      <w:r w:rsidRPr="00E805AD">
        <w:rPr>
          <w:rFonts w:eastAsia="Times New Roman"/>
          <w:sz w:val="24"/>
          <w:szCs w:val="24"/>
        </w:rPr>
        <w:t>Zounta</w:t>
      </w:r>
      <w:proofErr w:type="spellEnd"/>
      <w:r w:rsidRPr="00E805AD">
        <w:rPr>
          <w:rFonts w:eastAsia="Times New Roman"/>
          <w:sz w:val="24"/>
          <w:szCs w:val="24"/>
        </w:rPr>
        <w:t xml:space="preserve">, S., 2025. Cash conversion cycle and profitability: Evidence from Greek service firms. </w:t>
      </w:r>
      <w:r w:rsidRPr="00E805AD">
        <w:rPr>
          <w:rFonts w:eastAsia="Times New Roman"/>
          <w:i/>
          <w:iCs/>
          <w:sz w:val="24"/>
          <w:szCs w:val="24"/>
        </w:rPr>
        <w:t>Journal of Risk and Financial Management</w:t>
      </w:r>
      <w:r w:rsidRPr="00E805AD">
        <w:rPr>
          <w:rFonts w:eastAsia="Times New Roman"/>
          <w:sz w:val="24"/>
          <w:szCs w:val="24"/>
        </w:rPr>
        <w:t xml:space="preserve">, </w:t>
      </w:r>
      <w:r w:rsidRPr="00E805AD">
        <w:rPr>
          <w:rFonts w:eastAsia="Times New Roman"/>
          <w:i/>
          <w:iCs/>
          <w:sz w:val="24"/>
          <w:szCs w:val="24"/>
        </w:rPr>
        <w:t>18</w:t>
      </w:r>
      <w:r w:rsidRPr="00E805AD">
        <w:rPr>
          <w:rFonts w:eastAsia="Times New Roman"/>
          <w:sz w:val="24"/>
          <w:szCs w:val="24"/>
        </w:rPr>
        <w:t>(4), p.208.</w:t>
      </w:r>
      <w:hyperlink r:id="rId74">
        <w:r w:rsidRPr="00E805AD">
          <w:rPr>
            <w:rFonts w:eastAsia="Times New Roman"/>
            <w:sz w:val="24"/>
            <w:szCs w:val="24"/>
          </w:rPr>
          <w:t xml:space="preserve"> </w:t>
        </w:r>
      </w:hyperlink>
      <w:hyperlink r:id="rId75">
        <w:r w:rsidRPr="00E805AD">
          <w:rPr>
            <w:rFonts w:eastAsia="Times New Roman"/>
            <w:color w:val="1155CC"/>
            <w:sz w:val="24"/>
            <w:szCs w:val="24"/>
            <w:u w:val="single"/>
          </w:rPr>
          <w:t>https://www.mdpi.com/1911-8074/18/4/208</w:t>
        </w:r>
      </w:hyperlink>
    </w:p>
    <w:p w14:paraId="6C4AFE6C"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Stivala</w:t>
      </w:r>
      <w:proofErr w:type="spellEnd"/>
      <w:r w:rsidRPr="00E805AD">
        <w:rPr>
          <w:rFonts w:eastAsia="Times New Roman"/>
          <w:sz w:val="24"/>
          <w:szCs w:val="24"/>
        </w:rPr>
        <w:t xml:space="preserve">, E., 2022. The Perceived value of purchasing tourism services through an online travel agency: A study of consumers in Malta. </w:t>
      </w:r>
      <w:r w:rsidRPr="00E805AD">
        <w:rPr>
          <w:rFonts w:eastAsia="Times New Roman"/>
          <w:i/>
          <w:iCs/>
          <w:sz w:val="24"/>
          <w:szCs w:val="24"/>
        </w:rPr>
        <w:t>The Online Open Access Repository of the Institute of Tourism Studies (Malta)</w:t>
      </w:r>
      <w:r w:rsidRPr="00E805AD">
        <w:rPr>
          <w:rFonts w:eastAsia="Times New Roman"/>
          <w:sz w:val="24"/>
          <w:szCs w:val="24"/>
        </w:rPr>
        <w:t>.</w:t>
      </w:r>
      <w:hyperlink r:id="rId76">
        <w:r w:rsidRPr="00E805AD">
          <w:rPr>
            <w:rFonts w:eastAsia="Times New Roman"/>
            <w:sz w:val="24"/>
            <w:szCs w:val="24"/>
          </w:rPr>
          <w:t xml:space="preserve"> </w:t>
        </w:r>
      </w:hyperlink>
      <w:hyperlink r:id="rId77">
        <w:r w:rsidRPr="00E805AD">
          <w:rPr>
            <w:rFonts w:eastAsia="Times New Roman"/>
            <w:color w:val="1155CC"/>
            <w:sz w:val="24"/>
            <w:szCs w:val="24"/>
            <w:u w:val="single"/>
          </w:rPr>
          <w:t>https://futouristic.scholasticahq.com/article/90637.pdf</w:t>
        </w:r>
      </w:hyperlink>
    </w:p>
    <w:p w14:paraId="140F68B4"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Tamplin</w:t>
      </w:r>
      <w:proofErr w:type="spellEnd"/>
      <w:r w:rsidRPr="00E805AD">
        <w:rPr>
          <w:rFonts w:eastAsia="Times New Roman"/>
          <w:sz w:val="24"/>
          <w:szCs w:val="24"/>
        </w:rPr>
        <w:t xml:space="preserve">, T., 2022. </w:t>
      </w:r>
      <w:r w:rsidRPr="00E805AD">
        <w:rPr>
          <w:rFonts w:eastAsia="Times New Roman"/>
          <w:i/>
          <w:iCs/>
          <w:sz w:val="24"/>
          <w:szCs w:val="24"/>
        </w:rPr>
        <w:t>The handy financial ratios guide: a comprehensive guide to 140 common financial ratios</w:t>
      </w:r>
      <w:r w:rsidRPr="00E805AD">
        <w:rPr>
          <w:rFonts w:eastAsia="Times New Roman"/>
          <w:sz w:val="24"/>
          <w:szCs w:val="24"/>
        </w:rPr>
        <w:t xml:space="preserve">. True </w:t>
      </w:r>
      <w:proofErr w:type="spellStart"/>
      <w:r w:rsidRPr="00E805AD">
        <w:rPr>
          <w:rFonts w:eastAsia="Times New Roman"/>
          <w:sz w:val="24"/>
          <w:szCs w:val="24"/>
        </w:rPr>
        <w:t>Tamplin</w:t>
      </w:r>
      <w:proofErr w:type="spellEnd"/>
      <w:r w:rsidRPr="00E805AD">
        <w:rPr>
          <w:rFonts w:eastAsia="Times New Roman"/>
          <w:sz w:val="24"/>
          <w:szCs w:val="24"/>
        </w:rPr>
        <w:t>.</w:t>
      </w:r>
      <w:hyperlink r:id="rId78">
        <w:r w:rsidRPr="00E805AD">
          <w:rPr>
            <w:rFonts w:eastAsia="Times New Roman"/>
            <w:sz w:val="24"/>
            <w:szCs w:val="24"/>
          </w:rPr>
          <w:t xml:space="preserve"> </w:t>
        </w:r>
      </w:hyperlink>
      <w:hyperlink r:id="rId79">
        <w:r w:rsidRPr="00E805AD">
          <w:rPr>
            <w:rFonts w:eastAsia="Times New Roman"/>
            <w:color w:val="1155CC"/>
            <w:sz w:val="24"/>
            <w:szCs w:val="24"/>
            <w:u w:val="single"/>
          </w:rPr>
          <w:t>https://books.google.com/books?hl=en&amp;lr=&amp;id=ZsOPEAAAQBAJ&amp;oi=fnd&amp;pg=PA5&amp;dq=+A+lower+DPO+indicates+cash-generating+ability+to+make+timely+investor+payments+maintaining+good+relations&amp;ots=4KH5cCJO-D&amp;sig=iY1ZhXhSaPpEtU3PerCdyuXRBl8</w:t>
        </w:r>
      </w:hyperlink>
    </w:p>
    <w:p w14:paraId="2E30716C" w14:textId="77777777" w:rsidR="00650885" w:rsidRPr="00E805AD" w:rsidRDefault="00650885" w:rsidP="00E805AD">
      <w:pPr>
        <w:pStyle w:val="NormalWeb"/>
        <w:spacing w:before="0" w:beforeAutospacing="0" w:after="240" w:afterAutospacing="0" w:line="360" w:lineRule="auto"/>
        <w:jc w:val="both"/>
        <w:rPr>
          <w:rFonts w:ascii="Arial" w:hAnsi="Arial" w:cs="Arial"/>
        </w:rPr>
      </w:pPr>
      <w:r w:rsidRPr="00E805AD">
        <w:rPr>
          <w:rFonts w:ascii="Arial" w:hAnsi="Arial" w:cs="Arial"/>
          <w:color w:val="222222"/>
          <w:shd w:val="clear" w:color="auto" w:fill="FFFFFF"/>
        </w:rPr>
        <w:t xml:space="preserve">Tang, A., Li, K.K., Kwok, K.O., Cao, L., Luong, S. and Tam, W., 2024. The importance of transparency: Declaring the use of generative artificial intelligence (AI) in academic writing. </w:t>
      </w:r>
      <w:r w:rsidRPr="00E805AD">
        <w:rPr>
          <w:rFonts w:ascii="Arial" w:hAnsi="Arial" w:cs="Arial"/>
          <w:i/>
          <w:iCs/>
          <w:color w:val="222222"/>
          <w:shd w:val="clear" w:color="auto" w:fill="FFFFFF"/>
        </w:rPr>
        <w:t>Journal of nursing scholarship</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56</w:t>
      </w:r>
      <w:r w:rsidRPr="00E805AD">
        <w:rPr>
          <w:rFonts w:ascii="Arial" w:hAnsi="Arial" w:cs="Arial"/>
          <w:color w:val="222222"/>
          <w:shd w:val="clear" w:color="auto" w:fill="FFFFFF"/>
        </w:rPr>
        <w:t>(2), pp.314-318.</w:t>
      </w:r>
      <w:r w:rsidRPr="00E805AD">
        <w:rPr>
          <w:rFonts w:ascii="Arial" w:hAnsi="Arial" w:cs="Arial"/>
          <w:color w:val="000000"/>
        </w:rPr>
        <w:t xml:space="preserve"> </w:t>
      </w:r>
      <w:hyperlink r:id="rId80" w:history="1">
        <w:r w:rsidRPr="00E805AD">
          <w:rPr>
            <w:rStyle w:val="Hyperlink"/>
            <w:rFonts w:ascii="Arial" w:hAnsi="Arial" w:cs="Arial"/>
            <w:color w:val="1155CC"/>
          </w:rPr>
          <w:t>https://sigmapubs.onlinelibrary.wiley.com/doi/pdfdirect/10.1111/jnu.12938</w:t>
        </w:r>
      </w:hyperlink>
    </w:p>
    <w:p w14:paraId="137C004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lastRenderedPageBreak/>
        <w:t xml:space="preserve">Wang, Z., 2023. Investor sentiment and the stock market. </w:t>
      </w:r>
      <w:r w:rsidRPr="00E805AD">
        <w:rPr>
          <w:rFonts w:eastAsia="Times New Roman"/>
          <w:i/>
          <w:iCs/>
          <w:sz w:val="24"/>
          <w:szCs w:val="24"/>
        </w:rPr>
        <w:t>Highlights in Business, Economics and Management</w:t>
      </w:r>
      <w:r w:rsidRPr="00E805AD">
        <w:rPr>
          <w:rFonts w:eastAsia="Times New Roman"/>
          <w:sz w:val="24"/>
          <w:szCs w:val="24"/>
        </w:rPr>
        <w:t xml:space="preserve">, </w:t>
      </w:r>
      <w:r w:rsidRPr="00E805AD">
        <w:rPr>
          <w:rFonts w:eastAsia="Times New Roman"/>
          <w:i/>
          <w:iCs/>
          <w:sz w:val="24"/>
          <w:szCs w:val="24"/>
        </w:rPr>
        <w:t>21</w:t>
      </w:r>
      <w:r w:rsidRPr="00E805AD">
        <w:rPr>
          <w:rFonts w:eastAsia="Times New Roman"/>
          <w:sz w:val="24"/>
          <w:szCs w:val="24"/>
        </w:rPr>
        <w:t>, pp.346-351.</w:t>
      </w:r>
      <w:hyperlink r:id="rId81">
        <w:r w:rsidRPr="00E805AD">
          <w:rPr>
            <w:rFonts w:eastAsia="Times New Roman"/>
            <w:sz w:val="24"/>
            <w:szCs w:val="24"/>
          </w:rPr>
          <w:t xml:space="preserve"> </w:t>
        </w:r>
      </w:hyperlink>
      <w:hyperlink r:id="rId82">
        <w:r w:rsidRPr="00E805AD">
          <w:rPr>
            <w:rFonts w:eastAsia="Times New Roman"/>
            <w:color w:val="1155CC"/>
            <w:sz w:val="24"/>
            <w:szCs w:val="24"/>
            <w:u w:val="single"/>
          </w:rPr>
          <w:t>https://pdfs.semanticscholar.org/9e77/ef1c33760b4f935df8f6349f60af3b754496.pdf</w:t>
        </w:r>
      </w:hyperlink>
    </w:p>
    <w:p w14:paraId="17232E36"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Zeqiri</w:t>
      </w:r>
      <w:proofErr w:type="spellEnd"/>
      <w:r w:rsidRPr="00E805AD">
        <w:rPr>
          <w:rFonts w:eastAsia="Times New Roman"/>
          <w:sz w:val="24"/>
          <w:szCs w:val="24"/>
        </w:rPr>
        <w:t xml:space="preserve">, A., Ben Youssef, A. and </w:t>
      </w:r>
      <w:proofErr w:type="spellStart"/>
      <w:r w:rsidRPr="00E805AD">
        <w:rPr>
          <w:rFonts w:eastAsia="Times New Roman"/>
          <w:sz w:val="24"/>
          <w:szCs w:val="24"/>
        </w:rPr>
        <w:t>Maherzi</w:t>
      </w:r>
      <w:proofErr w:type="spellEnd"/>
      <w:r w:rsidRPr="00E805AD">
        <w:rPr>
          <w:rFonts w:eastAsia="Times New Roman"/>
          <w:sz w:val="24"/>
          <w:szCs w:val="24"/>
        </w:rPr>
        <w:t xml:space="preserve"> </w:t>
      </w:r>
      <w:proofErr w:type="spellStart"/>
      <w:r w:rsidRPr="00E805AD">
        <w:rPr>
          <w:rFonts w:eastAsia="Times New Roman"/>
          <w:sz w:val="24"/>
          <w:szCs w:val="24"/>
        </w:rPr>
        <w:t>Zahar</w:t>
      </w:r>
      <w:proofErr w:type="spellEnd"/>
      <w:r w:rsidRPr="00E805AD">
        <w:rPr>
          <w:rFonts w:eastAsia="Times New Roman"/>
          <w:sz w:val="24"/>
          <w:szCs w:val="24"/>
        </w:rPr>
        <w:t xml:space="preserve">, T., 2025. The role of digital tourism platforms in advancing sustainable development goals in the industry 4.0 era. </w:t>
      </w:r>
      <w:r w:rsidRPr="00E805AD">
        <w:rPr>
          <w:rFonts w:eastAsia="Times New Roman"/>
          <w:i/>
          <w:iCs/>
          <w:sz w:val="24"/>
          <w:szCs w:val="24"/>
        </w:rPr>
        <w:t>Sustainability</w:t>
      </w:r>
      <w:r w:rsidRPr="00E805AD">
        <w:rPr>
          <w:rFonts w:eastAsia="Times New Roman"/>
          <w:sz w:val="24"/>
          <w:szCs w:val="24"/>
        </w:rPr>
        <w:t xml:space="preserve">, </w:t>
      </w:r>
      <w:r w:rsidRPr="00E805AD">
        <w:rPr>
          <w:rFonts w:eastAsia="Times New Roman"/>
          <w:i/>
          <w:iCs/>
          <w:sz w:val="24"/>
          <w:szCs w:val="24"/>
        </w:rPr>
        <w:t>17</w:t>
      </w:r>
      <w:r w:rsidRPr="00E805AD">
        <w:rPr>
          <w:rFonts w:eastAsia="Times New Roman"/>
          <w:sz w:val="24"/>
          <w:szCs w:val="24"/>
        </w:rPr>
        <w:t>(8), p.3482.</w:t>
      </w:r>
      <w:hyperlink r:id="rId83">
        <w:r w:rsidRPr="00E805AD">
          <w:rPr>
            <w:rFonts w:eastAsia="Times New Roman"/>
            <w:sz w:val="24"/>
            <w:szCs w:val="24"/>
          </w:rPr>
          <w:t xml:space="preserve"> </w:t>
        </w:r>
      </w:hyperlink>
      <w:hyperlink r:id="rId84">
        <w:r w:rsidRPr="00E805AD">
          <w:rPr>
            <w:rFonts w:eastAsia="Times New Roman"/>
            <w:color w:val="1155CC"/>
            <w:sz w:val="24"/>
            <w:szCs w:val="24"/>
            <w:u w:val="single"/>
          </w:rPr>
          <w:t>https://www.mdpi.com/2071-1050/17/8/3482</w:t>
        </w:r>
      </w:hyperlink>
    </w:p>
    <w:p w14:paraId="3BB08A9C"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Zhi</w:t>
      </w:r>
      <w:proofErr w:type="spellEnd"/>
      <w:r w:rsidRPr="00E805AD">
        <w:rPr>
          <w:rFonts w:eastAsia="Times New Roman"/>
          <w:sz w:val="24"/>
          <w:szCs w:val="24"/>
        </w:rPr>
        <w:t xml:space="preserve">, Z., 2023. Exploring Financial Strategy under Vanke's Asset-light Operation Model. </w:t>
      </w:r>
      <w:r w:rsidRPr="00E805AD">
        <w:rPr>
          <w:rFonts w:eastAsia="Times New Roman"/>
          <w:i/>
          <w:iCs/>
          <w:sz w:val="24"/>
          <w:szCs w:val="24"/>
        </w:rPr>
        <w:t>Accounting and Corporate Management</w:t>
      </w:r>
      <w:r w:rsidRPr="00E805AD">
        <w:rPr>
          <w:rFonts w:eastAsia="Times New Roman"/>
          <w:sz w:val="24"/>
          <w:szCs w:val="24"/>
        </w:rPr>
        <w:t xml:space="preserve">, </w:t>
      </w:r>
      <w:r w:rsidRPr="00E805AD">
        <w:rPr>
          <w:rFonts w:eastAsia="Times New Roman"/>
          <w:i/>
          <w:iCs/>
          <w:sz w:val="24"/>
          <w:szCs w:val="24"/>
        </w:rPr>
        <w:t>5</w:t>
      </w:r>
      <w:r w:rsidRPr="00E805AD">
        <w:rPr>
          <w:rFonts w:eastAsia="Times New Roman"/>
          <w:sz w:val="24"/>
          <w:szCs w:val="24"/>
        </w:rPr>
        <w:t>(5), pp.1-10.</w:t>
      </w:r>
      <w:hyperlink r:id="rId85">
        <w:r w:rsidRPr="00E805AD">
          <w:rPr>
            <w:rFonts w:eastAsia="Times New Roman"/>
            <w:sz w:val="24"/>
            <w:szCs w:val="24"/>
          </w:rPr>
          <w:t xml:space="preserve"> </w:t>
        </w:r>
      </w:hyperlink>
      <w:hyperlink r:id="rId86">
        <w:r w:rsidRPr="00E805AD">
          <w:rPr>
            <w:rFonts w:eastAsia="Times New Roman"/>
            <w:color w:val="1155CC"/>
            <w:sz w:val="24"/>
            <w:szCs w:val="24"/>
            <w:u w:val="single"/>
          </w:rPr>
          <w:t>http://166.62.7.99/assets/default/article/2023/05/01/article_1682991700.pdf</w:t>
        </w:r>
      </w:hyperlink>
    </w:p>
    <w:p w14:paraId="3F7E819C" w14:textId="77777777" w:rsidR="00650885" w:rsidRPr="00E805AD" w:rsidRDefault="00650885" w:rsidP="00E805AD">
      <w:pPr>
        <w:spacing w:after="160" w:line="360" w:lineRule="auto"/>
        <w:jc w:val="both"/>
        <w:rPr>
          <w:rFonts w:eastAsia="Times New Roman"/>
          <w:color w:val="1155CC"/>
          <w:sz w:val="24"/>
          <w:szCs w:val="24"/>
          <w:u w:val="single"/>
        </w:rPr>
      </w:pPr>
    </w:p>
    <w:p w14:paraId="689732A9" w14:textId="77777777" w:rsidR="00465EF1" w:rsidRPr="00E805AD" w:rsidRDefault="00465EF1" w:rsidP="00E805AD">
      <w:pPr>
        <w:spacing w:line="360" w:lineRule="auto"/>
        <w:rPr>
          <w:rFonts w:eastAsia="Times New Roman"/>
          <w:sz w:val="24"/>
          <w:szCs w:val="24"/>
        </w:rPr>
      </w:pPr>
      <w:r w:rsidRPr="00E805AD">
        <w:rPr>
          <w:rFonts w:eastAsia="Times New Roman"/>
          <w:sz w:val="24"/>
          <w:szCs w:val="24"/>
        </w:rPr>
        <w:br w:type="page"/>
      </w:r>
    </w:p>
    <w:p w14:paraId="00000087" w14:textId="1FFA839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 xml:space="preserve">9. Appendices </w:t>
      </w:r>
    </w:p>
    <w:p w14:paraId="00000088" w14:textId="17795673" w:rsidR="003E62FA" w:rsidRPr="00E805AD" w:rsidRDefault="00664A03" w:rsidP="00E805AD">
      <w:pPr>
        <w:spacing w:after="200" w:line="360" w:lineRule="auto"/>
        <w:jc w:val="both"/>
        <w:rPr>
          <w:rFonts w:eastAsia="Times New Roman"/>
          <w:sz w:val="24"/>
          <w:szCs w:val="24"/>
        </w:rPr>
      </w:pPr>
      <w:r w:rsidRPr="00E805AD">
        <w:rPr>
          <w:rFonts w:eastAsia="Times New Roman"/>
          <w:sz w:val="24"/>
          <w:szCs w:val="24"/>
        </w:rPr>
        <w:t xml:space="preserve">Appendix A: Ratios Analysis Table </w:t>
      </w:r>
    </w:p>
    <w:tbl>
      <w:tblPr>
        <w:tblStyle w:val="TableGrid"/>
        <w:tblW w:w="5000" w:type="pct"/>
        <w:tblLook w:val="04A0" w:firstRow="1" w:lastRow="0" w:firstColumn="1" w:lastColumn="0" w:noHBand="0" w:noVBand="1"/>
      </w:tblPr>
      <w:tblGrid>
        <w:gridCol w:w="3898"/>
        <w:gridCol w:w="1024"/>
        <w:gridCol w:w="1025"/>
        <w:gridCol w:w="1025"/>
        <w:gridCol w:w="1025"/>
        <w:gridCol w:w="1022"/>
      </w:tblGrid>
      <w:tr w:rsidR="00664A03" w:rsidRPr="00E805AD" w14:paraId="25D21F80" w14:textId="77777777" w:rsidTr="00664A03">
        <w:trPr>
          <w:trHeight w:val="300"/>
        </w:trPr>
        <w:tc>
          <w:tcPr>
            <w:tcW w:w="1827" w:type="pct"/>
            <w:noWrap/>
            <w:hideMark/>
          </w:tcPr>
          <w:p w14:paraId="0EDB4183"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Financial Data</w:t>
            </w:r>
          </w:p>
        </w:tc>
        <w:tc>
          <w:tcPr>
            <w:tcW w:w="635" w:type="pct"/>
            <w:noWrap/>
            <w:hideMark/>
          </w:tcPr>
          <w:p w14:paraId="0C6CE70E"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635" w:type="pct"/>
            <w:noWrap/>
            <w:hideMark/>
          </w:tcPr>
          <w:p w14:paraId="48E8BADC"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635" w:type="pct"/>
            <w:noWrap/>
            <w:hideMark/>
          </w:tcPr>
          <w:p w14:paraId="23555B4C"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635" w:type="pct"/>
            <w:noWrap/>
            <w:hideMark/>
          </w:tcPr>
          <w:p w14:paraId="1C9C3021"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635" w:type="pct"/>
            <w:noWrap/>
            <w:hideMark/>
          </w:tcPr>
          <w:p w14:paraId="2EEF1A56"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3B790520" w14:textId="77777777" w:rsidTr="00664A03">
        <w:trPr>
          <w:trHeight w:val="300"/>
        </w:trPr>
        <w:tc>
          <w:tcPr>
            <w:tcW w:w="1827" w:type="pct"/>
            <w:noWrap/>
            <w:hideMark/>
          </w:tcPr>
          <w:p w14:paraId="090F253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w:t>
            </w:r>
          </w:p>
        </w:tc>
        <w:tc>
          <w:tcPr>
            <w:tcW w:w="635" w:type="pct"/>
            <w:noWrap/>
            <w:hideMark/>
          </w:tcPr>
          <w:p w14:paraId="2512FC1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13,857</w:t>
            </w:r>
          </w:p>
        </w:tc>
        <w:tc>
          <w:tcPr>
            <w:tcW w:w="635" w:type="pct"/>
            <w:noWrap/>
            <w:hideMark/>
          </w:tcPr>
          <w:p w14:paraId="645E64D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20,773</w:t>
            </w:r>
          </w:p>
        </w:tc>
        <w:tc>
          <w:tcPr>
            <w:tcW w:w="635" w:type="pct"/>
            <w:noWrap/>
            <w:hideMark/>
          </w:tcPr>
          <w:p w14:paraId="144F351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23,713</w:t>
            </w:r>
          </w:p>
        </w:tc>
        <w:tc>
          <w:tcPr>
            <w:tcW w:w="635" w:type="pct"/>
            <w:noWrap/>
            <w:hideMark/>
          </w:tcPr>
          <w:p w14:paraId="3DB49AE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25,100</w:t>
            </w:r>
          </w:p>
        </w:tc>
        <w:tc>
          <w:tcPr>
            <w:tcW w:w="635" w:type="pct"/>
            <w:noWrap/>
            <w:hideMark/>
          </w:tcPr>
          <w:p w14:paraId="54A7912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26,186</w:t>
            </w:r>
          </w:p>
        </w:tc>
      </w:tr>
      <w:tr w:rsidR="00664A03" w:rsidRPr="00E805AD" w14:paraId="40095050" w14:textId="77777777" w:rsidTr="00664A03">
        <w:trPr>
          <w:trHeight w:val="300"/>
        </w:trPr>
        <w:tc>
          <w:tcPr>
            <w:tcW w:w="1827" w:type="pct"/>
            <w:noWrap/>
            <w:hideMark/>
          </w:tcPr>
          <w:p w14:paraId="2CC662A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Gross Profit</w:t>
            </w:r>
          </w:p>
        </w:tc>
        <w:tc>
          <w:tcPr>
            <w:tcW w:w="635" w:type="pct"/>
            <w:noWrap/>
            <w:hideMark/>
          </w:tcPr>
          <w:p w14:paraId="51C4A70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2,801</w:t>
            </w:r>
          </w:p>
        </w:tc>
        <w:tc>
          <w:tcPr>
            <w:tcW w:w="635" w:type="pct"/>
            <w:noWrap/>
            <w:hideMark/>
          </w:tcPr>
          <w:p w14:paraId="0049382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4,558</w:t>
            </w:r>
          </w:p>
        </w:tc>
        <w:tc>
          <w:tcPr>
            <w:tcW w:w="635" w:type="pct"/>
            <w:noWrap/>
            <w:hideMark/>
          </w:tcPr>
          <w:p w14:paraId="13FCCE6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4,980</w:t>
            </w:r>
          </w:p>
        </w:tc>
        <w:tc>
          <w:tcPr>
            <w:tcW w:w="635" w:type="pct"/>
            <w:noWrap/>
            <w:hideMark/>
          </w:tcPr>
          <w:p w14:paraId="6486CD6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4,972</w:t>
            </w:r>
          </w:p>
        </w:tc>
        <w:tc>
          <w:tcPr>
            <w:tcW w:w="635" w:type="pct"/>
            <w:noWrap/>
            <w:hideMark/>
          </w:tcPr>
          <w:p w14:paraId="2284143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5,222</w:t>
            </w:r>
          </w:p>
        </w:tc>
      </w:tr>
      <w:tr w:rsidR="00664A03" w:rsidRPr="00E805AD" w14:paraId="7A0EEBEB" w14:textId="77777777" w:rsidTr="00664A03">
        <w:trPr>
          <w:trHeight w:val="300"/>
        </w:trPr>
        <w:tc>
          <w:tcPr>
            <w:tcW w:w="1827" w:type="pct"/>
            <w:noWrap/>
            <w:hideMark/>
          </w:tcPr>
          <w:p w14:paraId="405AD2F9"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Operating Income (EBIT)</w:t>
            </w:r>
          </w:p>
        </w:tc>
        <w:tc>
          <w:tcPr>
            <w:tcW w:w="635" w:type="pct"/>
            <w:noWrap/>
            <w:hideMark/>
          </w:tcPr>
          <w:p w14:paraId="775C5FF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1,750</w:t>
            </w:r>
          </w:p>
        </w:tc>
        <w:tc>
          <w:tcPr>
            <w:tcW w:w="635" w:type="pct"/>
            <w:noWrap/>
            <w:hideMark/>
          </w:tcPr>
          <w:p w14:paraId="2DDB5C5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3,462</w:t>
            </w:r>
          </w:p>
        </w:tc>
        <w:tc>
          <w:tcPr>
            <w:tcW w:w="635" w:type="pct"/>
            <w:noWrap/>
            <w:hideMark/>
          </w:tcPr>
          <w:p w14:paraId="5371E0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3,864</w:t>
            </w:r>
          </w:p>
        </w:tc>
        <w:tc>
          <w:tcPr>
            <w:tcW w:w="635" w:type="pct"/>
            <w:noWrap/>
            <w:hideMark/>
          </w:tcPr>
          <w:p w14:paraId="52B4DA0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3,767</w:t>
            </w:r>
          </w:p>
        </w:tc>
        <w:tc>
          <w:tcPr>
            <w:tcW w:w="635" w:type="pct"/>
            <w:noWrap/>
            <w:hideMark/>
          </w:tcPr>
          <w:p w14:paraId="7F1C41A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4,141</w:t>
            </w:r>
          </w:p>
        </w:tc>
      </w:tr>
      <w:tr w:rsidR="00664A03" w:rsidRPr="00E805AD" w14:paraId="4C5D6463" w14:textId="77777777" w:rsidTr="00664A03">
        <w:trPr>
          <w:trHeight w:val="300"/>
        </w:trPr>
        <w:tc>
          <w:tcPr>
            <w:tcW w:w="1827" w:type="pct"/>
            <w:noWrap/>
            <w:hideMark/>
          </w:tcPr>
          <w:p w14:paraId="297D912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EBITDA</w:t>
            </w:r>
          </w:p>
        </w:tc>
        <w:tc>
          <w:tcPr>
            <w:tcW w:w="635" w:type="pct"/>
            <w:noWrap/>
            <w:hideMark/>
          </w:tcPr>
          <w:p w14:paraId="5137607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2,045</w:t>
            </w:r>
          </w:p>
        </w:tc>
        <w:tc>
          <w:tcPr>
            <w:tcW w:w="635" w:type="pct"/>
            <w:noWrap/>
            <w:hideMark/>
          </w:tcPr>
          <w:p w14:paraId="547C650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3,862</w:t>
            </w:r>
          </w:p>
        </w:tc>
        <w:tc>
          <w:tcPr>
            <w:tcW w:w="635" w:type="pct"/>
            <w:noWrap/>
            <w:hideMark/>
          </w:tcPr>
          <w:p w14:paraId="433CDFC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4,300</w:t>
            </w:r>
          </w:p>
        </w:tc>
        <w:tc>
          <w:tcPr>
            <w:tcW w:w="635" w:type="pct"/>
            <w:noWrap/>
            <w:hideMark/>
          </w:tcPr>
          <w:p w14:paraId="11611F5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4,259</w:t>
            </w:r>
          </w:p>
        </w:tc>
        <w:tc>
          <w:tcPr>
            <w:tcW w:w="635" w:type="pct"/>
            <w:noWrap/>
            <w:hideMark/>
          </w:tcPr>
          <w:p w14:paraId="55FC553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4,740</w:t>
            </w:r>
          </w:p>
        </w:tc>
      </w:tr>
      <w:tr w:rsidR="00664A03" w:rsidRPr="00E805AD" w14:paraId="502143F7" w14:textId="77777777" w:rsidTr="00664A03">
        <w:trPr>
          <w:trHeight w:val="300"/>
        </w:trPr>
        <w:tc>
          <w:tcPr>
            <w:tcW w:w="1827" w:type="pct"/>
            <w:noWrap/>
            <w:hideMark/>
          </w:tcPr>
          <w:p w14:paraId="35E1022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Pre-Tax Income</w:t>
            </w:r>
          </w:p>
        </w:tc>
        <w:tc>
          <w:tcPr>
            <w:tcW w:w="635" w:type="pct"/>
            <w:noWrap/>
            <w:hideMark/>
          </w:tcPr>
          <w:p w14:paraId="141C8A5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1,180</w:t>
            </w:r>
          </w:p>
        </w:tc>
        <w:tc>
          <w:tcPr>
            <w:tcW w:w="635" w:type="pct"/>
            <w:noWrap/>
            <w:hideMark/>
          </w:tcPr>
          <w:p w14:paraId="25F4860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3,114</w:t>
            </w:r>
          </w:p>
        </w:tc>
        <w:tc>
          <w:tcPr>
            <w:tcW w:w="635" w:type="pct"/>
            <w:noWrap/>
            <w:hideMark/>
          </w:tcPr>
          <w:p w14:paraId="30C65A2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3,378</w:t>
            </w:r>
          </w:p>
        </w:tc>
        <w:tc>
          <w:tcPr>
            <w:tcW w:w="635" w:type="pct"/>
            <w:noWrap/>
            <w:hideMark/>
          </w:tcPr>
          <w:p w14:paraId="447DC9C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3,151</w:t>
            </w:r>
          </w:p>
        </w:tc>
        <w:tc>
          <w:tcPr>
            <w:tcW w:w="635" w:type="pct"/>
            <w:noWrap/>
            <w:hideMark/>
          </w:tcPr>
          <w:p w14:paraId="28B202C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3,394</w:t>
            </w:r>
          </w:p>
        </w:tc>
      </w:tr>
      <w:tr w:rsidR="00664A03" w:rsidRPr="00E805AD" w14:paraId="0A460743" w14:textId="77777777" w:rsidTr="00664A03">
        <w:trPr>
          <w:trHeight w:val="300"/>
        </w:trPr>
        <w:tc>
          <w:tcPr>
            <w:tcW w:w="1827" w:type="pct"/>
            <w:noWrap/>
            <w:hideMark/>
          </w:tcPr>
          <w:p w14:paraId="273932F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w:t>
            </w:r>
          </w:p>
        </w:tc>
        <w:tc>
          <w:tcPr>
            <w:tcW w:w="635" w:type="pct"/>
            <w:noWrap/>
            <w:hideMark/>
          </w:tcPr>
          <w:p w14:paraId="5866396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1,099</w:t>
            </w:r>
          </w:p>
        </w:tc>
        <w:tc>
          <w:tcPr>
            <w:tcW w:w="635" w:type="pct"/>
            <w:noWrap/>
            <w:hideMark/>
          </w:tcPr>
          <w:p w14:paraId="64B5EDC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2,358</w:t>
            </w:r>
          </w:p>
        </w:tc>
        <w:tc>
          <w:tcPr>
            <w:tcW w:w="635" w:type="pct"/>
            <w:noWrap/>
            <w:hideMark/>
          </w:tcPr>
          <w:p w14:paraId="3270BE3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3,083</w:t>
            </w:r>
          </w:p>
        </w:tc>
        <w:tc>
          <w:tcPr>
            <w:tcW w:w="635" w:type="pct"/>
            <w:noWrap/>
            <w:hideMark/>
          </w:tcPr>
          <w:p w14:paraId="2A3D4D2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2,375</w:t>
            </w:r>
          </w:p>
        </w:tc>
        <w:tc>
          <w:tcPr>
            <w:tcW w:w="635" w:type="pct"/>
            <w:noWrap/>
            <w:hideMark/>
          </w:tcPr>
          <w:p w14:paraId="0CC55B2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2,601</w:t>
            </w:r>
          </w:p>
        </w:tc>
      </w:tr>
      <w:tr w:rsidR="00664A03" w:rsidRPr="00E805AD" w14:paraId="7D821C58" w14:textId="77777777" w:rsidTr="00664A03">
        <w:trPr>
          <w:trHeight w:val="300"/>
        </w:trPr>
        <w:tc>
          <w:tcPr>
            <w:tcW w:w="1827" w:type="pct"/>
            <w:noWrap/>
            <w:hideMark/>
          </w:tcPr>
          <w:p w14:paraId="3B915BF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from Operations (CFO)</w:t>
            </w:r>
          </w:p>
        </w:tc>
        <w:tc>
          <w:tcPr>
            <w:tcW w:w="635" w:type="pct"/>
            <w:noWrap/>
            <w:hideMark/>
          </w:tcPr>
          <w:p w14:paraId="52832A7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1,177</w:t>
            </w:r>
          </w:p>
        </w:tc>
        <w:tc>
          <w:tcPr>
            <w:tcW w:w="635" w:type="pct"/>
            <w:noWrap/>
            <w:hideMark/>
          </w:tcPr>
          <w:p w14:paraId="0D01E9F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2,363</w:t>
            </w:r>
          </w:p>
        </w:tc>
        <w:tc>
          <w:tcPr>
            <w:tcW w:w="635" w:type="pct"/>
            <w:noWrap/>
            <w:hideMark/>
          </w:tcPr>
          <w:p w14:paraId="1D7A239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3,170</w:t>
            </w:r>
          </w:p>
        </w:tc>
        <w:tc>
          <w:tcPr>
            <w:tcW w:w="635" w:type="pct"/>
            <w:noWrap/>
            <w:hideMark/>
          </w:tcPr>
          <w:p w14:paraId="71B436C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2,749</w:t>
            </w:r>
          </w:p>
        </w:tc>
        <w:tc>
          <w:tcPr>
            <w:tcW w:w="635" w:type="pct"/>
            <w:noWrap/>
            <w:hideMark/>
          </w:tcPr>
          <w:p w14:paraId="29A6C28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3,212</w:t>
            </w:r>
          </w:p>
        </w:tc>
      </w:tr>
      <w:tr w:rsidR="00664A03" w:rsidRPr="00E805AD" w14:paraId="68107893" w14:textId="77777777" w:rsidTr="00664A03">
        <w:trPr>
          <w:trHeight w:val="300"/>
        </w:trPr>
        <w:tc>
          <w:tcPr>
            <w:tcW w:w="1827" w:type="pct"/>
            <w:noWrap/>
            <w:hideMark/>
          </w:tcPr>
          <w:p w14:paraId="0386519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on Hand</w:t>
            </w:r>
          </w:p>
        </w:tc>
        <w:tc>
          <w:tcPr>
            <w:tcW w:w="635" w:type="pct"/>
            <w:noWrap/>
            <w:hideMark/>
          </w:tcPr>
          <w:p w14:paraId="52F5880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1,393</w:t>
            </w:r>
          </w:p>
        </w:tc>
        <w:tc>
          <w:tcPr>
            <w:tcW w:w="635" w:type="pct"/>
            <w:noWrap/>
            <w:hideMark/>
          </w:tcPr>
          <w:p w14:paraId="3070D49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507</w:t>
            </w:r>
          </w:p>
        </w:tc>
        <w:tc>
          <w:tcPr>
            <w:tcW w:w="635" w:type="pct"/>
            <w:noWrap/>
            <w:hideMark/>
          </w:tcPr>
          <w:p w14:paraId="73980FA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338</w:t>
            </w:r>
          </w:p>
        </w:tc>
        <w:tc>
          <w:tcPr>
            <w:tcW w:w="635" w:type="pct"/>
            <w:noWrap/>
            <w:hideMark/>
          </w:tcPr>
          <w:p w14:paraId="2B9D440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396</w:t>
            </w:r>
          </w:p>
        </w:tc>
        <w:tc>
          <w:tcPr>
            <w:tcW w:w="635" w:type="pct"/>
            <w:noWrap/>
            <w:hideMark/>
          </w:tcPr>
          <w:p w14:paraId="4B466EA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358</w:t>
            </w:r>
          </w:p>
        </w:tc>
      </w:tr>
      <w:tr w:rsidR="00664A03" w:rsidRPr="00E805AD" w14:paraId="1098C0F5" w14:textId="77777777" w:rsidTr="00664A03">
        <w:trPr>
          <w:trHeight w:val="300"/>
        </w:trPr>
        <w:tc>
          <w:tcPr>
            <w:tcW w:w="1827" w:type="pct"/>
            <w:noWrap/>
            <w:hideMark/>
          </w:tcPr>
          <w:p w14:paraId="5AEE932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Receivables</w:t>
            </w:r>
          </w:p>
        </w:tc>
        <w:tc>
          <w:tcPr>
            <w:tcW w:w="635" w:type="pct"/>
            <w:noWrap/>
            <w:hideMark/>
          </w:tcPr>
          <w:p w14:paraId="0D90A47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1,982</w:t>
            </w:r>
          </w:p>
        </w:tc>
        <w:tc>
          <w:tcPr>
            <w:tcW w:w="635" w:type="pct"/>
            <w:noWrap/>
            <w:hideMark/>
          </w:tcPr>
          <w:p w14:paraId="0101A2B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2,571</w:t>
            </w:r>
          </w:p>
        </w:tc>
        <w:tc>
          <w:tcPr>
            <w:tcW w:w="635" w:type="pct"/>
            <w:noWrap/>
            <w:hideMark/>
          </w:tcPr>
          <w:p w14:paraId="36CC6FF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2,712</w:t>
            </w:r>
          </w:p>
        </w:tc>
        <w:tc>
          <w:tcPr>
            <w:tcW w:w="635" w:type="pct"/>
            <w:noWrap/>
            <w:hideMark/>
          </w:tcPr>
          <w:p w14:paraId="5BF051F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2,795</w:t>
            </w:r>
          </w:p>
        </w:tc>
        <w:tc>
          <w:tcPr>
            <w:tcW w:w="635" w:type="pct"/>
            <w:noWrap/>
            <w:hideMark/>
          </w:tcPr>
          <w:p w14:paraId="2D86347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2,909</w:t>
            </w:r>
          </w:p>
        </w:tc>
      </w:tr>
      <w:tr w:rsidR="00664A03" w:rsidRPr="00E805AD" w14:paraId="3D764F11" w14:textId="77777777" w:rsidTr="00664A03">
        <w:trPr>
          <w:trHeight w:val="300"/>
        </w:trPr>
        <w:tc>
          <w:tcPr>
            <w:tcW w:w="1827" w:type="pct"/>
            <w:noWrap/>
            <w:hideMark/>
          </w:tcPr>
          <w:p w14:paraId="4F2F422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Prepaid Expenses</w:t>
            </w:r>
          </w:p>
        </w:tc>
        <w:tc>
          <w:tcPr>
            <w:tcW w:w="635" w:type="pct"/>
            <w:noWrap/>
            <w:hideMark/>
          </w:tcPr>
          <w:p w14:paraId="6309D97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251</w:t>
            </w:r>
          </w:p>
        </w:tc>
        <w:tc>
          <w:tcPr>
            <w:tcW w:w="635" w:type="pct"/>
            <w:noWrap/>
            <w:hideMark/>
          </w:tcPr>
          <w:p w14:paraId="0BE96BE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235</w:t>
            </w:r>
          </w:p>
        </w:tc>
        <w:tc>
          <w:tcPr>
            <w:tcW w:w="635" w:type="pct"/>
            <w:noWrap/>
            <w:hideMark/>
          </w:tcPr>
          <w:p w14:paraId="14DD281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w:t>
            </w:r>
          </w:p>
        </w:tc>
        <w:tc>
          <w:tcPr>
            <w:tcW w:w="635" w:type="pct"/>
            <w:noWrap/>
            <w:hideMark/>
          </w:tcPr>
          <w:p w14:paraId="035752B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294</w:t>
            </w:r>
          </w:p>
        </w:tc>
        <w:tc>
          <w:tcPr>
            <w:tcW w:w="635" w:type="pct"/>
            <w:noWrap/>
            <w:hideMark/>
          </w:tcPr>
          <w:p w14:paraId="480D335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317</w:t>
            </w:r>
          </w:p>
        </w:tc>
      </w:tr>
      <w:tr w:rsidR="00664A03" w:rsidRPr="00E805AD" w14:paraId="56A142F3" w14:textId="77777777" w:rsidTr="00664A03">
        <w:trPr>
          <w:trHeight w:val="300"/>
        </w:trPr>
        <w:tc>
          <w:tcPr>
            <w:tcW w:w="1827" w:type="pct"/>
            <w:noWrap/>
            <w:hideMark/>
          </w:tcPr>
          <w:p w14:paraId="7EC4123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Current Assets</w:t>
            </w:r>
          </w:p>
        </w:tc>
        <w:tc>
          <w:tcPr>
            <w:tcW w:w="635" w:type="pct"/>
            <w:noWrap/>
            <w:hideMark/>
          </w:tcPr>
          <w:p w14:paraId="42FAEBE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3,626</w:t>
            </w:r>
          </w:p>
        </w:tc>
        <w:tc>
          <w:tcPr>
            <w:tcW w:w="635" w:type="pct"/>
            <w:noWrap/>
            <w:hideMark/>
          </w:tcPr>
          <w:p w14:paraId="2F38810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3,313</w:t>
            </w:r>
          </w:p>
        </w:tc>
        <w:tc>
          <w:tcPr>
            <w:tcW w:w="635" w:type="pct"/>
            <w:noWrap/>
            <w:hideMark/>
          </w:tcPr>
          <w:p w14:paraId="25BB361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3,311</w:t>
            </w:r>
          </w:p>
        </w:tc>
        <w:tc>
          <w:tcPr>
            <w:tcW w:w="635" w:type="pct"/>
            <w:noWrap/>
            <w:hideMark/>
          </w:tcPr>
          <w:p w14:paraId="1A17324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3,485</w:t>
            </w:r>
          </w:p>
        </w:tc>
        <w:tc>
          <w:tcPr>
            <w:tcW w:w="635" w:type="pct"/>
            <w:noWrap/>
            <w:hideMark/>
          </w:tcPr>
          <w:p w14:paraId="06F0956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3,584</w:t>
            </w:r>
          </w:p>
        </w:tc>
      </w:tr>
      <w:tr w:rsidR="00664A03" w:rsidRPr="00E805AD" w14:paraId="1DF8C070" w14:textId="77777777" w:rsidTr="00664A03">
        <w:trPr>
          <w:trHeight w:val="300"/>
        </w:trPr>
        <w:tc>
          <w:tcPr>
            <w:tcW w:w="1827" w:type="pct"/>
            <w:noWrap/>
            <w:hideMark/>
          </w:tcPr>
          <w:p w14:paraId="039241A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PP&amp;E</w:t>
            </w:r>
          </w:p>
        </w:tc>
        <w:tc>
          <w:tcPr>
            <w:tcW w:w="635" w:type="pct"/>
            <w:noWrap/>
            <w:hideMark/>
          </w:tcPr>
          <w:p w14:paraId="1CECF07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1,503</w:t>
            </w:r>
          </w:p>
        </w:tc>
        <w:tc>
          <w:tcPr>
            <w:tcW w:w="635" w:type="pct"/>
            <w:noWrap/>
            <w:hideMark/>
          </w:tcPr>
          <w:p w14:paraId="48D2E94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1,585</w:t>
            </w:r>
          </w:p>
        </w:tc>
        <w:tc>
          <w:tcPr>
            <w:tcW w:w="635" w:type="pct"/>
            <w:noWrap/>
            <w:hideMark/>
          </w:tcPr>
          <w:p w14:paraId="5E4C9BB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1,581</w:t>
            </w:r>
          </w:p>
        </w:tc>
        <w:tc>
          <w:tcPr>
            <w:tcW w:w="635" w:type="pct"/>
            <w:noWrap/>
            <w:hideMark/>
          </w:tcPr>
          <w:p w14:paraId="3BFEA18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1,833</w:t>
            </w:r>
          </w:p>
        </w:tc>
        <w:tc>
          <w:tcPr>
            <w:tcW w:w="635" w:type="pct"/>
            <w:noWrap/>
            <w:hideMark/>
          </w:tcPr>
          <w:p w14:paraId="3287C76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1,954</w:t>
            </w:r>
          </w:p>
        </w:tc>
      </w:tr>
      <w:tr w:rsidR="00664A03" w:rsidRPr="00E805AD" w14:paraId="2E50CDF2" w14:textId="77777777" w:rsidTr="00664A03">
        <w:trPr>
          <w:trHeight w:val="300"/>
        </w:trPr>
        <w:tc>
          <w:tcPr>
            <w:tcW w:w="1827" w:type="pct"/>
            <w:noWrap/>
            <w:hideMark/>
          </w:tcPr>
          <w:p w14:paraId="6AFB4740"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Long-Term Investments</w:t>
            </w:r>
          </w:p>
        </w:tc>
        <w:tc>
          <w:tcPr>
            <w:tcW w:w="635" w:type="pct"/>
            <w:noWrap/>
            <w:hideMark/>
          </w:tcPr>
          <w:p w14:paraId="44E955C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387</w:t>
            </w:r>
          </w:p>
        </w:tc>
        <w:tc>
          <w:tcPr>
            <w:tcW w:w="635" w:type="pct"/>
            <w:noWrap/>
            <w:hideMark/>
          </w:tcPr>
          <w:p w14:paraId="468D03D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335</w:t>
            </w:r>
          </w:p>
        </w:tc>
        <w:tc>
          <w:tcPr>
            <w:tcW w:w="635" w:type="pct"/>
            <w:noWrap/>
            <w:hideMark/>
          </w:tcPr>
          <w:p w14:paraId="2AD8562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308</w:t>
            </w:r>
          </w:p>
        </w:tc>
        <w:tc>
          <w:tcPr>
            <w:tcW w:w="635" w:type="pct"/>
            <w:noWrap/>
            <w:hideMark/>
          </w:tcPr>
          <w:p w14:paraId="486EA96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298</w:t>
            </w:r>
          </w:p>
        </w:tc>
        <w:tc>
          <w:tcPr>
            <w:tcW w:w="635" w:type="pct"/>
            <w:noWrap/>
            <w:hideMark/>
          </w:tcPr>
          <w:p w14:paraId="5864CE7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298</w:t>
            </w:r>
          </w:p>
        </w:tc>
      </w:tr>
      <w:tr w:rsidR="00664A03" w:rsidRPr="00E805AD" w14:paraId="26AA9D30" w14:textId="77777777" w:rsidTr="00664A03">
        <w:trPr>
          <w:trHeight w:val="300"/>
        </w:trPr>
        <w:tc>
          <w:tcPr>
            <w:tcW w:w="1827" w:type="pct"/>
            <w:noWrap/>
            <w:hideMark/>
          </w:tcPr>
          <w:p w14:paraId="6CF9914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Goodwill &amp; Intangibles</w:t>
            </w:r>
          </w:p>
        </w:tc>
        <w:tc>
          <w:tcPr>
            <w:tcW w:w="635" w:type="pct"/>
            <w:noWrap/>
            <w:hideMark/>
          </w:tcPr>
          <w:p w14:paraId="3D47653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17,999</w:t>
            </w:r>
          </w:p>
        </w:tc>
        <w:tc>
          <w:tcPr>
            <w:tcW w:w="635" w:type="pct"/>
            <w:noWrap/>
            <w:hideMark/>
          </w:tcPr>
          <w:p w14:paraId="7703357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17,619</w:t>
            </w:r>
          </w:p>
        </w:tc>
        <w:tc>
          <w:tcPr>
            <w:tcW w:w="635" w:type="pct"/>
            <w:noWrap/>
            <w:hideMark/>
          </w:tcPr>
          <w:p w14:paraId="5126F67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18,076</w:t>
            </w:r>
          </w:p>
        </w:tc>
        <w:tc>
          <w:tcPr>
            <w:tcW w:w="635" w:type="pct"/>
            <w:noWrap/>
            <w:hideMark/>
          </w:tcPr>
          <w:p w14:paraId="5EC9093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18,219</w:t>
            </w:r>
          </w:p>
        </w:tc>
        <w:tc>
          <w:tcPr>
            <w:tcW w:w="635" w:type="pct"/>
            <w:noWrap/>
            <w:hideMark/>
          </w:tcPr>
          <w:p w14:paraId="61737DB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19,243</w:t>
            </w:r>
          </w:p>
        </w:tc>
      </w:tr>
      <w:tr w:rsidR="00664A03" w:rsidRPr="00E805AD" w14:paraId="0EDA3D1D" w14:textId="77777777" w:rsidTr="00664A03">
        <w:trPr>
          <w:trHeight w:val="300"/>
        </w:trPr>
        <w:tc>
          <w:tcPr>
            <w:tcW w:w="1827" w:type="pct"/>
            <w:noWrap/>
            <w:hideMark/>
          </w:tcPr>
          <w:p w14:paraId="7A5D0DC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Other Long-Term Assets</w:t>
            </w:r>
          </w:p>
        </w:tc>
        <w:tc>
          <w:tcPr>
            <w:tcW w:w="635" w:type="pct"/>
            <w:noWrap/>
            <w:hideMark/>
          </w:tcPr>
          <w:p w14:paraId="5EE5A4B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604</w:t>
            </w:r>
          </w:p>
        </w:tc>
        <w:tc>
          <w:tcPr>
            <w:tcW w:w="635" w:type="pct"/>
            <w:noWrap/>
            <w:hideMark/>
          </w:tcPr>
          <w:p w14:paraId="2AECE7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584</w:t>
            </w:r>
          </w:p>
        </w:tc>
        <w:tc>
          <w:tcPr>
            <w:tcW w:w="635" w:type="pct"/>
            <w:noWrap/>
            <w:hideMark/>
          </w:tcPr>
          <w:p w14:paraId="5D6EB73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658</w:t>
            </w:r>
          </w:p>
        </w:tc>
        <w:tc>
          <w:tcPr>
            <w:tcW w:w="635" w:type="pct"/>
            <w:noWrap/>
            <w:hideMark/>
          </w:tcPr>
          <w:p w14:paraId="7B77A67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716</w:t>
            </w:r>
          </w:p>
        </w:tc>
        <w:tc>
          <w:tcPr>
            <w:tcW w:w="635" w:type="pct"/>
            <w:noWrap/>
            <w:hideMark/>
          </w:tcPr>
          <w:p w14:paraId="3839721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799</w:t>
            </w:r>
          </w:p>
        </w:tc>
      </w:tr>
      <w:tr w:rsidR="00664A03" w:rsidRPr="00E805AD" w14:paraId="582CB983" w14:textId="77777777" w:rsidTr="00664A03">
        <w:trPr>
          <w:trHeight w:val="300"/>
        </w:trPr>
        <w:tc>
          <w:tcPr>
            <w:tcW w:w="1827" w:type="pct"/>
            <w:noWrap/>
            <w:hideMark/>
          </w:tcPr>
          <w:p w14:paraId="65673ED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Long-Term Assets</w:t>
            </w:r>
          </w:p>
        </w:tc>
        <w:tc>
          <w:tcPr>
            <w:tcW w:w="635" w:type="pct"/>
            <w:noWrap/>
            <w:hideMark/>
          </w:tcPr>
          <w:p w14:paraId="44E214D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21,927</w:t>
            </w:r>
          </w:p>
        </w:tc>
        <w:tc>
          <w:tcPr>
            <w:tcW w:w="635" w:type="pct"/>
            <w:noWrap/>
            <w:hideMark/>
          </w:tcPr>
          <w:p w14:paraId="304592E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21,502</w:t>
            </w:r>
          </w:p>
        </w:tc>
        <w:tc>
          <w:tcPr>
            <w:tcW w:w="635" w:type="pct"/>
            <w:noWrap/>
            <w:hideMark/>
          </w:tcPr>
          <w:p w14:paraId="7821A73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22,363</w:t>
            </w:r>
          </w:p>
        </w:tc>
        <w:tc>
          <w:tcPr>
            <w:tcW w:w="635" w:type="pct"/>
            <w:noWrap/>
            <w:hideMark/>
          </w:tcPr>
          <w:p w14:paraId="3E19007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22,697</w:t>
            </w:r>
          </w:p>
        </w:tc>
        <w:tc>
          <w:tcPr>
            <w:tcW w:w="635" w:type="pct"/>
            <w:noWrap/>
            <w:hideMark/>
          </w:tcPr>
          <w:p w14:paraId="603479A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23,956</w:t>
            </w:r>
          </w:p>
        </w:tc>
      </w:tr>
      <w:tr w:rsidR="00664A03" w:rsidRPr="00E805AD" w14:paraId="6AC04C12" w14:textId="77777777" w:rsidTr="00664A03">
        <w:trPr>
          <w:trHeight w:val="300"/>
        </w:trPr>
        <w:tc>
          <w:tcPr>
            <w:tcW w:w="1827" w:type="pct"/>
            <w:noWrap/>
            <w:hideMark/>
          </w:tcPr>
          <w:p w14:paraId="46D5C45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Assets</w:t>
            </w:r>
          </w:p>
        </w:tc>
        <w:tc>
          <w:tcPr>
            <w:tcW w:w="635" w:type="pct"/>
            <w:noWrap/>
            <w:hideMark/>
          </w:tcPr>
          <w:p w14:paraId="11DADB3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25,553</w:t>
            </w:r>
          </w:p>
        </w:tc>
        <w:tc>
          <w:tcPr>
            <w:tcW w:w="635" w:type="pct"/>
            <w:noWrap/>
            <w:hideMark/>
          </w:tcPr>
          <w:p w14:paraId="1419502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24,815</w:t>
            </w:r>
          </w:p>
        </w:tc>
        <w:tc>
          <w:tcPr>
            <w:tcW w:w="635" w:type="pct"/>
            <w:noWrap/>
            <w:hideMark/>
          </w:tcPr>
          <w:p w14:paraId="2A24F3B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25,674</w:t>
            </w:r>
          </w:p>
        </w:tc>
        <w:tc>
          <w:tcPr>
            <w:tcW w:w="635" w:type="pct"/>
            <w:noWrap/>
            <w:hideMark/>
          </w:tcPr>
          <w:p w14:paraId="66A562A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26,182</w:t>
            </w:r>
          </w:p>
        </w:tc>
        <w:tc>
          <w:tcPr>
            <w:tcW w:w="635" w:type="pct"/>
            <w:noWrap/>
            <w:hideMark/>
          </w:tcPr>
          <w:p w14:paraId="71C697F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27,540</w:t>
            </w:r>
          </w:p>
        </w:tc>
      </w:tr>
      <w:tr w:rsidR="00664A03" w:rsidRPr="00E805AD" w14:paraId="3760B59F" w14:textId="77777777" w:rsidTr="00664A03">
        <w:trPr>
          <w:trHeight w:val="300"/>
        </w:trPr>
        <w:tc>
          <w:tcPr>
            <w:tcW w:w="1827" w:type="pct"/>
            <w:noWrap/>
            <w:hideMark/>
          </w:tcPr>
          <w:p w14:paraId="6E33460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Current Liabilities</w:t>
            </w:r>
          </w:p>
        </w:tc>
        <w:tc>
          <w:tcPr>
            <w:tcW w:w="635" w:type="pct"/>
            <w:noWrap/>
            <w:hideMark/>
          </w:tcPr>
          <w:p w14:paraId="40132FB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6,407</w:t>
            </w:r>
          </w:p>
        </w:tc>
        <w:tc>
          <w:tcPr>
            <w:tcW w:w="635" w:type="pct"/>
            <w:noWrap/>
            <w:hideMark/>
          </w:tcPr>
          <w:p w14:paraId="3B19AAE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7,339</w:t>
            </w:r>
          </w:p>
        </w:tc>
        <w:tc>
          <w:tcPr>
            <w:tcW w:w="635" w:type="pct"/>
            <w:noWrap/>
            <w:hideMark/>
          </w:tcPr>
          <w:p w14:paraId="62BD9D8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7,762</w:t>
            </w:r>
          </w:p>
        </w:tc>
        <w:tc>
          <w:tcPr>
            <w:tcW w:w="635" w:type="pct"/>
            <w:noWrap/>
            <w:hideMark/>
          </w:tcPr>
          <w:p w14:paraId="1F5146C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8,649</w:t>
            </w:r>
          </w:p>
        </w:tc>
        <w:tc>
          <w:tcPr>
            <w:tcW w:w="635" w:type="pct"/>
            <w:noWrap/>
            <w:hideMark/>
          </w:tcPr>
          <w:p w14:paraId="0C15B22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8,398</w:t>
            </w:r>
          </w:p>
        </w:tc>
      </w:tr>
      <w:tr w:rsidR="00664A03" w:rsidRPr="00E805AD" w14:paraId="2178379B" w14:textId="77777777" w:rsidTr="00664A03">
        <w:trPr>
          <w:trHeight w:val="300"/>
        </w:trPr>
        <w:tc>
          <w:tcPr>
            <w:tcW w:w="1827" w:type="pct"/>
            <w:noWrap/>
            <w:hideMark/>
          </w:tcPr>
          <w:p w14:paraId="14246FB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Shareholders' Equity</w:t>
            </w:r>
          </w:p>
        </w:tc>
        <w:tc>
          <w:tcPr>
            <w:tcW w:w="635" w:type="pct"/>
            <w:noWrap/>
            <w:hideMark/>
          </w:tcPr>
          <w:p w14:paraId="54DEF9A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1,414</w:t>
            </w:r>
          </w:p>
        </w:tc>
        <w:tc>
          <w:tcPr>
            <w:tcW w:w="635" w:type="pct"/>
            <w:noWrap/>
            <w:hideMark/>
          </w:tcPr>
          <w:p w14:paraId="091D4A2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568</w:t>
            </w:r>
          </w:p>
        </w:tc>
        <w:tc>
          <w:tcPr>
            <w:tcW w:w="635" w:type="pct"/>
            <w:noWrap/>
            <w:hideMark/>
          </w:tcPr>
          <w:p w14:paraId="43B267A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-682</w:t>
            </w:r>
          </w:p>
        </w:tc>
        <w:tc>
          <w:tcPr>
            <w:tcW w:w="635" w:type="pct"/>
            <w:noWrap/>
            <w:hideMark/>
          </w:tcPr>
          <w:p w14:paraId="2E3F2EF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-2,992</w:t>
            </w:r>
          </w:p>
        </w:tc>
        <w:tc>
          <w:tcPr>
            <w:tcW w:w="635" w:type="pct"/>
            <w:noWrap/>
            <w:hideMark/>
          </w:tcPr>
          <w:p w14:paraId="48F95D2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-3,771</w:t>
            </w:r>
          </w:p>
        </w:tc>
      </w:tr>
      <w:tr w:rsidR="00664A03" w:rsidRPr="00E805AD" w14:paraId="4BD21205" w14:textId="77777777" w:rsidTr="00664A03">
        <w:trPr>
          <w:trHeight w:val="300"/>
        </w:trPr>
        <w:tc>
          <w:tcPr>
            <w:tcW w:w="1827" w:type="pct"/>
            <w:noWrap/>
            <w:hideMark/>
          </w:tcPr>
          <w:p w14:paraId="1BF9E7E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Basic Shares Outstanding (million)</w:t>
            </w:r>
          </w:p>
        </w:tc>
        <w:tc>
          <w:tcPr>
            <w:tcW w:w="635" w:type="pct"/>
            <w:noWrap/>
            <w:hideMark/>
          </w:tcPr>
          <w:p w14:paraId="5D41BA3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327</w:t>
            </w:r>
          </w:p>
        </w:tc>
        <w:tc>
          <w:tcPr>
            <w:tcW w:w="635" w:type="pct"/>
            <w:noWrap/>
            <w:hideMark/>
          </w:tcPr>
          <w:p w14:paraId="3D92C10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324</w:t>
            </w:r>
          </w:p>
        </w:tc>
        <w:tc>
          <w:tcPr>
            <w:tcW w:w="635" w:type="pct"/>
            <w:noWrap/>
            <w:hideMark/>
          </w:tcPr>
          <w:p w14:paraId="42030D1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302</w:t>
            </w:r>
          </w:p>
        </w:tc>
        <w:tc>
          <w:tcPr>
            <w:tcW w:w="635" w:type="pct"/>
            <w:noWrap/>
            <w:hideMark/>
          </w:tcPr>
          <w:p w14:paraId="0A1A215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284</w:t>
            </w:r>
          </w:p>
        </w:tc>
        <w:tc>
          <w:tcPr>
            <w:tcW w:w="635" w:type="pct"/>
            <w:noWrap/>
            <w:hideMark/>
          </w:tcPr>
          <w:p w14:paraId="277EF03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273</w:t>
            </w:r>
          </w:p>
        </w:tc>
      </w:tr>
      <w:tr w:rsidR="00664A03" w:rsidRPr="00E805AD" w14:paraId="39D3DD47" w14:textId="77777777" w:rsidTr="00664A03">
        <w:trPr>
          <w:trHeight w:val="300"/>
        </w:trPr>
        <w:tc>
          <w:tcPr>
            <w:tcW w:w="1827" w:type="pct"/>
            <w:noWrap/>
            <w:hideMark/>
          </w:tcPr>
          <w:p w14:paraId="550A31D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Basic EPS ($)</w:t>
            </w:r>
          </w:p>
        </w:tc>
        <w:tc>
          <w:tcPr>
            <w:tcW w:w="635" w:type="pct"/>
            <w:noWrap/>
            <w:hideMark/>
          </w:tcPr>
          <w:p w14:paraId="0325FD4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3.36</w:t>
            </w:r>
          </w:p>
        </w:tc>
        <w:tc>
          <w:tcPr>
            <w:tcW w:w="635" w:type="pct"/>
            <w:noWrap/>
            <w:hideMark/>
          </w:tcPr>
          <w:p w14:paraId="6371C11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7.27</w:t>
            </w:r>
          </w:p>
        </w:tc>
        <w:tc>
          <w:tcPr>
            <w:tcW w:w="635" w:type="pct"/>
            <w:noWrap/>
            <w:hideMark/>
          </w:tcPr>
          <w:p w14:paraId="1E0A64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10.23</w:t>
            </w:r>
          </w:p>
        </w:tc>
        <w:tc>
          <w:tcPr>
            <w:tcW w:w="635" w:type="pct"/>
            <w:noWrap/>
            <w:hideMark/>
          </w:tcPr>
          <w:p w14:paraId="0FB31A9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8.36</w:t>
            </w:r>
          </w:p>
        </w:tc>
        <w:tc>
          <w:tcPr>
            <w:tcW w:w="635" w:type="pct"/>
            <w:noWrap/>
            <w:hideMark/>
          </w:tcPr>
          <w:p w14:paraId="6510352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9.53</w:t>
            </w:r>
          </w:p>
        </w:tc>
      </w:tr>
      <w:tr w:rsidR="00664A03" w:rsidRPr="00E805AD" w14:paraId="4B8ED6DF" w14:textId="77777777" w:rsidTr="00664A03">
        <w:trPr>
          <w:trHeight w:val="315"/>
        </w:trPr>
        <w:tc>
          <w:tcPr>
            <w:tcW w:w="1827" w:type="pct"/>
            <w:noWrap/>
            <w:hideMark/>
          </w:tcPr>
          <w:p w14:paraId="0FDCCAE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w:t>
            </w:r>
          </w:p>
        </w:tc>
        <w:tc>
          <w:tcPr>
            <w:tcW w:w="635" w:type="pct"/>
            <w:noWrap/>
            <w:hideMark/>
          </w:tcPr>
          <w:p w14:paraId="2460DF2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527</w:t>
            </w:r>
          </w:p>
        </w:tc>
        <w:tc>
          <w:tcPr>
            <w:tcW w:w="635" w:type="pct"/>
            <w:noWrap/>
            <w:hideMark/>
          </w:tcPr>
          <w:p w14:paraId="335DAFD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-896</w:t>
            </w:r>
          </w:p>
        </w:tc>
        <w:tc>
          <w:tcPr>
            <w:tcW w:w="635" w:type="pct"/>
            <w:noWrap/>
            <w:hideMark/>
          </w:tcPr>
          <w:p w14:paraId="2C2F885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-159</w:t>
            </w:r>
          </w:p>
        </w:tc>
        <w:tc>
          <w:tcPr>
            <w:tcW w:w="635" w:type="pct"/>
            <w:noWrap/>
            <w:hideMark/>
          </w:tcPr>
          <w:p w14:paraId="368D9AF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59</w:t>
            </w:r>
          </w:p>
        </w:tc>
        <w:tc>
          <w:tcPr>
            <w:tcW w:w="635" w:type="pct"/>
            <w:noWrap/>
            <w:hideMark/>
          </w:tcPr>
          <w:p w14:paraId="717FB6A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-54</w:t>
            </w:r>
          </w:p>
        </w:tc>
      </w:tr>
    </w:tbl>
    <w:p w14:paraId="16B97FAE" w14:textId="77777777" w:rsidR="00664A03" w:rsidRPr="00E805AD" w:rsidRDefault="00664A03" w:rsidP="00E805AD">
      <w:pPr>
        <w:spacing w:after="240" w:line="360" w:lineRule="auto"/>
        <w:jc w:val="both"/>
        <w:rPr>
          <w:rFonts w:eastAsia="Times New Roman"/>
          <w:sz w:val="24"/>
          <w:szCs w:val="24"/>
        </w:rPr>
      </w:pPr>
    </w:p>
    <w:tbl>
      <w:tblPr>
        <w:tblW w:w="5000" w:type="pct"/>
        <w:tblLook w:val="04A0" w:firstRow="1" w:lastRow="0" w:firstColumn="1" w:lastColumn="0" w:noHBand="0" w:noVBand="1"/>
      </w:tblPr>
      <w:tblGrid>
        <w:gridCol w:w="2400"/>
        <w:gridCol w:w="3284"/>
        <w:gridCol w:w="667"/>
        <w:gridCol w:w="667"/>
        <w:gridCol w:w="667"/>
        <w:gridCol w:w="667"/>
        <w:gridCol w:w="667"/>
      </w:tblGrid>
      <w:tr w:rsidR="00664A03" w:rsidRPr="00E805AD" w14:paraId="79F75329" w14:textId="77777777" w:rsidTr="00664A03">
        <w:trPr>
          <w:trHeight w:val="300"/>
        </w:trPr>
        <w:tc>
          <w:tcPr>
            <w:tcW w:w="1066" w:type="pct"/>
            <w:tcBorders>
              <w:top w:val="single" w:sz="4" w:space="0" w:color="auto"/>
              <w:left w:val="single" w:sz="4" w:space="0" w:color="auto"/>
              <w:bottom w:val="single" w:sz="4" w:space="0" w:color="auto"/>
              <w:right w:val="single" w:sz="4" w:space="0" w:color="auto"/>
            </w:tcBorders>
            <w:noWrap/>
            <w:vAlign w:val="bottom"/>
            <w:hideMark/>
          </w:tcPr>
          <w:p w14:paraId="0C82DDFA"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A. Profitability Ratios</w:t>
            </w:r>
          </w:p>
        </w:tc>
        <w:tc>
          <w:tcPr>
            <w:tcW w:w="1544" w:type="pct"/>
            <w:tcBorders>
              <w:top w:val="single" w:sz="4" w:space="0" w:color="auto"/>
              <w:left w:val="nil"/>
              <w:bottom w:val="single" w:sz="4" w:space="0" w:color="auto"/>
              <w:right w:val="single" w:sz="4" w:space="0" w:color="auto"/>
            </w:tcBorders>
            <w:noWrap/>
            <w:vAlign w:val="bottom"/>
            <w:hideMark/>
          </w:tcPr>
          <w:p w14:paraId="138A776C"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78" w:type="pct"/>
            <w:tcBorders>
              <w:top w:val="single" w:sz="4" w:space="0" w:color="auto"/>
              <w:left w:val="nil"/>
              <w:bottom w:val="single" w:sz="4" w:space="0" w:color="auto"/>
              <w:right w:val="single" w:sz="4" w:space="0" w:color="auto"/>
            </w:tcBorders>
            <w:noWrap/>
            <w:vAlign w:val="bottom"/>
            <w:hideMark/>
          </w:tcPr>
          <w:p w14:paraId="4214152B"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78" w:type="pct"/>
            <w:tcBorders>
              <w:top w:val="single" w:sz="4" w:space="0" w:color="auto"/>
              <w:left w:val="nil"/>
              <w:bottom w:val="single" w:sz="4" w:space="0" w:color="auto"/>
              <w:right w:val="single" w:sz="4" w:space="0" w:color="auto"/>
            </w:tcBorders>
            <w:noWrap/>
            <w:vAlign w:val="bottom"/>
            <w:hideMark/>
          </w:tcPr>
          <w:p w14:paraId="177CEF89"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78" w:type="pct"/>
            <w:tcBorders>
              <w:top w:val="single" w:sz="4" w:space="0" w:color="auto"/>
              <w:left w:val="nil"/>
              <w:bottom w:val="single" w:sz="4" w:space="0" w:color="auto"/>
              <w:right w:val="single" w:sz="4" w:space="0" w:color="auto"/>
            </w:tcBorders>
            <w:noWrap/>
            <w:vAlign w:val="bottom"/>
            <w:hideMark/>
          </w:tcPr>
          <w:p w14:paraId="2EFE173D"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78" w:type="pct"/>
            <w:tcBorders>
              <w:top w:val="single" w:sz="4" w:space="0" w:color="auto"/>
              <w:left w:val="nil"/>
              <w:bottom w:val="single" w:sz="4" w:space="0" w:color="auto"/>
              <w:right w:val="single" w:sz="4" w:space="0" w:color="auto"/>
            </w:tcBorders>
            <w:noWrap/>
            <w:vAlign w:val="bottom"/>
            <w:hideMark/>
          </w:tcPr>
          <w:p w14:paraId="64CE490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78" w:type="pct"/>
            <w:tcBorders>
              <w:top w:val="single" w:sz="4" w:space="0" w:color="auto"/>
              <w:left w:val="nil"/>
              <w:bottom w:val="single" w:sz="4" w:space="0" w:color="auto"/>
              <w:right w:val="single" w:sz="4" w:space="0" w:color="auto"/>
            </w:tcBorders>
            <w:noWrap/>
            <w:vAlign w:val="bottom"/>
            <w:hideMark/>
          </w:tcPr>
          <w:p w14:paraId="58D4E238"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3AAF37C7"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203E3D6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Gross Profit Margin</w:t>
            </w:r>
          </w:p>
        </w:tc>
        <w:tc>
          <w:tcPr>
            <w:tcW w:w="1544" w:type="pct"/>
            <w:tcBorders>
              <w:top w:val="nil"/>
              <w:left w:val="nil"/>
              <w:bottom w:val="single" w:sz="4" w:space="0" w:color="auto"/>
              <w:right w:val="single" w:sz="4" w:space="0" w:color="auto"/>
            </w:tcBorders>
            <w:noWrap/>
            <w:vAlign w:val="bottom"/>
            <w:hideMark/>
          </w:tcPr>
          <w:p w14:paraId="0EC6C62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Gross Profit / Revenue</w:t>
            </w:r>
          </w:p>
        </w:tc>
        <w:tc>
          <w:tcPr>
            <w:tcW w:w="478" w:type="pct"/>
            <w:tcBorders>
              <w:top w:val="nil"/>
              <w:left w:val="nil"/>
              <w:bottom w:val="single" w:sz="4" w:space="0" w:color="auto"/>
              <w:right w:val="single" w:sz="4" w:space="0" w:color="auto"/>
            </w:tcBorders>
            <w:noWrap/>
            <w:vAlign w:val="bottom"/>
            <w:hideMark/>
          </w:tcPr>
          <w:p w14:paraId="7AAD8EC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0.20</w:t>
            </w:r>
          </w:p>
        </w:tc>
        <w:tc>
          <w:tcPr>
            <w:tcW w:w="478" w:type="pct"/>
            <w:tcBorders>
              <w:top w:val="nil"/>
              <w:left w:val="nil"/>
              <w:bottom w:val="single" w:sz="4" w:space="0" w:color="auto"/>
              <w:right w:val="single" w:sz="4" w:space="0" w:color="auto"/>
            </w:tcBorders>
            <w:noWrap/>
            <w:vAlign w:val="bottom"/>
            <w:hideMark/>
          </w:tcPr>
          <w:p w14:paraId="6F4C423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0.22</w:t>
            </w:r>
          </w:p>
        </w:tc>
        <w:tc>
          <w:tcPr>
            <w:tcW w:w="478" w:type="pct"/>
            <w:tcBorders>
              <w:top w:val="nil"/>
              <w:left w:val="nil"/>
              <w:bottom w:val="single" w:sz="4" w:space="0" w:color="auto"/>
              <w:right w:val="single" w:sz="4" w:space="0" w:color="auto"/>
            </w:tcBorders>
            <w:noWrap/>
            <w:vAlign w:val="bottom"/>
            <w:hideMark/>
          </w:tcPr>
          <w:p w14:paraId="5B95EA1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0.21</w:t>
            </w:r>
          </w:p>
        </w:tc>
        <w:tc>
          <w:tcPr>
            <w:tcW w:w="478" w:type="pct"/>
            <w:tcBorders>
              <w:top w:val="nil"/>
              <w:left w:val="nil"/>
              <w:bottom w:val="single" w:sz="4" w:space="0" w:color="auto"/>
              <w:right w:val="single" w:sz="4" w:space="0" w:color="auto"/>
            </w:tcBorders>
            <w:noWrap/>
            <w:vAlign w:val="bottom"/>
            <w:hideMark/>
          </w:tcPr>
          <w:p w14:paraId="214141C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0.20</w:t>
            </w:r>
          </w:p>
        </w:tc>
        <w:tc>
          <w:tcPr>
            <w:tcW w:w="478" w:type="pct"/>
            <w:tcBorders>
              <w:top w:val="nil"/>
              <w:left w:val="nil"/>
              <w:bottom w:val="single" w:sz="4" w:space="0" w:color="auto"/>
              <w:right w:val="single" w:sz="4" w:space="0" w:color="auto"/>
            </w:tcBorders>
            <w:noWrap/>
            <w:vAlign w:val="bottom"/>
            <w:hideMark/>
          </w:tcPr>
          <w:p w14:paraId="5F86351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0.20</w:t>
            </w:r>
          </w:p>
        </w:tc>
      </w:tr>
      <w:tr w:rsidR="00664A03" w:rsidRPr="00E805AD" w14:paraId="64ADB240"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6EFB9C4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Operating Margin</w:t>
            </w:r>
          </w:p>
        </w:tc>
        <w:tc>
          <w:tcPr>
            <w:tcW w:w="1544" w:type="pct"/>
            <w:tcBorders>
              <w:top w:val="nil"/>
              <w:left w:val="nil"/>
              <w:bottom w:val="single" w:sz="4" w:space="0" w:color="auto"/>
              <w:right w:val="single" w:sz="4" w:space="0" w:color="auto"/>
            </w:tcBorders>
            <w:noWrap/>
            <w:vAlign w:val="bottom"/>
            <w:hideMark/>
          </w:tcPr>
          <w:p w14:paraId="45A6C7C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 / Revenue</w:t>
            </w:r>
          </w:p>
        </w:tc>
        <w:tc>
          <w:tcPr>
            <w:tcW w:w="478" w:type="pct"/>
            <w:tcBorders>
              <w:top w:val="nil"/>
              <w:left w:val="nil"/>
              <w:bottom w:val="single" w:sz="4" w:space="0" w:color="auto"/>
              <w:right w:val="single" w:sz="4" w:space="0" w:color="auto"/>
            </w:tcBorders>
            <w:noWrap/>
            <w:vAlign w:val="bottom"/>
            <w:hideMark/>
          </w:tcPr>
          <w:p w14:paraId="2A4AE68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78" w:type="pct"/>
            <w:tcBorders>
              <w:top w:val="nil"/>
              <w:left w:val="nil"/>
              <w:bottom w:val="single" w:sz="4" w:space="0" w:color="auto"/>
              <w:right w:val="single" w:sz="4" w:space="0" w:color="auto"/>
            </w:tcBorders>
            <w:noWrap/>
            <w:vAlign w:val="bottom"/>
            <w:hideMark/>
          </w:tcPr>
          <w:p w14:paraId="167981B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0.17</w:t>
            </w:r>
          </w:p>
        </w:tc>
        <w:tc>
          <w:tcPr>
            <w:tcW w:w="478" w:type="pct"/>
            <w:tcBorders>
              <w:top w:val="nil"/>
              <w:left w:val="nil"/>
              <w:bottom w:val="single" w:sz="4" w:space="0" w:color="auto"/>
              <w:right w:val="single" w:sz="4" w:space="0" w:color="auto"/>
            </w:tcBorders>
            <w:noWrap/>
            <w:vAlign w:val="bottom"/>
            <w:hideMark/>
          </w:tcPr>
          <w:p w14:paraId="4E72DCD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0.16</w:t>
            </w:r>
          </w:p>
        </w:tc>
        <w:tc>
          <w:tcPr>
            <w:tcW w:w="478" w:type="pct"/>
            <w:tcBorders>
              <w:top w:val="nil"/>
              <w:left w:val="nil"/>
              <w:bottom w:val="single" w:sz="4" w:space="0" w:color="auto"/>
              <w:right w:val="single" w:sz="4" w:space="0" w:color="auto"/>
            </w:tcBorders>
            <w:noWrap/>
            <w:vAlign w:val="bottom"/>
            <w:hideMark/>
          </w:tcPr>
          <w:p w14:paraId="278F12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0.15</w:t>
            </w:r>
          </w:p>
        </w:tc>
        <w:tc>
          <w:tcPr>
            <w:tcW w:w="478" w:type="pct"/>
            <w:tcBorders>
              <w:top w:val="nil"/>
              <w:left w:val="nil"/>
              <w:bottom w:val="single" w:sz="4" w:space="0" w:color="auto"/>
              <w:right w:val="single" w:sz="4" w:space="0" w:color="auto"/>
            </w:tcBorders>
            <w:noWrap/>
            <w:vAlign w:val="bottom"/>
            <w:hideMark/>
          </w:tcPr>
          <w:p w14:paraId="36BBFB8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0.16</w:t>
            </w:r>
          </w:p>
        </w:tc>
      </w:tr>
      <w:tr w:rsidR="00664A03" w:rsidRPr="00E805AD" w14:paraId="272DE793"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769C2846"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EBITDA Margin</w:t>
            </w:r>
          </w:p>
        </w:tc>
        <w:tc>
          <w:tcPr>
            <w:tcW w:w="1544" w:type="pct"/>
            <w:tcBorders>
              <w:top w:val="nil"/>
              <w:left w:val="nil"/>
              <w:bottom w:val="single" w:sz="4" w:space="0" w:color="auto"/>
              <w:right w:val="single" w:sz="4" w:space="0" w:color="auto"/>
            </w:tcBorders>
            <w:noWrap/>
            <w:vAlign w:val="bottom"/>
            <w:hideMark/>
          </w:tcPr>
          <w:p w14:paraId="5FC1FC4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EBITDA / Revenue</w:t>
            </w:r>
          </w:p>
        </w:tc>
        <w:tc>
          <w:tcPr>
            <w:tcW w:w="478" w:type="pct"/>
            <w:tcBorders>
              <w:top w:val="nil"/>
              <w:left w:val="nil"/>
              <w:bottom w:val="single" w:sz="4" w:space="0" w:color="auto"/>
              <w:right w:val="single" w:sz="4" w:space="0" w:color="auto"/>
            </w:tcBorders>
            <w:noWrap/>
            <w:vAlign w:val="bottom"/>
            <w:hideMark/>
          </w:tcPr>
          <w:p w14:paraId="2FF799D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0.15</w:t>
            </w:r>
          </w:p>
        </w:tc>
        <w:tc>
          <w:tcPr>
            <w:tcW w:w="478" w:type="pct"/>
            <w:tcBorders>
              <w:top w:val="nil"/>
              <w:left w:val="nil"/>
              <w:bottom w:val="single" w:sz="4" w:space="0" w:color="auto"/>
              <w:right w:val="single" w:sz="4" w:space="0" w:color="auto"/>
            </w:tcBorders>
            <w:noWrap/>
            <w:vAlign w:val="bottom"/>
            <w:hideMark/>
          </w:tcPr>
          <w:p w14:paraId="48D59E7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0.19</w:t>
            </w:r>
          </w:p>
        </w:tc>
        <w:tc>
          <w:tcPr>
            <w:tcW w:w="478" w:type="pct"/>
            <w:tcBorders>
              <w:top w:val="nil"/>
              <w:left w:val="nil"/>
              <w:bottom w:val="single" w:sz="4" w:space="0" w:color="auto"/>
              <w:right w:val="single" w:sz="4" w:space="0" w:color="auto"/>
            </w:tcBorders>
            <w:noWrap/>
            <w:vAlign w:val="bottom"/>
            <w:hideMark/>
          </w:tcPr>
          <w:p w14:paraId="462D923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0.18</w:t>
            </w:r>
          </w:p>
        </w:tc>
        <w:tc>
          <w:tcPr>
            <w:tcW w:w="478" w:type="pct"/>
            <w:tcBorders>
              <w:top w:val="nil"/>
              <w:left w:val="nil"/>
              <w:bottom w:val="single" w:sz="4" w:space="0" w:color="auto"/>
              <w:right w:val="single" w:sz="4" w:space="0" w:color="auto"/>
            </w:tcBorders>
            <w:noWrap/>
            <w:vAlign w:val="bottom"/>
            <w:hideMark/>
          </w:tcPr>
          <w:p w14:paraId="5D4E8D3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0.17</w:t>
            </w:r>
          </w:p>
        </w:tc>
        <w:tc>
          <w:tcPr>
            <w:tcW w:w="478" w:type="pct"/>
            <w:tcBorders>
              <w:top w:val="nil"/>
              <w:left w:val="nil"/>
              <w:bottom w:val="single" w:sz="4" w:space="0" w:color="auto"/>
              <w:right w:val="single" w:sz="4" w:space="0" w:color="auto"/>
            </w:tcBorders>
            <w:noWrap/>
            <w:vAlign w:val="bottom"/>
            <w:hideMark/>
          </w:tcPr>
          <w:p w14:paraId="298D276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0.18</w:t>
            </w:r>
          </w:p>
        </w:tc>
      </w:tr>
      <w:tr w:rsidR="00664A03" w:rsidRPr="00E805AD" w14:paraId="4B240CCA"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2719B29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Pre-Tax Profit Margin</w:t>
            </w:r>
          </w:p>
        </w:tc>
        <w:tc>
          <w:tcPr>
            <w:tcW w:w="1544" w:type="pct"/>
            <w:tcBorders>
              <w:top w:val="nil"/>
              <w:left w:val="nil"/>
              <w:bottom w:val="single" w:sz="4" w:space="0" w:color="auto"/>
              <w:right w:val="single" w:sz="4" w:space="0" w:color="auto"/>
            </w:tcBorders>
            <w:noWrap/>
            <w:vAlign w:val="bottom"/>
            <w:hideMark/>
          </w:tcPr>
          <w:p w14:paraId="1FE6246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Pre-Tax Income / Revenue</w:t>
            </w:r>
          </w:p>
        </w:tc>
        <w:tc>
          <w:tcPr>
            <w:tcW w:w="478" w:type="pct"/>
            <w:tcBorders>
              <w:top w:val="nil"/>
              <w:left w:val="nil"/>
              <w:bottom w:val="single" w:sz="4" w:space="0" w:color="auto"/>
              <w:right w:val="single" w:sz="4" w:space="0" w:color="auto"/>
            </w:tcBorders>
            <w:noWrap/>
            <w:vAlign w:val="bottom"/>
            <w:hideMark/>
          </w:tcPr>
          <w:p w14:paraId="5B1038F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w:t>
            </w:r>
          </w:p>
        </w:tc>
        <w:tc>
          <w:tcPr>
            <w:tcW w:w="478" w:type="pct"/>
            <w:tcBorders>
              <w:top w:val="nil"/>
              <w:left w:val="nil"/>
              <w:bottom w:val="single" w:sz="4" w:space="0" w:color="auto"/>
              <w:right w:val="single" w:sz="4" w:space="0" w:color="auto"/>
            </w:tcBorders>
            <w:noWrap/>
            <w:vAlign w:val="bottom"/>
            <w:hideMark/>
          </w:tcPr>
          <w:p w14:paraId="1865837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0.15</w:t>
            </w:r>
          </w:p>
        </w:tc>
        <w:tc>
          <w:tcPr>
            <w:tcW w:w="478" w:type="pct"/>
            <w:tcBorders>
              <w:top w:val="nil"/>
              <w:left w:val="nil"/>
              <w:bottom w:val="single" w:sz="4" w:space="0" w:color="auto"/>
              <w:right w:val="single" w:sz="4" w:space="0" w:color="auto"/>
            </w:tcBorders>
            <w:noWrap/>
            <w:vAlign w:val="bottom"/>
            <w:hideMark/>
          </w:tcPr>
          <w:p w14:paraId="0971471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0.14</w:t>
            </w:r>
          </w:p>
        </w:tc>
        <w:tc>
          <w:tcPr>
            <w:tcW w:w="478" w:type="pct"/>
            <w:tcBorders>
              <w:top w:val="nil"/>
              <w:left w:val="nil"/>
              <w:bottom w:val="single" w:sz="4" w:space="0" w:color="auto"/>
              <w:right w:val="single" w:sz="4" w:space="0" w:color="auto"/>
            </w:tcBorders>
            <w:noWrap/>
            <w:vAlign w:val="bottom"/>
            <w:hideMark/>
          </w:tcPr>
          <w:p w14:paraId="59C2306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78" w:type="pct"/>
            <w:tcBorders>
              <w:top w:val="nil"/>
              <w:left w:val="nil"/>
              <w:bottom w:val="single" w:sz="4" w:space="0" w:color="auto"/>
              <w:right w:val="single" w:sz="4" w:space="0" w:color="auto"/>
            </w:tcBorders>
            <w:noWrap/>
            <w:vAlign w:val="bottom"/>
            <w:hideMark/>
          </w:tcPr>
          <w:p w14:paraId="09C7A57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r>
      <w:tr w:rsidR="00664A03" w:rsidRPr="00E805AD" w14:paraId="2FEEF3C4"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410B888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Profit Margin</w:t>
            </w:r>
          </w:p>
        </w:tc>
        <w:tc>
          <w:tcPr>
            <w:tcW w:w="1544" w:type="pct"/>
            <w:tcBorders>
              <w:top w:val="nil"/>
              <w:left w:val="nil"/>
              <w:bottom w:val="single" w:sz="4" w:space="0" w:color="auto"/>
              <w:right w:val="single" w:sz="4" w:space="0" w:color="auto"/>
            </w:tcBorders>
            <w:noWrap/>
            <w:vAlign w:val="bottom"/>
            <w:hideMark/>
          </w:tcPr>
          <w:p w14:paraId="7282B45B"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Revenue</w:t>
            </w:r>
          </w:p>
        </w:tc>
        <w:tc>
          <w:tcPr>
            <w:tcW w:w="478" w:type="pct"/>
            <w:tcBorders>
              <w:top w:val="nil"/>
              <w:left w:val="nil"/>
              <w:bottom w:val="single" w:sz="4" w:space="0" w:color="auto"/>
              <w:right w:val="single" w:sz="4" w:space="0" w:color="auto"/>
            </w:tcBorders>
            <w:noWrap/>
            <w:vAlign w:val="bottom"/>
            <w:hideMark/>
          </w:tcPr>
          <w:p w14:paraId="1B4E022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w:t>
            </w:r>
          </w:p>
        </w:tc>
        <w:tc>
          <w:tcPr>
            <w:tcW w:w="478" w:type="pct"/>
            <w:tcBorders>
              <w:top w:val="nil"/>
              <w:left w:val="nil"/>
              <w:bottom w:val="single" w:sz="4" w:space="0" w:color="auto"/>
              <w:right w:val="single" w:sz="4" w:space="0" w:color="auto"/>
            </w:tcBorders>
            <w:noWrap/>
            <w:vAlign w:val="bottom"/>
            <w:hideMark/>
          </w:tcPr>
          <w:p w14:paraId="1AB5EFE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78" w:type="pct"/>
            <w:tcBorders>
              <w:top w:val="nil"/>
              <w:left w:val="nil"/>
              <w:bottom w:val="single" w:sz="4" w:space="0" w:color="auto"/>
              <w:right w:val="single" w:sz="4" w:space="0" w:color="auto"/>
            </w:tcBorders>
            <w:noWrap/>
            <w:vAlign w:val="bottom"/>
            <w:hideMark/>
          </w:tcPr>
          <w:p w14:paraId="50C076C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78" w:type="pct"/>
            <w:tcBorders>
              <w:top w:val="nil"/>
              <w:left w:val="nil"/>
              <w:bottom w:val="single" w:sz="4" w:space="0" w:color="auto"/>
              <w:right w:val="single" w:sz="4" w:space="0" w:color="auto"/>
            </w:tcBorders>
            <w:noWrap/>
            <w:vAlign w:val="bottom"/>
            <w:hideMark/>
          </w:tcPr>
          <w:p w14:paraId="0299D40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w:t>
            </w:r>
          </w:p>
        </w:tc>
        <w:tc>
          <w:tcPr>
            <w:tcW w:w="478" w:type="pct"/>
            <w:tcBorders>
              <w:top w:val="nil"/>
              <w:left w:val="nil"/>
              <w:bottom w:val="single" w:sz="4" w:space="0" w:color="auto"/>
              <w:right w:val="single" w:sz="4" w:space="0" w:color="auto"/>
            </w:tcBorders>
            <w:noWrap/>
            <w:vAlign w:val="bottom"/>
            <w:hideMark/>
          </w:tcPr>
          <w:p w14:paraId="62674C8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r>
      <w:tr w:rsidR="00664A03" w:rsidRPr="00E805AD" w14:paraId="7D7C7F3B"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7D0A7D3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Return on Assets (ROA)</w:t>
            </w:r>
          </w:p>
        </w:tc>
        <w:tc>
          <w:tcPr>
            <w:tcW w:w="1544" w:type="pct"/>
            <w:tcBorders>
              <w:top w:val="nil"/>
              <w:left w:val="nil"/>
              <w:bottom w:val="single" w:sz="4" w:space="0" w:color="auto"/>
              <w:right w:val="single" w:sz="4" w:space="0" w:color="auto"/>
            </w:tcBorders>
            <w:noWrap/>
            <w:vAlign w:val="bottom"/>
            <w:hideMark/>
          </w:tcPr>
          <w:p w14:paraId="1671BC96"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Total Assets</w:t>
            </w:r>
          </w:p>
        </w:tc>
        <w:tc>
          <w:tcPr>
            <w:tcW w:w="478" w:type="pct"/>
            <w:tcBorders>
              <w:top w:val="nil"/>
              <w:left w:val="nil"/>
              <w:bottom w:val="single" w:sz="4" w:space="0" w:color="auto"/>
              <w:right w:val="single" w:sz="4" w:space="0" w:color="auto"/>
            </w:tcBorders>
            <w:noWrap/>
            <w:vAlign w:val="bottom"/>
            <w:hideMark/>
          </w:tcPr>
          <w:p w14:paraId="245C7CA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0.05</w:t>
            </w:r>
          </w:p>
        </w:tc>
        <w:tc>
          <w:tcPr>
            <w:tcW w:w="478" w:type="pct"/>
            <w:tcBorders>
              <w:top w:val="nil"/>
              <w:left w:val="nil"/>
              <w:bottom w:val="single" w:sz="4" w:space="0" w:color="auto"/>
              <w:right w:val="single" w:sz="4" w:space="0" w:color="auto"/>
            </w:tcBorders>
            <w:noWrap/>
            <w:vAlign w:val="bottom"/>
            <w:hideMark/>
          </w:tcPr>
          <w:p w14:paraId="0B276C1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78" w:type="pct"/>
            <w:tcBorders>
              <w:top w:val="nil"/>
              <w:left w:val="nil"/>
              <w:bottom w:val="single" w:sz="4" w:space="0" w:color="auto"/>
              <w:right w:val="single" w:sz="4" w:space="0" w:color="auto"/>
            </w:tcBorders>
            <w:noWrap/>
            <w:vAlign w:val="bottom"/>
            <w:hideMark/>
          </w:tcPr>
          <w:p w14:paraId="026B4CA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0.14</w:t>
            </w:r>
          </w:p>
        </w:tc>
        <w:tc>
          <w:tcPr>
            <w:tcW w:w="478" w:type="pct"/>
            <w:tcBorders>
              <w:top w:val="nil"/>
              <w:left w:val="nil"/>
              <w:bottom w:val="single" w:sz="4" w:space="0" w:color="auto"/>
              <w:right w:val="single" w:sz="4" w:space="0" w:color="auto"/>
            </w:tcBorders>
            <w:noWrap/>
            <w:vAlign w:val="bottom"/>
            <w:hideMark/>
          </w:tcPr>
          <w:p w14:paraId="6968A4B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c>
          <w:tcPr>
            <w:tcW w:w="478" w:type="pct"/>
            <w:tcBorders>
              <w:top w:val="nil"/>
              <w:left w:val="nil"/>
              <w:bottom w:val="single" w:sz="4" w:space="0" w:color="auto"/>
              <w:right w:val="single" w:sz="4" w:space="0" w:color="auto"/>
            </w:tcBorders>
            <w:noWrap/>
            <w:vAlign w:val="bottom"/>
            <w:hideMark/>
          </w:tcPr>
          <w:p w14:paraId="6E84F37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r>
      <w:tr w:rsidR="00664A03" w:rsidRPr="00E805AD" w14:paraId="5A1F7777"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2C29EF66"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Return on Equity (ROE)</w:t>
            </w:r>
          </w:p>
        </w:tc>
        <w:tc>
          <w:tcPr>
            <w:tcW w:w="1544" w:type="pct"/>
            <w:tcBorders>
              <w:top w:val="nil"/>
              <w:left w:val="nil"/>
              <w:bottom w:val="single" w:sz="4" w:space="0" w:color="auto"/>
              <w:right w:val="single" w:sz="4" w:space="0" w:color="auto"/>
            </w:tcBorders>
            <w:noWrap/>
            <w:vAlign w:val="bottom"/>
            <w:hideMark/>
          </w:tcPr>
          <w:p w14:paraId="5FD1E45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Shareholders' Equity</w:t>
            </w:r>
          </w:p>
        </w:tc>
        <w:tc>
          <w:tcPr>
            <w:tcW w:w="478" w:type="pct"/>
            <w:tcBorders>
              <w:top w:val="nil"/>
              <w:left w:val="nil"/>
              <w:bottom w:val="single" w:sz="4" w:space="0" w:color="auto"/>
              <w:right w:val="single" w:sz="4" w:space="0" w:color="auto"/>
            </w:tcBorders>
            <w:noWrap/>
            <w:vAlign w:val="bottom"/>
            <w:hideMark/>
          </w:tcPr>
          <w:p w14:paraId="1232822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0.17</w:t>
            </w:r>
          </w:p>
        </w:tc>
        <w:tc>
          <w:tcPr>
            <w:tcW w:w="478" w:type="pct"/>
            <w:tcBorders>
              <w:top w:val="nil"/>
              <w:left w:val="nil"/>
              <w:bottom w:val="single" w:sz="4" w:space="0" w:color="auto"/>
              <w:right w:val="single" w:sz="4" w:space="0" w:color="auto"/>
            </w:tcBorders>
            <w:noWrap/>
            <w:vAlign w:val="bottom"/>
            <w:hideMark/>
          </w:tcPr>
          <w:p w14:paraId="36B6E44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0.32</w:t>
            </w:r>
          </w:p>
        </w:tc>
        <w:tc>
          <w:tcPr>
            <w:tcW w:w="478" w:type="pct"/>
            <w:tcBorders>
              <w:top w:val="nil"/>
              <w:left w:val="nil"/>
              <w:bottom w:val="single" w:sz="4" w:space="0" w:color="auto"/>
              <w:right w:val="single" w:sz="4" w:space="0" w:color="auto"/>
            </w:tcBorders>
            <w:noWrap/>
            <w:vAlign w:val="bottom"/>
            <w:hideMark/>
          </w:tcPr>
          <w:p w14:paraId="215FA1A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0.40</w:t>
            </w:r>
          </w:p>
        </w:tc>
        <w:tc>
          <w:tcPr>
            <w:tcW w:w="478" w:type="pct"/>
            <w:tcBorders>
              <w:top w:val="nil"/>
              <w:left w:val="nil"/>
              <w:bottom w:val="single" w:sz="4" w:space="0" w:color="auto"/>
              <w:right w:val="single" w:sz="4" w:space="0" w:color="auto"/>
            </w:tcBorders>
            <w:noWrap/>
            <w:vAlign w:val="bottom"/>
            <w:hideMark/>
          </w:tcPr>
          <w:p w14:paraId="6CC8554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0.27</w:t>
            </w:r>
          </w:p>
        </w:tc>
        <w:tc>
          <w:tcPr>
            <w:tcW w:w="478" w:type="pct"/>
            <w:tcBorders>
              <w:top w:val="nil"/>
              <w:left w:val="nil"/>
              <w:bottom w:val="single" w:sz="4" w:space="0" w:color="auto"/>
              <w:right w:val="single" w:sz="4" w:space="0" w:color="auto"/>
            </w:tcBorders>
            <w:noWrap/>
            <w:vAlign w:val="bottom"/>
            <w:hideMark/>
          </w:tcPr>
          <w:p w14:paraId="5C7D9DE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0.31</w:t>
            </w:r>
          </w:p>
        </w:tc>
      </w:tr>
    </w:tbl>
    <w:p w14:paraId="00000089" w14:textId="77777777" w:rsidR="003E62FA" w:rsidRPr="00E805AD" w:rsidRDefault="003E62FA" w:rsidP="00E805AD">
      <w:pPr>
        <w:spacing w:after="240" w:line="360" w:lineRule="auto"/>
        <w:jc w:val="both"/>
        <w:rPr>
          <w:rFonts w:eastAsia="Times New Roman"/>
          <w:sz w:val="24"/>
          <w:szCs w:val="24"/>
        </w:rPr>
      </w:pPr>
    </w:p>
    <w:p w14:paraId="156A2F06" w14:textId="05C1F8A1"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7D6BF600" wp14:editId="31C96313">
            <wp:extent cx="4572000" cy="2743200"/>
            <wp:effectExtent l="0" t="0" r="0" b="0"/>
            <wp:docPr id="366425431" name="Chart 1">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7DAE46C1-69CB-7115-7F54-06AC95AC14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tbl>
      <w:tblPr>
        <w:tblStyle w:val="TableGrid"/>
        <w:tblW w:w="5000" w:type="pct"/>
        <w:tblLook w:val="04A0" w:firstRow="1" w:lastRow="0" w:firstColumn="1" w:lastColumn="0" w:noHBand="0" w:noVBand="1"/>
      </w:tblPr>
      <w:tblGrid>
        <w:gridCol w:w="1718"/>
        <w:gridCol w:w="4016"/>
        <w:gridCol w:w="657"/>
        <w:gridCol w:w="657"/>
        <w:gridCol w:w="657"/>
        <w:gridCol w:w="657"/>
        <w:gridCol w:w="657"/>
      </w:tblGrid>
      <w:tr w:rsidR="00664A03" w:rsidRPr="00E805AD" w14:paraId="511A6692" w14:textId="77777777" w:rsidTr="00664A03">
        <w:trPr>
          <w:trHeight w:val="300"/>
        </w:trPr>
        <w:tc>
          <w:tcPr>
            <w:tcW w:w="930" w:type="pct"/>
            <w:noWrap/>
            <w:hideMark/>
          </w:tcPr>
          <w:p w14:paraId="0DAEBC73"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B. Liquidity Ratios</w:t>
            </w:r>
          </w:p>
        </w:tc>
        <w:tc>
          <w:tcPr>
            <w:tcW w:w="1987" w:type="pct"/>
            <w:noWrap/>
            <w:hideMark/>
          </w:tcPr>
          <w:p w14:paraId="038050FA"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17" w:type="pct"/>
            <w:noWrap/>
            <w:hideMark/>
          </w:tcPr>
          <w:p w14:paraId="6CAF3CCE"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17" w:type="pct"/>
            <w:noWrap/>
            <w:hideMark/>
          </w:tcPr>
          <w:p w14:paraId="19BC92F4"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17" w:type="pct"/>
            <w:noWrap/>
            <w:hideMark/>
          </w:tcPr>
          <w:p w14:paraId="725E49EB"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17" w:type="pct"/>
            <w:noWrap/>
            <w:hideMark/>
          </w:tcPr>
          <w:p w14:paraId="2646ADD0"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17" w:type="pct"/>
            <w:noWrap/>
            <w:hideMark/>
          </w:tcPr>
          <w:p w14:paraId="0086DEB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35EF6169" w14:textId="77777777" w:rsidTr="00664A03">
        <w:trPr>
          <w:trHeight w:val="300"/>
        </w:trPr>
        <w:tc>
          <w:tcPr>
            <w:tcW w:w="930" w:type="pct"/>
            <w:noWrap/>
            <w:hideMark/>
          </w:tcPr>
          <w:p w14:paraId="7CDDDE4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Current Ratio</w:t>
            </w:r>
          </w:p>
        </w:tc>
        <w:tc>
          <w:tcPr>
            <w:tcW w:w="1987" w:type="pct"/>
            <w:noWrap/>
            <w:hideMark/>
          </w:tcPr>
          <w:p w14:paraId="66A657E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Current Assets / Current Liabilities</w:t>
            </w:r>
          </w:p>
        </w:tc>
        <w:tc>
          <w:tcPr>
            <w:tcW w:w="417" w:type="pct"/>
            <w:noWrap/>
            <w:hideMark/>
          </w:tcPr>
          <w:p w14:paraId="16867B8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0.010</w:t>
            </w:r>
          </w:p>
        </w:tc>
        <w:tc>
          <w:tcPr>
            <w:tcW w:w="417" w:type="pct"/>
            <w:noWrap/>
            <w:hideMark/>
          </w:tcPr>
          <w:p w14:paraId="403EB32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0.009</w:t>
            </w:r>
          </w:p>
        </w:tc>
        <w:tc>
          <w:tcPr>
            <w:tcW w:w="417" w:type="pct"/>
            <w:noWrap/>
            <w:hideMark/>
          </w:tcPr>
          <w:p w14:paraId="406AC9D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0.010</w:t>
            </w:r>
          </w:p>
        </w:tc>
        <w:tc>
          <w:tcPr>
            <w:tcW w:w="417" w:type="pct"/>
            <w:noWrap/>
            <w:hideMark/>
          </w:tcPr>
          <w:p w14:paraId="5BCDF0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0.011</w:t>
            </w:r>
          </w:p>
        </w:tc>
        <w:tc>
          <w:tcPr>
            <w:tcW w:w="417" w:type="pct"/>
            <w:noWrap/>
            <w:hideMark/>
          </w:tcPr>
          <w:p w14:paraId="0684F67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0.012</w:t>
            </w:r>
          </w:p>
        </w:tc>
      </w:tr>
      <w:tr w:rsidR="00664A03" w:rsidRPr="00E805AD" w14:paraId="16EFA9EC" w14:textId="77777777" w:rsidTr="00664A03">
        <w:trPr>
          <w:trHeight w:val="300"/>
        </w:trPr>
        <w:tc>
          <w:tcPr>
            <w:tcW w:w="930" w:type="pct"/>
            <w:noWrap/>
            <w:hideMark/>
          </w:tcPr>
          <w:p w14:paraId="3B78C57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Ratio</w:t>
            </w:r>
          </w:p>
        </w:tc>
        <w:tc>
          <w:tcPr>
            <w:tcW w:w="1987" w:type="pct"/>
            <w:noWrap/>
            <w:hideMark/>
          </w:tcPr>
          <w:p w14:paraId="233D7680"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 Current Liabilities</w:t>
            </w:r>
          </w:p>
        </w:tc>
        <w:tc>
          <w:tcPr>
            <w:tcW w:w="417" w:type="pct"/>
            <w:noWrap/>
            <w:hideMark/>
          </w:tcPr>
          <w:p w14:paraId="07F7CC6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0.046</w:t>
            </w:r>
          </w:p>
        </w:tc>
        <w:tc>
          <w:tcPr>
            <w:tcW w:w="417" w:type="pct"/>
            <w:noWrap/>
            <w:hideMark/>
          </w:tcPr>
          <w:p w14:paraId="4869D60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0.095</w:t>
            </w:r>
          </w:p>
        </w:tc>
        <w:tc>
          <w:tcPr>
            <w:tcW w:w="417" w:type="pct"/>
            <w:noWrap/>
            <w:hideMark/>
          </w:tcPr>
          <w:p w14:paraId="1F44840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0.123</w:t>
            </w:r>
          </w:p>
        </w:tc>
        <w:tc>
          <w:tcPr>
            <w:tcW w:w="417" w:type="pct"/>
            <w:noWrap/>
            <w:hideMark/>
          </w:tcPr>
          <w:p w14:paraId="22894D2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0.105</w:t>
            </w:r>
          </w:p>
        </w:tc>
        <w:tc>
          <w:tcPr>
            <w:tcW w:w="417" w:type="pct"/>
            <w:noWrap/>
            <w:hideMark/>
          </w:tcPr>
          <w:p w14:paraId="0861470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0.117</w:t>
            </w:r>
          </w:p>
        </w:tc>
      </w:tr>
      <w:tr w:rsidR="00664A03" w:rsidRPr="00E805AD" w14:paraId="74928274" w14:textId="77777777" w:rsidTr="00664A03">
        <w:trPr>
          <w:trHeight w:val="300"/>
        </w:trPr>
        <w:tc>
          <w:tcPr>
            <w:tcW w:w="930" w:type="pct"/>
            <w:noWrap/>
            <w:hideMark/>
          </w:tcPr>
          <w:p w14:paraId="0356814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Working Capital Ratio</w:t>
            </w:r>
          </w:p>
        </w:tc>
        <w:tc>
          <w:tcPr>
            <w:tcW w:w="1987" w:type="pct"/>
            <w:noWrap/>
            <w:hideMark/>
          </w:tcPr>
          <w:p w14:paraId="28AB342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(Current Assets - Current Liabilities) / Current Liabilities</w:t>
            </w:r>
          </w:p>
        </w:tc>
        <w:tc>
          <w:tcPr>
            <w:tcW w:w="417" w:type="pct"/>
            <w:noWrap/>
            <w:hideMark/>
          </w:tcPr>
          <w:p w14:paraId="4AFC731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-0.990</w:t>
            </w:r>
          </w:p>
        </w:tc>
        <w:tc>
          <w:tcPr>
            <w:tcW w:w="417" w:type="pct"/>
            <w:noWrap/>
            <w:hideMark/>
          </w:tcPr>
          <w:p w14:paraId="51D818A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-0.991</w:t>
            </w:r>
          </w:p>
        </w:tc>
        <w:tc>
          <w:tcPr>
            <w:tcW w:w="417" w:type="pct"/>
            <w:noWrap/>
            <w:hideMark/>
          </w:tcPr>
          <w:p w14:paraId="6A370D6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-0.990</w:t>
            </w:r>
          </w:p>
        </w:tc>
        <w:tc>
          <w:tcPr>
            <w:tcW w:w="417" w:type="pct"/>
            <w:noWrap/>
            <w:hideMark/>
          </w:tcPr>
          <w:p w14:paraId="5D09BB2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-0.989</w:t>
            </w:r>
          </w:p>
        </w:tc>
        <w:tc>
          <w:tcPr>
            <w:tcW w:w="417" w:type="pct"/>
            <w:noWrap/>
            <w:hideMark/>
          </w:tcPr>
          <w:p w14:paraId="595D8A6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-0.988</w:t>
            </w:r>
          </w:p>
        </w:tc>
      </w:tr>
    </w:tbl>
    <w:p w14:paraId="25847FC9" w14:textId="77777777" w:rsidR="00664A03" w:rsidRPr="00E805AD" w:rsidRDefault="00664A03" w:rsidP="00E805AD">
      <w:pPr>
        <w:spacing w:after="240" w:line="360" w:lineRule="auto"/>
        <w:jc w:val="both"/>
        <w:rPr>
          <w:rFonts w:eastAsia="Times New Roman"/>
          <w:sz w:val="24"/>
          <w:szCs w:val="24"/>
        </w:rPr>
      </w:pPr>
    </w:p>
    <w:p w14:paraId="06760ACF" w14:textId="782F5D43"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4C19BD10" wp14:editId="1276F40B">
            <wp:extent cx="4572000" cy="2743200"/>
            <wp:effectExtent l="0" t="0" r="0" b="0"/>
            <wp:docPr id="1213125983" name="Chart 1">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96D58141-3209-D4FE-2C00-C71E651C23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tbl>
      <w:tblPr>
        <w:tblStyle w:val="TableGrid"/>
        <w:tblW w:w="5000" w:type="pct"/>
        <w:tblLook w:val="04A0" w:firstRow="1" w:lastRow="0" w:firstColumn="1" w:lastColumn="0" w:noHBand="0" w:noVBand="1"/>
      </w:tblPr>
      <w:tblGrid>
        <w:gridCol w:w="2237"/>
        <w:gridCol w:w="3042"/>
        <w:gridCol w:w="748"/>
        <w:gridCol w:w="748"/>
        <w:gridCol w:w="748"/>
        <w:gridCol w:w="748"/>
        <w:gridCol w:w="748"/>
      </w:tblGrid>
      <w:tr w:rsidR="00664A03" w:rsidRPr="00E805AD" w14:paraId="06446020" w14:textId="77777777" w:rsidTr="00664A03">
        <w:trPr>
          <w:trHeight w:val="300"/>
        </w:trPr>
        <w:tc>
          <w:tcPr>
            <w:tcW w:w="1066" w:type="pct"/>
            <w:noWrap/>
            <w:hideMark/>
          </w:tcPr>
          <w:p w14:paraId="477C57BC"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C. Efficiency Ratios</w:t>
            </w:r>
          </w:p>
        </w:tc>
        <w:tc>
          <w:tcPr>
            <w:tcW w:w="1544" w:type="pct"/>
            <w:noWrap/>
            <w:hideMark/>
          </w:tcPr>
          <w:p w14:paraId="083E972D"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78" w:type="pct"/>
            <w:noWrap/>
            <w:hideMark/>
          </w:tcPr>
          <w:p w14:paraId="643A3E96"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78" w:type="pct"/>
            <w:noWrap/>
            <w:hideMark/>
          </w:tcPr>
          <w:p w14:paraId="297FE4E6"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78" w:type="pct"/>
            <w:noWrap/>
            <w:hideMark/>
          </w:tcPr>
          <w:p w14:paraId="2A7D0E51"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78" w:type="pct"/>
            <w:noWrap/>
            <w:hideMark/>
          </w:tcPr>
          <w:p w14:paraId="1A9B0D33"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78" w:type="pct"/>
            <w:noWrap/>
            <w:hideMark/>
          </w:tcPr>
          <w:p w14:paraId="495613D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1EA8943B" w14:textId="77777777" w:rsidTr="00664A03">
        <w:trPr>
          <w:trHeight w:val="300"/>
        </w:trPr>
        <w:tc>
          <w:tcPr>
            <w:tcW w:w="1066" w:type="pct"/>
            <w:noWrap/>
            <w:hideMark/>
          </w:tcPr>
          <w:p w14:paraId="08285B82"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Asset Turnover</w:t>
            </w:r>
          </w:p>
        </w:tc>
        <w:tc>
          <w:tcPr>
            <w:tcW w:w="1544" w:type="pct"/>
            <w:noWrap/>
            <w:hideMark/>
          </w:tcPr>
          <w:p w14:paraId="0F4B405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 / Total Assets</w:t>
            </w:r>
          </w:p>
        </w:tc>
        <w:tc>
          <w:tcPr>
            <w:tcW w:w="478" w:type="pct"/>
            <w:noWrap/>
            <w:hideMark/>
          </w:tcPr>
          <w:p w14:paraId="54EF8F8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0.63</w:t>
            </w:r>
          </w:p>
        </w:tc>
        <w:tc>
          <w:tcPr>
            <w:tcW w:w="478" w:type="pct"/>
            <w:noWrap/>
            <w:hideMark/>
          </w:tcPr>
          <w:p w14:paraId="05625D6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0.97</w:t>
            </w:r>
          </w:p>
        </w:tc>
        <w:tc>
          <w:tcPr>
            <w:tcW w:w="478" w:type="pct"/>
            <w:noWrap/>
            <w:hideMark/>
          </w:tcPr>
          <w:p w14:paraId="29A5073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1.06</w:t>
            </w:r>
          </w:p>
        </w:tc>
        <w:tc>
          <w:tcPr>
            <w:tcW w:w="478" w:type="pct"/>
            <w:noWrap/>
            <w:hideMark/>
          </w:tcPr>
          <w:p w14:paraId="3B128C9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1.11</w:t>
            </w:r>
          </w:p>
        </w:tc>
        <w:tc>
          <w:tcPr>
            <w:tcW w:w="478" w:type="pct"/>
            <w:noWrap/>
            <w:hideMark/>
          </w:tcPr>
          <w:p w14:paraId="51A76A5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1.09</w:t>
            </w:r>
          </w:p>
        </w:tc>
      </w:tr>
      <w:tr w:rsidR="00664A03" w:rsidRPr="00E805AD" w14:paraId="17F32626" w14:textId="77777777" w:rsidTr="00664A03">
        <w:trPr>
          <w:trHeight w:val="300"/>
        </w:trPr>
        <w:tc>
          <w:tcPr>
            <w:tcW w:w="1066" w:type="pct"/>
            <w:noWrap/>
            <w:hideMark/>
          </w:tcPr>
          <w:p w14:paraId="444B6D7B"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 Turnover</w:t>
            </w:r>
          </w:p>
        </w:tc>
        <w:tc>
          <w:tcPr>
            <w:tcW w:w="1544" w:type="pct"/>
            <w:noWrap/>
            <w:hideMark/>
          </w:tcPr>
          <w:p w14:paraId="1CB3DD8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 / Receivables</w:t>
            </w:r>
          </w:p>
        </w:tc>
        <w:tc>
          <w:tcPr>
            <w:tcW w:w="478" w:type="pct"/>
            <w:noWrap/>
            <w:hideMark/>
          </w:tcPr>
          <w:p w14:paraId="3B474A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9.95</w:t>
            </w:r>
          </w:p>
        </w:tc>
        <w:tc>
          <w:tcPr>
            <w:tcW w:w="478" w:type="pct"/>
            <w:noWrap/>
            <w:hideMark/>
          </w:tcPr>
          <w:p w14:paraId="38F6A0E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40.97</w:t>
            </w:r>
          </w:p>
        </w:tc>
        <w:tc>
          <w:tcPr>
            <w:tcW w:w="478" w:type="pct"/>
            <w:noWrap/>
            <w:hideMark/>
          </w:tcPr>
          <w:p w14:paraId="6886B87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70.16</w:t>
            </w:r>
          </w:p>
        </w:tc>
        <w:tc>
          <w:tcPr>
            <w:tcW w:w="478" w:type="pct"/>
            <w:noWrap/>
            <w:hideMark/>
          </w:tcPr>
          <w:p w14:paraId="135FC08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63.38</w:t>
            </w:r>
          </w:p>
        </w:tc>
        <w:tc>
          <w:tcPr>
            <w:tcW w:w="478" w:type="pct"/>
            <w:noWrap/>
            <w:hideMark/>
          </w:tcPr>
          <w:p w14:paraId="5B6A4C0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73.15</w:t>
            </w:r>
          </w:p>
        </w:tc>
      </w:tr>
      <w:tr w:rsidR="00664A03" w:rsidRPr="00E805AD" w14:paraId="6DD5DCD1" w14:textId="77777777" w:rsidTr="00664A03">
        <w:trPr>
          <w:trHeight w:val="300"/>
        </w:trPr>
        <w:tc>
          <w:tcPr>
            <w:tcW w:w="1066" w:type="pct"/>
            <w:noWrap/>
            <w:hideMark/>
          </w:tcPr>
          <w:p w14:paraId="660B3A79"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 Days</w:t>
            </w:r>
          </w:p>
        </w:tc>
        <w:tc>
          <w:tcPr>
            <w:tcW w:w="1544" w:type="pct"/>
            <w:noWrap/>
            <w:hideMark/>
          </w:tcPr>
          <w:p w14:paraId="57CF1669"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(Receivables / Revenue) *365</w:t>
            </w:r>
          </w:p>
        </w:tc>
        <w:tc>
          <w:tcPr>
            <w:tcW w:w="478" w:type="pct"/>
            <w:noWrap/>
            <w:hideMark/>
          </w:tcPr>
          <w:p w14:paraId="3E9BADE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36.69</w:t>
            </w:r>
          </w:p>
        </w:tc>
        <w:tc>
          <w:tcPr>
            <w:tcW w:w="478" w:type="pct"/>
            <w:noWrap/>
            <w:hideMark/>
          </w:tcPr>
          <w:p w14:paraId="756B8F7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8.91</w:t>
            </w:r>
          </w:p>
        </w:tc>
        <w:tc>
          <w:tcPr>
            <w:tcW w:w="478" w:type="pct"/>
            <w:noWrap/>
            <w:hideMark/>
          </w:tcPr>
          <w:p w14:paraId="3A6BE7E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5.20</w:t>
            </w:r>
          </w:p>
        </w:tc>
        <w:tc>
          <w:tcPr>
            <w:tcW w:w="478" w:type="pct"/>
            <w:noWrap/>
            <w:hideMark/>
          </w:tcPr>
          <w:p w14:paraId="58AC65C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5.76</w:t>
            </w:r>
          </w:p>
        </w:tc>
        <w:tc>
          <w:tcPr>
            <w:tcW w:w="478" w:type="pct"/>
            <w:noWrap/>
            <w:hideMark/>
          </w:tcPr>
          <w:p w14:paraId="68C878F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4.99</w:t>
            </w:r>
          </w:p>
        </w:tc>
      </w:tr>
      <w:tr w:rsidR="00664A03" w:rsidRPr="00E805AD" w14:paraId="4E4BE884" w14:textId="77777777" w:rsidTr="00664A03">
        <w:trPr>
          <w:trHeight w:val="300"/>
        </w:trPr>
        <w:tc>
          <w:tcPr>
            <w:tcW w:w="1066" w:type="pct"/>
            <w:noWrap/>
            <w:hideMark/>
          </w:tcPr>
          <w:p w14:paraId="40854180"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Fixed Asset Turnover</w:t>
            </w:r>
          </w:p>
        </w:tc>
        <w:tc>
          <w:tcPr>
            <w:tcW w:w="1544" w:type="pct"/>
            <w:noWrap/>
            <w:hideMark/>
          </w:tcPr>
          <w:p w14:paraId="532EA3D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 / PP&amp;E</w:t>
            </w:r>
          </w:p>
        </w:tc>
        <w:tc>
          <w:tcPr>
            <w:tcW w:w="478" w:type="pct"/>
            <w:noWrap/>
            <w:hideMark/>
          </w:tcPr>
          <w:p w14:paraId="3F504ED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3.82</w:t>
            </w:r>
          </w:p>
        </w:tc>
        <w:tc>
          <w:tcPr>
            <w:tcW w:w="478" w:type="pct"/>
            <w:noWrap/>
            <w:hideMark/>
          </w:tcPr>
          <w:p w14:paraId="06EE535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6.27</w:t>
            </w:r>
          </w:p>
        </w:tc>
        <w:tc>
          <w:tcPr>
            <w:tcW w:w="478" w:type="pct"/>
            <w:noWrap/>
            <w:hideMark/>
          </w:tcPr>
          <w:p w14:paraId="00012A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7.16</w:t>
            </w:r>
          </w:p>
        </w:tc>
        <w:tc>
          <w:tcPr>
            <w:tcW w:w="478" w:type="pct"/>
            <w:noWrap/>
            <w:hideMark/>
          </w:tcPr>
          <w:p w14:paraId="47BE785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7.20</w:t>
            </w:r>
          </w:p>
        </w:tc>
        <w:tc>
          <w:tcPr>
            <w:tcW w:w="478" w:type="pct"/>
            <w:noWrap/>
            <w:hideMark/>
          </w:tcPr>
          <w:p w14:paraId="711BB06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7.31</w:t>
            </w:r>
          </w:p>
        </w:tc>
      </w:tr>
    </w:tbl>
    <w:p w14:paraId="14A762BC" w14:textId="77777777" w:rsidR="00664A03" w:rsidRPr="00E805AD" w:rsidRDefault="00664A03" w:rsidP="00E805AD">
      <w:pPr>
        <w:spacing w:after="240" w:line="360" w:lineRule="auto"/>
        <w:jc w:val="both"/>
        <w:rPr>
          <w:rFonts w:eastAsia="Times New Roman"/>
          <w:sz w:val="24"/>
          <w:szCs w:val="24"/>
        </w:rPr>
      </w:pPr>
    </w:p>
    <w:p w14:paraId="1ED2711D" w14:textId="0E2B0AF3"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244FD363" wp14:editId="256D3EE7">
            <wp:extent cx="4572000" cy="2743200"/>
            <wp:effectExtent l="0" t="0" r="0" b="0"/>
            <wp:docPr id="63402065" name="Chart 1">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DEDED4FE-AE36-CD5E-17B0-BB56849760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tbl>
      <w:tblPr>
        <w:tblStyle w:val="TableGrid"/>
        <w:tblW w:w="5000" w:type="pct"/>
        <w:tblLook w:val="04A0" w:firstRow="1" w:lastRow="0" w:firstColumn="1" w:lastColumn="0" w:noHBand="0" w:noVBand="1"/>
      </w:tblPr>
      <w:tblGrid>
        <w:gridCol w:w="2996"/>
        <w:gridCol w:w="2893"/>
        <w:gridCol w:w="626"/>
        <w:gridCol w:w="626"/>
        <w:gridCol w:w="626"/>
        <w:gridCol w:w="626"/>
        <w:gridCol w:w="626"/>
      </w:tblGrid>
      <w:tr w:rsidR="00664A03" w:rsidRPr="00E805AD" w14:paraId="736A890C" w14:textId="77777777" w:rsidTr="00664A03">
        <w:trPr>
          <w:trHeight w:val="300"/>
        </w:trPr>
        <w:tc>
          <w:tcPr>
            <w:tcW w:w="1289" w:type="pct"/>
            <w:noWrap/>
            <w:hideMark/>
          </w:tcPr>
          <w:p w14:paraId="11B12DD1"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D. Gearing Ratios</w:t>
            </w:r>
          </w:p>
        </w:tc>
        <w:tc>
          <w:tcPr>
            <w:tcW w:w="1457" w:type="pct"/>
            <w:noWrap/>
            <w:hideMark/>
          </w:tcPr>
          <w:p w14:paraId="553764D8"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51" w:type="pct"/>
            <w:noWrap/>
            <w:hideMark/>
          </w:tcPr>
          <w:p w14:paraId="49249BF8"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51" w:type="pct"/>
            <w:noWrap/>
            <w:hideMark/>
          </w:tcPr>
          <w:p w14:paraId="1C804958"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51" w:type="pct"/>
            <w:noWrap/>
            <w:hideMark/>
          </w:tcPr>
          <w:p w14:paraId="008A7D0E"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51" w:type="pct"/>
            <w:noWrap/>
            <w:hideMark/>
          </w:tcPr>
          <w:p w14:paraId="5BEC2B8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51" w:type="pct"/>
            <w:noWrap/>
            <w:hideMark/>
          </w:tcPr>
          <w:p w14:paraId="0E4E7852"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0DE2C394" w14:textId="77777777" w:rsidTr="00664A03">
        <w:trPr>
          <w:trHeight w:val="300"/>
        </w:trPr>
        <w:tc>
          <w:tcPr>
            <w:tcW w:w="1289" w:type="pct"/>
            <w:noWrap/>
            <w:hideMark/>
          </w:tcPr>
          <w:p w14:paraId="5918987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Equity Ratio</w:t>
            </w:r>
          </w:p>
        </w:tc>
        <w:tc>
          <w:tcPr>
            <w:tcW w:w="1457" w:type="pct"/>
            <w:noWrap/>
            <w:hideMark/>
          </w:tcPr>
          <w:p w14:paraId="1F9D872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Equity / Total Assets</w:t>
            </w:r>
          </w:p>
        </w:tc>
        <w:tc>
          <w:tcPr>
            <w:tcW w:w="451" w:type="pct"/>
            <w:noWrap/>
            <w:hideMark/>
          </w:tcPr>
          <w:p w14:paraId="795714B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0.29</w:t>
            </w:r>
          </w:p>
        </w:tc>
        <w:tc>
          <w:tcPr>
            <w:tcW w:w="451" w:type="pct"/>
            <w:noWrap/>
            <w:hideMark/>
          </w:tcPr>
          <w:p w14:paraId="1CC3CFF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0.34</w:t>
            </w:r>
          </w:p>
        </w:tc>
        <w:tc>
          <w:tcPr>
            <w:tcW w:w="451" w:type="pct"/>
            <w:noWrap/>
            <w:hideMark/>
          </w:tcPr>
          <w:p w14:paraId="1F0DCB7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0.35</w:t>
            </w:r>
          </w:p>
        </w:tc>
        <w:tc>
          <w:tcPr>
            <w:tcW w:w="451" w:type="pct"/>
            <w:noWrap/>
            <w:hideMark/>
          </w:tcPr>
          <w:p w14:paraId="6F4439F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0.38</w:t>
            </w:r>
          </w:p>
        </w:tc>
        <w:tc>
          <w:tcPr>
            <w:tcW w:w="451" w:type="pct"/>
            <w:noWrap/>
            <w:hideMark/>
          </w:tcPr>
          <w:p w14:paraId="276FFA5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0.35</w:t>
            </w:r>
          </w:p>
        </w:tc>
      </w:tr>
      <w:tr w:rsidR="00664A03" w:rsidRPr="00E805AD" w14:paraId="7A9875BA" w14:textId="77777777" w:rsidTr="00664A03">
        <w:trPr>
          <w:trHeight w:val="315"/>
        </w:trPr>
        <w:tc>
          <w:tcPr>
            <w:tcW w:w="1289" w:type="pct"/>
            <w:noWrap/>
            <w:hideMark/>
          </w:tcPr>
          <w:p w14:paraId="4F75C98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Financial Leverage</w:t>
            </w:r>
          </w:p>
        </w:tc>
        <w:tc>
          <w:tcPr>
            <w:tcW w:w="1457" w:type="pct"/>
            <w:noWrap/>
            <w:hideMark/>
          </w:tcPr>
          <w:p w14:paraId="74C1F65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Assets / Equity</w:t>
            </w:r>
          </w:p>
        </w:tc>
        <w:tc>
          <w:tcPr>
            <w:tcW w:w="451" w:type="pct"/>
            <w:noWrap/>
            <w:hideMark/>
          </w:tcPr>
          <w:p w14:paraId="5013884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3.42</w:t>
            </w:r>
          </w:p>
        </w:tc>
        <w:tc>
          <w:tcPr>
            <w:tcW w:w="451" w:type="pct"/>
            <w:noWrap/>
            <w:hideMark/>
          </w:tcPr>
          <w:p w14:paraId="1860A3A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2.93</w:t>
            </w:r>
          </w:p>
        </w:tc>
        <w:tc>
          <w:tcPr>
            <w:tcW w:w="451" w:type="pct"/>
            <w:noWrap/>
            <w:hideMark/>
          </w:tcPr>
          <w:p w14:paraId="4E73018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2.88</w:t>
            </w:r>
          </w:p>
        </w:tc>
        <w:tc>
          <w:tcPr>
            <w:tcW w:w="451" w:type="pct"/>
            <w:noWrap/>
            <w:hideMark/>
          </w:tcPr>
          <w:p w14:paraId="2D0F6DC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2.62</w:t>
            </w:r>
          </w:p>
        </w:tc>
        <w:tc>
          <w:tcPr>
            <w:tcW w:w="451" w:type="pct"/>
            <w:noWrap/>
            <w:hideMark/>
          </w:tcPr>
          <w:p w14:paraId="43F3C9F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2.85</w:t>
            </w:r>
          </w:p>
        </w:tc>
      </w:tr>
      <w:tr w:rsidR="00664A03" w:rsidRPr="00E805AD" w14:paraId="005CCD70" w14:textId="77777777" w:rsidTr="00664A03">
        <w:trPr>
          <w:trHeight w:val="300"/>
        </w:trPr>
        <w:tc>
          <w:tcPr>
            <w:tcW w:w="1289" w:type="pct"/>
            <w:noWrap/>
            <w:hideMark/>
          </w:tcPr>
          <w:p w14:paraId="45E94EB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Long-Term Assets to Total Assets</w:t>
            </w:r>
          </w:p>
        </w:tc>
        <w:tc>
          <w:tcPr>
            <w:tcW w:w="1457" w:type="pct"/>
            <w:noWrap/>
            <w:hideMark/>
          </w:tcPr>
          <w:p w14:paraId="227D9CE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Long-Term Assets / Total Assets</w:t>
            </w:r>
          </w:p>
        </w:tc>
        <w:tc>
          <w:tcPr>
            <w:tcW w:w="451" w:type="pct"/>
            <w:noWrap/>
            <w:hideMark/>
          </w:tcPr>
          <w:p w14:paraId="47F9C66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543E226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6EB9DAD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6B0CA69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5F5FFC3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r>
    </w:tbl>
    <w:p w14:paraId="16A074F6" w14:textId="77777777" w:rsidR="00664A03" w:rsidRPr="00E805AD" w:rsidRDefault="00664A03" w:rsidP="00E805AD">
      <w:pPr>
        <w:spacing w:after="240" w:line="360" w:lineRule="auto"/>
        <w:jc w:val="both"/>
        <w:rPr>
          <w:rFonts w:eastAsia="Times New Roman"/>
          <w:sz w:val="24"/>
          <w:szCs w:val="24"/>
        </w:rPr>
      </w:pPr>
    </w:p>
    <w:p w14:paraId="1B1D24C1" w14:textId="3992C1C1"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4E1FDCCF" wp14:editId="3766C6EB">
            <wp:extent cx="4572000" cy="2743200"/>
            <wp:effectExtent l="0" t="0" r="0" b="0"/>
            <wp:docPr id="1771713581" name="Chart 1">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F2F3211E-9C5A-23A4-38D4-CD81E963B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tbl>
      <w:tblPr>
        <w:tblStyle w:val="TableGrid"/>
        <w:tblW w:w="5000" w:type="pct"/>
        <w:tblLook w:val="04A0" w:firstRow="1" w:lastRow="0" w:firstColumn="1" w:lastColumn="0" w:noHBand="0" w:noVBand="1"/>
      </w:tblPr>
      <w:tblGrid>
        <w:gridCol w:w="2522"/>
        <w:gridCol w:w="3164"/>
        <w:gridCol w:w="660"/>
        <w:gridCol w:w="660"/>
        <w:gridCol w:w="671"/>
        <w:gridCol w:w="671"/>
        <w:gridCol w:w="671"/>
      </w:tblGrid>
      <w:tr w:rsidR="00664A03" w:rsidRPr="00E805AD" w14:paraId="7F07B6A8" w14:textId="77777777" w:rsidTr="00664A03">
        <w:trPr>
          <w:trHeight w:val="300"/>
        </w:trPr>
        <w:tc>
          <w:tcPr>
            <w:tcW w:w="1066" w:type="pct"/>
            <w:noWrap/>
            <w:hideMark/>
          </w:tcPr>
          <w:p w14:paraId="577335EF"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E. Investment Ratios</w:t>
            </w:r>
          </w:p>
        </w:tc>
        <w:tc>
          <w:tcPr>
            <w:tcW w:w="1544" w:type="pct"/>
            <w:noWrap/>
            <w:hideMark/>
          </w:tcPr>
          <w:p w14:paraId="79E8FC25"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78" w:type="pct"/>
            <w:noWrap/>
            <w:hideMark/>
          </w:tcPr>
          <w:p w14:paraId="7A1E0DF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78" w:type="pct"/>
            <w:noWrap/>
            <w:hideMark/>
          </w:tcPr>
          <w:p w14:paraId="6E0B1772"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78" w:type="pct"/>
            <w:noWrap/>
            <w:hideMark/>
          </w:tcPr>
          <w:p w14:paraId="3A8F5259"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78" w:type="pct"/>
            <w:noWrap/>
            <w:hideMark/>
          </w:tcPr>
          <w:p w14:paraId="2756E36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78" w:type="pct"/>
            <w:noWrap/>
            <w:hideMark/>
          </w:tcPr>
          <w:p w14:paraId="4B5E62F9"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7FEDF92A" w14:textId="77777777" w:rsidTr="00664A03">
        <w:trPr>
          <w:trHeight w:val="300"/>
        </w:trPr>
        <w:tc>
          <w:tcPr>
            <w:tcW w:w="1066" w:type="pct"/>
            <w:noWrap/>
            <w:hideMark/>
          </w:tcPr>
          <w:p w14:paraId="65F740D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Earnings per Share (EPS)</w:t>
            </w:r>
          </w:p>
        </w:tc>
        <w:tc>
          <w:tcPr>
            <w:tcW w:w="1544" w:type="pct"/>
            <w:noWrap/>
            <w:hideMark/>
          </w:tcPr>
          <w:p w14:paraId="597E8072"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Shares Outstanding</w:t>
            </w:r>
          </w:p>
        </w:tc>
        <w:tc>
          <w:tcPr>
            <w:tcW w:w="478" w:type="pct"/>
            <w:noWrap/>
            <w:hideMark/>
          </w:tcPr>
          <w:p w14:paraId="65126C2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0.78</w:t>
            </w:r>
          </w:p>
        </w:tc>
        <w:tc>
          <w:tcPr>
            <w:tcW w:w="478" w:type="pct"/>
            <w:noWrap/>
            <w:hideMark/>
          </w:tcPr>
          <w:p w14:paraId="0ECD079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4.15</w:t>
            </w:r>
          </w:p>
        </w:tc>
        <w:tc>
          <w:tcPr>
            <w:tcW w:w="478" w:type="pct"/>
            <w:noWrap/>
            <w:hideMark/>
          </w:tcPr>
          <w:p w14:paraId="6AA8EE6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-4.52</w:t>
            </w:r>
          </w:p>
        </w:tc>
        <w:tc>
          <w:tcPr>
            <w:tcW w:w="478" w:type="pct"/>
            <w:noWrap/>
            <w:hideMark/>
          </w:tcPr>
          <w:p w14:paraId="6DCE578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-0.79</w:t>
            </w:r>
          </w:p>
        </w:tc>
        <w:tc>
          <w:tcPr>
            <w:tcW w:w="478" w:type="pct"/>
            <w:noWrap/>
            <w:hideMark/>
          </w:tcPr>
          <w:p w14:paraId="2001CBA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-0.69</w:t>
            </w:r>
          </w:p>
        </w:tc>
      </w:tr>
    </w:tbl>
    <w:p w14:paraId="3574692C" w14:textId="77777777" w:rsidR="00664A03" w:rsidRPr="00E805AD" w:rsidRDefault="00664A03" w:rsidP="00E805AD">
      <w:pPr>
        <w:spacing w:after="240" w:line="360" w:lineRule="auto"/>
        <w:jc w:val="both"/>
        <w:rPr>
          <w:rFonts w:eastAsia="Times New Roman"/>
          <w:sz w:val="24"/>
          <w:szCs w:val="24"/>
        </w:rPr>
      </w:pPr>
    </w:p>
    <w:p w14:paraId="634A2F95" w14:textId="43B75357"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drawing>
          <wp:inline distT="0" distB="0" distL="0" distR="0" wp14:anchorId="6B050FD6" wp14:editId="3C3D7FC6">
            <wp:extent cx="4572000" cy="2743200"/>
            <wp:effectExtent l="0" t="0" r="0" b="0"/>
            <wp:docPr id="1850885571" name="Chart 1">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42785EEE-5339-3D59-7835-18D6F69D11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tbl>
      <w:tblPr>
        <w:tblStyle w:val="TableGrid"/>
        <w:tblW w:w="5000" w:type="pct"/>
        <w:tblLook w:val="04A0" w:firstRow="1" w:lastRow="0" w:firstColumn="1" w:lastColumn="0" w:noHBand="0" w:noVBand="1"/>
      </w:tblPr>
      <w:tblGrid>
        <w:gridCol w:w="3075"/>
        <w:gridCol w:w="2569"/>
        <w:gridCol w:w="675"/>
        <w:gridCol w:w="675"/>
        <w:gridCol w:w="675"/>
        <w:gridCol w:w="675"/>
        <w:gridCol w:w="675"/>
      </w:tblGrid>
      <w:tr w:rsidR="00664A03" w:rsidRPr="00E805AD" w14:paraId="096F3378" w14:textId="77777777" w:rsidTr="00664A03">
        <w:trPr>
          <w:trHeight w:val="300"/>
        </w:trPr>
        <w:tc>
          <w:tcPr>
            <w:tcW w:w="1228" w:type="pct"/>
            <w:noWrap/>
            <w:hideMark/>
          </w:tcPr>
          <w:p w14:paraId="221FCD79"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 Cash Flow Ratios</w:t>
            </w:r>
          </w:p>
        </w:tc>
        <w:tc>
          <w:tcPr>
            <w:tcW w:w="1480" w:type="pct"/>
            <w:noWrap/>
            <w:hideMark/>
          </w:tcPr>
          <w:p w14:paraId="391A575A"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58" w:type="pct"/>
            <w:noWrap/>
            <w:hideMark/>
          </w:tcPr>
          <w:p w14:paraId="4295DA9B"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58" w:type="pct"/>
            <w:noWrap/>
            <w:hideMark/>
          </w:tcPr>
          <w:p w14:paraId="09F04E0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58" w:type="pct"/>
            <w:noWrap/>
            <w:hideMark/>
          </w:tcPr>
          <w:p w14:paraId="62EDC3E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58" w:type="pct"/>
            <w:noWrap/>
            <w:hideMark/>
          </w:tcPr>
          <w:p w14:paraId="56811D3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58" w:type="pct"/>
            <w:noWrap/>
            <w:hideMark/>
          </w:tcPr>
          <w:p w14:paraId="324B2FA2"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4F0FAD17" w14:textId="77777777" w:rsidTr="00664A03">
        <w:trPr>
          <w:trHeight w:val="300"/>
        </w:trPr>
        <w:tc>
          <w:tcPr>
            <w:tcW w:w="1228" w:type="pct"/>
            <w:noWrap/>
            <w:hideMark/>
          </w:tcPr>
          <w:p w14:paraId="0A163F5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Operating Cash Flow Margin</w:t>
            </w:r>
          </w:p>
        </w:tc>
        <w:tc>
          <w:tcPr>
            <w:tcW w:w="1480" w:type="pct"/>
            <w:noWrap/>
            <w:hideMark/>
          </w:tcPr>
          <w:p w14:paraId="1289922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CFO / Revenue</w:t>
            </w:r>
          </w:p>
        </w:tc>
        <w:tc>
          <w:tcPr>
            <w:tcW w:w="458" w:type="pct"/>
            <w:noWrap/>
            <w:hideMark/>
          </w:tcPr>
          <w:p w14:paraId="42B9957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w:t>
            </w:r>
          </w:p>
        </w:tc>
        <w:tc>
          <w:tcPr>
            <w:tcW w:w="458" w:type="pct"/>
            <w:noWrap/>
            <w:hideMark/>
          </w:tcPr>
          <w:p w14:paraId="64A7331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58" w:type="pct"/>
            <w:noWrap/>
            <w:hideMark/>
          </w:tcPr>
          <w:p w14:paraId="7D60032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58" w:type="pct"/>
            <w:noWrap/>
            <w:hideMark/>
          </w:tcPr>
          <w:p w14:paraId="6765A41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58" w:type="pct"/>
            <w:noWrap/>
            <w:hideMark/>
          </w:tcPr>
          <w:p w14:paraId="4154034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r>
      <w:tr w:rsidR="00664A03" w:rsidRPr="00E805AD" w14:paraId="7434D394" w14:textId="77777777" w:rsidTr="00664A03">
        <w:trPr>
          <w:trHeight w:val="300"/>
        </w:trPr>
        <w:tc>
          <w:tcPr>
            <w:tcW w:w="1228" w:type="pct"/>
            <w:noWrap/>
            <w:hideMark/>
          </w:tcPr>
          <w:p w14:paraId="27701875"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Operating Cash Flow to Assets</w:t>
            </w:r>
          </w:p>
        </w:tc>
        <w:tc>
          <w:tcPr>
            <w:tcW w:w="1480" w:type="pct"/>
            <w:noWrap/>
            <w:hideMark/>
          </w:tcPr>
          <w:p w14:paraId="126716D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CFO / Total Assets</w:t>
            </w:r>
          </w:p>
        </w:tc>
        <w:tc>
          <w:tcPr>
            <w:tcW w:w="458" w:type="pct"/>
            <w:noWrap/>
            <w:hideMark/>
          </w:tcPr>
          <w:p w14:paraId="17E359B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0.05</w:t>
            </w:r>
          </w:p>
        </w:tc>
        <w:tc>
          <w:tcPr>
            <w:tcW w:w="458" w:type="pct"/>
            <w:noWrap/>
            <w:hideMark/>
          </w:tcPr>
          <w:p w14:paraId="07F5C31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58" w:type="pct"/>
            <w:noWrap/>
            <w:hideMark/>
          </w:tcPr>
          <w:p w14:paraId="7A4AC5C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0.14</w:t>
            </w:r>
          </w:p>
        </w:tc>
        <w:tc>
          <w:tcPr>
            <w:tcW w:w="458" w:type="pct"/>
            <w:noWrap/>
            <w:hideMark/>
          </w:tcPr>
          <w:p w14:paraId="2192AE3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c>
          <w:tcPr>
            <w:tcW w:w="458" w:type="pct"/>
            <w:noWrap/>
            <w:hideMark/>
          </w:tcPr>
          <w:p w14:paraId="1331AFE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r>
      <w:tr w:rsidR="00664A03" w:rsidRPr="00E805AD" w14:paraId="18960A35" w14:textId="77777777" w:rsidTr="00664A03">
        <w:trPr>
          <w:trHeight w:val="300"/>
        </w:trPr>
        <w:tc>
          <w:tcPr>
            <w:tcW w:w="1228" w:type="pct"/>
            <w:noWrap/>
            <w:hideMark/>
          </w:tcPr>
          <w:p w14:paraId="29A5BF3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Flow to Current Liabilities</w:t>
            </w:r>
          </w:p>
        </w:tc>
        <w:tc>
          <w:tcPr>
            <w:tcW w:w="1480" w:type="pct"/>
            <w:noWrap/>
            <w:hideMark/>
          </w:tcPr>
          <w:p w14:paraId="56A6655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CFO / Current Liabilities</w:t>
            </w:r>
          </w:p>
        </w:tc>
        <w:tc>
          <w:tcPr>
            <w:tcW w:w="458" w:type="pct"/>
            <w:noWrap/>
            <w:hideMark/>
          </w:tcPr>
          <w:p w14:paraId="488AC72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0.05</w:t>
            </w:r>
          </w:p>
        </w:tc>
        <w:tc>
          <w:tcPr>
            <w:tcW w:w="458" w:type="pct"/>
            <w:noWrap/>
            <w:hideMark/>
          </w:tcPr>
          <w:p w14:paraId="0F07B38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c>
          <w:tcPr>
            <w:tcW w:w="458" w:type="pct"/>
            <w:noWrap/>
            <w:hideMark/>
          </w:tcPr>
          <w:p w14:paraId="357F4C5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c>
          <w:tcPr>
            <w:tcW w:w="458" w:type="pct"/>
            <w:noWrap/>
            <w:hideMark/>
          </w:tcPr>
          <w:p w14:paraId="6FA14B1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c>
          <w:tcPr>
            <w:tcW w:w="458" w:type="pct"/>
            <w:noWrap/>
            <w:hideMark/>
          </w:tcPr>
          <w:p w14:paraId="19CAEA9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r>
      <w:tr w:rsidR="00664A03" w:rsidRPr="00E805AD" w14:paraId="5B4EA528" w14:textId="77777777" w:rsidTr="00664A03">
        <w:trPr>
          <w:trHeight w:val="300"/>
        </w:trPr>
        <w:tc>
          <w:tcPr>
            <w:tcW w:w="1228" w:type="pct"/>
            <w:noWrap/>
            <w:hideMark/>
          </w:tcPr>
          <w:p w14:paraId="4F124FF2"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Ratio</w:t>
            </w:r>
          </w:p>
        </w:tc>
        <w:tc>
          <w:tcPr>
            <w:tcW w:w="1480" w:type="pct"/>
            <w:noWrap/>
            <w:hideMark/>
          </w:tcPr>
          <w:p w14:paraId="0C91D5B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 Revenue</w:t>
            </w:r>
          </w:p>
        </w:tc>
        <w:tc>
          <w:tcPr>
            <w:tcW w:w="458" w:type="pct"/>
            <w:noWrap/>
            <w:hideMark/>
          </w:tcPr>
          <w:p w14:paraId="51C005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4E963E3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74DCC4C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5474E99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2433339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r>
    </w:tbl>
    <w:p w14:paraId="68B943DB" w14:textId="77777777" w:rsidR="00664A03" w:rsidRPr="00E805AD" w:rsidRDefault="00664A03" w:rsidP="00E805AD">
      <w:pPr>
        <w:spacing w:after="200" w:line="360" w:lineRule="auto"/>
        <w:jc w:val="both"/>
        <w:rPr>
          <w:rFonts w:eastAsia="Times New Roman"/>
          <w:sz w:val="24"/>
          <w:szCs w:val="24"/>
        </w:rPr>
      </w:pPr>
    </w:p>
    <w:p w14:paraId="24A0A3D6" w14:textId="51B0797E" w:rsidR="00E705F4" w:rsidRPr="00E805AD" w:rsidRDefault="00E705F4" w:rsidP="00E805AD">
      <w:pPr>
        <w:spacing w:after="200" w:line="360" w:lineRule="auto"/>
        <w:jc w:val="center"/>
        <w:rPr>
          <w:rFonts w:eastAsia="Times New Roman"/>
          <w:sz w:val="24"/>
          <w:szCs w:val="24"/>
        </w:rPr>
      </w:pPr>
      <w:r w:rsidRPr="00E805AD">
        <w:rPr>
          <w:noProof/>
          <w:lang w:val="en-IN" w:eastAsia="en-IN" w:bidi="hi-IN"/>
        </w:rPr>
        <w:drawing>
          <wp:inline distT="0" distB="0" distL="0" distR="0" wp14:anchorId="7A31A54C" wp14:editId="5D9F3C3C">
            <wp:extent cx="4572000" cy="2743200"/>
            <wp:effectExtent l="0" t="0" r="0" b="0"/>
            <wp:docPr id="1544901657" name="Chart 1">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9294927-FD0C-52D1-240B-52503C8CCC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2160C9AC" w14:textId="19257DF4" w:rsidR="00664A03" w:rsidRPr="00E805AD" w:rsidRDefault="00664A03" w:rsidP="00E805AD">
      <w:pPr>
        <w:spacing w:line="360" w:lineRule="auto"/>
        <w:rPr>
          <w:rFonts w:eastAsia="Times New Roman"/>
          <w:sz w:val="24"/>
          <w:szCs w:val="24"/>
        </w:rPr>
      </w:pPr>
      <w:r w:rsidRPr="00E805AD">
        <w:rPr>
          <w:rFonts w:eastAsia="Times New Roman"/>
          <w:sz w:val="24"/>
          <w:szCs w:val="24"/>
        </w:rPr>
        <w:br w:type="page"/>
      </w:r>
    </w:p>
    <w:p w14:paraId="4E5DA6C9" w14:textId="2DD3CF37" w:rsidR="00664A03" w:rsidRPr="00E805AD" w:rsidRDefault="00664A03" w:rsidP="00E805AD">
      <w:pPr>
        <w:pStyle w:val="Heading2"/>
      </w:pPr>
      <w:bookmarkStart w:id="27" w:name="_Toc234863830"/>
      <w:r w:rsidRPr="00E805AD">
        <w:lastRenderedPageBreak/>
        <w:t xml:space="preserve">Appendix B: </w:t>
      </w:r>
      <w:r w:rsidR="00CF29AB" w:rsidRPr="00E805AD">
        <w:t>Investment appraisal calculations</w:t>
      </w:r>
      <w:bookmarkEnd w:id="27"/>
    </w:p>
    <w:p w14:paraId="1260B97B" w14:textId="0854B9C8" w:rsidR="00CF29AB" w:rsidRPr="00E805AD" w:rsidRDefault="00CF29AB" w:rsidP="00E805AD">
      <w:pPr>
        <w:spacing w:after="240" w:line="360" w:lineRule="auto"/>
        <w:jc w:val="both"/>
        <w:rPr>
          <w:rFonts w:eastAsia="Times New Roman"/>
          <w:b/>
          <w:bCs/>
          <w:i/>
          <w:iCs/>
          <w:sz w:val="24"/>
          <w:szCs w:val="24"/>
        </w:rPr>
      </w:pPr>
      <w:r w:rsidRPr="00E805AD">
        <w:rPr>
          <w:rFonts w:eastAsia="Times New Roman"/>
          <w:b/>
          <w:bCs/>
          <w:i/>
          <w:iCs/>
          <w:sz w:val="24"/>
          <w:szCs w:val="24"/>
        </w:rPr>
        <w:t>Project A</w:t>
      </w:r>
    </w:p>
    <w:tbl>
      <w:tblPr>
        <w:tblW w:w="9080" w:type="dxa"/>
        <w:tblLook w:val="04A0" w:firstRow="1" w:lastRow="0" w:firstColumn="1" w:lastColumn="0" w:noHBand="0" w:noVBand="1"/>
      </w:tblPr>
      <w:tblGrid>
        <w:gridCol w:w="723"/>
        <w:gridCol w:w="1940"/>
        <w:gridCol w:w="2020"/>
        <w:gridCol w:w="1920"/>
        <w:gridCol w:w="2680"/>
      </w:tblGrid>
      <w:tr w:rsidR="00CF29AB" w:rsidRPr="00E805AD" w14:paraId="4BCF72DB" w14:textId="77777777" w:rsidTr="00CF29AB">
        <w:trPr>
          <w:trHeight w:val="300"/>
        </w:trPr>
        <w:tc>
          <w:tcPr>
            <w:tcW w:w="520" w:type="dxa"/>
            <w:tcBorders>
              <w:top w:val="single" w:sz="8" w:space="0" w:color="auto"/>
              <w:left w:val="single" w:sz="8" w:space="0" w:color="auto"/>
              <w:bottom w:val="single" w:sz="4" w:space="0" w:color="auto"/>
              <w:right w:val="single" w:sz="4" w:space="0" w:color="auto"/>
            </w:tcBorders>
            <w:noWrap/>
            <w:vAlign w:val="bottom"/>
            <w:hideMark/>
          </w:tcPr>
          <w:p w14:paraId="6C42228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Year</w:t>
            </w:r>
          </w:p>
        </w:tc>
        <w:tc>
          <w:tcPr>
            <w:tcW w:w="1940" w:type="dxa"/>
            <w:tcBorders>
              <w:top w:val="single" w:sz="8" w:space="0" w:color="auto"/>
              <w:left w:val="nil"/>
              <w:bottom w:val="single" w:sz="4" w:space="0" w:color="auto"/>
              <w:right w:val="single" w:sz="4" w:space="0" w:color="auto"/>
            </w:tcBorders>
            <w:noWrap/>
            <w:vAlign w:val="bottom"/>
            <w:hideMark/>
          </w:tcPr>
          <w:p w14:paraId="4032F71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(£m)</w:t>
            </w:r>
          </w:p>
        </w:tc>
        <w:tc>
          <w:tcPr>
            <w:tcW w:w="2020" w:type="dxa"/>
            <w:tcBorders>
              <w:top w:val="single" w:sz="8" w:space="0" w:color="auto"/>
              <w:left w:val="nil"/>
              <w:bottom w:val="single" w:sz="4" w:space="0" w:color="auto"/>
              <w:right w:val="single" w:sz="4" w:space="0" w:color="auto"/>
            </w:tcBorders>
            <w:noWrap/>
            <w:vAlign w:val="bottom"/>
            <w:hideMark/>
          </w:tcPr>
          <w:p w14:paraId="7E3D62F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Discount Factor (8%)</w:t>
            </w:r>
          </w:p>
        </w:tc>
        <w:tc>
          <w:tcPr>
            <w:tcW w:w="1920" w:type="dxa"/>
            <w:tcBorders>
              <w:top w:val="single" w:sz="8" w:space="0" w:color="auto"/>
              <w:left w:val="nil"/>
              <w:bottom w:val="single" w:sz="4" w:space="0" w:color="auto"/>
              <w:right w:val="single" w:sz="4" w:space="0" w:color="auto"/>
            </w:tcBorders>
            <w:noWrap/>
            <w:vAlign w:val="bottom"/>
            <w:hideMark/>
          </w:tcPr>
          <w:p w14:paraId="1409F652"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Present Value (£m)</w:t>
            </w:r>
          </w:p>
        </w:tc>
        <w:tc>
          <w:tcPr>
            <w:tcW w:w="2680" w:type="dxa"/>
            <w:tcBorders>
              <w:top w:val="single" w:sz="8" w:space="0" w:color="auto"/>
              <w:left w:val="nil"/>
              <w:bottom w:val="single" w:sz="4" w:space="0" w:color="auto"/>
              <w:right w:val="single" w:sz="8" w:space="0" w:color="auto"/>
            </w:tcBorders>
            <w:noWrap/>
            <w:vAlign w:val="bottom"/>
            <w:hideMark/>
          </w:tcPr>
          <w:p w14:paraId="5D3B6CF2"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Cumulative Cash Flow (£m)</w:t>
            </w:r>
          </w:p>
        </w:tc>
      </w:tr>
      <w:tr w:rsidR="00CF29AB" w:rsidRPr="00E805AD" w14:paraId="77B279B9"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7076077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w:t>
            </w:r>
          </w:p>
        </w:tc>
        <w:tc>
          <w:tcPr>
            <w:tcW w:w="1940" w:type="dxa"/>
            <w:tcBorders>
              <w:top w:val="nil"/>
              <w:left w:val="nil"/>
              <w:bottom w:val="single" w:sz="4" w:space="0" w:color="auto"/>
              <w:right w:val="single" w:sz="4" w:space="0" w:color="auto"/>
            </w:tcBorders>
            <w:noWrap/>
            <w:vAlign w:val="bottom"/>
            <w:hideMark/>
          </w:tcPr>
          <w:p w14:paraId="7B0913C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020" w:type="dxa"/>
            <w:tcBorders>
              <w:top w:val="nil"/>
              <w:left w:val="nil"/>
              <w:bottom w:val="single" w:sz="4" w:space="0" w:color="auto"/>
              <w:right w:val="single" w:sz="4" w:space="0" w:color="auto"/>
            </w:tcBorders>
            <w:noWrap/>
            <w:vAlign w:val="bottom"/>
            <w:hideMark/>
          </w:tcPr>
          <w:p w14:paraId="2648B84C"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w:t>
            </w:r>
          </w:p>
        </w:tc>
        <w:tc>
          <w:tcPr>
            <w:tcW w:w="1920" w:type="dxa"/>
            <w:tcBorders>
              <w:top w:val="nil"/>
              <w:left w:val="nil"/>
              <w:bottom w:val="single" w:sz="4" w:space="0" w:color="auto"/>
              <w:right w:val="single" w:sz="4" w:space="0" w:color="auto"/>
            </w:tcBorders>
            <w:noWrap/>
            <w:vAlign w:val="bottom"/>
            <w:hideMark/>
          </w:tcPr>
          <w:p w14:paraId="4ED310F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680" w:type="dxa"/>
            <w:tcBorders>
              <w:top w:val="nil"/>
              <w:left w:val="nil"/>
              <w:bottom w:val="single" w:sz="4" w:space="0" w:color="auto"/>
              <w:right w:val="single" w:sz="8" w:space="0" w:color="auto"/>
            </w:tcBorders>
            <w:noWrap/>
            <w:vAlign w:val="bottom"/>
            <w:hideMark/>
          </w:tcPr>
          <w:p w14:paraId="123E363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r>
      <w:tr w:rsidR="00CF29AB" w:rsidRPr="00E805AD" w14:paraId="47196DE1"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4F4B2A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1</w:t>
            </w:r>
          </w:p>
        </w:tc>
        <w:tc>
          <w:tcPr>
            <w:tcW w:w="1940" w:type="dxa"/>
            <w:tcBorders>
              <w:top w:val="nil"/>
              <w:left w:val="nil"/>
              <w:bottom w:val="single" w:sz="4" w:space="0" w:color="auto"/>
              <w:right w:val="single" w:sz="4" w:space="0" w:color="auto"/>
            </w:tcBorders>
            <w:noWrap/>
            <w:vAlign w:val="bottom"/>
            <w:hideMark/>
          </w:tcPr>
          <w:p w14:paraId="0A779C7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c>
          <w:tcPr>
            <w:tcW w:w="2020" w:type="dxa"/>
            <w:tcBorders>
              <w:top w:val="nil"/>
              <w:left w:val="nil"/>
              <w:bottom w:val="single" w:sz="4" w:space="0" w:color="auto"/>
              <w:right w:val="single" w:sz="4" w:space="0" w:color="auto"/>
            </w:tcBorders>
            <w:noWrap/>
            <w:vAlign w:val="bottom"/>
            <w:hideMark/>
          </w:tcPr>
          <w:p w14:paraId="29B9961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0.090909091</w:t>
            </w:r>
          </w:p>
        </w:tc>
        <w:tc>
          <w:tcPr>
            <w:tcW w:w="1920" w:type="dxa"/>
            <w:tcBorders>
              <w:top w:val="nil"/>
              <w:left w:val="nil"/>
              <w:bottom w:val="single" w:sz="4" w:space="0" w:color="auto"/>
              <w:right w:val="single" w:sz="4" w:space="0" w:color="auto"/>
            </w:tcBorders>
            <w:noWrap/>
            <w:vAlign w:val="bottom"/>
            <w:hideMark/>
          </w:tcPr>
          <w:p w14:paraId="4FBF873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0.909090909</w:t>
            </w:r>
          </w:p>
        </w:tc>
        <w:tc>
          <w:tcPr>
            <w:tcW w:w="2680" w:type="dxa"/>
            <w:tcBorders>
              <w:top w:val="nil"/>
              <w:left w:val="nil"/>
              <w:bottom w:val="single" w:sz="4" w:space="0" w:color="auto"/>
              <w:right w:val="single" w:sz="8" w:space="0" w:color="auto"/>
            </w:tcBorders>
            <w:noWrap/>
            <w:vAlign w:val="bottom"/>
            <w:hideMark/>
          </w:tcPr>
          <w:p w14:paraId="01B2E57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-40</w:t>
            </w:r>
          </w:p>
        </w:tc>
      </w:tr>
      <w:tr w:rsidR="00CF29AB" w:rsidRPr="00E805AD" w14:paraId="201CE4E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3599294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2</w:t>
            </w:r>
          </w:p>
        </w:tc>
        <w:tc>
          <w:tcPr>
            <w:tcW w:w="1940" w:type="dxa"/>
            <w:tcBorders>
              <w:top w:val="nil"/>
              <w:left w:val="nil"/>
              <w:bottom w:val="single" w:sz="4" w:space="0" w:color="auto"/>
              <w:right w:val="single" w:sz="4" w:space="0" w:color="auto"/>
            </w:tcBorders>
            <w:noWrap/>
            <w:vAlign w:val="bottom"/>
            <w:hideMark/>
          </w:tcPr>
          <w:p w14:paraId="4FD27AA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12</w:t>
            </w:r>
          </w:p>
        </w:tc>
        <w:tc>
          <w:tcPr>
            <w:tcW w:w="2020" w:type="dxa"/>
            <w:tcBorders>
              <w:top w:val="nil"/>
              <w:left w:val="nil"/>
              <w:bottom w:val="single" w:sz="4" w:space="0" w:color="auto"/>
              <w:right w:val="single" w:sz="4" w:space="0" w:color="auto"/>
            </w:tcBorders>
            <w:noWrap/>
            <w:vAlign w:val="bottom"/>
            <w:hideMark/>
          </w:tcPr>
          <w:p w14:paraId="58B7AF3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0.00591716</w:t>
            </w:r>
          </w:p>
        </w:tc>
        <w:tc>
          <w:tcPr>
            <w:tcW w:w="1920" w:type="dxa"/>
            <w:tcBorders>
              <w:top w:val="nil"/>
              <w:left w:val="nil"/>
              <w:bottom w:val="single" w:sz="4" w:space="0" w:color="auto"/>
              <w:right w:val="single" w:sz="4" w:space="0" w:color="auto"/>
            </w:tcBorders>
            <w:noWrap/>
            <w:vAlign w:val="bottom"/>
            <w:hideMark/>
          </w:tcPr>
          <w:p w14:paraId="19CA597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0.071005917</w:t>
            </w:r>
          </w:p>
        </w:tc>
        <w:tc>
          <w:tcPr>
            <w:tcW w:w="2680" w:type="dxa"/>
            <w:tcBorders>
              <w:top w:val="nil"/>
              <w:left w:val="nil"/>
              <w:bottom w:val="single" w:sz="4" w:space="0" w:color="auto"/>
              <w:right w:val="single" w:sz="8" w:space="0" w:color="auto"/>
            </w:tcBorders>
            <w:noWrap/>
            <w:vAlign w:val="bottom"/>
            <w:hideMark/>
          </w:tcPr>
          <w:p w14:paraId="02D77E8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w:t>
            </w:r>
          </w:p>
        </w:tc>
      </w:tr>
      <w:tr w:rsidR="00CF29AB" w:rsidRPr="00E805AD" w14:paraId="67C52A84"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0F85EA5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3</w:t>
            </w:r>
          </w:p>
        </w:tc>
        <w:tc>
          <w:tcPr>
            <w:tcW w:w="1940" w:type="dxa"/>
            <w:tcBorders>
              <w:top w:val="nil"/>
              <w:left w:val="nil"/>
              <w:bottom w:val="single" w:sz="4" w:space="0" w:color="auto"/>
              <w:right w:val="single" w:sz="4" w:space="0" w:color="auto"/>
            </w:tcBorders>
            <w:noWrap/>
            <w:vAlign w:val="bottom"/>
            <w:hideMark/>
          </w:tcPr>
          <w:p w14:paraId="1F7C624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w:t>
            </w:r>
          </w:p>
        </w:tc>
        <w:tc>
          <w:tcPr>
            <w:tcW w:w="2020" w:type="dxa"/>
            <w:tcBorders>
              <w:top w:val="nil"/>
              <w:left w:val="nil"/>
              <w:bottom w:val="single" w:sz="4" w:space="0" w:color="auto"/>
              <w:right w:val="single" w:sz="4" w:space="0" w:color="auto"/>
            </w:tcBorders>
            <w:noWrap/>
            <w:vAlign w:val="bottom"/>
            <w:hideMark/>
          </w:tcPr>
          <w:p w14:paraId="01D300A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0.000296296</w:t>
            </w:r>
          </w:p>
        </w:tc>
        <w:tc>
          <w:tcPr>
            <w:tcW w:w="1920" w:type="dxa"/>
            <w:tcBorders>
              <w:top w:val="nil"/>
              <w:left w:val="nil"/>
              <w:bottom w:val="single" w:sz="4" w:space="0" w:color="auto"/>
              <w:right w:val="single" w:sz="4" w:space="0" w:color="auto"/>
            </w:tcBorders>
            <w:noWrap/>
            <w:vAlign w:val="bottom"/>
            <w:hideMark/>
          </w:tcPr>
          <w:p w14:paraId="16CBFB3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0.004148148</w:t>
            </w:r>
          </w:p>
        </w:tc>
        <w:tc>
          <w:tcPr>
            <w:tcW w:w="2680" w:type="dxa"/>
            <w:tcBorders>
              <w:top w:val="nil"/>
              <w:left w:val="nil"/>
              <w:bottom w:val="single" w:sz="4" w:space="0" w:color="auto"/>
              <w:right w:val="single" w:sz="8" w:space="0" w:color="auto"/>
            </w:tcBorders>
            <w:noWrap/>
            <w:vAlign w:val="bottom"/>
            <w:hideMark/>
          </w:tcPr>
          <w:p w14:paraId="2A71B8A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w:t>
            </w:r>
          </w:p>
        </w:tc>
      </w:tr>
      <w:tr w:rsidR="00CF29AB" w:rsidRPr="00E805AD" w14:paraId="50FB483E"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1FCF9F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4</w:t>
            </w:r>
          </w:p>
        </w:tc>
        <w:tc>
          <w:tcPr>
            <w:tcW w:w="1940" w:type="dxa"/>
            <w:tcBorders>
              <w:top w:val="nil"/>
              <w:left w:val="nil"/>
              <w:bottom w:val="single" w:sz="4" w:space="0" w:color="auto"/>
              <w:right w:val="single" w:sz="4" w:space="0" w:color="auto"/>
            </w:tcBorders>
            <w:noWrap/>
            <w:vAlign w:val="bottom"/>
            <w:hideMark/>
          </w:tcPr>
          <w:p w14:paraId="310E8E2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c>
          <w:tcPr>
            <w:tcW w:w="2020" w:type="dxa"/>
            <w:tcBorders>
              <w:top w:val="nil"/>
              <w:left w:val="nil"/>
              <w:bottom w:val="single" w:sz="4" w:space="0" w:color="auto"/>
              <w:right w:val="single" w:sz="4" w:space="0" w:color="auto"/>
            </w:tcBorders>
            <w:noWrap/>
            <w:vAlign w:val="bottom"/>
            <w:hideMark/>
          </w:tcPr>
          <w:p w14:paraId="166FB5E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6.83013E-05</w:t>
            </w:r>
          </w:p>
        </w:tc>
        <w:tc>
          <w:tcPr>
            <w:tcW w:w="1920" w:type="dxa"/>
            <w:tcBorders>
              <w:top w:val="nil"/>
              <w:left w:val="nil"/>
              <w:bottom w:val="single" w:sz="4" w:space="0" w:color="auto"/>
              <w:right w:val="single" w:sz="4" w:space="0" w:color="auto"/>
            </w:tcBorders>
            <w:noWrap/>
            <w:vAlign w:val="bottom"/>
            <w:hideMark/>
          </w:tcPr>
          <w:p w14:paraId="56A2029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0.000683013</w:t>
            </w:r>
          </w:p>
        </w:tc>
        <w:tc>
          <w:tcPr>
            <w:tcW w:w="2680" w:type="dxa"/>
            <w:tcBorders>
              <w:top w:val="nil"/>
              <w:left w:val="nil"/>
              <w:bottom w:val="single" w:sz="4" w:space="0" w:color="auto"/>
              <w:right w:val="single" w:sz="8" w:space="0" w:color="auto"/>
            </w:tcBorders>
            <w:noWrap/>
            <w:vAlign w:val="bottom"/>
            <w:hideMark/>
          </w:tcPr>
          <w:p w14:paraId="2049F9A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w:t>
            </w:r>
          </w:p>
        </w:tc>
      </w:tr>
      <w:tr w:rsidR="00CF29AB" w:rsidRPr="00E805AD" w14:paraId="3509269A"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530F64C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5</w:t>
            </w:r>
          </w:p>
        </w:tc>
        <w:tc>
          <w:tcPr>
            <w:tcW w:w="1940" w:type="dxa"/>
            <w:tcBorders>
              <w:top w:val="nil"/>
              <w:left w:val="nil"/>
              <w:bottom w:val="single" w:sz="4" w:space="0" w:color="auto"/>
              <w:right w:val="single" w:sz="4" w:space="0" w:color="auto"/>
            </w:tcBorders>
            <w:noWrap/>
            <w:vAlign w:val="bottom"/>
            <w:hideMark/>
          </w:tcPr>
          <w:p w14:paraId="109A734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w:t>
            </w:r>
          </w:p>
        </w:tc>
        <w:tc>
          <w:tcPr>
            <w:tcW w:w="2020" w:type="dxa"/>
            <w:tcBorders>
              <w:top w:val="nil"/>
              <w:left w:val="nil"/>
              <w:bottom w:val="single" w:sz="4" w:space="0" w:color="auto"/>
              <w:right w:val="single" w:sz="4" w:space="0" w:color="auto"/>
            </w:tcBorders>
            <w:noWrap/>
            <w:vAlign w:val="bottom"/>
            <w:hideMark/>
          </w:tcPr>
          <w:p w14:paraId="1046034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1.69351E-05</w:t>
            </w:r>
          </w:p>
        </w:tc>
        <w:tc>
          <w:tcPr>
            <w:tcW w:w="1920" w:type="dxa"/>
            <w:tcBorders>
              <w:top w:val="nil"/>
              <w:left w:val="nil"/>
              <w:bottom w:val="single" w:sz="4" w:space="0" w:color="auto"/>
              <w:right w:val="single" w:sz="4" w:space="0" w:color="auto"/>
            </w:tcBorders>
            <w:noWrap/>
            <w:vAlign w:val="bottom"/>
            <w:hideMark/>
          </w:tcPr>
          <w:p w14:paraId="68F7838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0.000135481</w:t>
            </w:r>
          </w:p>
        </w:tc>
        <w:tc>
          <w:tcPr>
            <w:tcW w:w="2680" w:type="dxa"/>
            <w:tcBorders>
              <w:top w:val="nil"/>
              <w:left w:val="nil"/>
              <w:bottom w:val="single" w:sz="4" w:space="0" w:color="auto"/>
              <w:right w:val="single" w:sz="8" w:space="0" w:color="auto"/>
            </w:tcBorders>
            <w:noWrap/>
            <w:vAlign w:val="bottom"/>
            <w:hideMark/>
          </w:tcPr>
          <w:p w14:paraId="7A7D53E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w:t>
            </w:r>
          </w:p>
        </w:tc>
      </w:tr>
      <w:tr w:rsidR="00CF29AB" w:rsidRPr="00E805AD" w14:paraId="68B9E501" w14:textId="77777777" w:rsidTr="00CF29AB">
        <w:trPr>
          <w:trHeight w:val="300"/>
        </w:trPr>
        <w:tc>
          <w:tcPr>
            <w:tcW w:w="4480" w:type="dxa"/>
            <w:gridSpan w:val="3"/>
            <w:tcBorders>
              <w:top w:val="single" w:sz="4" w:space="0" w:color="auto"/>
              <w:left w:val="single" w:sz="8" w:space="0" w:color="auto"/>
              <w:bottom w:val="single" w:sz="4" w:space="0" w:color="auto"/>
              <w:right w:val="single" w:sz="4" w:space="0" w:color="auto"/>
            </w:tcBorders>
            <w:noWrap/>
            <w:vAlign w:val="bottom"/>
            <w:hideMark/>
          </w:tcPr>
          <w:p w14:paraId="3B1ABFA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Present Value</w:t>
            </w:r>
          </w:p>
        </w:tc>
        <w:tc>
          <w:tcPr>
            <w:tcW w:w="4600" w:type="dxa"/>
            <w:gridSpan w:val="2"/>
            <w:tcBorders>
              <w:top w:val="single" w:sz="4" w:space="0" w:color="auto"/>
              <w:left w:val="nil"/>
              <w:bottom w:val="single" w:sz="4" w:space="0" w:color="auto"/>
              <w:right w:val="single" w:sz="8" w:space="0" w:color="000000"/>
            </w:tcBorders>
            <w:noWrap/>
            <w:vAlign w:val="bottom"/>
            <w:hideMark/>
          </w:tcPr>
          <w:p w14:paraId="0C3858F8"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0.985063469</w:t>
            </w:r>
          </w:p>
        </w:tc>
      </w:tr>
      <w:tr w:rsidR="00CF29AB" w:rsidRPr="00E805AD" w14:paraId="17670139"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3E933912"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Payback Period</w:t>
            </w:r>
          </w:p>
        </w:tc>
        <w:tc>
          <w:tcPr>
            <w:tcW w:w="2680" w:type="dxa"/>
            <w:tcBorders>
              <w:top w:val="nil"/>
              <w:left w:val="nil"/>
              <w:bottom w:val="single" w:sz="4" w:space="0" w:color="auto"/>
              <w:right w:val="single" w:sz="8" w:space="0" w:color="auto"/>
            </w:tcBorders>
            <w:noWrap/>
            <w:vAlign w:val="bottom"/>
            <w:hideMark/>
          </w:tcPr>
          <w:p w14:paraId="31013BFC"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4.8</w:t>
            </w:r>
          </w:p>
        </w:tc>
      </w:tr>
      <w:tr w:rsidR="00CF29AB" w:rsidRPr="00E805AD" w14:paraId="3B0C2352"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5A6B6E7"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Average Annual Profit</w:t>
            </w:r>
          </w:p>
        </w:tc>
        <w:tc>
          <w:tcPr>
            <w:tcW w:w="2680" w:type="dxa"/>
            <w:tcBorders>
              <w:top w:val="nil"/>
              <w:left w:val="nil"/>
              <w:bottom w:val="single" w:sz="4" w:space="0" w:color="auto"/>
              <w:right w:val="single" w:sz="8" w:space="0" w:color="auto"/>
            </w:tcBorders>
            <w:noWrap/>
            <w:vAlign w:val="bottom"/>
            <w:hideMark/>
          </w:tcPr>
          <w:p w14:paraId="47C3BBE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10.8</w:t>
            </w:r>
          </w:p>
        </w:tc>
      </w:tr>
      <w:tr w:rsidR="00CF29AB" w:rsidRPr="00E805AD" w14:paraId="5F4ED6E6"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5BB3E68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ARR</w:t>
            </w:r>
          </w:p>
        </w:tc>
        <w:tc>
          <w:tcPr>
            <w:tcW w:w="2680" w:type="dxa"/>
            <w:tcBorders>
              <w:top w:val="nil"/>
              <w:left w:val="nil"/>
              <w:bottom w:val="single" w:sz="4" w:space="0" w:color="auto"/>
              <w:right w:val="single" w:sz="8" w:space="0" w:color="auto"/>
            </w:tcBorders>
            <w:noWrap/>
            <w:vAlign w:val="bottom"/>
            <w:hideMark/>
          </w:tcPr>
          <w:p w14:paraId="1FA02F9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21.6</w:t>
            </w:r>
          </w:p>
        </w:tc>
      </w:tr>
      <w:tr w:rsidR="00CF29AB" w:rsidRPr="00E805AD" w14:paraId="495D2654"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E9718F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NPV</w:t>
            </w:r>
          </w:p>
        </w:tc>
        <w:tc>
          <w:tcPr>
            <w:tcW w:w="2680" w:type="dxa"/>
            <w:tcBorders>
              <w:top w:val="nil"/>
              <w:left w:val="nil"/>
              <w:bottom w:val="single" w:sz="4" w:space="0" w:color="auto"/>
              <w:right w:val="single" w:sz="8" w:space="0" w:color="auto"/>
            </w:tcBorders>
            <w:noWrap/>
            <w:vAlign w:val="bottom"/>
            <w:hideMark/>
          </w:tcPr>
          <w:p w14:paraId="35A656CF"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FF0000"/>
                <w:sz w:val="24"/>
                <w:szCs w:val="24"/>
                <w:lang w:val="en-US"/>
              </w:rPr>
              <w:t>($6.54)</w:t>
            </w:r>
          </w:p>
        </w:tc>
      </w:tr>
      <w:tr w:rsidR="00CF29AB" w:rsidRPr="00E805AD" w14:paraId="03E375F1"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15944A4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Profitability Index</w:t>
            </w:r>
          </w:p>
        </w:tc>
        <w:tc>
          <w:tcPr>
            <w:tcW w:w="2680" w:type="dxa"/>
            <w:tcBorders>
              <w:top w:val="nil"/>
              <w:left w:val="nil"/>
              <w:bottom w:val="single" w:sz="4" w:space="0" w:color="auto"/>
              <w:right w:val="single" w:sz="8" w:space="0" w:color="auto"/>
            </w:tcBorders>
            <w:noWrap/>
            <w:vAlign w:val="bottom"/>
            <w:hideMark/>
          </w:tcPr>
          <w:p w14:paraId="74F2062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0.869118812</w:t>
            </w:r>
          </w:p>
        </w:tc>
      </w:tr>
      <w:tr w:rsidR="00CF29AB" w:rsidRPr="00E805AD" w14:paraId="29C21160" w14:textId="77777777" w:rsidTr="00CF29AB">
        <w:trPr>
          <w:trHeight w:val="315"/>
        </w:trPr>
        <w:tc>
          <w:tcPr>
            <w:tcW w:w="6400" w:type="dxa"/>
            <w:gridSpan w:val="4"/>
            <w:tcBorders>
              <w:top w:val="single" w:sz="4" w:space="0" w:color="auto"/>
              <w:left w:val="single" w:sz="8" w:space="0" w:color="auto"/>
              <w:bottom w:val="single" w:sz="8" w:space="0" w:color="auto"/>
              <w:right w:val="single" w:sz="4" w:space="0" w:color="auto"/>
            </w:tcBorders>
            <w:noWrap/>
            <w:vAlign w:val="bottom"/>
            <w:hideMark/>
          </w:tcPr>
          <w:p w14:paraId="48305B9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IRR</w:t>
            </w:r>
          </w:p>
        </w:tc>
        <w:tc>
          <w:tcPr>
            <w:tcW w:w="2680" w:type="dxa"/>
            <w:tcBorders>
              <w:top w:val="nil"/>
              <w:left w:val="nil"/>
              <w:bottom w:val="single" w:sz="8" w:space="0" w:color="auto"/>
              <w:right w:val="single" w:sz="8" w:space="0" w:color="auto"/>
            </w:tcBorders>
            <w:noWrap/>
            <w:vAlign w:val="bottom"/>
            <w:hideMark/>
          </w:tcPr>
          <w:p w14:paraId="023797A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w:t>
            </w:r>
          </w:p>
        </w:tc>
      </w:tr>
    </w:tbl>
    <w:p w14:paraId="5D43C446" w14:textId="77777777" w:rsidR="00CF29AB" w:rsidRPr="00E805AD" w:rsidRDefault="00CF29AB" w:rsidP="00E805AD">
      <w:pPr>
        <w:spacing w:after="240" w:line="360" w:lineRule="auto"/>
        <w:jc w:val="both"/>
        <w:rPr>
          <w:rFonts w:eastAsia="Times New Roman"/>
          <w:sz w:val="24"/>
          <w:szCs w:val="24"/>
        </w:rPr>
      </w:pPr>
    </w:p>
    <w:p w14:paraId="6DF81E3A" w14:textId="0DD53920" w:rsidR="00CF29AB" w:rsidRPr="00E805AD" w:rsidRDefault="00CF29AB" w:rsidP="00E805AD">
      <w:pPr>
        <w:spacing w:after="240" w:line="360" w:lineRule="auto"/>
        <w:jc w:val="both"/>
        <w:rPr>
          <w:rFonts w:eastAsia="Times New Roman"/>
          <w:b/>
          <w:bCs/>
          <w:i/>
          <w:iCs/>
          <w:sz w:val="24"/>
          <w:szCs w:val="24"/>
        </w:rPr>
      </w:pPr>
      <w:r w:rsidRPr="00E805AD">
        <w:rPr>
          <w:rFonts w:eastAsia="Times New Roman"/>
          <w:b/>
          <w:bCs/>
          <w:i/>
          <w:iCs/>
          <w:sz w:val="24"/>
          <w:szCs w:val="24"/>
        </w:rPr>
        <w:t>Project B</w:t>
      </w:r>
    </w:p>
    <w:tbl>
      <w:tblPr>
        <w:tblW w:w="9080" w:type="dxa"/>
        <w:tblLook w:val="04A0" w:firstRow="1" w:lastRow="0" w:firstColumn="1" w:lastColumn="0" w:noHBand="0" w:noVBand="1"/>
      </w:tblPr>
      <w:tblGrid>
        <w:gridCol w:w="723"/>
        <w:gridCol w:w="1940"/>
        <w:gridCol w:w="2020"/>
        <w:gridCol w:w="1920"/>
        <w:gridCol w:w="2680"/>
      </w:tblGrid>
      <w:tr w:rsidR="00CF29AB" w:rsidRPr="00E805AD" w14:paraId="4C615DD7" w14:textId="77777777" w:rsidTr="00CF29AB">
        <w:trPr>
          <w:trHeight w:val="300"/>
        </w:trPr>
        <w:tc>
          <w:tcPr>
            <w:tcW w:w="520" w:type="dxa"/>
            <w:tcBorders>
              <w:top w:val="single" w:sz="8" w:space="0" w:color="auto"/>
              <w:left w:val="single" w:sz="8" w:space="0" w:color="auto"/>
              <w:bottom w:val="single" w:sz="4" w:space="0" w:color="auto"/>
              <w:right w:val="single" w:sz="4" w:space="0" w:color="auto"/>
            </w:tcBorders>
            <w:noWrap/>
            <w:vAlign w:val="bottom"/>
            <w:hideMark/>
          </w:tcPr>
          <w:p w14:paraId="4F9FECF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Year</w:t>
            </w:r>
          </w:p>
        </w:tc>
        <w:tc>
          <w:tcPr>
            <w:tcW w:w="1940" w:type="dxa"/>
            <w:tcBorders>
              <w:top w:val="single" w:sz="8" w:space="0" w:color="auto"/>
              <w:left w:val="nil"/>
              <w:bottom w:val="single" w:sz="4" w:space="0" w:color="auto"/>
              <w:right w:val="single" w:sz="4" w:space="0" w:color="auto"/>
            </w:tcBorders>
            <w:noWrap/>
            <w:vAlign w:val="bottom"/>
            <w:hideMark/>
          </w:tcPr>
          <w:p w14:paraId="45534C0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(£m)</w:t>
            </w:r>
          </w:p>
        </w:tc>
        <w:tc>
          <w:tcPr>
            <w:tcW w:w="2020" w:type="dxa"/>
            <w:tcBorders>
              <w:top w:val="single" w:sz="8" w:space="0" w:color="auto"/>
              <w:left w:val="nil"/>
              <w:bottom w:val="single" w:sz="4" w:space="0" w:color="auto"/>
              <w:right w:val="single" w:sz="4" w:space="0" w:color="auto"/>
            </w:tcBorders>
            <w:noWrap/>
            <w:vAlign w:val="bottom"/>
            <w:hideMark/>
          </w:tcPr>
          <w:p w14:paraId="279953A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Discount Factor (8%)</w:t>
            </w:r>
          </w:p>
        </w:tc>
        <w:tc>
          <w:tcPr>
            <w:tcW w:w="1920" w:type="dxa"/>
            <w:tcBorders>
              <w:top w:val="single" w:sz="8" w:space="0" w:color="auto"/>
              <w:left w:val="nil"/>
              <w:bottom w:val="single" w:sz="4" w:space="0" w:color="auto"/>
              <w:right w:val="single" w:sz="4" w:space="0" w:color="auto"/>
            </w:tcBorders>
            <w:noWrap/>
            <w:vAlign w:val="bottom"/>
            <w:hideMark/>
          </w:tcPr>
          <w:p w14:paraId="402B321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Present Value (£m)</w:t>
            </w:r>
          </w:p>
        </w:tc>
        <w:tc>
          <w:tcPr>
            <w:tcW w:w="2680" w:type="dxa"/>
            <w:tcBorders>
              <w:top w:val="single" w:sz="8" w:space="0" w:color="auto"/>
              <w:left w:val="nil"/>
              <w:bottom w:val="single" w:sz="4" w:space="0" w:color="auto"/>
              <w:right w:val="single" w:sz="8" w:space="0" w:color="auto"/>
            </w:tcBorders>
            <w:noWrap/>
            <w:vAlign w:val="bottom"/>
            <w:hideMark/>
          </w:tcPr>
          <w:p w14:paraId="542C8E7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Cumulative Cash Flow (£m)</w:t>
            </w:r>
          </w:p>
        </w:tc>
      </w:tr>
      <w:tr w:rsidR="00CF29AB" w:rsidRPr="00E805AD" w14:paraId="7FC00A58"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4E59E44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0</w:t>
            </w:r>
          </w:p>
        </w:tc>
        <w:tc>
          <w:tcPr>
            <w:tcW w:w="1940" w:type="dxa"/>
            <w:tcBorders>
              <w:top w:val="nil"/>
              <w:left w:val="nil"/>
              <w:bottom w:val="single" w:sz="4" w:space="0" w:color="auto"/>
              <w:right w:val="single" w:sz="4" w:space="0" w:color="auto"/>
            </w:tcBorders>
            <w:noWrap/>
            <w:vAlign w:val="bottom"/>
            <w:hideMark/>
          </w:tcPr>
          <w:p w14:paraId="6998976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020" w:type="dxa"/>
            <w:tcBorders>
              <w:top w:val="nil"/>
              <w:left w:val="nil"/>
              <w:bottom w:val="single" w:sz="4" w:space="0" w:color="auto"/>
              <w:right w:val="single" w:sz="4" w:space="0" w:color="auto"/>
            </w:tcBorders>
            <w:noWrap/>
            <w:vAlign w:val="bottom"/>
            <w:hideMark/>
          </w:tcPr>
          <w:p w14:paraId="1DF5D338"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w:t>
            </w:r>
          </w:p>
        </w:tc>
        <w:tc>
          <w:tcPr>
            <w:tcW w:w="1920" w:type="dxa"/>
            <w:tcBorders>
              <w:top w:val="nil"/>
              <w:left w:val="nil"/>
              <w:bottom w:val="single" w:sz="4" w:space="0" w:color="auto"/>
              <w:right w:val="single" w:sz="4" w:space="0" w:color="auto"/>
            </w:tcBorders>
            <w:noWrap/>
            <w:vAlign w:val="bottom"/>
            <w:hideMark/>
          </w:tcPr>
          <w:p w14:paraId="7AB4BBA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680" w:type="dxa"/>
            <w:tcBorders>
              <w:top w:val="nil"/>
              <w:left w:val="nil"/>
              <w:bottom w:val="single" w:sz="4" w:space="0" w:color="auto"/>
              <w:right w:val="single" w:sz="8" w:space="0" w:color="auto"/>
            </w:tcBorders>
            <w:noWrap/>
            <w:vAlign w:val="bottom"/>
            <w:hideMark/>
          </w:tcPr>
          <w:p w14:paraId="0290956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r>
      <w:tr w:rsidR="00CF29AB" w:rsidRPr="00E805AD" w14:paraId="59FF60C9"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0559DD3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1</w:t>
            </w:r>
          </w:p>
        </w:tc>
        <w:tc>
          <w:tcPr>
            <w:tcW w:w="1940" w:type="dxa"/>
            <w:tcBorders>
              <w:top w:val="nil"/>
              <w:left w:val="nil"/>
              <w:bottom w:val="single" w:sz="4" w:space="0" w:color="auto"/>
              <w:right w:val="single" w:sz="4" w:space="0" w:color="auto"/>
            </w:tcBorders>
            <w:noWrap/>
            <w:vAlign w:val="bottom"/>
            <w:hideMark/>
          </w:tcPr>
          <w:p w14:paraId="638757B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5A3D338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0.083333333</w:t>
            </w:r>
          </w:p>
        </w:tc>
        <w:tc>
          <w:tcPr>
            <w:tcW w:w="1920" w:type="dxa"/>
            <w:tcBorders>
              <w:top w:val="nil"/>
              <w:left w:val="nil"/>
              <w:bottom w:val="single" w:sz="4" w:space="0" w:color="auto"/>
              <w:right w:val="single" w:sz="4" w:space="0" w:color="auto"/>
            </w:tcBorders>
            <w:noWrap/>
            <w:vAlign w:val="bottom"/>
            <w:hideMark/>
          </w:tcPr>
          <w:p w14:paraId="78EE2A9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0.916666667</w:t>
            </w:r>
          </w:p>
        </w:tc>
        <w:tc>
          <w:tcPr>
            <w:tcW w:w="2680" w:type="dxa"/>
            <w:tcBorders>
              <w:top w:val="nil"/>
              <w:left w:val="nil"/>
              <w:bottom w:val="single" w:sz="4" w:space="0" w:color="auto"/>
              <w:right w:val="single" w:sz="8" w:space="0" w:color="auto"/>
            </w:tcBorders>
            <w:noWrap/>
            <w:vAlign w:val="bottom"/>
            <w:hideMark/>
          </w:tcPr>
          <w:p w14:paraId="63E4C25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-39</w:t>
            </w:r>
          </w:p>
        </w:tc>
      </w:tr>
      <w:tr w:rsidR="00CF29AB" w:rsidRPr="00E805AD" w14:paraId="70AFBF8C"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3530E42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2</w:t>
            </w:r>
          </w:p>
        </w:tc>
        <w:tc>
          <w:tcPr>
            <w:tcW w:w="1940" w:type="dxa"/>
            <w:tcBorders>
              <w:top w:val="nil"/>
              <w:left w:val="nil"/>
              <w:bottom w:val="single" w:sz="4" w:space="0" w:color="auto"/>
              <w:right w:val="single" w:sz="4" w:space="0" w:color="auto"/>
            </w:tcBorders>
            <w:noWrap/>
            <w:vAlign w:val="bottom"/>
            <w:hideMark/>
          </w:tcPr>
          <w:p w14:paraId="2FAE4E1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4CF5B31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0.006944444</w:t>
            </w:r>
          </w:p>
        </w:tc>
        <w:tc>
          <w:tcPr>
            <w:tcW w:w="1920" w:type="dxa"/>
            <w:tcBorders>
              <w:top w:val="nil"/>
              <w:left w:val="nil"/>
              <w:bottom w:val="single" w:sz="4" w:space="0" w:color="auto"/>
              <w:right w:val="single" w:sz="4" w:space="0" w:color="auto"/>
            </w:tcBorders>
            <w:noWrap/>
            <w:vAlign w:val="bottom"/>
            <w:hideMark/>
          </w:tcPr>
          <w:p w14:paraId="08E4A68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0.076388889</w:t>
            </w:r>
          </w:p>
        </w:tc>
        <w:tc>
          <w:tcPr>
            <w:tcW w:w="2680" w:type="dxa"/>
            <w:tcBorders>
              <w:top w:val="nil"/>
              <w:left w:val="nil"/>
              <w:bottom w:val="single" w:sz="4" w:space="0" w:color="auto"/>
              <w:right w:val="single" w:sz="8" w:space="0" w:color="auto"/>
            </w:tcBorders>
            <w:noWrap/>
            <w:vAlign w:val="bottom"/>
            <w:hideMark/>
          </w:tcPr>
          <w:p w14:paraId="46D4E70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w:t>
            </w:r>
          </w:p>
        </w:tc>
      </w:tr>
      <w:tr w:rsidR="00CF29AB" w:rsidRPr="00E805AD" w14:paraId="79BD83EA"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21544D0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3</w:t>
            </w:r>
          </w:p>
        </w:tc>
        <w:tc>
          <w:tcPr>
            <w:tcW w:w="1940" w:type="dxa"/>
            <w:tcBorders>
              <w:top w:val="nil"/>
              <w:left w:val="nil"/>
              <w:bottom w:val="single" w:sz="4" w:space="0" w:color="auto"/>
              <w:right w:val="single" w:sz="4" w:space="0" w:color="auto"/>
            </w:tcBorders>
            <w:noWrap/>
            <w:vAlign w:val="bottom"/>
            <w:hideMark/>
          </w:tcPr>
          <w:p w14:paraId="3A1CDAD8"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0004524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0.000578704</w:t>
            </w:r>
          </w:p>
        </w:tc>
        <w:tc>
          <w:tcPr>
            <w:tcW w:w="1920" w:type="dxa"/>
            <w:tcBorders>
              <w:top w:val="nil"/>
              <w:left w:val="nil"/>
              <w:bottom w:val="single" w:sz="4" w:space="0" w:color="auto"/>
              <w:right w:val="single" w:sz="4" w:space="0" w:color="auto"/>
            </w:tcBorders>
            <w:noWrap/>
            <w:vAlign w:val="bottom"/>
            <w:hideMark/>
          </w:tcPr>
          <w:p w14:paraId="40D473E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0.006365741</w:t>
            </w:r>
          </w:p>
        </w:tc>
        <w:tc>
          <w:tcPr>
            <w:tcW w:w="2680" w:type="dxa"/>
            <w:tcBorders>
              <w:top w:val="nil"/>
              <w:left w:val="nil"/>
              <w:bottom w:val="single" w:sz="4" w:space="0" w:color="auto"/>
              <w:right w:val="single" w:sz="8" w:space="0" w:color="auto"/>
            </w:tcBorders>
            <w:noWrap/>
            <w:vAlign w:val="bottom"/>
            <w:hideMark/>
          </w:tcPr>
          <w:p w14:paraId="316E910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w:t>
            </w:r>
          </w:p>
        </w:tc>
      </w:tr>
      <w:tr w:rsidR="00CF29AB" w:rsidRPr="00E805AD" w14:paraId="38608488"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767A9CD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4</w:t>
            </w:r>
          </w:p>
        </w:tc>
        <w:tc>
          <w:tcPr>
            <w:tcW w:w="1940" w:type="dxa"/>
            <w:tcBorders>
              <w:top w:val="nil"/>
              <w:left w:val="nil"/>
              <w:bottom w:val="single" w:sz="4" w:space="0" w:color="auto"/>
              <w:right w:val="single" w:sz="4" w:space="0" w:color="auto"/>
            </w:tcBorders>
            <w:noWrap/>
            <w:vAlign w:val="bottom"/>
            <w:hideMark/>
          </w:tcPr>
          <w:p w14:paraId="58DF050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7ED07DD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4.82253E-05</w:t>
            </w:r>
          </w:p>
        </w:tc>
        <w:tc>
          <w:tcPr>
            <w:tcW w:w="1920" w:type="dxa"/>
            <w:tcBorders>
              <w:top w:val="nil"/>
              <w:left w:val="nil"/>
              <w:bottom w:val="single" w:sz="4" w:space="0" w:color="auto"/>
              <w:right w:val="single" w:sz="4" w:space="0" w:color="auto"/>
            </w:tcBorders>
            <w:noWrap/>
            <w:vAlign w:val="bottom"/>
            <w:hideMark/>
          </w:tcPr>
          <w:p w14:paraId="1F785F9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0.000530478</w:t>
            </w:r>
          </w:p>
        </w:tc>
        <w:tc>
          <w:tcPr>
            <w:tcW w:w="2680" w:type="dxa"/>
            <w:tcBorders>
              <w:top w:val="nil"/>
              <w:left w:val="nil"/>
              <w:bottom w:val="single" w:sz="4" w:space="0" w:color="auto"/>
              <w:right w:val="single" w:sz="8" w:space="0" w:color="auto"/>
            </w:tcBorders>
            <w:noWrap/>
            <w:vAlign w:val="bottom"/>
            <w:hideMark/>
          </w:tcPr>
          <w:p w14:paraId="67F836F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w:t>
            </w:r>
          </w:p>
        </w:tc>
      </w:tr>
      <w:tr w:rsidR="00CF29AB" w:rsidRPr="00E805AD" w14:paraId="4659FC5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69C92C1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5</w:t>
            </w:r>
          </w:p>
        </w:tc>
        <w:tc>
          <w:tcPr>
            <w:tcW w:w="1940" w:type="dxa"/>
            <w:tcBorders>
              <w:top w:val="nil"/>
              <w:left w:val="nil"/>
              <w:bottom w:val="single" w:sz="4" w:space="0" w:color="auto"/>
              <w:right w:val="single" w:sz="4" w:space="0" w:color="auto"/>
            </w:tcBorders>
            <w:noWrap/>
            <w:vAlign w:val="bottom"/>
            <w:hideMark/>
          </w:tcPr>
          <w:p w14:paraId="65AD9AF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501FC8E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4.01878E-06</w:t>
            </w:r>
          </w:p>
        </w:tc>
        <w:tc>
          <w:tcPr>
            <w:tcW w:w="1920" w:type="dxa"/>
            <w:tcBorders>
              <w:top w:val="nil"/>
              <w:left w:val="nil"/>
              <w:bottom w:val="single" w:sz="4" w:space="0" w:color="auto"/>
              <w:right w:val="single" w:sz="4" w:space="0" w:color="auto"/>
            </w:tcBorders>
            <w:noWrap/>
            <w:vAlign w:val="bottom"/>
            <w:hideMark/>
          </w:tcPr>
          <w:p w14:paraId="6E6C375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4.42065E-05</w:t>
            </w:r>
          </w:p>
        </w:tc>
        <w:tc>
          <w:tcPr>
            <w:tcW w:w="2680" w:type="dxa"/>
            <w:tcBorders>
              <w:top w:val="nil"/>
              <w:left w:val="nil"/>
              <w:bottom w:val="single" w:sz="4" w:space="0" w:color="auto"/>
              <w:right w:val="single" w:sz="8" w:space="0" w:color="auto"/>
            </w:tcBorders>
            <w:noWrap/>
            <w:vAlign w:val="bottom"/>
            <w:hideMark/>
          </w:tcPr>
          <w:p w14:paraId="4892E4A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r>
      <w:tr w:rsidR="00CF29AB" w:rsidRPr="00E805AD" w14:paraId="47643FBD" w14:textId="77777777" w:rsidTr="00CF29AB">
        <w:trPr>
          <w:trHeight w:val="300"/>
        </w:trPr>
        <w:tc>
          <w:tcPr>
            <w:tcW w:w="4480" w:type="dxa"/>
            <w:gridSpan w:val="3"/>
            <w:tcBorders>
              <w:top w:val="single" w:sz="4" w:space="0" w:color="auto"/>
              <w:left w:val="single" w:sz="8" w:space="0" w:color="auto"/>
              <w:bottom w:val="single" w:sz="4" w:space="0" w:color="auto"/>
              <w:right w:val="single" w:sz="4" w:space="0" w:color="auto"/>
            </w:tcBorders>
            <w:noWrap/>
            <w:vAlign w:val="bottom"/>
            <w:hideMark/>
          </w:tcPr>
          <w:p w14:paraId="05322EC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Present Value</w:t>
            </w:r>
          </w:p>
        </w:tc>
        <w:tc>
          <w:tcPr>
            <w:tcW w:w="4600" w:type="dxa"/>
            <w:gridSpan w:val="2"/>
            <w:tcBorders>
              <w:top w:val="single" w:sz="4" w:space="0" w:color="auto"/>
              <w:left w:val="nil"/>
              <w:bottom w:val="single" w:sz="4" w:space="0" w:color="auto"/>
              <w:right w:val="single" w:sz="8" w:space="0" w:color="000000"/>
            </w:tcBorders>
            <w:noWrap/>
            <w:vAlign w:val="bottom"/>
            <w:hideMark/>
          </w:tcPr>
          <w:p w14:paraId="713989B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0.999995981</w:t>
            </w:r>
          </w:p>
        </w:tc>
      </w:tr>
      <w:tr w:rsidR="00CF29AB" w:rsidRPr="00E805AD" w14:paraId="34322138"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BEE19FD"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Payback Period</w:t>
            </w:r>
          </w:p>
        </w:tc>
        <w:tc>
          <w:tcPr>
            <w:tcW w:w="2680" w:type="dxa"/>
            <w:tcBorders>
              <w:top w:val="nil"/>
              <w:left w:val="nil"/>
              <w:bottom w:val="single" w:sz="4" w:space="0" w:color="auto"/>
              <w:right w:val="single" w:sz="8" w:space="0" w:color="auto"/>
            </w:tcBorders>
            <w:noWrap/>
            <w:vAlign w:val="bottom"/>
            <w:hideMark/>
          </w:tcPr>
          <w:p w14:paraId="2867E11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r>
      <w:tr w:rsidR="00CF29AB" w:rsidRPr="00E805AD" w14:paraId="43A785D0"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0231253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Average Annual Profit</w:t>
            </w:r>
          </w:p>
        </w:tc>
        <w:tc>
          <w:tcPr>
            <w:tcW w:w="2680" w:type="dxa"/>
            <w:tcBorders>
              <w:top w:val="nil"/>
              <w:left w:val="nil"/>
              <w:bottom w:val="single" w:sz="4" w:space="0" w:color="auto"/>
              <w:right w:val="single" w:sz="8" w:space="0" w:color="auto"/>
            </w:tcBorders>
            <w:noWrap/>
            <w:vAlign w:val="bottom"/>
            <w:hideMark/>
          </w:tcPr>
          <w:p w14:paraId="326E11A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r>
      <w:tr w:rsidR="00CF29AB" w:rsidRPr="00E805AD" w14:paraId="16BEAC5E"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0CC5671D"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ARR</w:t>
            </w:r>
          </w:p>
        </w:tc>
        <w:tc>
          <w:tcPr>
            <w:tcW w:w="2680" w:type="dxa"/>
            <w:tcBorders>
              <w:top w:val="nil"/>
              <w:left w:val="nil"/>
              <w:bottom w:val="single" w:sz="4" w:space="0" w:color="auto"/>
              <w:right w:val="single" w:sz="8" w:space="0" w:color="auto"/>
            </w:tcBorders>
            <w:noWrap/>
            <w:vAlign w:val="bottom"/>
            <w:hideMark/>
          </w:tcPr>
          <w:p w14:paraId="0C11824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w:t>
            </w:r>
          </w:p>
        </w:tc>
      </w:tr>
      <w:tr w:rsidR="00CF29AB" w:rsidRPr="00E805AD" w14:paraId="0D96DE80"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2BE740D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NPV</w:t>
            </w:r>
          </w:p>
        </w:tc>
        <w:tc>
          <w:tcPr>
            <w:tcW w:w="2680" w:type="dxa"/>
            <w:tcBorders>
              <w:top w:val="nil"/>
              <w:left w:val="nil"/>
              <w:bottom w:val="single" w:sz="4" w:space="0" w:color="auto"/>
              <w:right w:val="single" w:sz="8" w:space="0" w:color="auto"/>
            </w:tcBorders>
            <w:noWrap/>
            <w:vAlign w:val="bottom"/>
            <w:hideMark/>
          </w:tcPr>
          <w:p w14:paraId="61AEE51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FF0000"/>
                <w:sz w:val="24"/>
                <w:szCs w:val="24"/>
                <w:lang w:val="en-US"/>
              </w:rPr>
              <w:t>($6.08)</w:t>
            </w:r>
          </w:p>
        </w:tc>
      </w:tr>
      <w:tr w:rsidR="00CF29AB" w:rsidRPr="00E805AD" w14:paraId="32C83032"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FE28AB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Profitability Index</w:t>
            </w:r>
          </w:p>
        </w:tc>
        <w:tc>
          <w:tcPr>
            <w:tcW w:w="2680" w:type="dxa"/>
            <w:tcBorders>
              <w:top w:val="nil"/>
              <w:left w:val="nil"/>
              <w:bottom w:val="single" w:sz="4" w:space="0" w:color="auto"/>
              <w:right w:val="single" w:sz="8" w:space="0" w:color="auto"/>
            </w:tcBorders>
            <w:noWrap/>
            <w:vAlign w:val="bottom"/>
            <w:hideMark/>
          </w:tcPr>
          <w:p w14:paraId="60F1AEB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0.878396208</w:t>
            </w:r>
          </w:p>
        </w:tc>
      </w:tr>
      <w:tr w:rsidR="00CF29AB" w:rsidRPr="00E805AD" w14:paraId="2DEF6B31" w14:textId="77777777" w:rsidTr="00CF29AB">
        <w:trPr>
          <w:trHeight w:val="315"/>
        </w:trPr>
        <w:tc>
          <w:tcPr>
            <w:tcW w:w="6400" w:type="dxa"/>
            <w:gridSpan w:val="4"/>
            <w:tcBorders>
              <w:top w:val="single" w:sz="4" w:space="0" w:color="auto"/>
              <w:left w:val="single" w:sz="8" w:space="0" w:color="auto"/>
              <w:bottom w:val="single" w:sz="8" w:space="0" w:color="auto"/>
              <w:right w:val="single" w:sz="4" w:space="0" w:color="auto"/>
            </w:tcBorders>
            <w:noWrap/>
            <w:vAlign w:val="bottom"/>
            <w:hideMark/>
          </w:tcPr>
          <w:p w14:paraId="44EDAAD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IRR</w:t>
            </w:r>
          </w:p>
        </w:tc>
        <w:tc>
          <w:tcPr>
            <w:tcW w:w="2680" w:type="dxa"/>
            <w:tcBorders>
              <w:top w:val="nil"/>
              <w:left w:val="nil"/>
              <w:bottom w:val="single" w:sz="8" w:space="0" w:color="auto"/>
              <w:right w:val="single" w:sz="8" w:space="0" w:color="auto"/>
            </w:tcBorders>
            <w:noWrap/>
            <w:vAlign w:val="bottom"/>
            <w:hideMark/>
          </w:tcPr>
          <w:p w14:paraId="6CC0725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w:t>
            </w:r>
          </w:p>
        </w:tc>
      </w:tr>
    </w:tbl>
    <w:p w14:paraId="59F24207" w14:textId="77777777" w:rsidR="00CF29AB" w:rsidRPr="00E805AD" w:rsidRDefault="00CF29AB" w:rsidP="00E805AD">
      <w:pPr>
        <w:spacing w:after="240" w:line="360" w:lineRule="auto"/>
        <w:jc w:val="both"/>
        <w:rPr>
          <w:rFonts w:eastAsia="Times New Roman"/>
          <w:sz w:val="24"/>
          <w:szCs w:val="24"/>
        </w:rPr>
      </w:pPr>
    </w:p>
    <w:p w14:paraId="3432285F" w14:textId="4E9B41FA" w:rsidR="00CF29AB" w:rsidRPr="00E805AD" w:rsidRDefault="00CF29AB" w:rsidP="00E805AD">
      <w:pPr>
        <w:spacing w:after="240" w:line="360" w:lineRule="auto"/>
        <w:jc w:val="both"/>
        <w:rPr>
          <w:rFonts w:eastAsia="Times New Roman"/>
          <w:b/>
          <w:bCs/>
          <w:i/>
          <w:iCs/>
          <w:sz w:val="24"/>
          <w:szCs w:val="24"/>
        </w:rPr>
      </w:pPr>
      <w:r w:rsidRPr="00E805AD">
        <w:rPr>
          <w:rFonts w:eastAsia="Times New Roman"/>
          <w:b/>
          <w:bCs/>
          <w:i/>
          <w:iCs/>
          <w:sz w:val="24"/>
          <w:szCs w:val="24"/>
        </w:rPr>
        <w:t>Project C</w:t>
      </w:r>
    </w:p>
    <w:tbl>
      <w:tblPr>
        <w:tblW w:w="9080" w:type="dxa"/>
        <w:tblLook w:val="04A0" w:firstRow="1" w:lastRow="0" w:firstColumn="1" w:lastColumn="0" w:noHBand="0" w:noVBand="1"/>
      </w:tblPr>
      <w:tblGrid>
        <w:gridCol w:w="723"/>
        <w:gridCol w:w="1940"/>
        <w:gridCol w:w="2020"/>
        <w:gridCol w:w="1920"/>
        <w:gridCol w:w="2680"/>
      </w:tblGrid>
      <w:tr w:rsidR="00CF29AB" w:rsidRPr="00E805AD" w14:paraId="4A652FF2" w14:textId="77777777" w:rsidTr="00CF29AB">
        <w:trPr>
          <w:trHeight w:val="300"/>
        </w:trPr>
        <w:tc>
          <w:tcPr>
            <w:tcW w:w="520" w:type="dxa"/>
            <w:tcBorders>
              <w:top w:val="single" w:sz="8" w:space="0" w:color="auto"/>
              <w:left w:val="single" w:sz="8" w:space="0" w:color="auto"/>
              <w:bottom w:val="single" w:sz="4" w:space="0" w:color="auto"/>
              <w:right w:val="single" w:sz="4" w:space="0" w:color="auto"/>
            </w:tcBorders>
            <w:noWrap/>
            <w:vAlign w:val="bottom"/>
            <w:hideMark/>
          </w:tcPr>
          <w:p w14:paraId="6BC73234"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Year</w:t>
            </w:r>
          </w:p>
        </w:tc>
        <w:tc>
          <w:tcPr>
            <w:tcW w:w="1940" w:type="dxa"/>
            <w:tcBorders>
              <w:top w:val="single" w:sz="8" w:space="0" w:color="auto"/>
              <w:left w:val="nil"/>
              <w:bottom w:val="single" w:sz="4" w:space="0" w:color="auto"/>
              <w:right w:val="single" w:sz="4" w:space="0" w:color="auto"/>
            </w:tcBorders>
            <w:noWrap/>
            <w:vAlign w:val="bottom"/>
            <w:hideMark/>
          </w:tcPr>
          <w:p w14:paraId="53DDF7DD"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(£m)</w:t>
            </w:r>
          </w:p>
        </w:tc>
        <w:tc>
          <w:tcPr>
            <w:tcW w:w="2020" w:type="dxa"/>
            <w:tcBorders>
              <w:top w:val="single" w:sz="8" w:space="0" w:color="auto"/>
              <w:left w:val="nil"/>
              <w:bottom w:val="single" w:sz="4" w:space="0" w:color="auto"/>
              <w:right w:val="single" w:sz="4" w:space="0" w:color="auto"/>
            </w:tcBorders>
            <w:noWrap/>
            <w:vAlign w:val="bottom"/>
            <w:hideMark/>
          </w:tcPr>
          <w:p w14:paraId="057AC69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Discount Factor (8%)</w:t>
            </w:r>
          </w:p>
        </w:tc>
        <w:tc>
          <w:tcPr>
            <w:tcW w:w="1920" w:type="dxa"/>
            <w:tcBorders>
              <w:top w:val="single" w:sz="8" w:space="0" w:color="auto"/>
              <w:left w:val="nil"/>
              <w:bottom w:val="single" w:sz="4" w:space="0" w:color="auto"/>
              <w:right w:val="single" w:sz="4" w:space="0" w:color="auto"/>
            </w:tcBorders>
            <w:noWrap/>
            <w:vAlign w:val="bottom"/>
            <w:hideMark/>
          </w:tcPr>
          <w:p w14:paraId="522202A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Present Value (£m)</w:t>
            </w:r>
          </w:p>
        </w:tc>
        <w:tc>
          <w:tcPr>
            <w:tcW w:w="2680" w:type="dxa"/>
            <w:tcBorders>
              <w:top w:val="single" w:sz="8" w:space="0" w:color="auto"/>
              <w:left w:val="nil"/>
              <w:bottom w:val="single" w:sz="4" w:space="0" w:color="auto"/>
              <w:right w:val="single" w:sz="8" w:space="0" w:color="auto"/>
            </w:tcBorders>
            <w:noWrap/>
            <w:vAlign w:val="bottom"/>
            <w:hideMark/>
          </w:tcPr>
          <w:p w14:paraId="7DCD5C9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Cumulative Cash Flow (£m)</w:t>
            </w:r>
          </w:p>
        </w:tc>
      </w:tr>
      <w:tr w:rsidR="00CF29AB" w:rsidRPr="00E805AD" w14:paraId="3947C0AB"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26ED27C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w:t>
            </w:r>
          </w:p>
        </w:tc>
        <w:tc>
          <w:tcPr>
            <w:tcW w:w="1940" w:type="dxa"/>
            <w:tcBorders>
              <w:top w:val="nil"/>
              <w:left w:val="nil"/>
              <w:bottom w:val="single" w:sz="4" w:space="0" w:color="auto"/>
              <w:right w:val="single" w:sz="4" w:space="0" w:color="auto"/>
            </w:tcBorders>
            <w:noWrap/>
            <w:vAlign w:val="bottom"/>
            <w:hideMark/>
          </w:tcPr>
          <w:p w14:paraId="731B3D4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020" w:type="dxa"/>
            <w:tcBorders>
              <w:top w:val="nil"/>
              <w:left w:val="nil"/>
              <w:bottom w:val="single" w:sz="4" w:space="0" w:color="auto"/>
              <w:right w:val="single" w:sz="4" w:space="0" w:color="auto"/>
            </w:tcBorders>
            <w:noWrap/>
            <w:vAlign w:val="bottom"/>
            <w:hideMark/>
          </w:tcPr>
          <w:p w14:paraId="770BAE8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w:t>
            </w:r>
          </w:p>
        </w:tc>
        <w:tc>
          <w:tcPr>
            <w:tcW w:w="1920" w:type="dxa"/>
            <w:tcBorders>
              <w:top w:val="nil"/>
              <w:left w:val="nil"/>
              <w:bottom w:val="single" w:sz="4" w:space="0" w:color="auto"/>
              <w:right w:val="single" w:sz="4" w:space="0" w:color="auto"/>
            </w:tcBorders>
            <w:noWrap/>
            <w:vAlign w:val="bottom"/>
            <w:hideMark/>
          </w:tcPr>
          <w:p w14:paraId="16335F1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680" w:type="dxa"/>
            <w:tcBorders>
              <w:top w:val="nil"/>
              <w:left w:val="nil"/>
              <w:bottom w:val="single" w:sz="4" w:space="0" w:color="auto"/>
              <w:right w:val="single" w:sz="8" w:space="0" w:color="auto"/>
            </w:tcBorders>
            <w:noWrap/>
            <w:vAlign w:val="bottom"/>
            <w:hideMark/>
          </w:tcPr>
          <w:p w14:paraId="4BD4AEE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r>
      <w:tr w:rsidR="00CF29AB" w:rsidRPr="00E805AD" w14:paraId="0F1796E6"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0B742A8"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1</w:t>
            </w:r>
          </w:p>
        </w:tc>
        <w:tc>
          <w:tcPr>
            <w:tcW w:w="1940" w:type="dxa"/>
            <w:tcBorders>
              <w:top w:val="nil"/>
              <w:left w:val="nil"/>
              <w:bottom w:val="single" w:sz="4" w:space="0" w:color="auto"/>
              <w:right w:val="single" w:sz="4" w:space="0" w:color="auto"/>
            </w:tcBorders>
            <w:noWrap/>
            <w:vAlign w:val="bottom"/>
            <w:hideMark/>
          </w:tcPr>
          <w:p w14:paraId="6184D50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c>
          <w:tcPr>
            <w:tcW w:w="2020" w:type="dxa"/>
            <w:tcBorders>
              <w:top w:val="nil"/>
              <w:left w:val="nil"/>
              <w:bottom w:val="single" w:sz="4" w:space="0" w:color="auto"/>
              <w:right w:val="single" w:sz="4" w:space="0" w:color="auto"/>
            </w:tcBorders>
            <w:noWrap/>
            <w:vAlign w:val="bottom"/>
            <w:hideMark/>
          </w:tcPr>
          <w:p w14:paraId="3FEDA85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0.166666667</w:t>
            </w:r>
          </w:p>
        </w:tc>
        <w:tc>
          <w:tcPr>
            <w:tcW w:w="1920" w:type="dxa"/>
            <w:tcBorders>
              <w:top w:val="nil"/>
              <w:left w:val="nil"/>
              <w:bottom w:val="single" w:sz="4" w:space="0" w:color="auto"/>
              <w:right w:val="single" w:sz="4" w:space="0" w:color="auto"/>
            </w:tcBorders>
            <w:noWrap/>
            <w:vAlign w:val="bottom"/>
            <w:hideMark/>
          </w:tcPr>
          <w:p w14:paraId="1B5FE4E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0.833333333</w:t>
            </w:r>
          </w:p>
        </w:tc>
        <w:tc>
          <w:tcPr>
            <w:tcW w:w="2680" w:type="dxa"/>
            <w:tcBorders>
              <w:top w:val="nil"/>
              <w:left w:val="nil"/>
              <w:bottom w:val="single" w:sz="4" w:space="0" w:color="auto"/>
              <w:right w:val="single" w:sz="8" w:space="0" w:color="auto"/>
            </w:tcBorders>
            <w:noWrap/>
            <w:vAlign w:val="bottom"/>
            <w:hideMark/>
          </w:tcPr>
          <w:p w14:paraId="48DE315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-45</w:t>
            </w:r>
          </w:p>
        </w:tc>
      </w:tr>
      <w:tr w:rsidR="00CF29AB" w:rsidRPr="00E805AD" w14:paraId="7515EEB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704A330"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2</w:t>
            </w:r>
          </w:p>
        </w:tc>
        <w:tc>
          <w:tcPr>
            <w:tcW w:w="1940" w:type="dxa"/>
            <w:tcBorders>
              <w:top w:val="nil"/>
              <w:left w:val="nil"/>
              <w:bottom w:val="single" w:sz="4" w:space="0" w:color="auto"/>
              <w:right w:val="single" w:sz="4" w:space="0" w:color="auto"/>
            </w:tcBorders>
            <w:noWrap/>
            <w:vAlign w:val="bottom"/>
            <w:hideMark/>
          </w:tcPr>
          <w:p w14:paraId="27F533A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c>
          <w:tcPr>
            <w:tcW w:w="2020" w:type="dxa"/>
            <w:tcBorders>
              <w:top w:val="nil"/>
              <w:left w:val="nil"/>
              <w:bottom w:val="single" w:sz="4" w:space="0" w:color="auto"/>
              <w:right w:val="single" w:sz="4" w:space="0" w:color="auto"/>
            </w:tcBorders>
            <w:noWrap/>
            <w:vAlign w:val="bottom"/>
            <w:hideMark/>
          </w:tcPr>
          <w:p w14:paraId="04CBE8B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0.008264463</w:t>
            </w:r>
          </w:p>
        </w:tc>
        <w:tc>
          <w:tcPr>
            <w:tcW w:w="1920" w:type="dxa"/>
            <w:tcBorders>
              <w:top w:val="nil"/>
              <w:left w:val="nil"/>
              <w:bottom w:val="single" w:sz="4" w:space="0" w:color="auto"/>
              <w:right w:val="single" w:sz="4" w:space="0" w:color="auto"/>
            </w:tcBorders>
            <w:noWrap/>
            <w:vAlign w:val="bottom"/>
            <w:hideMark/>
          </w:tcPr>
          <w:p w14:paraId="1DAA58F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0.082644628</w:t>
            </w:r>
          </w:p>
        </w:tc>
        <w:tc>
          <w:tcPr>
            <w:tcW w:w="2680" w:type="dxa"/>
            <w:tcBorders>
              <w:top w:val="nil"/>
              <w:left w:val="nil"/>
              <w:bottom w:val="single" w:sz="4" w:space="0" w:color="auto"/>
              <w:right w:val="single" w:sz="8" w:space="0" w:color="auto"/>
            </w:tcBorders>
            <w:noWrap/>
            <w:vAlign w:val="bottom"/>
            <w:hideMark/>
          </w:tcPr>
          <w:p w14:paraId="2B22E77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w:t>
            </w:r>
          </w:p>
        </w:tc>
      </w:tr>
      <w:tr w:rsidR="00CF29AB" w:rsidRPr="00E805AD" w14:paraId="53D0EA21"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65737DF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3</w:t>
            </w:r>
          </w:p>
        </w:tc>
        <w:tc>
          <w:tcPr>
            <w:tcW w:w="1940" w:type="dxa"/>
            <w:tcBorders>
              <w:top w:val="nil"/>
              <w:left w:val="nil"/>
              <w:bottom w:val="single" w:sz="4" w:space="0" w:color="auto"/>
              <w:right w:val="single" w:sz="4" w:space="0" w:color="auto"/>
            </w:tcBorders>
            <w:noWrap/>
            <w:vAlign w:val="bottom"/>
            <w:hideMark/>
          </w:tcPr>
          <w:p w14:paraId="1AB4D32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w:t>
            </w:r>
          </w:p>
        </w:tc>
        <w:tc>
          <w:tcPr>
            <w:tcW w:w="2020" w:type="dxa"/>
            <w:tcBorders>
              <w:top w:val="nil"/>
              <w:left w:val="nil"/>
              <w:bottom w:val="single" w:sz="4" w:space="0" w:color="auto"/>
              <w:right w:val="single" w:sz="4" w:space="0" w:color="auto"/>
            </w:tcBorders>
            <w:noWrap/>
            <w:vAlign w:val="bottom"/>
            <w:hideMark/>
          </w:tcPr>
          <w:p w14:paraId="2614AE1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0.00010798</w:t>
            </w:r>
          </w:p>
        </w:tc>
        <w:tc>
          <w:tcPr>
            <w:tcW w:w="1920" w:type="dxa"/>
            <w:tcBorders>
              <w:top w:val="nil"/>
              <w:left w:val="nil"/>
              <w:bottom w:val="single" w:sz="4" w:space="0" w:color="auto"/>
              <w:right w:val="single" w:sz="4" w:space="0" w:color="auto"/>
            </w:tcBorders>
            <w:noWrap/>
            <w:vAlign w:val="bottom"/>
            <w:hideMark/>
          </w:tcPr>
          <w:p w14:paraId="0267BA6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0.002159594</w:t>
            </w:r>
          </w:p>
        </w:tc>
        <w:tc>
          <w:tcPr>
            <w:tcW w:w="2680" w:type="dxa"/>
            <w:tcBorders>
              <w:top w:val="nil"/>
              <w:left w:val="nil"/>
              <w:bottom w:val="single" w:sz="4" w:space="0" w:color="auto"/>
              <w:right w:val="single" w:sz="8" w:space="0" w:color="auto"/>
            </w:tcBorders>
            <w:noWrap/>
            <w:vAlign w:val="bottom"/>
            <w:hideMark/>
          </w:tcPr>
          <w:p w14:paraId="606668D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w:t>
            </w:r>
          </w:p>
        </w:tc>
      </w:tr>
      <w:tr w:rsidR="00CF29AB" w:rsidRPr="00E805AD" w14:paraId="4B2B4E8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0B2E5A8"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4</w:t>
            </w:r>
          </w:p>
        </w:tc>
        <w:tc>
          <w:tcPr>
            <w:tcW w:w="1940" w:type="dxa"/>
            <w:tcBorders>
              <w:top w:val="nil"/>
              <w:left w:val="nil"/>
              <w:bottom w:val="single" w:sz="4" w:space="0" w:color="auto"/>
              <w:right w:val="single" w:sz="4" w:space="0" w:color="auto"/>
            </w:tcBorders>
            <w:noWrap/>
            <w:vAlign w:val="bottom"/>
            <w:hideMark/>
          </w:tcPr>
          <w:p w14:paraId="3A21269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w:t>
            </w:r>
          </w:p>
        </w:tc>
        <w:tc>
          <w:tcPr>
            <w:tcW w:w="2020" w:type="dxa"/>
            <w:tcBorders>
              <w:top w:val="nil"/>
              <w:left w:val="nil"/>
              <w:bottom w:val="single" w:sz="4" w:space="0" w:color="auto"/>
              <w:right w:val="single" w:sz="4" w:space="0" w:color="auto"/>
            </w:tcBorders>
            <w:noWrap/>
            <w:vAlign w:val="bottom"/>
            <w:hideMark/>
          </w:tcPr>
          <w:p w14:paraId="24D1358F"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2.1883E-06</w:t>
            </w:r>
          </w:p>
        </w:tc>
        <w:tc>
          <w:tcPr>
            <w:tcW w:w="1920" w:type="dxa"/>
            <w:tcBorders>
              <w:top w:val="nil"/>
              <w:left w:val="nil"/>
              <w:bottom w:val="single" w:sz="4" w:space="0" w:color="auto"/>
              <w:right w:val="single" w:sz="4" w:space="0" w:color="auto"/>
            </w:tcBorders>
            <w:noWrap/>
            <w:vAlign w:val="bottom"/>
            <w:hideMark/>
          </w:tcPr>
          <w:p w14:paraId="0900813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5.47075E-05</w:t>
            </w:r>
          </w:p>
        </w:tc>
        <w:tc>
          <w:tcPr>
            <w:tcW w:w="2680" w:type="dxa"/>
            <w:tcBorders>
              <w:top w:val="nil"/>
              <w:left w:val="nil"/>
              <w:bottom w:val="single" w:sz="4" w:space="0" w:color="auto"/>
              <w:right w:val="single" w:sz="8" w:space="0" w:color="auto"/>
            </w:tcBorders>
            <w:noWrap/>
            <w:vAlign w:val="bottom"/>
            <w:hideMark/>
          </w:tcPr>
          <w:p w14:paraId="736A2C1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r>
      <w:tr w:rsidR="00CF29AB" w:rsidRPr="00E805AD" w14:paraId="74165E18"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5770131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5</w:t>
            </w:r>
          </w:p>
        </w:tc>
        <w:tc>
          <w:tcPr>
            <w:tcW w:w="1940" w:type="dxa"/>
            <w:tcBorders>
              <w:top w:val="nil"/>
              <w:left w:val="nil"/>
              <w:bottom w:val="single" w:sz="4" w:space="0" w:color="auto"/>
              <w:right w:val="single" w:sz="4" w:space="0" w:color="auto"/>
            </w:tcBorders>
            <w:noWrap/>
            <w:vAlign w:val="bottom"/>
            <w:hideMark/>
          </w:tcPr>
          <w:p w14:paraId="0198495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c>
          <w:tcPr>
            <w:tcW w:w="2020" w:type="dxa"/>
            <w:tcBorders>
              <w:top w:val="nil"/>
              <w:left w:val="nil"/>
              <w:bottom w:val="single" w:sz="4" w:space="0" w:color="auto"/>
              <w:right w:val="single" w:sz="4" w:space="0" w:color="auto"/>
            </w:tcBorders>
            <w:noWrap/>
            <w:vAlign w:val="bottom"/>
            <w:hideMark/>
          </w:tcPr>
          <w:p w14:paraId="4A428A7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0.000128601</w:t>
            </w:r>
          </w:p>
        </w:tc>
        <w:tc>
          <w:tcPr>
            <w:tcW w:w="1920" w:type="dxa"/>
            <w:tcBorders>
              <w:top w:val="nil"/>
              <w:left w:val="nil"/>
              <w:bottom w:val="single" w:sz="4" w:space="0" w:color="auto"/>
              <w:right w:val="single" w:sz="4" w:space="0" w:color="auto"/>
            </w:tcBorders>
            <w:noWrap/>
            <w:vAlign w:val="bottom"/>
            <w:hideMark/>
          </w:tcPr>
          <w:p w14:paraId="75C6B45F"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0.000643004</w:t>
            </w:r>
          </w:p>
        </w:tc>
        <w:tc>
          <w:tcPr>
            <w:tcW w:w="2680" w:type="dxa"/>
            <w:tcBorders>
              <w:top w:val="nil"/>
              <w:left w:val="nil"/>
              <w:bottom w:val="single" w:sz="4" w:space="0" w:color="auto"/>
              <w:right w:val="single" w:sz="8" w:space="0" w:color="auto"/>
            </w:tcBorders>
            <w:noWrap/>
            <w:vAlign w:val="bottom"/>
            <w:hideMark/>
          </w:tcPr>
          <w:p w14:paraId="63028E3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w:t>
            </w:r>
          </w:p>
        </w:tc>
      </w:tr>
      <w:tr w:rsidR="00CF29AB" w:rsidRPr="00E805AD" w14:paraId="395918B3" w14:textId="77777777" w:rsidTr="00CF29AB">
        <w:trPr>
          <w:trHeight w:val="300"/>
        </w:trPr>
        <w:tc>
          <w:tcPr>
            <w:tcW w:w="4480" w:type="dxa"/>
            <w:gridSpan w:val="3"/>
            <w:tcBorders>
              <w:top w:val="single" w:sz="4" w:space="0" w:color="auto"/>
              <w:left w:val="single" w:sz="8" w:space="0" w:color="auto"/>
              <w:bottom w:val="single" w:sz="4" w:space="0" w:color="auto"/>
              <w:right w:val="single" w:sz="4" w:space="0" w:color="auto"/>
            </w:tcBorders>
            <w:noWrap/>
            <w:vAlign w:val="bottom"/>
            <w:hideMark/>
          </w:tcPr>
          <w:p w14:paraId="1924AC9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Present Value</w:t>
            </w:r>
          </w:p>
        </w:tc>
        <w:tc>
          <w:tcPr>
            <w:tcW w:w="4600" w:type="dxa"/>
            <w:gridSpan w:val="2"/>
            <w:tcBorders>
              <w:top w:val="single" w:sz="4" w:space="0" w:color="auto"/>
              <w:left w:val="nil"/>
              <w:bottom w:val="single" w:sz="4" w:space="0" w:color="auto"/>
              <w:right w:val="single" w:sz="8" w:space="0" w:color="000000"/>
            </w:tcBorders>
            <w:noWrap/>
            <w:vAlign w:val="bottom"/>
            <w:hideMark/>
          </w:tcPr>
          <w:p w14:paraId="2EFCF53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0.918835267</w:t>
            </w:r>
          </w:p>
        </w:tc>
      </w:tr>
      <w:tr w:rsidR="00CF29AB" w:rsidRPr="00E805AD" w14:paraId="1461AC27"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2A15685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Payback Period</w:t>
            </w:r>
          </w:p>
        </w:tc>
        <w:tc>
          <w:tcPr>
            <w:tcW w:w="2680" w:type="dxa"/>
            <w:tcBorders>
              <w:top w:val="nil"/>
              <w:left w:val="nil"/>
              <w:bottom w:val="single" w:sz="4" w:space="0" w:color="auto"/>
              <w:right w:val="single" w:sz="8" w:space="0" w:color="auto"/>
            </w:tcBorders>
            <w:noWrap/>
            <w:vAlign w:val="bottom"/>
            <w:hideMark/>
          </w:tcPr>
          <w:p w14:paraId="124FA46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4.2</w:t>
            </w:r>
          </w:p>
        </w:tc>
      </w:tr>
      <w:tr w:rsidR="00CF29AB" w:rsidRPr="00E805AD" w14:paraId="78816439"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02160D44"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Average Annual Profit</w:t>
            </w:r>
          </w:p>
        </w:tc>
        <w:tc>
          <w:tcPr>
            <w:tcW w:w="2680" w:type="dxa"/>
            <w:tcBorders>
              <w:top w:val="nil"/>
              <w:left w:val="nil"/>
              <w:bottom w:val="single" w:sz="4" w:space="0" w:color="auto"/>
              <w:right w:val="single" w:sz="8" w:space="0" w:color="auto"/>
            </w:tcBorders>
            <w:noWrap/>
            <w:vAlign w:val="bottom"/>
            <w:hideMark/>
          </w:tcPr>
          <w:p w14:paraId="2307ACE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w:t>
            </w:r>
          </w:p>
        </w:tc>
      </w:tr>
      <w:tr w:rsidR="00CF29AB" w:rsidRPr="00E805AD" w14:paraId="04F08AEC"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16EEE00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ARR</w:t>
            </w:r>
          </w:p>
        </w:tc>
        <w:tc>
          <w:tcPr>
            <w:tcW w:w="2680" w:type="dxa"/>
            <w:tcBorders>
              <w:top w:val="nil"/>
              <w:left w:val="nil"/>
              <w:bottom w:val="single" w:sz="4" w:space="0" w:color="auto"/>
              <w:right w:val="single" w:sz="8" w:space="0" w:color="auto"/>
            </w:tcBorders>
            <w:noWrap/>
            <w:vAlign w:val="bottom"/>
            <w:hideMark/>
          </w:tcPr>
          <w:p w14:paraId="6515808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w:t>
            </w:r>
          </w:p>
        </w:tc>
      </w:tr>
      <w:tr w:rsidR="00CF29AB" w:rsidRPr="00E805AD" w14:paraId="7AD1090B"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1B0E24F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NPV</w:t>
            </w:r>
          </w:p>
        </w:tc>
        <w:tc>
          <w:tcPr>
            <w:tcW w:w="2680" w:type="dxa"/>
            <w:tcBorders>
              <w:top w:val="nil"/>
              <w:left w:val="nil"/>
              <w:bottom w:val="single" w:sz="4" w:space="0" w:color="auto"/>
              <w:right w:val="single" w:sz="8" w:space="0" w:color="auto"/>
            </w:tcBorders>
            <w:noWrap/>
            <w:vAlign w:val="bottom"/>
            <w:hideMark/>
          </w:tcPr>
          <w:p w14:paraId="08AD48D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 xml:space="preserve">$0.86 </w:t>
            </w:r>
          </w:p>
        </w:tc>
      </w:tr>
      <w:tr w:rsidR="00CF29AB" w:rsidRPr="00E805AD" w14:paraId="1FF11D84"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4054E52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Profitability Index</w:t>
            </w:r>
          </w:p>
        </w:tc>
        <w:tc>
          <w:tcPr>
            <w:tcW w:w="2680" w:type="dxa"/>
            <w:tcBorders>
              <w:top w:val="nil"/>
              <w:left w:val="nil"/>
              <w:bottom w:val="single" w:sz="4" w:space="0" w:color="auto"/>
              <w:right w:val="single" w:sz="8" w:space="0" w:color="auto"/>
            </w:tcBorders>
            <w:noWrap/>
            <w:vAlign w:val="bottom"/>
            <w:hideMark/>
          </w:tcPr>
          <w:p w14:paraId="13E6FFD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1.017166499</w:t>
            </w:r>
          </w:p>
        </w:tc>
      </w:tr>
      <w:tr w:rsidR="00CF29AB" w:rsidRPr="00E805AD" w14:paraId="3D43AA8A" w14:textId="77777777" w:rsidTr="00CF29AB">
        <w:trPr>
          <w:trHeight w:val="315"/>
        </w:trPr>
        <w:tc>
          <w:tcPr>
            <w:tcW w:w="6400" w:type="dxa"/>
            <w:gridSpan w:val="4"/>
            <w:tcBorders>
              <w:top w:val="single" w:sz="4" w:space="0" w:color="auto"/>
              <w:left w:val="single" w:sz="8" w:space="0" w:color="auto"/>
              <w:bottom w:val="single" w:sz="8" w:space="0" w:color="auto"/>
              <w:right w:val="single" w:sz="4" w:space="0" w:color="auto"/>
            </w:tcBorders>
            <w:noWrap/>
            <w:vAlign w:val="bottom"/>
            <w:hideMark/>
          </w:tcPr>
          <w:p w14:paraId="00061EF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IRR</w:t>
            </w:r>
          </w:p>
        </w:tc>
        <w:tc>
          <w:tcPr>
            <w:tcW w:w="2680" w:type="dxa"/>
            <w:tcBorders>
              <w:top w:val="nil"/>
              <w:left w:val="nil"/>
              <w:bottom w:val="single" w:sz="8" w:space="0" w:color="auto"/>
              <w:right w:val="single" w:sz="8" w:space="0" w:color="auto"/>
            </w:tcBorders>
            <w:noWrap/>
            <w:vAlign w:val="bottom"/>
            <w:hideMark/>
          </w:tcPr>
          <w:p w14:paraId="05DE53D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9%</w:t>
            </w:r>
          </w:p>
        </w:tc>
      </w:tr>
    </w:tbl>
    <w:p w14:paraId="49BD433D" w14:textId="77777777" w:rsidR="00CF29AB" w:rsidRPr="00E805AD" w:rsidRDefault="00CF29AB" w:rsidP="00E805AD">
      <w:pPr>
        <w:spacing w:after="200" w:line="360" w:lineRule="auto"/>
        <w:jc w:val="both"/>
        <w:rPr>
          <w:rFonts w:eastAsia="Times New Roman"/>
          <w:sz w:val="24"/>
          <w:szCs w:val="24"/>
        </w:rPr>
      </w:pPr>
    </w:p>
    <w:sectPr w:rsidR="00CF29AB" w:rsidRPr="00E805AD" w:rsidSect="00006FFA">
      <w:footerReference w:type="default" r:id="rId9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72CBB4" w14:textId="77777777" w:rsidR="008F38BB" w:rsidRDefault="008F38BB" w:rsidP="00006FFA">
      <w:pPr>
        <w:spacing w:line="240" w:lineRule="auto"/>
      </w:pPr>
      <w:r>
        <w:separator/>
      </w:r>
    </w:p>
  </w:endnote>
  <w:endnote w:type="continuationSeparator" w:id="0">
    <w:p w14:paraId="783F93E5" w14:textId="77777777" w:rsidR="008F38BB" w:rsidRDefault="008F38BB" w:rsidP="00006F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5CE9603-5622-44C7-895C-CC1FE8180F3F}"/>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2" w:fontKey="{184F51DA-0C67-455E-8D8B-49E19ADF6E82}"/>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8527104"/>
      <w:docPartObj>
        <w:docPartGallery w:val="Page Numbers (Bottom of Page)"/>
        <w:docPartUnique/>
      </w:docPartObj>
    </w:sdtPr>
    <w:sdtEndPr>
      <w:rPr>
        <w:rFonts w:ascii="Times New Roman" w:hAnsi="Times New Roman" w:cs="Times New Roman"/>
        <w:noProof/>
        <w:sz w:val="20"/>
        <w:szCs w:val="20"/>
      </w:rPr>
    </w:sdtEndPr>
    <w:sdtContent>
      <w:p w14:paraId="092671E1" w14:textId="52D8C63F" w:rsidR="00006FFA" w:rsidRPr="00006FFA" w:rsidRDefault="00006FFA">
        <w:pPr>
          <w:pStyle w:val="Footer"/>
          <w:jc w:val="right"/>
          <w:rPr>
            <w:rFonts w:ascii="Times New Roman" w:hAnsi="Times New Roman" w:cs="Times New Roman"/>
            <w:sz w:val="20"/>
            <w:szCs w:val="20"/>
          </w:rPr>
        </w:pPr>
        <w:r w:rsidRPr="00006FFA">
          <w:rPr>
            <w:rFonts w:ascii="Times New Roman" w:hAnsi="Times New Roman" w:cs="Times New Roman"/>
            <w:sz w:val="20"/>
            <w:szCs w:val="20"/>
          </w:rPr>
          <w:fldChar w:fldCharType="begin"/>
        </w:r>
        <w:r w:rsidRPr="00006FFA">
          <w:rPr>
            <w:rFonts w:ascii="Times New Roman" w:hAnsi="Times New Roman" w:cs="Times New Roman"/>
            <w:sz w:val="20"/>
            <w:szCs w:val="20"/>
          </w:rPr>
          <w:instrText xml:space="preserve"> PAGE   \* MERGEFORMAT </w:instrText>
        </w:r>
        <w:r w:rsidRPr="00006FFA">
          <w:rPr>
            <w:rFonts w:ascii="Times New Roman" w:hAnsi="Times New Roman" w:cs="Times New Roman"/>
            <w:sz w:val="20"/>
            <w:szCs w:val="20"/>
          </w:rPr>
          <w:fldChar w:fldCharType="separate"/>
        </w:r>
        <w:r w:rsidR="00C57735">
          <w:rPr>
            <w:rFonts w:ascii="Times New Roman" w:hAnsi="Times New Roman" w:cs="Times New Roman"/>
            <w:noProof/>
            <w:sz w:val="20"/>
            <w:szCs w:val="20"/>
          </w:rPr>
          <w:t>21</w:t>
        </w:r>
        <w:r w:rsidRPr="00006FFA">
          <w:rPr>
            <w:rFonts w:ascii="Times New Roman" w:hAnsi="Times New Roman" w:cs="Times New Roman"/>
            <w:noProof/>
            <w:sz w:val="20"/>
            <w:szCs w:val="20"/>
          </w:rPr>
          <w:fldChar w:fldCharType="end"/>
        </w:r>
      </w:p>
    </w:sdtContent>
  </w:sdt>
  <w:p w14:paraId="4853870C" w14:textId="77777777" w:rsidR="00006FFA" w:rsidRDefault="00006F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63215" w14:textId="77777777" w:rsidR="008F38BB" w:rsidRDefault="008F38BB" w:rsidP="00006FFA">
      <w:pPr>
        <w:spacing w:line="240" w:lineRule="auto"/>
      </w:pPr>
      <w:r>
        <w:separator/>
      </w:r>
    </w:p>
  </w:footnote>
  <w:footnote w:type="continuationSeparator" w:id="0">
    <w:p w14:paraId="3AB1F066" w14:textId="77777777" w:rsidR="008F38BB" w:rsidRDefault="008F38BB" w:rsidP="00006FF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92C8C"/>
    <w:multiLevelType w:val="multilevel"/>
    <w:tmpl w:val="4FA49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2FA"/>
    <w:rsid w:val="00006FFA"/>
    <w:rsid w:val="00123D4C"/>
    <w:rsid w:val="003E3F7A"/>
    <w:rsid w:val="003E62FA"/>
    <w:rsid w:val="00465EF1"/>
    <w:rsid w:val="0051157A"/>
    <w:rsid w:val="00537CBC"/>
    <w:rsid w:val="005A6F76"/>
    <w:rsid w:val="00650885"/>
    <w:rsid w:val="00664A03"/>
    <w:rsid w:val="00712A08"/>
    <w:rsid w:val="00794F21"/>
    <w:rsid w:val="008F38BB"/>
    <w:rsid w:val="00C57735"/>
    <w:rsid w:val="00C6178A"/>
    <w:rsid w:val="00CF29AB"/>
    <w:rsid w:val="00D31E9B"/>
    <w:rsid w:val="00E705F4"/>
    <w:rsid w:val="00E805AD"/>
    <w:rsid w:val="00E829E9"/>
    <w:rsid w:val="00F21F17"/>
    <w:rsid w:val="00FF1D4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066A"/>
  <w15:docId w15:val="{7061D5EA-E564-4AAC-AFDD-582FF7704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E805AD"/>
    <w:pPr>
      <w:keepNext/>
      <w:keepLines/>
      <w:spacing w:before="120" w:after="120" w:line="360" w:lineRule="auto"/>
      <w:jc w:val="both"/>
      <w:outlineLvl w:val="0"/>
    </w:pPr>
    <w:rPr>
      <w:b/>
      <w:sz w:val="28"/>
      <w:szCs w:val="40"/>
    </w:rPr>
  </w:style>
  <w:style w:type="paragraph" w:styleId="Heading2">
    <w:name w:val="heading 2"/>
    <w:basedOn w:val="Normal"/>
    <w:next w:val="Normal"/>
    <w:uiPriority w:val="9"/>
    <w:unhideWhenUsed/>
    <w:qFormat/>
    <w:rsid w:val="00E805AD"/>
    <w:pPr>
      <w:keepNext/>
      <w:keepLines/>
      <w:spacing w:before="12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64A0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64A03"/>
    <w:pPr>
      <w:spacing w:after="100"/>
    </w:pPr>
  </w:style>
  <w:style w:type="paragraph" w:styleId="TOC2">
    <w:name w:val="toc 2"/>
    <w:basedOn w:val="Normal"/>
    <w:next w:val="Normal"/>
    <w:autoRedefine/>
    <w:uiPriority w:val="39"/>
    <w:unhideWhenUsed/>
    <w:rsid w:val="00664A03"/>
    <w:pPr>
      <w:spacing w:after="100"/>
      <w:ind w:left="220"/>
    </w:pPr>
  </w:style>
  <w:style w:type="character" w:styleId="Hyperlink">
    <w:name w:val="Hyperlink"/>
    <w:basedOn w:val="DefaultParagraphFont"/>
    <w:uiPriority w:val="99"/>
    <w:unhideWhenUsed/>
    <w:rsid w:val="00664A03"/>
    <w:rPr>
      <w:color w:val="0000FF" w:themeColor="hyperlink"/>
      <w:u w:val="single"/>
    </w:rPr>
  </w:style>
  <w:style w:type="table" w:styleId="TableGrid">
    <w:name w:val="Table Grid"/>
    <w:basedOn w:val="TableNormal"/>
    <w:uiPriority w:val="39"/>
    <w:rsid w:val="00664A0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6FFA"/>
    <w:pPr>
      <w:tabs>
        <w:tab w:val="center" w:pos="4680"/>
        <w:tab w:val="right" w:pos="9360"/>
      </w:tabs>
      <w:spacing w:line="240" w:lineRule="auto"/>
    </w:pPr>
  </w:style>
  <w:style w:type="character" w:customStyle="1" w:styleId="HeaderChar">
    <w:name w:val="Header Char"/>
    <w:basedOn w:val="DefaultParagraphFont"/>
    <w:link w:val="Header"/>
    <w:uiPriority w:val="99"/>
    <w:rsid w:val="00006FFA"/>
  </w:style>
  <w:style w:type="paragraph" w:styleId="Footer">
    <w:name w:val="footer"/>
    <w:basedOn w:val="Normal"/>
    <w:link w:val="FooterChar"/>
    <w:uiPriority w:val="99"/>
    <w:unhideWhenUsed/>
    <w:rsid w:val="00006FFA"/>
    <w:pPr>
      <w:tabs>
        <w:tab w:val="center" w:pos="4680"/>
        <w:tab w:val="right" w:pos="9360"/>
      </w:tabs>
      <w:spacing w:line="240" w:lineRule="auto"/>
    </w:pPr>
  </w:style>
  <w:style w:type="character" w:customStyle="1" w:styleId="FooterChar">
    <w:name w:val="Footer Char"/>
    <w:basedOn w:val="DefaultParagraphFont"/>
    <w:link w:val="Footer"/>
    <w:uiPriority w:val="99"/>
    <w:rsid w:val="00006FFA"/>
  </w:style>
  <w:style w:type="paragraph" w:styleId="NormalWeb">
    <w:name w:val="Normal (Web)"/>
    <w:basedOn w:val="Normal"/>
    <w:uiPriority w:val="99"/>
    <w:semiHidden/>
    <w:unhideWhenUsed/>
    <w:rsid w:val="006508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A6F76"/>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A6F76"/>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737314">
      <w:bodyDiv w:val="1"/>
      <w:marLeft w:val="0"/>
      <w:marRight w:val="0"/>
      <w:marTop w:val="0"/>
      <w:marBottom w:val="0"/>
      <w:divBdr>
        <w:top w:val="none" w:sz="0" w:space="0" w:color="auto"/>
        <w:left w:val="none" w:sz="0" w:space="0" w:color="auto"/>
        <w:bottom w:val="none" w:sz="0" w:space="0" w:color="auto"/>
        <w:right w:val="none" w:sz="0" w:space="0" w:color="auto"/>
      </w:divBdr>
    </w:div>
    <w:div w:id="1703557870">
      <w:bodyDiv w:val="1"/>
      <w:marLeft w:val="0"/>
      <w:marRight w:val="0"/>
      <w:marTop w:val="0"/>
      <w:marBottom w:val="0"/>
      <w:divBdr>
        <w:top w:val="none" w:sz="0" w:space="0" w:color="auto"/>
        <w:left w:val="none" w:sz="0" w:space="0" w:color="auto"/>
        <w:bottom w:val="none" w:sz="0" w:space="0" w:color="auto"/>
        <w:right w:val="none" w:sz="0" w:space="0" w:color="auto"/>
      </w:divBdr>
    </w:div>
    <w:div w:id="1969044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elibrary.imf.org/downloadpdf/view/journals/001/2024/142/001.2024.issue-142-en.pdf" TargetMode="External"/><Relationship Id="rId21" Type="http://schemas.openxmlformats.org/officeDocument/2006/relationships/hyperlink" Target="https://www.researchgate.net/profile/Maheswar-Sethi/publication/395479418_Corporate_Borrowings/links/68c835e94eef4b024b8b89ca/Corporate-Borrowings.pdf" TargetMode="External"/><Relationship Id="rId42"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47" Type="http://schemas.openxmlformats.org/officeDocument/2006/relationships/hyperlink" Target="https://www.mdpi.com/1660-4601/19/14/8617" TargetMode="External"/><Relationship Id="rId63" Type="http://schemas.openxmlformats.org/officeDocument/2006/relationships/hyperlink" Target="https://www.mdpi.com/1911-8074/17/11/519" TargetMode="External"/><Relationship Id="rId68" Type="http://schemas.openxmlformats.org/officeDocument/2006/relationships/hyperlink" Target="https://www.mdpi.com/2071-1050/14/21/14447" TargetMode="External"/><Relationship Id="rId84" Type="http://schemas.openxmlformats.org/officeDocument/2006/relationships/hyperlink" Target="https://www.mdpi.com/2071-1050/17/8/3482" TargetMode="External"/><Relationship Id="rId89" Type="http://schemas.openxmlformats.org/officeDocument/2006/relationships/chart" Target="charts/chart3.xml"/><Relationship Id="rId16" Type="http://schemas.openxmlformats.org/officeDocument/2006/relationships/hyperlink" Target="https://www.researchgate.net/profile/Saqib-Rehman-3/publication/368576638_A_Bibliometric_Analysis_of_Asset-Light_Fee-Oriented_ALFO_Strategy_Potential_Future_Implications_for_Hospitality_Industry/links/63ef6d0951d7af0540325e37/A-Bibliometric-Analysis-of-Asset-Light-Fee-Oriented-ALFO-Strategy-Potential-Future-Implications-for-Hospitality-Industry.pdf" TargetMode="External"/><Relationship Id="rId11" Type="http://schemas.openxmlformats.org/officeDocument/2006/relationships/hyperlink" Target="https://www.researchgate.net/profile/Abdul-Razzak-Alshehadeh/publication/390407034_The_Impact_of_Operating_Cash_Flows_on_IT_Investment_and_Profitability_in_Commercial_Banks/links/67eccc11e8041142a15de006/The-Impact-of-Operating-Cash-Flows-on-IT-Investment-and-Profitability-in-Commercial-Banks.pdf" TargetMode="External"/><Relationship Id="rId32" Type="http://schemas.openxmlformats.org/officeDocument/2006/relationships/hyperlink" Target="https://arxiv.org/pdf/2306.10509" TargetMode="External"/><Relationship Id="rId37" Type="http://schemas.openxmlformats.org/officeDocument/2006/relationships/hyperlink" Target="https://finance.yahoo.com/quote/MAR/financials/" TargetMode="External"/><Relationship Id="rId53" Type="http://schemas.openxmlformats.org/officeDocument/2006/relationships/hyperlink" Target="https://www.researchgate.net/profile/Marcin-Majka-2/publication/385936952_EBITDA_vs_Net_Income_Key_Differences_and_Their_Importance_in_Financial_Analysis/links/673c5be9c1b80e56164627d9/EBITDA-vs-Net-Income-Key-Differences-and-Their-Importance-in-Financial-Analysis.pdf" TargetMode="External"/><Relationship Id="rId58" Type="http://schemas.openxmlformats.org/officeDocument/2006/relationships/hyperlink" Target="https://www.marriott.com/marriott/aboutmarriott.mi" TargetMode="External"/><Relationship Id="rId74" Type="http://schemas.openxmlformats.org/officeDocument/2006/relationships/hyperlink" Target="https://www.mdpi.com/1911-8074/18/4/208" TargetMode="External"/><Relationship Id="rId79" Type="http://schemas.openxmlformats.org/officeDocument/2006/relationships/hyperlink" Target="https://books.google.com/books?hl=en&amp;lr=&amp;id=ZsOPEAAAQBAJ&amp;oi=fnd&amp;pg=PA5&amp;dq=+A+lower+DPO+indicates+cash-generating+ability+to+make+timely+investor+payments+maintaining+good+relations&amp;ots=4KH5cCJO-D&amp;sig=iY1ZhXhSaPpEtU3PerCdyuXRBl8" TargetMode="External"/><Relationship Id="rId5" Type="http://schemas.openxmlformats.org/officeDocument/2006/relationships/webSettings" Target="webSettings.xml"/><Relationship Id="rId90" Type="http://schemas.openxmlformats.org/officeDocument/2006/relationships/chart" Target="charts/chart4.xml"/><Relationship Id="rId95" Type="http://schemas.openxmlformats.org/officeDocument/2006/relationships/glossaryDocument" Target="glossary/document.xml"/><Relationship Id="rId22" Type="http://schemas.openxmlformats.org/officeDocument/2006/relationships/hyperlink" Target="https://www.mdpi.com/2227-7072/11/3/100" TargetMode="External"/><Relationship Id="rId27" Type="http://schemas.openxmlformats.org/officeDocument/2006/relationships/hyperlink" Target="https://www.elibrary.imf.org/downloadpdf/view/journals/001/2024/142/001.2024.issue-142-en.pdf" TargetMode="External"/><Relationship Id="rId43"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48" Type="http://schemas.openxmlformats.org/officeDocument/2006/relationships/hyperlink" Target="https://www.tandfonline.com/doi/pdf/10.1080/23311975.2022.2097620" TargetMode="External"/><Relationship Id="rId64" Type="http://schemas.openxmlformats.org/officeDocument/2006/relationships/hyperlink" Target="https://www.mdpi.com/1911-8074/17/11/519" TargetMode="External"/><Relationship Id="rId69" Type="http://schemas.openxmlformats.org/officeDocument/2006/relationships/hyperlink" Target="https://www.sciencedirect.com/science/article/pii/S0261517725001967" TargetMode="External"/><Relationship Id="rId8" Type="http://schemas.openxmlformats.org/officeDocument/2006/relationships/image" Target="media/image1.png"/><Relationship Id="rId51" Type="http://schemas.openxmlformats.org/officeDocument/2006/relationships/hyperlink" Target="https://www.researchgate.net/profile/Chidiebere-Joshua/publication/398020195_Impact_of_Procure-to-Pay_Automation_on_Component_Manufacturers'_Working_Capital_Efficiency/links/69278f57a130337711bfa4e7/Impact-of-Procure-to-Pay-Automation-on-Component-Manufacturers-Working-Capital-Efficiency.pdf" TargetMode="External"/><Relationship Id="rId72" Type="http://schemas.openxmlformats.org/officeDocument/2006/relationships/hyperlink" Target="https://www.academia.edu/download/56425727/how_to_franchise_your_business.pdf" TargetMode="External"/><Relationship Id="rId80" Type="http://schemas.openxmlformats.org/officeDocument/2006/relationships/hyperlink" Target="https://sigmapubs.onlinelibrary.wiley.com/doi/pdfdirect/10.1111/jnu.12938" TargetMode="External"/><Relationship Id="rId85" Type="http://schemas.openxmlformats.org/officeDocument/2006/relationships/hyperlink" Target="http://166.62.7.99/assets/default/article/2023/05/01/article_1682991700.pdf"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academia.edu/download/118148342/BBS_2021_04_AL-Zararee.pdf" TargetMode="External"/><Relationship Id="rId17" Type="http://schemas.openxmlformats.org/officeDocument/2006/relationships/hyperlink" Target="https://www.researchgate.net/profile/Saqib-Rehman-3/publication/368576638_A_Bibliometric_Analysis_of_Asset-Light_Fee-Oriented_ALFO_Strategy_Potential_Future_Implications_for_Hospitality_Industry/links/63ef6d0951d7af0540325e37/A-Bibliometric-Analysis-of-Asset-Light-Fee-Oriented-ALFO-Strategy-Potential-Future-Implications-for-Hospitality-Industry.pdf" TargetMode="External"/><Relationship Id="rId25" Type="http://schemas.openxmlformats.org/officeDocument/2006/relationships/hyperlink" Target="https://books.google.com/books?hl=en&amp;lr=&amp;id=b5WCEQAAQBAJ&amp;oi=fnd&amp;pg=PP1&amp;dq=an+asset-light+hospitality+business+model+whereby+its+inventory+consists+mainly+of+food,+beverage,+and+operating+supply+rather+than+merchandise+for+resale&amp;ots=qUsRa7bfO8&amp;sig=RAZrGFshBjd64wnEP34guGacCu8" TargetMode="External"/><Relationship Id="rId33" Type="http://schemas.openxmlformats.org/officeDocument/2006/relationships/hyperlink" Targe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 TargetMode="External"/><Relationship Id="rId38" Type="http://schemas.openxmlformats.org/officeDocument/2006/relationships/hyperlink" Target="https://finance.yahoo.com/quote/MAR/financials/" TargetMode="External"/><Relationship Id="rId46" Type="http://schemas.openxmlformats.org/officeDocument/2006/relationships/hyperlink" Target="https://www.mdpi.com/1660-4601/19/14/8617" TargetMode="External"/><Relationship Id="rId59" Type="http://schemas.openxmlformats.org/officeDocument/2006/relationships/hyperlink" Target="https://www.researchgate.net/profile/Emmanuel-Ok-2/publication/388800588_Debt_vs_Equity_Financing_for_RD_Investments_in_Emerging_Markets_Trends_Challenges_and_Best_Practices/links/67a6a0c1461fb56424cdbf9d/Debt-vs-Equity-Financing-for-R-D-Investments-in-Emerging-Markets-Trends-Challenges-and-Best-Practices.pdf" TargetMode="External"/><Relationship Id="rId67" Type="http://schemas.openxmlformats.org/officeDocument/2006/relationships/hyperlink" Target="https://www.mdpi.com/2071-1050/14/21/14447" TargetMode="External"/><Relationship Id="rId20" Type="http://schemas.openxmlformats.org/officeDocument/2006/relationships/hyperlink" Target="https://www.researchgate.net/profile/Maheswar-Sethi/publication/395479418_Corporate_Borrowings/links/68c835e94eef4b024b8b89ca/Corporate-Borrowings.pdf" TargetMode="External"/><Relationship Id="rId41" Type="http://schemas.openxmlformats.org/officeDocument/2006/relationships/hyperlink" Target="https://www.jrevmeds.com/article_211431_15ee9d0df2505c6b009c48471f04f09b.pdf" TargetMode="External"/><Relationship Id="rId54" Type="http://schemas.openxmlformats.org/officeDocument/2006/relationships/hyperlink" Target="https://marriott.gcs-web.com/static-files/9cf0e9b0-bbfa-48a6-9e21-ffbdbc4b2d78" TargetMode="External"/><Relationship Id="rId62" Type="http://schemas.openxmlformats.org/officeDocument/2006/relationships/hyperlink" Target="https://www.mdpi.com/2227-7099/11/7/197" TargetMode="External"/><Relationship Id="rId70" Type="http://schemas.openxmlformats.org/officeDocument/2006/relationships/hyperlink" Target="https://www.sciencedirect.com/science/article/pii/S0261517725001967" TargetMode="External"/><Relationship Id="rId75" Type="http://schemas.openxmlformats.org/officeDocument/2006/relationships/hyperlink" Target="https://www.mdpi.com/1911-8074/18/4/208" TargetMode="External"/><Relationship Id="rId83" Type="http://schemas.openxmlformats.org/officeDocument/2006/relationships/hyperlink" Target="https://www.mdpi.com/2071-1050/17/8/3482" TargetMode="External"/><Relationship Id="rId88" Type="http://schemas.openxmlformats.org/officeDocument/2006/relationships/chart" Target="charts/chart2.xml"/><Relationship Id="rId91" Type="http://schemas.openxmlformats.org/officeDocument/2006/relationships/chart" Target="charts/chart5.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journals.gaftim.com/index.php/ijtop/article/download/147/65" TargetMode="External"/><Relationship Id="rId23" Type="http://schemas.openxmlformats.org/officeDocument/2006/relationships/hyperlink" Target="https://www.mdpi.com/2227-7072/11/3/100" TargetMode="External"/><Relationship Id="rId28" Type="http://schemas.openxmlformats.org/officeDocument/2006/relationships/hyperlink" Target="https://www.researchgate.net/profile/Mateo-Clement/publication/392078947_Business_Models_and_Revenue_Opportunities_for_Non-_Financial_Companies/links/6832fbe2026fee1034fb54f0/Business-Models-and-Revenue-Opportunities-for-Non-Financial-Companies.pdf" TargetMode="External"/><Relationship Id="rId36" Type="http://schemas.openxmlformats.org/officeDocument/2006/relationships/hyperlink" Target="https://www.researchgate.net/profile/Suzan-Issa/publication/397714869_Sustainable_financial_strategies_the_role_of_intellectual_capital_in_shaping_corporate_cash_holdings/links/6921db47acf4cf6385374a33/Sustainable-financial-strategies-the-role-of-intellectual-capital-in-shaping-corporate-cash-holdings.pdf" TargetMode="External"/><Relationship Id="rId49" Type="http://schemas.openxmlformats.org/officeDocument/2006/relationships/hyperlink" Target="https://www.tandfonline.com/doi/pdf/10.1080/23311975.2022.2097620" TargetMode="External"/><Relationship Id="rId57" Type="http://schemas.openxmlformats.org/officeDocument/2006/relationships/hyperlink" Target="https://marriott.gcs-web.com/annual" TargetMode="External"/><Relationship Id="rId10" Type="http://schemas.openxmlformats.org/officeDocument/2006/relationships/hyperlink" Target="https://www.researchgate.net/profile/Abdul-Razzak-Alshehadeh/publication/390407034_The_Impact_of_Operating_Cash_Flows_on_IT_Investment_and_Profitability_in_Commercial_Banks/links/67eccc11e8041142a15de006/The-Impact-of-Operating-Cash-Flows-on-IT-Investment-and-Profitability-in-Commercial-Banks.pdf" TargetMode="External"/><Relationship Id="rId31" Type="http://schemas.openxmlformats.org/officeDocument/2006/relationships/hyperlink" Target="https://www.frontiersin.org/journals/sustainable-food-systems/articles/10.3389/fsufs.2022.1028877/pdf" TargetMode="External"/><Relationship Id="rId44"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52" Type="http://schemas.openxmlformats.org/officeDocument/2006/relationships/hyperlink" Target="https://www.researchgate.net/profile/Marcin-Majka-2/publication/385936952_EBITDA_vs_Net_Income_Key_Differences_and_Their_Importance_in_Financial_Analysis/links/673c5be9c1b80e56164627d9/EBITDA-vs-Net-Income-Key-Differences-and-Their-Importance-in-Financial-Analysis.pdf" TargetMode="External"/><Relationship Id="rId60" Type="http://schemas.openxmlformats.org/officeDocument/2006/relationships/hyperlink" Target="https://www.researchgate.net/profile/Emmanuel-Ok-2/publication/388800588_Debt_vs_Equity_Financing_for_RD_Investments_in_Emerging_Markets_Trends_Challenges_and_Best_Practices/links/67a6a0c1461fb56424cdbf9d/Debt-vs-Equity-Financing-for-R-D-Investments-in-Emerging-Markets-Trends-Challenges-and-Best-Practices.pdf" TargetMode="External"/><Relationship Id="rId65" Type="http://schemas.openxmlformats.org/officeDocument/2006/relationships/hyperlink" Target="https://www.rba.gov.au/mkt-operations/ex-rate-rba-role-fx-mkt.html" TargetMode="External"/><Relationship Id="rId73" Type="http://schemas.openxmlformats.org/officeDocument/2006/relationships/hyperlink" Target="https://www.academia.edu/download/56425727/how_to_franchise_your_business.pdf" TargetMode="External"/><Relationship Id="rId78" Type="http://schemas.openxmlformats.org/officeDocument/2006/relationships/hyperlink" Target="https://books.google.com/books?hl=en&amp;lr=&amp;id=ZsOPEAAAQBAJ&amp;oi=fnd&amp;pg=PA5&amp;dq=+A+lower+DPO+indicates+cash-generating+ability+to+make+timely+investor+payments+maintaining+good+relations&amp;ots=4KH5cCJO-D&amp;sig=iY1ZhXhSaPpEtU3PerCdyuXRBl8" TargetMode="External"/><Relationship Id="rId81" Type="http://schemas.openxmlformats.org/officeDocument/2006/relationships/hyperlink" Target="https://pdfs.semanticscholar.org/9e77/ef1c33760b4f935df8f6349f60af3b754496.pdf" TargetMode="External"/><Relationship Id="rId86" Type="http://schemas.openxmlformats.org/officeDocument/2006/relationships/hyperlink" Target="http://166.62.7.99/assets/default/article/2023/05/01/article_1682991700.pdf"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academia.edu/download/118148342/BBS_2021_04_AL-Zararee.pdf" TargetMode="External"/><Relationship Id="rId18" Type="http://schemas.openxmlformats.org/officeDocument/2006/relationships/hyperlink" Target="https://thecrsss.com/index.php/Journal/article/download/204/225" TargetMode="External"/><Relationship Id="rId39" Type="http://schemas.openxmlformats.org/officeDocument/2006/relationships/hyperlink" Targe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 TargetMode="External"/><Relationship Id="rId34" Type="http://schemas.openxmlformats.org/officeDocument/2006/relationships/hyperlink" Targe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 TargetMode="External"/><Relationship Id="rId50" Type="http://schemas.openxmlformats.org/officeDocument/2006/relationships/hyperlink" Target="https://www.researchgate.net/profile/Chidiebere-Joshua/publication/398020195_Impact_of_Procure-to-Pay_Automation_on_Component_Manufacturers'_Working_Capital_Efficiency/links/69278f57a130337711bfa4e7/Impact-of-Procure-to-Pay-Automation-on-Component-Manufacturers-Working-Capital-Efficiency.pdf" TargetMode="External"/><Relationship Id="rId55" Type="http://schemas.openxmlformats.org/officeDocument/2006/relationships/hyperlink" Target="https://marriott.gcs-web.com/static-files/9cf0e9b0-bbfa-48a6-9e21-ffbdbc4b2d78" TargetMode="External"/><Relationship Id="rId76" Type="http://schemas.openxmlformats.org/officeDocument/2006/relationships/hyperlink" Target="https://futouristic.scholasticahq.com/article/90637.pdf" TargetMode="External"/><Relationship Id="rId7" Type="http://schemas.openxmlformats.org/officeDocument/2006/relationships/endnotes" Target="endnotes.xml"/><Relationship Id="rId71" Type="http://schemas.openxmlformats.org/officeDocument/2006/relationships/hyperlink" Target="https://sarcouncil.com/download-article/SJECS-289_-2025-1330-1344.pdf" TargetMode="External"/><Relationship Id="rId92" Type="http://schemas.openxmlformats.org/officeDocument/2006/relationships/chart" Target="charts/chart6.xml"/><Relationship Id="rId2" Type="http://schemas.openxmlformats.org/officeDocument/2006/relationships/numbering" Target="numbering.xml"/><Relationship Id="rId29" Type="http://schemas.openxmlformats.org/officeDocument/2006/relationships/hyperlink" Target="https://www.researchgate.net/profile/Mateo-Clement/publication/392078947_Business_Models_and_Revenue_Opportunities_for_Non-_Financial_Companies/links/6832fbe2026fee1034fb54f0/Business-Models-and-Revenue-Opportunities-for-Non-Financial-Companies.pdf" TargetMode="External"/><Relationship Id="rId24" Type="http://schemas.openxmlformats.org/officeDocument/2006/relationships/hyperlink" Target="https://books.google.com/books?hl=en&amp;lr=&amp;id=b5WCEQAAQBAJ&amp;oi=fnd&amp;pg=PP1&amp;dq=an+asset-light+hospitality+business+model+whereby+its+inventory+consists+mainly+of+food,+beverage,+and+operating+supply+rather+than+merchandise+for+resale&amp;ots=qUsRa7bfO8&amp;sig=RAZrGFshBjd64wnEP34guGacCu8" TargetMode="External"/><Relationship Id="rId40" Type="http://schemas.openxmlformats.org/officeDocument/2006/relationships/hyperlink" Targe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 TargetMode="External"/><Relationship Id="rId45"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66" Type="http://schemas.openxmlformats.org/officeDocument/2006/relationships/hyperlink" Target="https://www.rba.gov.au/mkt-operations/ex-rate-rba-role-fx-mkt.html" TargetMode="External"/><Relationship Id="rId87" Type="http://schemas.openxmlformats.org/officeDocument/2006/relationships/chart" Target="charts/chart1.xml"/><Relationship Id="rId61" Type="http://schemas.openxmlformats.org/officeDocument/2006/relationships/hyperlink" Target="https://www.mdpi.com/2227-7099/11/7/197" TargetMode="External"/><Relationship Id="rId82" Type="http://schemas.openxmlformats.org/officeDocument/2006/relationships/hyperlink" Target="https://pdfs.semanticscholar.org/9e77/ef1c33760b4f935df8f6349f60af3b754496.pdf" TargetMode="External"/><Relationship Id="rId19" Type="http://schemas.openxmlformats.org/officeDocument/2006/relationships/hyperlink" Target="https://thecrsss.com/index.php/Journal/article/download/204/225" TargetMode="External"/><Relationship Id="rId14" Type="http://schemas.openxmlformats.org/officeDocument/2006/relationships/hyperlink" Target="https://run.unl.pt/bitstreams/4d54356a-5ab2-43be-9886-4a86a01b204e/download" TargetMode="External"/><Relationship Id="rId30" Type="http://schemas.openxmlformats.org/officeDocument/2006/relationships/hyperlink" Target="https://www.frontiersin.org/journals/sustainable-food-systems/articles/10.3389/fsufs.2022.1028877/pdf" TargetMode="External"/><Relationship Id="rId35" Type="http://schemas.openxmlformats.org/officeDocument/2006/relationships/hyperlink" Target="https://www.researchgate.net/profile/Suzan-Issa/publication/397714869_Sustainable_financial_strategies_the_role_of_intellectual_capital_in_shaping_corporate_cash_holdings/links/6921db47acf4cf6385374a33/Sustainable-financial-strategies-the-role-of-intellectual-capital-in-shaping-corporate-cash-holdings.pdf" TargetMode="External"/><Relationship Id="rId56" Type="http://schemas.openxmlformats.org/officeDocument/2006/relationships/hyperlink" Target="https://marriott.gcs-web.com/annual" TargetMode="External"/><Relationship Id="rId77" Type="http://schemas.openxmlformats.org/officeDocument/2006/relationships/hyperlink" Target="https://futouristic.scholasticahq.com/article/90637.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Gross Profit Margin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Ratios!$H$2:$I$2</c:f>
              <c:strCache>
                <c:ptCount val="2"/>
                <c:pt idx="0">
                  <c:v>Gross Profit Margin</c:v>
                </c:pt>
                <c:pt idx="1">
                  <c:v>Gross Profit / Revenue</c:v>
                </c:pt>
              </c:strCache>
            </c:strRef>
          </c:tx>
          <c:spPr>
            <a:ln w="28575" cap="rnd">
              <a:solidFill>
                <a:schemeClr val="accent1"/>
              </a:solidFill>
              <a:round/>
            </a:ln>
            <a:effectLst/>
          </c:spPr>
          <c:marker>
            <c:symbol val="none"/>
          </c:marker>
          <c:cat>
            <c:numRef>
              <c:f>Ratios!$J$1:$N$1</c:f>
              <c:numCache>
                <c:formatCode>General</c:formatCode>
                <c:ptCount val="5"/>
                <c:pt idx="0">
                  <c:v>2021</c:v>
                </c:pt>
                <c:pt idx="1">
                  <c:v>2022</c:v>
                </c:pt>
                <c:pt idx="2">
                  <c:v>2023</c:v>
                </c:pt>
                <c:pt idx="3">
                  <c:v>2024</c:v>
                </c:pt>
                <c:pt idx="4">
                  <c:v>2025</c:v>
                </c:pt>
              </c:numCache>
            </c:numRef>
          </c:cat>
          <c:val>
            <c:numRef>
              <c:f>Ratios!$J$2:$N$2</c:f>
              <c:numCache>
                <c:formatCode>0.00</c:formatCode>
                <c:ptCount val="5"/>
                <c:pt idx="0">
                  <c:v>0.20213610449592265</c:v>
                </c:pt>
                <c:pt idx="1">
                  <c:v>0.21941943869445915</c:v>
                </c:pt>
                <c:pt idx="2">
                  <c:v>0.21001138615949058</c:v>
                </c:pt>
                <c:pt idx="3">
                  <c:v>0.19808764940239043</c:v>
                </c:pt>
                <c:pt idx="4">
                  <c:v>0.1994195371572596</c:v>
                </c:pt>
              </c:numCache>
            </c:numRef>
          </c:val>
          <c:smooth val="0"/>
          <c:extLst xmlns:c16r2="http://schemas.microsoft.com/office/drawing/2015/06/chart">
            <c:ext xmlns:c16="http://schemas.microsoft.com/office/drawing/2014/chart" uri="{C3380CC4-5D6E-409C-BE32-E72D297353CC}">
              <c16:uniqueId val="{00000000-78BF-4F7F-84C5-F77E651BFC1D}"/>
            </c:ext>
          </c:extLst>
        </c:ser>
        <c:dLbls>
          <c:showLegendKey val="0"/>
          <c:showVal val="0"/>
          <c:showCatName val="0"/>
          <c:showSerName val="0"/>
          <c:showPercent val="0"/>
          <c:showBubbleSize val="0"/>
        </c:dLbls>
        <c:smooth val="0"/>
        <c:axId val="880581760"/>
        <c:axId val="1202554128"/>
      </c:lineChart>
      <c:catAx>
        <c:axId val="88058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554128"/>
        <c:crosses val="autoZero"/>
        <c:auto val="1"/>
        <c:lblAlgn val="ctr"/>
        <c:lblOffset val="100"/>
        <c:noMultiLvlLbl val="0"/>
      </c:catAx>
      <c:valAx>
        <c:axId val="12025541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581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Ratios!$H$11:$I$11</c:f>
              <c:strCache>
                <c:ptCount val="2"/>
                <c:pt idx="0">
                  <c:v>Current Ratio</c:v>
                </c:pt>
                <c:pt idx="1">
                  <c:v>Current Assets / Current Liabilities</c:v>
                </c:pt>
              </c:strCache>
            </c:strRef>
          </c:tx>
          <c:spPr>
            <a:ln w="28575" cap="rnd">
              <a:solidFill>
                <a:schemeClr val="accent1"/>
              </a:solidFill>
              <a:round/>
            </a:ln>
            <a:effectLst/>
          </c:spPr>
          <c:marker>
            <c:symbol val="none"/>
          </c:marker>
          <c:cat>
            <c:numRef>
              <c:f>Ratios!$J$10:$N$10</c:f>
              <c:numCache>
                <c:formatCode>General</c:formatCode>
                <c:ptCount val="5"/>
                <c:pt idx="0">
                  <c:v>2021</c:v>
                </c:pt>
                <c:pt idx="1">
                  <c:v>2022</c:v>
                </c:pt>
                <c:pt idx="2">
                  <c:v>2023</c:v>
                </c:pt>
                <c:pt idx="3">
                  <c:v>2024</c:v>
                </c:pt>
                <c:pt idx="4">
                  <c:v>2025</c:v>
                </c:pt>
              </c:numCache>
            </c:numRef>
          </c:cat>
          <c:val>
            <c:numRef>
              <c:f>Ratios!$J$11:$N$11</c:f>
              <c:numCache>
                <c:formatCode>0.000</c:formatCode>
                <c:ptCount val="5"/>
                <c:pt idx="0">
                  <c:v>9.8227214025750405E-3</c:v>
                </c:pt>
                <c:pt idx="1">
                  <c:v>9.4700785815031233E-3</c:v>
                </c:pt>
                <c:pt idx="2">
                  <c:v>1.0165926618368779E-2</c:v>
                </c:pt>
                <c:pt idx="3">
                  <c:v>1.1229088686884119E-2</c:v>
                </c:pt>
                <c:pt idx="4">
                  <c:v>1.1510530137981118E-2</c:v>
                </c:pt>
              </c:numCache>
            </c:numRef>
          </c:val>
          <c:smooth val="0"/>
          <c:extLst xmlns:c16r2="http://schemas.microsoft.com/office/drawing/2015/06/chart">
            <c:ext xmlns:c16="http://schemas.microsoft.com/office/drawing/2014/chart" uri="{C3380CC4-5D6E-409C-BE32-E72D297353CC}">
              <c16:uniqueId val="{00000000-0A31-4118-95F6-7E6462980845}"/>
            </c:ext>
          </c:extLst>
        </c:ser>
        <c:dLbls>
          <c:showLegendKey val="0"/>
          <c:showVal val="0"/>
          <c:showCatName val="0"/>
          <c:showSerName val="0"/>
          <c:showPercent val="0"/>
          <c:showBubbleSize val="0"/>
        </c:dLbls>
        <c:smooth val="0"/>
        <c:axId val="1202550320"/>
        <c:axId val="1202556848"/>
      </c:lineChart>
      <c:catAx>
        <c:axId val="1202550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556848"/>
        <c:crosses val="autoZero"/>
        <c:auto val="1"/>
        <c:lblAlgn val="ctr"/>
        <c:lblOffset val="100"/>
        <c:noMultiLvlLbl val="0"/>
      </c:catAx>
      <c:valAx>
        <c:axId val="1202556848"/>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550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Asset Turnover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Ratios!$H$16:$I$16</c:f>
              <c:strCache>
                <c:ptCount val="2"/>
                <c:pt idx="0">
                  <c:v>Total Asset Turnover</c:v>
                </c:pt>
                <c:pt idx="1">
                  <c:v>Revenue / Total Assets</c:v>
                </c:pt>
              </c:strCache>
            </c:strRef>
          </c:tx>
          <c:spPr>
            <a:ln w="28575" cap="rnd">
              <a:solidFill>
                <a:schemeClr val="accent1"/>
              </a:solidFill>
              <a:round/>
            </a:ln>
            <a:effectLst/>
          </c:spPr>
          <c:marker>
            <c:symbol val="none"/>
          </c:marker>
          <c:cat>
            <c:numRef>
              <c:f>Ratios!$J$15:$N$15</c:f>
              <c:numCache>
                <c:formatCode>General</c:formatCode>
                <c:ptCount val="5"/>
                <c:pt idx="0">
                  <c:v>2021</c:v>
                </c:pt>
                <c:pt idx="1">
                  <c:v>2022</c:v>
                </c:pt>
                <c:pt idx="2">
                  <c:v>2023</c:v>
                </c:pt>
                <c:pt idx="3">
                  <c:v>2024</c:v>
                </c:pt>
                <c:pt idx="4">
                  <c:v>2025</c:v>
                </c:pt>
              </c:numCache>
            </c:numRef>
          </c:cat>
          <c:val>
            <c:numRef>
              <c:f>Ratios!$J$16:$N$16</c:f>
              <c:numCache>
                <c:formatCode>0.00</c:formatCode>
                <c:ptCount val="5"/>
                <c:pt idx="0">
                  <c:v>0.63196059652483239</c:v>
                </c:pt>
                <c:pt idx="1">
                  <c:v>0.96609617709980466</c:v>
                </c:pt>
                <c:pt idx="2">
                  <c:v>1.0603675714349596</c:v>
                </c:pt>
                <c:pt idx="3">
                  <c:v>1.1058730228664582</c:v>
                </c:pt>
                <c:pt idx="4">
                  <c:v>1.0930873267657373</c:v>
                </c:pt>
              </c:numCache>
            </c:numRef>
          </c:val>
          <c:smooth val="0"/>
          <c:extLst xmlns:c16r2="http://schemas.microsoft.com/office/drawing/2015/06/chart">
            <c:ext xmlns:c16="http://schemas.microsoft.com/office/drawing/2014/chart" uri="{C3380CC4-5D6E-409C-BE32-E72D297353CC}">
              <c16:uniqueId val="{00000000-38D9-4A8D-BBE8-2DA62CA61FB7}"/>
            </c:ext>
          </c:extLst>
        </c:ser>
        <c:dLbls>
          <c:showLegendKey val="0"/>
          <c:showVal val="0"/>
          <c:showCatName val="0"/>
          <c:showSerName val="0"/>
          <c:showPercent val="0"/>
          <c:showBubbleSize val="0"/>
        </c:dLbls>
        <c:smooth val="0"/>
        <c:axId val="1202557936"/>
        <c:axId val="1245803872"/>
      </c:lineChart>
      <c:catAx>
        <c:axId val="120255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803872"/>
        <c:crosses val="autoZero"/>
        <c:auto val="1"/>
        <c:lblAlgn val="ctr"/>
        <c:lblOffset val="100"/>
        <c:noMultiLvlLbl val="0"/>
      </c:catAx>
      <c:valAx>
        <c:axId val="1245803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557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Equity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Ratios!$H$22:$I$22</c:f>
              <c:strCache>
                <c:ptCount val="2"/>
                <c:pt idx="0">
                  <c:v>Equity Ratio</c:v>
                </c:pt>
                <c:pt idx="1">
                  <c:v>Equity / Total Assets</c:v>
                </c:pt>
              </c:strCache>
            </c:strRef>
          </c:tx>
          <c:spPr>
            <a:ln w="28575" cap="rnd">
              <a:solidFill>
                <a:schemeClr val="accent1"/>
              </a:solidFill>
              <a:round/>
            </a:ln>
            <a:effectLst/>
          </c:spPr>
          <c:marker>
            <c:symbol val="none"/>
          </c:marker>
          <c:cat>
            <c:numRef>
              <c:f>Ratios!$J$21:$N$21</c:f>
              <c:numCache>
                <c:formatCode>General</c:formatCode>
                <c:ptCount val="5"/>
                <c:pt idx="0">
                  <c:v>2021</c:v>
                </c:pt>
                <c:pt idx="1">
                  <c:v>2022</c:v>
                </c:pt>
                <c:pt idx="2">
                  <c:v>2023</c:v>
                </c:pt>
                <c:pt idx="3">
                  <c:v>2024</c:v>
                </c:pt>
                <c:pt idx="4">
                  <c:v>2025</c:v>
                </c:pt>
              </c:numCache>
            </c:numRef>
          </c:cat>
          <c:val>
            <c:numRef>
              <c:f>Ratios!$J$22:$N$22</c:f>
              <c:numCache>
                <c:formatCode>0.00</c:formatCode>
                <c:ptCount val="5"/>
                <c:pt idx="0">
                  <c:v>0.29219683495234189</c:v>
                </c:pt>
                <c:pt idx="1">
                  <c:v>0.34131708678262485</c:v>
                </c:pt>
                <c:pt idx="2">
                  <c:v>0.34709117739122658</c:v>
                </c:pt>
                <c:pt idx="3">
                  <c:v>0.38106357668414326</c:v>
                </c:pt>
                <c:pt idx="4">
                  <c:v>0.35055935882451161</c:v>
                </c:pt>
              </c:numCache>
            </c:numRef>
          </c:val>
          <c:smooth val="0"/>
          <c:extLst xmlns:c16r2="http://schemas.microsoft.com/office/drawing/2015/06/chart">
            <c:ext xmlns:c16="http://schemas.microsoft.com/office/drawing/2014/chart" uri="{C3380CC4-5D6E-409C-BE32-E72D297353CC}">
              <c16:uniqueId val="{00000000-0B1D-4C6A-AFF0-A282607B7C01}"/>
            </c:ext>
          </c:extLst>
        </c:ser>
        <c:dLbls>
          <c:showLegendKey val="0"/>
          <c:showVal val="0"/>
          <c:showCatName val="0"/>
          <c:showSerName val="0"/>
          <c:showPercent val="0"/>
          <c:showBubbleSize val="0"/>
        </c:dLbls>
        <c:smooth val="0"/>
        <c:axId val="1245801152"/>
        <c:axId val="1245807136"/>
      </c:lineChart>
      <c:catAx>
        <c:axId val="1245801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807136"/>
        <c:crosses val="autoZero"/>
        <c:auto val="1"/>
        <c:lblAlgn val="ctr"/>
        <c:lblOffset val="100"/>
        <c:noMultiLvlLbl val="0"/>
      </c:catAx>
      <c:valAx>
        <c:axId val="1245807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801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Earnings per Share (EPS)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Ratios!$H$27:$I$27</c:f>
              <c:strCache>
                <c:ptCount val="2"/>
                <c:pt idx="0">
                  <c:v>Earnings per Share (EPS)</c:v>
                </c:pt>
                <c:pt idx="1">
                  <c:v>Net Income / Shares Outstanding</c:v>
                </c:pt>
              </c:strCache>
            </c:strRef>
          </c:tx>
          <c:spPr>
            <a:solidFill>
              <a:schemeClr val="accent1"/>
            </a:solidFill>
            <a:ln>
              <a:noFill/>
            </a:ln>
            <a:effectLst/>
          </c:spPr>
          <c:invertIfNegative val="0"/>
          <c:cat>
            <c:numRef>
              <c:f>Ratios!$J$26:$N$26</c:f>
              <c:numCache>
                <c:formatCode>General</c:formatCode>
                <c:ptCount val="5"/>
                <c:pt idx="0">
                  <c:v>2021</c:v>
                </c:pt>
                <c:pt idx="1">
                  <c:v>2022</c:v>
                </c:pt>
                <c:pt idx="2">
                  <c:v>2023</c:v>
                </c:pt>
                <c:pt idx="3">
                  <c:v>2024</c:v>
                </c:pt>
                <c:pt idx="4">
                  <c:v>2025</c:v>
                </c:pt>
              </c:numCache>
            </c:numRef>
          </c:cat>
          <c:val>
            <c:numRef>
              <c:f>Ratios!$J$27:$N$27</c:f>
              <c:numCache>
                <c:formatCode>0.00</c:formatCode>
                <c:ptCount val="5"/>
                <c:pt idx="0">
                  <c:v>0.77722772277227725</c:v>
                </c:pt>
                <c:pt idx="1">
                  <c:v>4.151408450704225</c:v>
                </c:pt>
                <c:pt idx="2">
                  <c:v>-4.5205278592375366</c:v>
                </c:pt>
                <c:pt idx="3">
                  <c:v>-0.79378342245989308</c:v>
                </c:pt>
                <c:pt idx="4">
                  <c:v>-0.68973747016706444</c:v>
                </c:pt>
              </c:numCache>
            </c:numRef>
          </c:val>
          <c:extLst xmlns:c16r2="http://schemas.microsoft.com/office/drawing/2015/06/chart">
            <c:ext xmlns:c16="http://schemas.microsoft.com/office/drawing/2014/chart" uri="{C3380CC4-5D6E-409C-BE32-E72D297353CC}">
              <c16:uniqueId val="{00000000-18E3-4A4F-A027-4D489670351A}"/>
            </c:ext>
          </c:extLst>
        </c:ser>
        <c:dLbls>
          <c:showLegendKey val="0"/>
          <c:showVal val="0"/>
          <c:showCatName val="0"/>
          <c:showSerName val="0"/>
          <c:showPercent val="0"/>
          <c:showBubbleSize val="0"/>
        </c:dLbls>
        <c:gapWidth val="219"/>
        <c:overlap val="-27"/>
        <c:axId val="1245809856"/>
        <c:axId val="1245350512"/>
      </c:barChart>
      <c:catAx>
        <c:axId val="1245809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350512"/>
        <c:crosses val="autoZero"/>
        <c:auto val="1"/>
        <c:lblAlgn val="ctr"/>
        <c:lblOffset val="100"/>
        <c:noMultiLvlLbl val="0"/>
      </c:catAx>
      <c:valAx>
        <c:axId val="1245350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809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Operating Cash Flow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Ratios!$H$30:$I$30</c:f>
              <c:strCache>
                <c:ptCount val="2"/>
                <c:pt idx="0">
                  <c:v>Operating Cash Flow Margin</c:v>
                </c:pt>
                <c:pt idx="1">
                  <c:v>CFO / Revenue</c:v>
                </c:pt>
              </c:strCache>
            </c:strRef>
          </c:tx>
          <c:spPr>
            <a:ln w="28575" cap="rnd">
              <a:solidFill>
                <a:schemeClr val="accent1"/>
              </a:solidFill>
              <a:round/>
            </a:ln>
            <a:effectLst/>
          </c:spPr>
          <c:marker>
            <c:symbol val="none"/>
          </c:marker>
          <c:cat>
            <c:numRef>
              <c:f>Ratios!$J$29:$N$29</c:f>
              <c:numCache>
                <c:formatCode>General</c:formatCode>
                <c:ptCount val="5"/>
                <c:pt idx="0">
                  <c:v>2021</c:v>
                </c:pt>
                <c:pt idx="1">
                  <c:v>2022</c:v>
                </c:pt>
                <c:pt idx="2">
                  <c:v>2023</c:v>
                </c:pt>
                <c:pt idx="3">
                  <c:v>2024</c:v>
                </c:pt>
                <c:pt idx="4">
                  <c:v>2025</c:v>
                </c:pt>
              </c:numCache>
            </c:numRef>
          </c:cat>
          <c:val>
            <c:numRef>
              <c:f>Ratios!$J$30:$N$30</c:f>
              <c:numCache>
                <c:formatCode>0.00</c:formatCode>
                <c:ptCount val="5"/>
                <c:pt idx="0">
                  <c:v>8.4939019989896808E-2</c:v>
                </c:pt>
                <c:pt idx="1">
                  <c:v>0.11375342993308622</c:v>
                </c:pt>
                <c:pt idx="2">
                  <c:v>0.13368194661156327</c:v>
                </c:pt>
                <c:pt idx="3">
                  <c:v>0.10952191235059761</c:v>
                </c:pt>
                <c:pt idx="4">
                  <c:v>0.1226609638738257</c:v>
                </c:pt>
              </c:numCache>
            </c:numRef>
          </c:val>
          <c:smooth val="0"/>
          <c:extLst xmlns:c16r2="http://schemas.microsoft.com/office/drawing/2015/06/chart">
            <c:ext xmlns:c16="http://schemas.microsoft.com/office/drawing/2014/chart" uri="{C3380CC4-5D6E-409C-BE32-E72D297353CC}">
              <c16:uniqueId val="{00000000-B33E-4DB3-9570-C982AF22213C}"/>
            </c:ext>
          </c:extLst>
        </c:ser>
        <c:dLbls>
          <c:showLegendKey val="0"/>
          <c:showVal val="0"/>
          <c:showCatName val="0"/>
          <c:showSerName val="0"/>
          <c:showPercent val="0"/>
          <c:showBubbleSize val="0"/>
        </c:dLbls>
        <c:smooth val="0"/>
        <c:axId val="1245345072"/>
        <c:axId val="1245347792"/>
      </c:lineChart>
      <c:catAx>
        <c:axId val="124534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347792"/>
        <c:crosses val="autoZero"/>
        <c:auto val="1"/>
        <c:lblAlgn val="ctr"/>
        <c:lblOffset val="100"/>
        <c:noMultiLvlLbl val="0"/>
      </c:catAx>
      <c:valAx>
        <c:axId val="12453477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345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5420BBCD40344E281B3E4ED78784032"/>
        <w:category>
          <w:name w:val="General"/>
          <w:gallery w:val="placeholder"/>
        </w:category>
        <w:types>
          <w:type w:val="bbPlcHdr"/>
        </w:types>
        <w:behaviors>
          <w:behavior w:val="content"/>
        </w:behaviors>
        <w:guid w:val="{1FA70EE9-D76B-4C6B-B901-BB915C14ACD8}"/>
      </w:docPartPr>
      <w:docPartBody>
        <w:p w:rsidR="009F1843" w:rsidRDefault="00722978" w:rsidP="00722978">
          <w:pPr>
            <w:pStyle w:val="55420BBCD40344E281B3E4ED78784032"/>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978"/>
    <w:rsid w:val="001906A7"/>
    <w:rsid w:val="00722978"/>
    <w:rsid w:val="009F1843"/>
    <w:rsid w:val="00F3307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IN" w:eastAsia="en-IN"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420BBCD40344E281B3E4ED78784032">
    <w:name w:val="55420BBCD40344E281B3E4ED78784032"/>
    <w:rsid w:val="00722978"/>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0A9D1-31DC-4D8B-8622-1D9B5E60C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10165</Words>
  <Characters>57945</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creator>Fenny</dc:creator>
  <cp:lastModifiedBy>Raj Savaliya</cp:lastModifiedBy>
  <cp:revision>7</cp:revision>
  <dcterms:created xsi:type="dcterms:W3CDTF">2026-07-13T14:01:00Z</dcterms:created>
  <dcterms:modified xsi:type="dcterms:W3CDTF">2026-07-15T23:21:00Z</dcterms:modified>
</cp:coreProperties>
</file>