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39747" w14:textId="0C0C3299" w:rsidR="000B7A04" w:rsidRPr="00A662B1" w:rsidRDefault="000B7A04" w:rsidP="00BE1E50">
      <w:pPr>
        <w:spacing w:line="360" w:lineRule="auto"/>
        <w:rPr>
          <w:rFonts w:ascii="Arial" w:hAnsi="Arial" w:cs="Arial"/>
        </w:rPr>
      </w:pPr>
      <w:r w:rsidRPr="00A662B1">
        <w:rPr>
          <w:rFonts w:ascii="Arial" w:hAnsi="Arial" w:cs="Arial"/>
          <w:b/>
          <w:bCs/>
        </w:rPr>
        <w:t>Module Title:</w:t>
      </w:r>
      <w:r w:rsidRPr="00A662B1">
        <w:rPr>
          <w:rFonts w:ascii="Arial" w:hAnsi="Arial" w:cs="Arial"/>
        </w:rPr>
        <w:t xml:space="preserve"> Introduction to Physiology</w:t>
      </w:r>
      <w:r w:rsidRPr="00A662B1">
        <w:rPr>
          <w:rFonts w:ascii="Arial" w:hAnsi="Arial" w:cs="Arial"/>
        </w:rPr>
        <w:br/>
      </w:r>
      <w:r w:rsidRPr="00A662B1">
        <w:rPr>
          <w:rFonts w:ascii="Arial" w:hAnsi="Arial" w:cs="Arial"/>
          <w:b/>
          <w:bCs/>
        </w:rPr>
        <w:t>Module Code:</w:t>
      </w:r>
      <w:r w:rsidRPr="00A662B1">
        <w:rPr>
          <w:rFonts w:ascii="Arial" w:hAnsi="Arial" w:cs="Arial"/>
        </w:rPr>
        <w:t xml:space="preserve"> BMHP5023</w:t>
      </w:r>
      <w:r w:rsidRPr="00A662B1">
        <w:rPr>
          <w:rFonts w:ascii="Arial" w:hAnsi="Arial" w:cs="Arial"/>
        </w:rPr>
        <w:br/>
      </w:r>
      <w:r w:rsidRPr="00A662B1">
        <w:rPr>
          <w:rFonts w:ascii="Arial" w:hAnsi="Arial" w:cs="Arial"/>
          <w:b/>
          <w:bCs/>
        </w:rPr>
        <w:t>Assignment Title:</w:t>
      </w:r>
      <w:r w:rsidRPr="00A662B1">
        <w:rPr>
          <w:rFonts w:ascii="Arial" w:hAnsi="Arial" w:cs="Arial"/>
        </w:rPr>
        <w:t xml:space="preserve"> </w:t>
      </w:r>
      <w:r w:rsidR="00CB4024">
        <w:rPr>
          <w:rFonts w:ascii="Arial" w:hAnsi="Arial" w:cs="Arial"/>
        </w:rPr>
        <w:t>Written Assignment (case study report)</w:t>
      </w:r>
      <w:r w:rsidRPr="00A662B1">
        <w:rPr>
          <w:rFonts w:ascii="Arial" w:hAnsi="Arial" w:cs="Arial"/>
        </w:rPr>
        <w:br/>
      </w:r>
      <w:r w:rsidRPr="00A662B1">
        <w:rPr>
          <w:rFonts w:ascii="Arial" w:hAnsi="Arial" w:cs="Arial"/>
          <w:b/>
          <w:bCs/>
        </w:rPr>
        <w:t>Student Name:</w:t>
      </w:r>
      <w:r w:rsidRPr="00A662B1">
        <w:rPr>
          <w:rFonts w:ascii="Arial" w:hAnsi="Arial" w:cs="Arial"/>
        </w:rPr>
        <w:t xml:space="preserve"> Romeenah Akhtar</w:t>
      </w:r>
      <w:r w:rsidRPr="00A662B1">
        <w:rPr>
          <w:rFonts w:ascii="Arial" w:hAnsi="Arial" w:cs="Arial"/>
        </w:rPr>
        <w:br/>
      </w:r>
      <w:r w:rsidRPr="00A662B1">
        <w:rPr>
          <w:rFonts w:ascii="Arial" w:hAnsi="Arial" w:cs="Arial"/>
          <w:b/>
          <w:bCs/>
        </w:rPr>
        <w:t>Student Number:</w:t>
      </w:r>
      <w:r w:rsidRPr="00A662B1">
        <w:rPr>
          <w:rFonts w:ascii="Arial" w:hAnsi="Arial" w:cs="Arial"/>
        </w:rPr>
        <w:t xml:space="preserve"> 2433755</w:t>
      </w:r>
      <w:r w:rsidRPr="00A662B1">
        <w:rPr>
          <w:rFonts w:ascii="Arial" w:hAnsi="Arial" w:cs="Arial"/>
        </w:rPr>
        <w:br/>
      </w:r>
      <w:r w:rsidRPr="00A662B1">
        <w:rPr>
          <w:rFonts w:ascii="Arial" w:hAnsi="Arial" w:cs="Arial"/>
          <w:b/>
          <w:bCs/>
        </w:rPr>
        <w:t>Lecturer:</w:t>
      </w:r>
      <w:r w:rsidR="00A662B1" w:rsidRPr="00A662B1">
        <w:rPr>
          <w:rFonts w:ascii="Arial" w:hAnsi="Arial" w:cs="Arial"/>
          <w:b/>
          <w:bCs/>
        </w:rPr>
        <w:t xml:space="preserve"> </w:t>
      </w:r>
      <w:r w:rsidR="00A662B1" w:rsidRPr="00A662B1">
        <w:rPr>
          <w:rFonts w:ascii="Arial" w:hAnsi="Arial" w:cs="Arial"/>
        </w:rPr>
        <w:t>D</w:t>
      </w:r>
      <w:r w:rsidR="008C66B9">
        <w:rPr>
          <w:rFonts w:ascii="Arial" w:hAnsi="Arial" w:cs="Arial"/>
        </w:rPr>
        <w:t>r</w:t>
      </w:r>
      <w:r w:rsidRPr="00A662B1">
        <w:rPr>
          <w:rFonts w:ascii="Arial" w:hAnsi="Arial" w:cs="Arial"/>
        </w:rPr>
        <w:t xml:space="preserve"> </w:t>
      </w:r>
      <w:r w:rsidR="00A662B1" w:rsidRPr="00A662B1">
        <w:rPr>
          <w:rFonts w:ascii="Arial" w:hAnsi="Arial" w:cs="Arial"/>
        </w:rPr>
        <w:t>Rizwan Nadim</w:t>
      </w:r>
      <w:r w:rsidRPr="00A662B1">
        <w:rPr>
          <w:rFonts w:ascii="Arial" w:hAnsi="Arial" w:cs="Arial"/>
        </w:rPr>
        <w:br/>
      </w:r>
      <w:r w:rsidRPr="00A662B1">
        <w:rPr>
          <w:rFonts w:ascii="Arial" w:hAnsi="Arial" w:cs="Arial"/>
          <w:b/>
          <w:bCs/>
        </w:rPr>
        <w:t>Date:</w:t>
      </w:r>
      <w:r w:rsidRPr="00A662B1">
        <w:rPr>
          <w:rFonts w:ascii="Arial" w:hAnsi="Arial" w:cs="Arial"/>
        </w:rPr>
        <w:t xml:space="preserve"> 2</w:t>
      </w:r>
      <w:r w:rsidR="00014590">
        <w:rPr>
          <w:rFonts w:ascii="Arial" w:hAnsi="Arial" w:cs="Arial"/>
        </w:rPr>
        <w:t>7</w:t>
      </w:r>
      <w:r w:rsidR="00014590" w:rsidRPr="00014590">
        <w:rPr>
          <w:rFonts w:ascii="Arial" w:hAnsi="Arial" w:cs="Arial"/>
          <w:vertAlign w:val="superscript"/>
        </w:rPr>
        <w:t>th</w:t>
      </w:r>
      <w:r w:rsidR="00014590">
        <w:rPr>
          <w:rFonts w:ascii="Arial" w:hAnsi="Arial" w:cs="Arial"/>
        </w:rPr>
        <w:t xml:space="preserve"> </w:t>
      </w:r>
      <w:r w:rsidRPr="00A662B1">
        <w:rPr>
          <w:rFonts w:ascii="Arial" w:hAnsi="Arial" w:cs="Arial"/>
        </w:rPr>
        <w:t xml:space="preserve"> June 2026</w:t>
      </w:r>
    </w:p>
    <w:p w14:paraId="3BAD41B4" w14:textId="77777777" w:rsidR="000B7A04" w:rsidRPr="00A662B1" w:rsidRDefault="000B7A04" w:rsidP="00BE1E50">
      <w:pPr>
        <w:spacing w:line="360" w:lineRule="auto"/>
        <w:rPr>
          <w:rFonts w:ascii="Arial" w:hAnsi="Arial" w:cs="Arial"/>
          <w:b/>
          <w:bCs/>
        </w:rPr>
      </w:pPr>
    </w:p>
    <w:p w14:paraId="228B9423" w14:textId="77777777" w:rsidR="000B7A04" w:rsidRPr="00A662B1" w:rsidRDefault="000B7A04" w:rsidP="00BE1E50">
      <w:pPr>
        <w:spacing w:line="360" w:lineRule="auto"/>
        <w:rPr>
          <w:rFonts w:ascii="Arial" w:hAnsi="Arial" w:cs="Arial"/>
          <w:b/>
          <w:bCs/>
        </w:rPr>
      </w:pPr>
    </w:p>
    <w:p w14:paraId="34E715E0" w14:textId="77777777" w:rsidR="000B7A04" w:rsidRPr="00A662B1" w:rsidRDefault="000B7A04" w:rsidP="00BE1E50">
      <w:pPr>
        <w:spacing w:line="360" w:lineRule="auto"/>
        <w:rPr>
          <w:rFonts w:ascii="Arial" w:hAnsi="Arial" w:cs="Arial"/>
          <w:b/>
          <w:bCs/>
        </w:rPr>
      </w:pPr>
    </w:p>
    <w:p w14:paraId="2EEC7E55" w14:textId="77777777" w:rsidR="000B7A04" w:rsidRPr="00A662B1" w:rsidRDefault="000B7A04" w:rsidP="00BE1E50">
      <w:pPr>
        <w:spacing w:line="360" w:lineRule="auto"/>
        <w:rPr>
          <w:rFonts w:ascii="Arial" w:hAnsi="Arial" w:cs="Arial"/>
          <w:b/>
          <w:bCs/>
        </w:rPr>
      </w:pPr>
    </w:p>
    <w:p w14:paraId="31FCB58F" w14:textId="77777777" w:rsidR="000B7A04" w:rsidRPr="00A662B1" w:rsidRDefault="000B7A04" w:rsidP="00BE1E50">
      <w:pPr>
        <w:spacing w:line="360" w:lineRule="auto"/>
        <w:rPr>
          <w:rFonts w:ascii="Arial" w:hAnsi="Arial" w:cs="Arial"/>
          <w:b/>
          <w:bCs/>
        </w:rPr>
      </w:pPr>
    </w:p>
    <w:p w14:paraId="6A399349" w14:textId="77777777" w:rsidR="000B7A04" w:rsidRPr="00A662B1" w:rsidRDefault="000B7A04" w:rsidP="00BE1E50">
      <w:pPr>
        <w:spacing w:line="360" w:lineRule="auto"/>
        <w:rPr>
          <w:rFonts w:ascii="Arial" w:hAnsi="Arial" w:cs="Arial"/>
          <w:b/>
          <w:bCs/>
        </w:rPr>
      </w:pPr>
    </w:p>
    <w:p w14:paraId="11AFBA00" w14:textId="77777777" w:rsidR="000B7A04" w:rsidRPr="00A662B1" w:rsidRDefault="000B7A04" w:rsidP="00BE1E50">
      <w:pPr>
        <w:spacing w:line="360" w:lineRule="auto"/>
        <w:rPr>
          <w:rFonts w:ascii="Arial" w:hAnsi="Arial" w:cs="Arial"/>
          <w:b/>
          <w:bCs/>
        </w:rPr>
      </w:pPr>
    </w:p>
    <w:p w14:paraId="38343880" w14:textId="77777777" w:rsidR="000B7A04" w:rsidRPr="00A662B1" w:rsidRDefault="000B7A04" w:rsidP="00BE1E50">
      <w:pPr>
        <w:spacing w:line="360" w:lineRule="auto"/>
        <w:rPr>
          <w:rFonts w:ascii="Arial" w:hAnsi="Arial" w:cs="Arial"/>
          <w:b/>
          <w:bCs/>
        </w:rPr>
      </w:pPr>
    </w:p>
    <w:p w14:paraId="2B1FB3FB" w14:textId="77777777" w:rsidR="000B7A04" w:rsidRPr="00A662B1" w:rsidRDefault="000B7A04" w:rsidP="00BE1E50">
      <w:pPr>
        <w:spacing w:line="360" w:lineRule="auto"/>
        <w:rPr>
          <w:rFonts w:ascii="Arial" w:hAnsi="Arial" w:cs="Arial"/>
          <w:b/>
          <w:bCs/>
        </w:rPr>
      </w:pPr>
    </w:p>
    <w:p w14:paraId="47403E92" w14:textId="77777777" w:rsidR="000B7A04" w:rsidRPr="00A662B1" w:rsidRDefault="000B7A04" w:rsidP="00BE1E50">
      <w:pPr>
        <w:spacing w:line="360" w:lineRule="auto"/>
        <w:rPr>
          <w:rFonts w:ascii="Arial" w:hAnsi="Arial" w:cs="Arial"/>
          <w:b/>
          <w:bCs/>
        </w:rPr>
      </w:pPr>
    </w:p>
    <w:p w14:paraId="4095FE4A" w14:textId="77777777" w:rsidR="000B7A04" w:rsidRPr="00A662B1" w:rsidRDefault="000B7A04" w:rsidP="00BE1E50">
      <w:pPr>
        <w:spacing w:line="360" w:lineRule="auto"/>
        <w:rPr>
          <w:rFonts w:ascii="Arial" w:hAnsi="Arial" w:cs="Arial"/>
          <w:b/>
          <w:bCs/>
        </w:rPr>
      </w:pPr>
    </w:p>
    <w:p w14:paraId="7355396E" w14:textId="77777777" w:rsidR="000B7A04" w:rsidRPr="00A662B1" w:rsidRDefault="000B7A04" w:rsidP="00BE1E50">
      <w:pPr>
        <w:spacing w:line="360" w:lineRule="auto"/>
        <w:rPr>
          <w:rFonts w:ascii="Arial" w:hAnsi="Arial" w:cs="Arial"/>
          <w:b/>
          <w:bCs/>
        </w:rPr>
      </w:pPr>
    </w:p>
    <w:p w14:paraId="53AEBB55" w14:textId="77777777" w:rsidR="000B7A04" w:rsidRPr="00A662B1" w:rsidRDefault="000B7A04" w:rsidP="00BE1E50">
      <w:pPr>
        <w:spacing w:line="360" w:lineRule="auto"/>
        <w:rPr>
          <w:rFonts w:ascii="Arial" w:hAnsi="Arial" w:cs="Arial"/>
          <w:b/>
          <w:bCs/>
        </w:rPr>
      </w:pPr>
    </w:p>
    <w:p w14:paraId="7C367023" w14:textId="77777777" w:rsidR="000B7A04" w:rsidRPr="00A662B1" w:rsidRDefault="000B7A04" w:rsidP="00BE1E50">
      <w:pPr>
        <w:spacing w:line="360" w:lineRule="auto"/>
        <w:rPr>
          <w:rFonts w:ascii="Arial" w:hAnsi="Arial" w:cs="Arial"/>
          <w:b/>
          <w:bCs/>
        </w:rPr>
      </w:pPr>
    </w:p>
    <w:p w14:paraId="6D2202BD" w14:textId="77777777" w:rsidR="000B7A04" w:rsidRPr="00A662B1" w:rsidRDefault="000B7A04" w:rsidP="00BE1E50">
      <w:pPr>
        <w:spacing w:line="360" w:lineRule="auto"/>
        <w:rPr>
          <w:rFonts w:ascii="Arial" w:hAnsi="Arial" w:cs="Arial"/>
          <w:b/>
          <w:bCs/>
        </w:rPr>
      </w:pPr>
    </w:p>
    <w:p w14:paraId="5FD0228D" w14:textId="77777777" w:rsidR="000B7A04" w:rsidRPr="00A662B1" w:rsidRDefault="000B7A04" w:rsidP="00BE1E50">
      <w:pPr>
        <w:spacing w:line="360" w:lineRule="auto"/>
        <w:rPr>
          <w:rFonts w:ascii="Arial" w:hAnsi="Arial" w:cs="Arial"/>
          <w:b/>
          <w:bCs/>
        </w:rPr>
      </w:pPr>
    </w:p>
    <w:p w14:paraId="467E1255" w14:textId="77777777" w:rsidR="000B7A04" w:rsidRPr="00A662B1" w:rsidRDefault="000B7A04" w:rsidP="00BE1E50">
      <w:pPr>
        <w:spacing w:line="360" w:lineRule="auto"/>
        <w:rPr>
          <w:rFonts w:ascii="Arial" w:hAnsi="Arial" w:cs="Arial"/>
          <w:b/>
          <w:bCs/>
        </w:rPr>
      </w:pPr>
    </w:p>
    <w:p w14:paraId="1BB5D0BB" w14:textId="77777777" w:rsidR="000B7A04" w:rsidRPr="00A662B1" w:rsidRDefault="000B7A04" w:rsidP="00BE1E50">
      <w:pPr>
        <w:spacing w:line="360" w:lineRule="auto"/>
        <w:rPr>
          <w:rFonts w:ascii="Arial" w:hAnsi="Arial" w:cs="Arial"/>
          <w:b/>
          <w:bCs/>
        </w:rPr>
      </w:pPr>
    </w:p>
    <w:p w14:paraId="33DE6E17" w14:textId="77777777" w:rsidR="000B7A04" w:rsidRPr="00A662B1" w:rsidRDefault="000B7A04" w:rsidP="00BE1E50">
      <w:pPr>
        <w:spacing w:line="360" w:lineRule="auto"/>
        <w:rPr>
          <w:rFonts w:ascii="Arial" w:hAnsi="Arial" w:cs="Arial"/>
          <w:b/>
          <w:bCs/>
        </w:rPr>
      </w:pPr>
    </w:p>
    <w:p w14:paraId="40335BF6" w14:textId="77777777" w:rsidR="000B7A04" w:rsidRPr="00A662B1" w:rsidRDefault="000B7A04" w:rsidP="00BE1E50">
      <w:pPr>
        <w:spacing w:line="360" w:lineRule="auto"/>
        <w:rPr>
          <w:rFonts w:ascii="Arial" w:hAnsi="Arial" w:cs="Arial"/>
          <w:b/>
          <w:bCs/>
        </w:rPr>
      </w:pPr>
    </w:p>
    <w:p w14:paraId="3AE70BF0" w14:textId="77777777" w:rsidR="00CB4024" w:rsidRDefault="00CB4024" w:rsidP="00BE1E50">
      <w:pPr>
        <w:spacing w:line="360" w:lineRule="auto"/>
        <w:rPr>
          <w:rFonts w:ascii="Arial" w:hAnsi="Arial" w:cs="Arial"/>
          <w:b/>
          <w:bCs/>
        </w:rPr>
      </w:pPr>
    </w:p>
    <w:p w14:paraId="41D51409" w14:textId="77777777" w:rsidR="00CB4024" w:rsidRDefault="00CB4024" w:rsidP="00BE1E50">
      <w:pPr>
        <w:spacing w:line="360" w:lineRule="auto"/>
        <w:rPr>
          <w:rFonts w:ascii="Arial" w:hAnsi="Arial" w:cs="Arial"/>
          <w:b/>
          <w:bCs/>
        </w:rPr>
      </w:pPr>
    </w:p>
    <w:p w14:paraId="75D6AA9C" w14:textId="77777777" w:rsidR="00CB4024" w:rsidRDefault="00CB4024" w:rsidP="00BE1E50">
      <w:pPr>
        <w:spacing w:line="360" w:lineRule="auto"/>
        <w:rPr>
          <w:rFonts w:ascii="Arial" w:hAnsi="Arial" w:cs="Arial"/>
          <w:b/>
          <w:bCs/>
        </w:rPr>
      </w:pPr>
    </w:p>
    <w:p w14:paraId="3356ECD9" w14:textId="77777777" w:rsidR="00CB4024" w:rsidRDefault="00CB4024" w:rsidP="00BE1E50">
      <w:pPr>
        <w:spacing w:line="360" w:lineRule="auto"/>
        <w:rPr>
          <w:rFonts w:ascii="Arial" w:hAnsi="Arial" w:cs="Arial"/>
          <w:b/>
          <w:bCs/>
        </w:rPr>
      </w:pPr>
    </w:p>
    <w:p w14:paraId="234AA63D" w14:textId="77777777" w:rsidR="00793255" w:rsidRDefault="000B7A04" w:rsidP="00793255">
      <w:pPr>
        <w:spacing w:line="360" w:lineRule="auto"/>
        <w:rPr>
          <w:rFonts w:ascii="Arial" w:hAnsi="Arial" w:cs="Arial"/>
          <w:b/>
          <w:bCs/>
        </w:rPr>
      </w:pPr>
      <w:r w:rsidRPr="00A662B1">
        <w:rPr>
          <w:rFonts w:ascii="Arial" w:hAnsi="Arial" w:cs="Arial"/>
          <w:b/>
          <w:bCs/>
        </w:rPr>
        <w:t>TABLE OF CONTENTS</w:t>
      </w:r>
    </w:p>
    <w:p w14:paraId="574FAFA5" w14:textId="5085490D" w:rsidR="000B7A04" w:rsidRPr="009E01E6" w:rsidRDefault="009E01E6" w:rsidP="009E01E6">
      <w:pPr>
        <w:spacing w:line="360" w:lineRule="auto"/>
        <w:rPr>
          <w:rFonts w:ascii="Arial" w:hAnsi="Arial" w:cs="Arial"/>
        </w:rPr>
      </w:pPr>
      <w:r w:rsidRPr="009E01E6">
        <w:rPr>
          <w:rFonts w:ascii="Arial" w:hAnsi="Arial" w:cs="Arial"/>
        </w:rPr>
        <w:t>Introduction……………………………………………………………………….…</w:t>
      </w:r>
      <w:r w:rsidR="00C04988" w:rsidRPr="00C04988">
        <w:rPr>
          <w:rFonts w:ascii="Arial" w:hAnsi="Arial" w:cs="Arial"/>
        </w:rPr>
        <w:t>p. 3</w:t>
      </w:r>
      <w:r w:rsidRPr="009E01E6">
        <w:rPr>
          <w:rFonts w:ascii="Arial" w:hAnsi="Arial" w:cs="Arial"/>
        </w:rPr>
        <w:br/>
        <w:t>Maintenance of Blood Glucose Levels…………………………………</w:t>
      </w:r>
      <w:r>
        <w:rPr>
          <w:rFonts w:ascii="Arial" w:hAnsi="Arial" w:cs="Arial"/>
        </w:rPr>
        <w:t>……......</w:t>
      </w:r>
      <w:r w:rsidRPr="009E01E6">
        <w:rPr>
          <w:rFonts w:ascii="Arial" w:hAnsi="Arial" w:cs="Arial"/>
        </w:rPr>
        <w:t>pp. 4–5</w:t>
      </w:r>
      <w:r w:rsidRPr="009E01E6">
        <w:rPr>
          <w:rFonts w:ascii="Arial" w:hAnsi="Arial" w:cs="Arial"/>
        </w:rPr>
        <w:br/>
        <w:t>Oxygen and Glucose in Cell Metabolism…………………………………</w:t>
      </w:r>
      <w:r>
        <w:rPr>
          <w:rFonts w:ascii="Arial" w:hAnsi="Arial" w:cs="Arial"/>
        </w:rPr>
        <w:t>……..</w:t>
      </w:r>
      <w:r w:rsidRPr="009E01E6">
        <w:rPr>
          <w:rFonts w:ascii="Arial" w:hAnsi="Arial" w:cs="Arial"/>
        </w:rPr>
        <w:t>p</w:t>
      </w:r>
      <w:r w:rsidR="00C04988">
        <w:rPr>
          <w:rFonts w:ascii="Arial" w:hAnsi="Arial" w:cs="Arial"/>
        </w:rPr>
        <w:t>p</w:t>
      </w:r>
      <w:r w:rsidRPr="009E01E6">
        <w:rPr>
          <w:rFonts w:ascii="Arial" w:hAnsi="Arial" w:cs="Arial"/>
        </w:rPr>
        <w:t>. 5</w:t>
      </w:r>
      <w:r w:rsidR="000902EC">
        <w:rPr>
          <w:rFonts w:ascii="Arial" w:hAnsi="Arial" w:cs="Arial"/>
        </w:rPr>
        <w:t>-6</w:t>
      </w:r>
      <w:r w:rsidRPr="009E01E6">
        <w:rPr>
          <w:rFonts w:ascii="Arial" w:hAnsi="Arial" w:cs="Arial"/>
        </w:rPr>
        <w:br/>
        <w:t>Monitoring Blood Glucose and Data Use…………………………………</w:t>
      </w:r>
      <w:r>
        <w:rPr>
          <w:rFonts w:ascii="Arial" w:hAnsi="Arial" w:cs="Arial"/>
        </w:rPr>
        <w:t>……..</w:t>
      </w:r>
      <w:r w:rsidRPr="009E01E6">
        <w:rPr>
          <w:rFonts w:ascii="Arial" w:hAnsi="Arial" w:cs="Arial"/>
        </w:rPr>
        <w:t>p</w:t>
      </w:r>
      <w:r w:rsidR="00C04988">
        <w:rPr>
          <w:rFonts w:ascii="Arial" w:hAnsi="Arial" w:cs="Arial"/>
        </w:rPr>
        <w:t>p</w:t>
      </w:r>
      <w:r w:rsidRPr="009E01E6">
        <w:rPr>
          <w:rFonts w:ascii="Arial" w:hAnsi="Arial" w:cs="Arial"/>
        </w:rPr>
        <w:t>. 6</w:t>
      </w:r>
      <w:r w:rsidR="000902EC">
        <w:rPr>
          <w:rFonts w:ascii="Arial" w:hAnsi="Arial" w:cs="Arial"/>
        </w:rPr>
        <w:t>-7</w:t>
      </w:r>
      <w:r w:rsidRPr="009E01E6">
        <w:rPr>
          <w:rFonts w:ascii="Arial" w:hAnsi="Arial" w:cs="Arial"/>
        </w:rPr>
        <w:br/>
        <w:t>Evidence-Based Lifestyle Recommendations………………………</w:t>
      </w:r>
      <w:r>
        <w:rPr>
          <w:rFonts w:ascii="Arial" w:hAnsi="Arial" w:cs="Arial"/>
        </w:rPr>
        <w:t>………..</w:t>
      </w:r>
      <w:r w:rsidRPr="009E01E6">
        <w:rPr>
          <w:rFonts w:ascii="Arial" w:hAnsi="Arial" w:cs="Arial"/>
        </w:rPr>
        <w:t>…p</w:t>
      </w:r>
      <w:r w:rsidR="00C04988">
        <w:rPr>
          <w:rFonts w:ascii="Arial" w:hAnsi="Arial" w:cs="Arial"/>
        </w:rPr>
        <w:t>p</w:t>
      </w:r>
      <w:r w:rsidRPr="009E01E6">
        <w:rPr>
          <w:rFonts w:ascii="Arial" w:hAnsi="Arial" w:cs="Arial"/>
        </w:rPr>
        <w:t>. 7</w:t>
      </w:r>
      <w:r w:rsidR="000902EC">
        <w:rPr>
          <w:rFonts w:ascii="Arial" w:hAnsi="Arial" w:cs="Arial"/>
        </w:rPr>
        <w:t>-8</w:t>
      </w:r>
      <w:r w:rsidRPr="009E01E6">
        <w:rPr>
          <w:rFonts w:ascii="Arial" w:hAnsi="Arial" w:cs="Arial"/>
        </w:rPr>
        <w:br/>
        <w:t>Conclusion………………………………………………………………</w:t>
      </w:r>
      <w:r>
        <w:rPr>
          <w:rFonts w:ascii="Arial" w:hAnsi="Arial" w:cs="Arial"/>
        </w:rPr>
        <w:t>..</w:t>
      </w:r>
      <w:r w:rsidRPr="009E01E6">
        <w:rPr>
          <w:rFonts w:ascii="Arial" w:hAnsi="Arial" w:cs="Arial"/>
        </w:rPr>
        <w:t>…………</w:t>
      </w:r>
      <w:r w:rsidR="00C04988">
        <w:rPr>
          <w:rFonts w:ascii="Arial" w:hAnsi="Arial" w:cs="Arial"/>
        </w:rPr>
        <w:t>p</w:t>
      </w:r>
      <w:r w:rsidRPr="009E01E6">
        <w:rPr>
          <w:rFonts w:ascii="Arial" w:hAnsi="Arial" w:cs="Arial"/>
        </w:rPr>
        <w:t>p. 8</w:t>
      </w:r>
      <w:r w:rsidR="000902EC">
        <w:rPr>
          <w:rFonts w:ascii="Arial" w:hAnsi="Arial" w:cs="Arial"/>
        </w:rPr>
        <w:t>-9</w:t>
      </w:r>
      <w:r w:rsidRPr="009E01E6">
        <w:rPr>
          <w:rFonts w:ascii="Arial" w:hAnsi="Arial" w:cs="Arial"/>
        </w:rPr>
        <w:br/>
        <w:t>Reference List………………………………………………………………</w:t>
      </w:r>
      <w:r>
        <w:rPr>
          <w:rFonts w:ascii="Arial" w:hAnsi="Arial" w:cs="Arial"/>
        </w:rPr>
        <w:t>…</w:t>
      </w:r>
      <w:r w:rsidRPr="009E01E6">
        <w:rPr>
          <w:rFonts w:ascii="Arial" w:hAnsi="Arial" w:cs="Arial"/>
        </w:rPr>
        <w:t>……p</w:t>
      </w:r>
      <w:r w:rsidR="00C04988">
        <w:rPr>
          <w:rFonts w:ascii="Arial" w:hAnsi="Arial" w:cs="Arial"/>
        </w:rPr>
        <w:t>p</w:t>
      </w:r>
      <w:r w:rsidRPr="009E01E6">
        <w:rPr>
          <w:rFonts w:ascii="Arial" w:hAnsi="Arial" w:cs="Arial"/>
        </w:rPr>
        <w:t xml:space="preserve">. </w:t>
      </w:r>
      <w:r w:rsidR="00412C62">
        <w:rPr>
          <w:rFonts w:ascii="Arial" w:hAnsi="Arial" w:cs="Arial"/>
        </w:rPr>
        <w:t>10-11</w:t>
      </w:r>
    </w:p>
    <w:p w14:paraId="7E46F9BF" w14:textId="77777777" w:rsidR="000B7A04" w:rsidRPr="00A662B1" w:rsidRDefault="000B7A04" w:rsidP="00BE1E50">
      <w:pPr>
        <w:spacing w:line="360" w:lineRule="auto"/>
        <w:rPr>
          <w:rFonts w:ascii="Arial" w:hAnsi="Arial" w:cs="Arial"/>
          <w:b/>
          <w:bCs/>
        </w:rPr>
      </w:pPr>
    </w:p>
    <w:p w14:paraId="41BCB01F" w14:textId="77777777" w:rsidR="000B7A04" w:rsidRPr="00A662B1" w:rsidRDefault="000B7A04" w:rsidP="00BE1E50">
      <w:pPr>
        <w:spacing w:line="360" w:lineRule="auto"/>
        <w:rPr>
          <w:rFonts w:ascii="Arial" w:hAnsi="Arial" w:cs="Arial"/>
          <w:b/>
          <w:bCs/>
        </w:rPr>
      </w:pPr>
    </w:p>
    <w:p w14:paraId="4487282D" w14:textId="77777777" w:rsidR="000B7A04" w:rsidRPr="00A662B1" w:rsidRDefault="000B7A04" w:rsidP="00BE1E50">
      <w:pPr>
        <w:spacing w:line="360" w:lineRule="auto"/>
        <w:rPr>
          <w:rFonts w:ascii="Arial" w:hAnsi="Arial" w:cs="Arial"/>
          <w:b/>
          <w:bCs/>
        </w:rPr>
      </w:pPr>
    </w:p>
    <w:p w14:paraId="4A964A05" w14:textId="77777777" w:rsidR="000B7A04" w:rsidRPr="00A662B1" w:rsidRDefault="000B7A04" w:rsidP="00BE1E50">
      <w:pPr>
        <w:spacing w:line="360" w:lineRule="auto"/>
        <w:rPr>
          <w:rFonts w:ascii="Arial" w:hAnsi="Arial" w:cs="Arial"/>
          <w:b/>
          <w:bCs/>
        </w:rPr>
      </w:pPr>
    </w:p>
    <w:p w14:paraId="2F4923E0" w14:textId="77777777" w:rsidR="000B7A04" w:rsidRPr="00A662B1" w:rsidRDefault="000B7A04" w:rsidP="00BE1E50">
      <w:pPr>
        <w:spacing w:line="360" w:lineRule="auto"/>
        <w:rPr>
          <w:rFonts w:ascii="Arial" w:hAnsi="Arial" w:cs="Arial"/>
          <w:b/>
          <w:bCs/>
        </w:rPr>
      </w:pPr>
    </w:p>
    <w:p w14:paraId="1A14CC4C" w14:textId="77777777" w:rsidR="000B7A04" w:rsidRPr="00A662B1" w:rsidRDefault="000B7A04" w:rsidP="00BE1E50">
      <w:pPr>
        <w:spacing w:line="360" w:lineRule="auto"/>
        <w:rPr>
          <w:rFonts w:ascii="Arial" w:hAnsi="Arial" w:cs="Arial"/>
          <w:b/>
          <w:bCs/>
        </w:rPr>
      </w:pPr>
    </w:p>
    <w:p w14:paraId="1194A8DD" w14:textId="77777777" w:rsidR="000B7A04" w:rsidRPr="00A662B1" w:rsidRDefault="000B7A04" w:rsidP="00BE1E50">
      <w:pPr>
        <w:spacing w:line="360" w:lineRule="auto"/>
        <w:rPr>
          <w:rFonts w:ascii="Arial" w:hAnsi="Arial" w:cs="Arial"/>
          <w:b/>
          <w:bCs/>
        </w:rPr>
      </w:pPr>
    </w:p>
    <w:p w14:paraId="2CF6C6A0" w14:textId="77777777" w:rsidR="000B7A04" w:rsidRPr="00A662B1" w:rsidRDefault="000B7A04" w:rsidP="00BE1E50">
      <w:pPr>
        <w:spacing w:line="360" w:lineRule="auto"/>
        <w:rPr>
          <w:rFonts w:ascii="Arial" w:hAnsi="Arial" w:cs="Arial"/>
          <w:b/>
          <w:bCs/>
        </w:rPr>
      </w:pPr>
    </w:p>
    <w:p w14:paraId="263B9942" w14:textId="77777777" w:rsidR="000B7A04" w:rsidRPr="00A662B1" w:rsidRDefault="000B7A04" w:rsidP="00BE1E50">
      <w:pPr>
        <w:spacing w:line="360" w:lineRule="auto"/>
        <w:rPr>
          <w:rFonts w:ascii="Arial" w:hAnsi="Arial" w:cs="Arial"/>
          <w:b/>
          <w:bCs/>
        </w:rPr>
      </w:pPr>
    </w:p>
    <w:p w14:paraId="62EEFD7A" w14:textId="77777777" w:rsidR="000B7A04" w:rsidRPr="00A662B1" w:rsidRDefault="000B7A04" w:rsidP="00BE1E50">
      <w:pPr>
        <w:spacing w:line="360" w:lineRule="auto"/>
        <w:rPr>
          <w:rFonts w:ascii="Arial" w:hAnsi="Arial" w:cs="Arial"/>
          <w:b/>
          <w:bCs/>
        </w:rPr>
      </w:pPr>
    </w:p>
    <w:p w14:paraId="79992A7F" w14:textId="77777777" w:rsidR="000B7A04" w:rsidRPr="00A662B1" w:rsidRDefault="000B7A04" w:rsidP="00BE1E50">
      <w:pPr>
        <w:spacing w:line="360" w:lineRule="auto"/>
        <w:rPr>
          <w:rFonts w:ascii="Arial" w:hAnsi="Arial" w:cs="Arial"/>
          <w:b/>
          <w:bCs/>
        </w:rPr>
      </w:pPr>
    </w:p>
    <w:p w14:paraId="28F47360" w14:textId="77777777" w:rsidR="00A662B1" w:rsidRDefault="00A662B1" w:rsidP="00BE1E50">
      <w:pPr>
        <w:spacing w:line="360" w:lineRule="auto"/>
        <w:rPr>
          <w:rFonts w:ascii="Arial" w:hAnsi="Arial" w:cs="Arial"/>
          <w:b/>
          <w:bCs/>
          <w:u w:val="single"/>
        </w:rPr>
      </w:pPr>
    </w:p>
    <w:p w14:paraId="04D6398D" w14:textId="77777777" w:rsidR="00BE1E50" w:rsidRDefault="00BE1E50" w:rsidP="00BE1E50">
      <w:pPr>
        <w:spacing w:line="360" w:lineRule="auto"/>
        <w:rPr>
          <w:rFonts w:ascii="Arial" w:hAnsi="Arial" w:cs="Arial"/>
          <w:b/>
          <w:bCs/>
          <w:u w:val="single"/>
        </w:rPr>
      </w:pPr>
    </w:p>
    <w:p w14:paraId="0D57CCD9" w14:textId="77777777" w:rsidR="00E52A5B" w:rsidRDefault="00E52A5B" w:rsidP="00420C1B">
      <w:pPr>
        <w:spacing w:line="360" w:lineRule="auto"/>
        <w:rPr>
          <w:rFonts w:ascii="Arial" w:hAnsi="Arial" w:cs="Arial"/>
          <w:b/>
          <w:bCs/>
          <w:u w:val="single"/>
        </w:rPr>
      </w:pPr>
    </w:p>
    <w:p w14:paraId="324F9621" w14:textId="77777777" w:rsidR="00E52A5B" w:rsidRDefault="00E52A5B" w:rsidP="00420C1B">
      <w:pPr>
        <w:spacing w:line="360" w:lineRule="auto"/>
        <w:rPr>
          <w:rFonts w:ascii="Arial" w:hAnsi="Arial" w:cs="Arial"/>
          <w:b/>
          <w:bCs/>
          <w:u w:val="single"/>
        </w:rPr>
      </w:pPr>
    </w:p>
    <w:p w14:paraId="3E373BC3" w14:textId="77777777" w:rsidR="00E52A5B" w:rsidRDefault="00E52A5B" w:rsidP="00420C1B">
      <w:pPr>
        <w:spacing w:line="360" w:lineRule="auto"/>
        <w:rPr>
          <w:rFonts w:ascii="Arial" w:hAnsi="Arial" w:cs="Arial"/>
          <w:b/>
          <w:bCs/>
          <w:u w:val="single"/>
        </w:rPr>
      </w:pPr>
    </w:p>
    <w:p w14:paraId="1E83CF91" w14:textId="77777777" w:rsidR="00C04988" w:rsidRDefault="00C04988" w:rsidP="00420C1B">
      <w:pPr>
        <w:spacing w:line="360" w:lineRule="auto"/>
        <w:rPr>
          <w:rFonts w:ascii="Arial" w:hAnsi="Arial" w:cs="Arial"/>
          <w:b/>
          <w:bCs/>
          <w:u w:val="single"/>
        </w:rPr>
      </w:pPr>
    </w:p>
    <w:p w14:paraId="4C3E69F8" w14:textId="41BEB336" w:rsidR="000B7A04" w:rsidRPr="00420C1B" w:rsidRDefault="000B7A04" w:rsidP="00420C1B">
      <w:pPr>
        <w:spacing w:line="360" w:lineRule="auto"/>
        <w:rPr>
          <w:rFonts w:ascii="Arial" w:hAnsi="Arial" w:cs="Arial"/>
          <w:b/>
          <w:bCs/>
          <w:u w:val="single"/>
        </w:rPr>
      </w:pPr>
      <w:r w:rsidRPr="00420C1B">
        <w:rPr>
          <w:rFonts w:ascii="Arial" w:hAnsi="Arial" w:cs="Arial"/>
          <w:b/>
          <w:bCs/>
          <w:u w:val="single"/>
        </w:rPr>
        <w:lastRenderedPageBreak/>
        <w:t>INTRODUCTION</w:t>
      </w:r>
      <w:r w:rsidR="00751805" w:rsidRPr="00420C1B">
        <w:rPr>
          <w:rFonts w:ascii="Arial" w:hAnsi="Arial" w:cs="Arial"/>
          <w:b/>
          <w:bCs/>
          <w:u w:val="single"/>
        </w:rPr>
        <w:t xml:space="preserve"> </w:t>
      </w:r>
    </w:p>
    <w:p w14:paraId="36722E83" w14:textId="77777777" w:rsidR="00DA24C9" w:rsidRPr="00420C1B" w:rsidRDefault="00DA24C9" w:rsidP="00420C1B">
      <w:pPr>
        <w:spacing w:line="360" w:lineRule="auto"/>
        <w:jc w:val="both"/>
        <w:rPr>
          <w:rFonts w:ascii="Arial" w:hAnsi="Arial" w:cs="Arial"/>
        </w:rPr>
      </w:pPr>
      <w:r w:rsidRPr="00420C1B">
        <w:rPr>
          <w:rFonts w:ascii="Arial" w:hAnsi="Arial" w:cs="Arial"/>
        </w:rPr>
        <w:t>Diabetes mellitus is a group of chronic metabolic disorders characterised by persistently elevated blood glucose levels due to defects in insulin secretion, insulin action, or both, leading to impaired glucose homeostasis (Penman et al., 2022). Insulin, produced by pancreatic beta cells, regulates glucose uptake for energy production (Kumar and Clark, 2023). When this process is impaired, glucose accumulates in the bloodstream, resulting in hyperglycaemia and increasing the risk of both microvascular and macrovascular complications such as cardiovascular disease, nephropathy, neuropathy and retinopathy (NICE, 2022).</w:t>
      </w:r>
    </w:p>
    <w:p w14:paraId="556F2331" w14:textId="20B2C42B" w:rsidR="00DA24C9" w:rsidRPr="00420C1B" w:rsidRDefault="00DA24C9" w:rsidP="00420C1B">
      <w:pPr>
        <w:spacing w:line="360" w:lineRule="auto"/>
        <w:jc w:val="both"/>
        <w:rPr>
          <w:rFonts w:ascii="Arial" w:hAnsi="Arial" w:cs="Arial"/>
        </w:rPr>
      </w:pPr>
      <w:r w:rsidRPr="00420C1B">
        <w:rPr>
          <w:rFonts w:ascii="Arial" w:hAnsi="Arial" w:cs="Arial"/>
        </w:rPr>
        <w:t xml:space="preserve">There are two main types of diabetes. Type 1 diabetes is an autoimmune condition in which the immune system destroys insulin-producing beta cells, resulting in absolute insulin deficiency (Penman et al., 2022). Type 2 diabetes is the most common form, accounting for approximately 90% of cases globally, and develops through a combination of insulin resistance and progressive pancreatic beta-cell dysfunction (Chatterjee, Khunti and Davies, 2021; </w:t>
      </w:r>
      <w:r w:rsidR="00551AA8">
        <w:rPr>
          <w:rFonts w:ascii="Arial" w:hAnsi="Arial" w:cs="Arial"/>
        </w:rPr>
        <w:t xml:space="preserve">WHO, </w:t>
      </w:r>
      <w:r w:rsidRPr="00420C1B">
        <w:rPr>
          <w:rFonts w:ascii="Arial" w:hAnsi="Arial" w:cs="Arial"/>
        </w:rPr>
        <w:t>2023).</w:t>
      </w:r>
    </w:p>
    <w:p w14:paraId="23A5F335" w14:textId="77777777" w:rsidR="00DA24C9" w:rsidRPr="00420C1B" w:rsidRDefault="00DA24C9" w:rsidP="00330E23">
      <w:pPr>
        <w:spacing w:line="360" w:lineRule="auto"/>
        <w:jc w:val="both"/>
        <w:rPr>
          <w:rFonts w:ascii="Arial" w:hAnsi="Arial" w:cs="Arial"/>
        </w:rPr>
      </w:pPr>
      <w:r w:rsidRPr="00420C1B">
        <w:rPr>
          <w:rFonts w:ascii="Arial" w:hAnsi="Arial" w:cs="Arial"/>
        </w:rPr>
        <w:t>Although lifestyle factors such as obesity, smoking, poor diet and physical inactivity significantly increase the risk of developing Type 2 diabetes, non-modifiable factors including age, ethnicity and genetic predisposition also play an important role (NHS, 2024). This highlights that Type 2 diabetes develops through a complex interaction between behavioural and biological factors.</w:t>
      </w:r>
    </w:p>
    <w:p w14:paraId="306FFB04" w14:textId="77777777" w:rsidR="00DA24C9" w:rsidRPr="00420C1B" w:rsidRDefault="00DA24C9" w:rsidP="00330E23">
      <w:pPr>
        <w:spacing w:line="360" w:lineRule="auto"/>
        <w:jc w:val="both"/>
        <w:rPr>
          <w:rFonts w:ascii="Arial" w:hAnsi="Arial" w:cs="Arial"/>
        </w:rPr>
      </w:pPr>
      <w:r w:rsidRPr="00420C1B">
        <w:rPr>
          <w:rFonts w:ascii="Arial" w:hAnsi="Arial" w:cs="Arial"/>
        </w:rPr>
        <w:t>This report examines the physiological regulation of blood glucose, focusing on endocrine control, cellular metabolism and the pathophysiological changes in Type 2 diabetes, alongside clinical implications for monitoring and management.</w:t>
      </w:r>
    </w:p>
    <w:p w14:paraId="5774669B" w14:textId="04139DCD" w:rsidR="008D503C" w:rsidRPr="00420C1B" w:rsidRDefault="008D503C" w:rsidP="00330E23">
      <w:pPr>
        <w:spacing w:line="360" w:lineRule="auto"/>
        <w:jc w:val="both"/>
        <w:rPr>
          <w:rFonts w:ascii="Arial" w:hAnsi="Arial" w:cs="Arial"/>
        </w:rPr>
      </w:pPr>
    </w:p>
    <w:p w14:paraId="0A024D80" w14:textId="77777777" w:rsidR="008D503C" w:rsidRPr="00420C1B" w:rsidRDefault="008D503C" w:rsidP="00330E23">
      <w:pPr>
        <w:spacing w:line="360" w:lineRule="auto"/>
        <w:jc w:val="both"/>
        <w:rPr>
          <w:rFonts w:ascii="Arial" w:hAnsi="Arial" w:cs="Arial"/>
          <w:b/>
          <w:bCs/>
          <w:u w:val="single"/>
        </w:rPr>
      </w:pPr>
    </w:p>
    <w:p w14:paraId="339AD192" w14:textId="77777777" w:rsidR="008D503C" w:rsidRPr="00420C1B" w:rsidRDefault="008D503C" w:rsidP="00330E23">
      <w:pPr>
        <w:spacing w:line="360" w:lineRule="auto"/>
        <w:jc w:val="both"/>
        <w:rPr>
          <w:rFonts w:ascii="Arial" w:hAnsi="Arial" w:cs="Arial"/>
          <w:b/>
          <w:bCs/>
          <w:u w:val="single"/>
        </w:rPr>
      </w:pPr>
    </w:p>
    <w:p w14:paraId="5BD37079" w14:textId="77777777" w:rsidR="008D503C" w:rsidRPr="00420C1B" w:rsidRDefault="008D503C" w:rsidP="00330E23">
      <w:pPr>
        <w:spacing w:line="360" w:lineRule="auto"/>
        <w:jc w:val="both"/>
        <w:rPr>
          <w:rFonts w:ascii="Arial" w:hAnsi="Arial" w:cs="Arial"/>
          <w:b/>
          <w:bCs/>
          <w:u w:val="single"/>
        </w:rPr>
      </w:pPr>
    </w:p>
    <w:p w14:paraId="53194EFE" w14:textId="77777777" w:rsidR="008D503C" w:rsidRPr="00420C1B" w:rsidRDefault="008D503C" w:rsidP="00330E23">
      <w:pPr>
        <w:spacing w:line="360" w:lineRule="auto"/>
        <w:jc w:val="both"/>
        <w:rPr>
          <w:rFonts w:ascii="Arial" w:hAnsi="Arial" w:cs="Arial"/>
          <w:b/>
          <w:bCs/>
          <w:u w:val="single"/>
        </w:rPr>
      </w:pPr>
    </w:p>
    <w:p w14:paraId="1BB38C8F" w14:textId="77777777" w:rsidR="00DA21A9" w:rsidRPr="00420C1B" w:rsidRDefault="00DA21A9" w:rsidP="00330E23">
      <w:pPr>
        <w:spacing w:line="360" w:lineRule="auto"/>
        <w:jc w:val="both"/>
        <w:rPr>
          <w:rFonts w:ascii="Arial" w:hAnsi="Arial" w:cs="Arial"/>
          <w:b/>
          <w:bCs/>
          <w:u w:val="single"/>
        </w:rPr>
      </w:pPr>
    </w:p>
    <w:p w14:paraId="4D55E6E2" w14:textId="77777777" w:rsidR="00DA21A9" w:rsidRPr="00420C1B" w:rsidRDefault="00DA21A9" w:rsidP="00330E23">
      <w:pPr>
        <w:spacing w:line="360" w:lineRule="auto"/>
        <w:jc w:val="both"/>
        <w:rPr>
          <w:rFonts w:ascii="Arial" w:hAnsi="Arial" w:cs="Arial"/>
          <w:b/>
          <w:bCs/>
          <w:u w:val="single"/>
        </w:rPr>
      </w:pPr>
    </w:p>
    <w:p w14:paraId="2B19979E" w14:textId="77777777" w:rsidR="00DA21A9" w:rsidRPr="00420C1B" w:rsidRDefault="00DA21A9" w:rsidP="00330E23">
      <w:pPr>
        <w:spacing w:line="360" w:lineRule="auto"/>
        <w:jc w:val="both"/>
        <w:rPr>
          <w:rFonts w:ascii="Arial" w:hAnsi="Arial" w:cs="Arial"/>
          <w:b/>
          <w:bCs/>
          <w:u w:val="single"/>
        </w:rPr>
      </w:pPr>
    </w:p>
    <w:p w14:paraId="2DEDE59C" w14:textId="77777777" w:rsidR="008D503C" w:rsidRPr="00420C1B" w:rsidRDefault="008D503C" w:rsidP="00330E23">
      <w:pPr>
        <w:spacing w:line="360" w:lineRule="auto"/>
        <w:jc w:val="both"/>
        <w:rPr>
          <w:rFonts w:ascii="Arial" w:hAnsi="Arial" w:cs="Arial"/>
          <w:b/>
          <w:bCs/>
          <w:u w:val="single"/>
        </w:rPr>
      </w:pPr>
    </w:p>
    <w:p w14:paraId="755C46C7" w14:textId="44241141" w:rsidR="000B7A04" w:rsidRPr="00420C1B" w:rsidRDefault="000B7A04" w:rsidP="00330E23">
      <w:pPr>
        <w:spacing w:line="360" w:lineRule="auto"/>
        <w:jc w:val="both"/>
        <w:rPr>
          <w:rFonts w:ascii="Arial" w:hAnsi="Arial" w:cs="Arial"/>
          <w:b/>
          <w:bCs/>
          <w:u w:val="single"/>
        </w:rPr>
      </w:pPr>
      <w:r w:rsidRPr="00420C1B">
        <w:rPr>
          <w:rFonts w:ascii="Arial" w:hAnsi="Arial" w:cs="Arial"/>
          <w:b/>
          <w:bCs/>
          <w:u w:val="single"/>
        </w:rPr>
        <w:lastRenderedPageBreak/>
        <w:t>MAINTENANCE OF BLOOD GLUCOSE LEVELS</w:t>
      </w:r>
    </w:p>
    <w:p w14:paraId="5F983A78" w14:textId="77777777" w:rsidR="00235A61" w:rsidRPr="00420C1B" w:rsidRDefault="00235A61" w:rsidP="00330E23">
      <w:pPr>
        <w:spacing w:line="360" w:lineRule="auto"/>
        <w:jc w:val="both"/>
        <w:rPr>
          <w:rFonts w:ascii="Arial" w:hAnsi="Arial" w:cs="Arial"/>
        </w:rPr>
      </w:pPr>
      <w:r w:rsidRPr="00420C1B">
        <w:rPr>
          <w:rFonts w:ascii="Arial" w:hAnsi="Arial" w:cs="Arial"/>
        </w:rPr>
        <w:t>Maintaining blood glucose within a narrow physiological range is essential for normal cellular function, as both hypoglycaemia and hyperglycaemia impair energy production and can lead to acute and long-term complications. Glucose homeostasis is regulated through a negative feedback system involving the pancreas, liver, skeletal muscle and adipose tissue, ensuring blood glucose remains within a stable physiological range (Waugh and Grant, 2018).</w:t>
      </w:r>
    </w:p>
    <w:p w14:paraId="6E07E8DB" w14:textId="53AF58D2" w:rsidR="00235A61" w:rsidRPr="00420C1B" w:rsidRDefault="00235A61" w:rsidP="00330E23">
      <w:pPr>
        <w:spacing w:line="360" w:lineRule="auto"/>
        <w:jc w:val="both"/>
        <w:rPr>
          <w:rFonts w:ascii="Arial" w:hAnsi="Arial" w:cs="Arial"/>
        </w:rPr>
      </w:pPr>
      <w:r w:rsidRPr="00420C1B">
        <w:rPr>
          <w:rFonts w:ascii="Arial" w:hAnsi="Arial" w:cs="Arial"/>
        </w:rPr>
        <w:t>The pancreas plays a central role in this regulation through the islets of Langerhans. Beta cells secrete insulin, while alpha cells secrete glucagon, allowing opposing hormonal actions to maintain blood glucose stability (Kumar and Clark, 2023).Following food intake, carbohydrates are broken down into glucose, which enters the bloodstream and increases blood glucose concentration, triggering insulin release. Insulin promotes cellular glucose uptake, particularly in muscle and adipose tissue, and stimulates glycogen synthesis in the liver and skeletal muscle (Kumar and Clark, 2023).</w:t>
      </w:r>
    </w:p>
    <w:p w14:paraId="407CFC8A" w14:textId="77777777" w:rsidR="00235A61" w:rsidRPr="00420C1B" w:rsidRDefault="00235A61" w:rsidP="00330E23">
      <w:pPr>
        <w:spacing w:line="360" w:lineRule="auto"/>
        <w:jc w:val="both"/>
        <w:rPr>
          <w:rFonts w:ascii="Arial" w:hAnsi="Arial" w:cs="Arial"/>
        </w:rPr>
      </w:pPr>
      <w:r w:rsidRPr="00420C1B">
        <w:rPr>
          <w:rFonts w:ascii="Arial" w:hAnsi="Arial" w:cs="Arial"/>
        </w:rPr>
        <w:t>When blood glucose levels fall, glucagon secretion increases and acts primarily on the liver to stimulate glycogenolysis and gluconeogenesis, increasing glucose availability in the bloodstream (Waugh and Grant, 2018; Kumar and Clark, 2023). This ensures a continuous energy supply for essential organs, particularly the brain, which is highly dependent on glucose.</w:t>
      </w:r>
    </w:p>
    <w:p w14:paraId="15F11207" w14:textId="77777777" w:rsidR="00235A61" w:rsidRPr="00420C1B" w:rsidRDefault="00235A61" w:rsidP="00330E23">
      <w:pPr>
        <w:spacing w:line="360" w:lineRule="auto"/>
        <w:jc w:val="both"/>
        <w:rPr>
          <w:rFonts w:ascii="Arial" w:hAnsi="Arial" w:cs="Arial"/>
        </w:rPr>
      </w:pPr>
      <w:r w:rsidRPr="00420C1B">
        <w:rPr>
          <w:rFonts w:ascii="Arial" w:hAnsi="Arial" w:cs="Arial"/>
        </w:rPr>
        <w:t>In Type 2 diabetes, this regulatory system becomes disrupted due to insulin resistance (Chatterjee, Khunti and Davies, 2021). Although insulin is still produced, target tissues such as skeletal muscle and liver respond less effectively, reducing glucose uptake and impairing glycogen synthesis (Penman et al., 2022). As a result, blood glucose remains elevated despite high insulin levels, reflecting reduced tissue responsiveness rather than absolute insulin deficiency.</w:t>
      </w:r>
    </w:p>
    <w:p w14:paraId="5C4D4C7D" w14:textId="77777777" w:rsidR="00235A61" w:rsidRPr="00420C1B" w:rsidRDefault="00235A61" w:rsidP="00330E23">
      <w:pPr>
        <w:spacing w:line="360" w:lineRule="auto"/>
        <w:jc w:val="both"/>
        <w:rPr>
          <w:rFonts w:ascii="Arial" w:hAnsi="Arial" w:cs="Arial"/>
        </w:rPr>
      </w:pPr>
      <w:r w:rsidRPr="00420C1B">
        <w:rPr>
          <w:rFonts w:ascii="Arial" w:hAnsi="Arial" w:cs="Arial"/>
        </w:rPr>
        <w:t>Initially, pancreatic beta cells compensate by increasing insulin secretion (Chatterjee, Khunti and Davies, 2021). However, this compensation is not sustainable and eventually leads to beta-cell dysfunction and worsening hyperglycaemia.</w:t>
      </w:r>
    </w:p>
    <w:p w14:paraId="1C7C4F39" w14:textId="77777777" w:rsidR="00235A61" w:rsidRPr="00420C1B" w:rsidRDefault="00235A61" w:rsidP="00330E23">
      <w:pPr>
        <w:spacing w:line="360" w:lineRule="auto"/>
        <w:jc w:val="both"/>
        <w:rPr>
          <w:rFonts w:ascii="Arial" w:hAnsi="Arial" w:cs="Arial"/>
        </w:rPr>
      </w:pPr>
      <w:r w:rsidRPr="00420C1B">
        <w:rPr>
          <w:rFonts w:ascii="Arial" w:hAnsi="Arial" w:cs="Arial"/>
        </w:rPr>
        <w:t>The liver also contributes significantly to disease progression. In healthy individuals, insulin suppresses hepatic glucose production; however, in insulin-resistant states this suppression is impaired, resulting in continued glucose release even when blood glucose is already elevated (Waugh and Grant, 2018). This contributes to fasting hyperglycaemia and poor long-term glycaemic control.</w:t>
      </w:r>
    </w:p>
    <w:p w14:paraId="67F80230" w14:textId="77777777" w:rsidR="00235A61" w:rsidRPr="00420C1B" w:rsidRDefault="00235A61" w:rsidP="00330E23">
      <w:pPr>
        <w:spacing w:line="360" w:lineRule="auto"/>
        <w:jc w:val="both"/>
        <w:rPr>
          <w:rFonts w:ascii="Arial" w:hAnsi="Arial" w:cs="Arial"/>
        </w:rPr>
      </w:pPr>
      <w:r w:rsidRPr="00420C1B">
        <w:rPr>
          <w:rFonts w:ascii="Arial" w:hAnsi="Arial" w:cs="Arial"/>
        </w:rPr>
        <w:t xml:space="preserve">Excess adipose tissue, particularly visceral fat, further worsens insulin resistance through the release of inflammatory cytokines, which interfere with insulin signalling pathways (Penman </w:t>
      </w:r>
      <w:r w:rsidRPr="00420C1B">
        <w:rPr>
          <w:rFonts w:ascii="Arial" w:hAnsi="Arial" w:cs="Arial"/>
        </w:rPr>
        <w:lastRenderedPageBreak/>
        <w:t>et al., 2022). This demonstrates that Type 2 diabetes involves both metabolic and inflammatory mechanisms, increasing overall cardiovascular risk.</w:t>
      </w:r>
    </w:p>
    <w:p w14:paraId="3078EC64" w14:textId="77777777" w:rsidR="00235A61" w:rsidRPr="00420C1B" w:rsidRDefault="00235A61" w:rsidP="00330E23">
      <w:pPr>
        <w:spacing w:line="360" w:lineRule="auto"/>
        <w:jc w:val="both"/>
        <w:rPr>
          <w:rFonts w:ascii="Arial" w:hAnsi="Arial" w:cs="Arial"/>
        </w:rPr>
      </w:pPr>
      <w:r w:rsidRPr="00420C1B">
        <w:rPr>
          <w:rFonts w:ascii="Arial" w:hAnsi="Arial" w:cs="Arial"/>
        </w:rPr>
        <w:t>Overall, Type 2 diabetes reflects a complex failure of coordinated hormonal regulation across multiple organ systems, meaning effective management requires a multifactorial approach including lifestyle modification, pharmacological treatment and regular monitoring.</w:t>
      </w:r>
    </w:p>
    <w:p w14:paraId="7ACFCD0C" w14:textId="77777777" w:rsidR="001874F9" w:rsidRPr="00420C1B" w:rsidRDefault="001874F9" w:rsidP="00330E23">
      <w:pPr>
        <w:spacing w:line="360" w:lineRule="auto"/>
        <w:jc w:val="both"/>
        <w:rPr>
          <w:rFonts w:ascii="Arial" w:hAnsi="Arial" w:cs="Arial"/>
        </w:rPr>
      </w:pPr>
    </w:p>
    <w:p w14:paraId="40B1E4F4" w14:textId="1629A75F" w:rsidR="000B7A04" w:rsidRPr="00420C1B" w:rsidRDefault="000B7A04" w:rsidP="00330E23">
      <w:pPr>
        <w:spacing w:line="360" w:lineRule="auto"/>
        <w:jc w:val="both"/>
        <w:rPr>
          <w:rFonts w:ascii="Arial" w:hAnsi="Arial" w:cs="Arial"/>
        </w:rPr>
      </w:pPr>
      <w:r w:rsidRPr="00420C1B">
        <w:rPr>
          <w:rFonts w:ascii="Arial" w:hAnsi="Arial" w:cs="Arial"/>
          <w:b/>
          <w:bCs/>
          <w:u w:val="single"/>
        </w:rPr>
        <w:t>OXYGEN AND GLUCOSE IN CELL METABOLISM</w:t>
      </w:r>
    </w:p>
    <w:p w14:paraId="5138BD68" w14:textId="77777777" w:rsidR="009C13FA" w:rsidRPr="00420C1B" w:rsidRDefault="009C13FA" w:rsidP="00330E23">
      <w:pPr>
        <w:spacing w:line="360" w:lineRule="auto"/>
        <w:jc w:val="both"/>
        <w:rPr>
          <w:rFonts w:ascii="Arial" w:hAnsi="Arial" w:cs="Arial"/>
        </w:rPr>
      </w:pPr>
      <w:r w:rsidRPr="00420C1B">
        <w:rPr>
          <w:rFonts w:ascii="Arial" w:hAnsi="Arial" w:cs="Arial"/>
        </w:rPr>
        <w:t>Cell metabolism refers to the biochemical processes within cells that generate energy in the form of adenosine triphosphate (ATP), which is essential for physiological functions such as muscle contraction, nerve transmission and tissue repair (Penman et al., 2022). The main pathway for ATP production is aerobic respiration, which depends on a continuous supply of oxygen and glucose.</w:t>
      </w:r>
    </w:p>
    <w:p w14:paraId="08C714BA" w14:textId="77777777" w:rsidR="009C13FA" w:rsidRPr="00420C1B" w:rsidRDefault="009C13FA" w:rsidP="00330E23">
      <w:pPr>
        <w:spacing w:line="360" w:lineRule="auto"/>
        <w:jc w:val="both"/>
        <w:rPr>
          <w:rFonts w:ascii="Arial" w:hAnsi="Arial" w:cs="Arial"/>
        </w:rPr>
      </w:pPr>
      <w:r w:rsidRPr="00420C1B">
        <w:rPr>
          <w:rFonts w:ascii="Arial" w:hAnsi="Arial" w:cs="Arial"/>
        </w:rPr>
        <w:t>Oxygen is obtained through inhalation and diffuses into the bloodstream via gas exchange in the alveoli, before being transported by haemoglobin in red blood cells to metabolically active tissues (Waugh and Grant, 2018). Glucose, derived from carbohydrate digestion, is absorbed in the small intestine and transported in the blood to cells, where it is used as the primary energy source (Kumar and Clark, 2023).</w:t>
      </w:r>
    </w:p>
    <w:p w14:paraId="5872E428" w14:textId="77777777" w:rsidR="009C13FA" w:rsidRPr="00420C1B" w:rsidRDefault="009C13FA" w:rsidP="00330E23">
      <w:pPr>
        <w:spacing w:line="360" w:lineRule="auto"/>
        <w:jc w:val="both"/>
        <w:rPr>
          <w:rFonts w:ascii="Arial" w:hAnsi="Arial" w:cs="Arial"/>
        </w:rPr>
      </w:pPr>
      <w:r w:rsidRPr="00420C1B">
        <w:rPr>
          <w:rFonts w:ascii="Arial" w:hAnsi="Arial" w:cs="Arial"/>
        </w:rPr>
        <w:t>Within cells, aerobic respiration occurs mainly in the mitochondria, where glucose is oxidised in the presence of oxygen to produce ATP, carbon dioxide and water (Penman et al., 2022). Oxygen acts as the final electron acceptor in the electron transport chain, allowing continuous ATP production and preventing metabolic disruption.</w:t>
      </w:r>
    </w:p>
    <w:p w14:paraId="4AA7C266" w14:textId="77777777" w:rsidR="009C13FA" w:rsidRPr="00420C1B" w:rsidRDefault="009C13FA" w:rsidP="00330E23">
      <w:pPr>
        <w:spacing w:line="360" w:lineRule="auto"/>
        <w:jc w:val="both"/>
        <w:rPr>
          <w:rFonts w:ascii="Arial" w:hAnsi="Arial" w:cs="Arial"/>
        </w:rPr>
      </w:pPr>
      <w:r w:rsidRPr="00420C1B">
        <w:rPr>
          <w:rFonts w:ascii="Arial" w:hAnsi="Arial" w:cs="Arial"/>
        </w:rPr>
        <w:t>In Type 2 diabetes, this process is indirectly affected due to insulin resistance, which reduces glucose uptake into cells (Chatterjee, Khunti and Davies, 2021). As a result, although blood glucose levels are elevated, cells are unable to efficiently access glucose for ATP production. This leads to reduced cellular energy availability despite systemic hyperglycaemia.</w:t>
      </w:r>
    </w:p>
    <w:p w14:paraId="20D9A42A" w14:textId="77777777" w:rsidR="009C13FA" w:rsidRPr="00420C1B" w:rsidRDefault="009C13FA" w:rsidP="00330E23">
      <w:pPr>
        <w:spacing w:line="360" w:lineRule="auto"/>
        <w:jc w:val="both"/>
        <w:rPr>
          <w:rFonts w:ascii="Arial" w:hAnsi="Arial" w:cs="Arial"/>
        </w:rPr>
      </w:pPr>
      <w:r w:rsidRPr="00420C1B">
        <w:rPr>
          <w:rFonts w:ascii="Arial" w:hAnsi="Arial" w:cs="Arial"/>
        </w:rPr>
        <w:t>To compensate, the body increasingly relies on fat metabolism for energy production (Penman et al., 2022). While this provides an alternative energy source, prolonged reliance can increase oxidative stress due to the production of reactive oxygen species (ROS), which may damage blood vessels and contribute to long-term complications such as cardiovascular disease (NICE, 2022).</w:t>
      </w:r>
    </w:p>
    <w:p w14:paraId="587BA251" w14:textId="77777777" w:rsidR="009C13FA" w:rsidRPr="00420C1B" w:rsidRDefault="009C13FA" w:rsidP="00330E23">
      <w:pPr>
        <w:spacing w:line="360" w:lineRule="auto"/>
        <w:jc w:val="both"/>
        <w:rPr>
          <w:rFonts w:ascii="Arial" w:hAnsi="Arial" w:cs="Arial"/>
        </w:rPr>
      </w:pPr>
      <w:r w:rsidRPr="00420C1B">
        <w:rPr>
          <w:rFonts w:ascii="Arial" w:hAnsi="Arial" w:cs="Arial"/>
        </w:rPr>
        <w:t xml:space="preserve">Chronic hyperglycaemia also leads to the formation of advanced glycation end products (AGEs), which occur when glucose binds to proteins and lipids (Penman et al., 2022). These </w:t>
      </w:r>
      <w:r w:rsidRPr="00420C1B">
        <w:rPr>
          <w:rFonts w:ascii="Arial" w:hAnsi="Arial" w:cs="Arial"/>
        </w:rPr>
        <w:lastRenderedPageBreak/>
        <w:t>accumulate in tissues including blood vessels, kidneys and nerves, contributing to complications such as neuropathy, nephropathy and retinopathy.</w:t>
      </w:r>
    </w:p>
    <w:p w14:paraId="1A0EED12" w14:textId="77777777" w:rsidR="009C13FA" w:rsidRPr="00420C1B" w:rsidRDefault="009C13FA" w:rsidP="00330E23">
      <w:pPr>
        <w:spacing w:line="360" w:lineRule="auto"/>
        <w:jc w:val="both"/>
        <w:rPr>
          <w:rFonts w:ascii="Arial" w:hAnsi="Arial" w:cs="Arial"/>
        </w:rPr>
      </w:pPr>
      <w:r w:rsidRPr="00420C1B">
        <w:rPr>
          <w:rFonts w:ascii="Arial" w:hAnsi="Arial" w:cs="Arial"/>
        </w:rPr>
        <w:t>Overall, Type 2 diabetes disrupts normal cellular energy metabolism by limiting glucose availability at the cellular level despite excess circulating glucose, highlighting the importance of insulin sensitivity in maintaining efficient ATP production.</w:t>
      </w:r>
    </w:p>
    <w:p w14:paraId="52756BB9" w14:textId="64927F40" w:rsidR="000B7A04" w:rsidRPr="00420C1B" w:rsidRDefault="000B7A04" w:rsidP="00330E23">
      <w:pPr>
        <w:spacing w:line="360" w:lineRule="auto"/>
        <w:jc w:val="both"/>
        <w:rPr>
          <w:rFonts w:ascii="Arial" w:hAnsi="Arial" w:cs="Arial"/>
        </w:rPr>
      </w:pPr>
    </w:p>
    <w:p w14:paraId="7DB274AA" w14:textId="77777777" w:rsidR="000B7A04" w:rsidRPr="00420C1B" w:rsidRDefault="000B7A04" w:rsidP="00330E23">
      <w:pPr>
        <w:spacing w:line="360" w:lineRule="auto"/>
        <w:jc w:val="both"/>
        <w:rPr>
          <w:rFonts w:ascii="Arial" w:hAnsi="Arial" w:cs="Arial"/>
          <w:b/>
          <w:bCs/>
          <w:u w:val="single"/>
        </w:rPr>
      </w:pPr>
      <w:r w:rsidRPr="00420C1B">
        <w:rPr>
          <w:rFonts w:ascii="Arial" w:hAnsi="Arial" w:cs="Arial"/>
          <w:b/>
          <w:bCs/>
          <w:u w:val="single"/>
        </w:rPr>
        <w:t>MONITORING BLOOD GLUCOSE AND DATA USE</w:t>
      </w:r>
    </w:p>
    <w:p w14:paraId="643293CF" w14:textId="77777777" w:rsidR="00626AC8" w:rsidRPr="00420C1B" w:rsidRDefault="00626AC8" w:rsidP="00330E23">
      <w:pPr>
        <w:spacing w:line="360" w:lineRule="auto"/>
        <w:jc w:val="both"/>
        <w:rPr>
          <w:rFonts w:ascii="Arial" w:hAnsi="Arial" w:cs="Arial"/>
        </w:rPr>
      </w:pPr>
      <w:r w:rsidRPr="00420C1B">
        <w:rPr>
          <w:rFonts w:ascii="Arial" w:hAnsi="Arial" w:cs="Arial"/>
        </w:rPr>
        <w:t>Monitoring blood glucose is a key component in the effective management of Type 2 diabetes, as it allows both patients and healthcare professionals to assess glycaemic control and make informed decisions regarding treatment and lifestyle adjustments (NICE, 2022). However, monitoring is only clinically useful when results are correctly interpreted and acted upon, rather than simply recorded.</w:t>
      </w:r>
    </w:p>
    <w:p w14:paraId="035D466B" w14:textId="77777777" w:rsidR="00626AC8" w:rsidRPr="00420C1B" w:rsidRDefault="00626AC8" w:rsidP="00330E23">
      <w:pPr>
        <w:spacing w:line="360" w:lineRule="auto"/>
        <w:jc w:val="both"/>
        <w:rPr>
          <w:rFonts w:ascii="Arial" w:hAnsi="Arial" w:cs="Arial"/>
        </w:rPr>
      </w:pPr>
      <w:r w:rsidRPr="00420C1B">
        <w:rPr>
          <w:rFonts w:ascii="Arial" w:hAnsi="Arial" w:cs="Arial"/>
        </w:rPr>
        <w:t>The most widely used long-term marker of glycaemic control is glycated haemoglobin (HbA1c), which reflects average blood glucose levels over the previous 8–12 weeks (NHS, 2024). This provides an overall picture of long-term glycaemic control and is strongly associated with the risk of complications such as cardiovascular disease, kidney damage and neuropathy (NICE, 2022). However, HbA1c has limitations because it does not capture short-term fluctuations in blood glucose or episodes of hypoglycaemia. As a result, individuals with the same HbA1c may still experience very different daily glucose patterns, affecting symptoms and quality of life.</w:t>
      </w:r>
    </w:p>
    <w:p w14:paraId="2C631EA9" w14:textId="77777777" w:rsidR="00626AC8" w:rsidRPr="00420C1B" w:rsidRDefault="00626AC8" w:rsidP="00330E23">
      <w:pPr>
        <w:spacing w:line="360" w:lineRule="auto"/>
        <w:jc w:val="both"/>
        <w:rPr>
          <w:rFonts w:ascii="Arial" w:hAnsi="Arial" w:cs="Arial"/>
        </w:rPr>
      </w:pPr>
      <w:r w:rsidRPr="00420C1B">
        <w:rPr>
          <w:rFonts w:ascii="Arial" w:hAnsi="Arial" w:cs="Arial"/>
        </w:rPr>
        <w:t>Self-monitoring of blood glucose (SMBG) provides more immediate feedback by allowing patients to check glucose levels at specific times during the day (Farmer et al., 2012). This can help identify how diet, physical activity and medication influence glucose control. However, evidence suggests that SMBG alone does not significantly improve long-term glycaemic outcomes unless it is combined with structured education and behavioural support, highlighting the importance of patient understanding rather than data collection alone (Farmer et al., 2012).</w:t>
      </w:r>
    </w:p>
    <w:p w14:paraId="719BFE2D" w14:textId="77777777" w:rsidR="00626AC8" w:rsidRPr="00420C1B" w:rsidRDefault="00626AC8" w:rsidP="00330E23">
      <w:pPr>
        <w:spacing w:line="360" w:lineRule="auto"/>
        <w:jc w:val="both"/>
        <w:rPr>
          <w:rFonts w:ascii="Arial" w:hAnsi="Arial" w:cs="Arial"/>
        </w:rPr>
      </w:pPr>
      <w:r w:rsidRPr="00420C1B">
        <w:rPr>
          <w:rFonts w:ascii="Arial" w:hAnsi="Arial" w:cs="Arial"/>
        </w:rPr>
        <w:t>From a clinical perspective, the effectiveness of monitoring depends not only on data collection but also on interpretation and patient engagement. Practice nurses play a central role in supporting individuals to understand their results, recognise patterns and apply this knowledge to dietary choices, physical activity and medication adherence (NICE, 2022). This highlights that effective diabetes management relies on combining physiological data with education and behavioural support to promote long-term self-management.</w:t>
      </w:r>
    </w:p>
    <w:p w14:paraId="0872FAD0" w14:textId="12861DCA" w:rsidR="00626AC8" w:rsidRPr="00420C1B" w:rsidRDefault="00626AC8" w:rsidP="00330E23">
      <w:pPr>
        <w:spacing w:line="360" w:lineRule="auto"/>
        <w:jc w:val="both"/>
        <w:rPr>
          <w:rFonts w:ascii="Arial" w:hAnsi="Arial" w:cs="Arial"/>
        </w:rPr>
      </w:pPr>
      <w:r w:rsidRPr="00420C1B">
        <w:rPr>
          <w:rFonts w:ascii="Arial" w:hAnsi="Arial" w:cs="Arial"/>
        </w:rPr>
        <w:lastRenderedPageBreak/>
        <w:t xml:space="preserve">More recently, continuous glucose monitoring (CGM) systems have provided real-time glucose readings and trend analysis, offering a more detailed picture of glycaemic variability (Diabetes UK, 2024). </w:t>
      </w:r>
      <w:r w:rsidR="00FA32A4" w:rsidRPr="00FA32A4">
        <w:rPr>
          <w:rFonts w:ascii="Arial" w:hAnsi="Arial" w:cs="Arial"/>
        </w:rPr>
        <w:t xml:space="preserve">In addition, improved digital health technologies and mobile health applications are increasingly being used to support patient engagement and self-management, allowing individuals to track trends and improve adherence to treatment </w:t>
      </w:r>
      <w:r w:rsidR="00330E23" w:rsidRPr="00FA32A4">
        <w:rPr>
          <w:rFonts w:ascii="Arial" w:hAnsi="Arial" w:cs="Arial"/>
        </w:rPr>
        <w:t>plans.</w:t>
      </w:r>
      <w:r w:rsidR="00330E23" w:rsidRPr="00420C1B">
        <w:rPr>
          <w:rFonts w:ascii="Arial" w:hAnsi="Arial" w:cs="Arial"/>
        </w:rPr>
        <w:t xml:space="preserve"> This</w:t>
      </w:r>
      <w:r w:rsidRPr="00420C1B">
        <w:rPr>
          <w:rFonts w:ascii="Arial" w:hAnsi="Arial" w:cs="Arial"/>
        </w:rPr>
        <w:t xml:space="preserve"> is clinically important because earlier detection of glucose fluctuations allows timely intervention and supports more personalised diabetes management. However, access within the NHS remains limited due to cost and resource constraints, meaning it is not universally available for all patients with Type 2 diabetes.</w:t>
      </w:r>
    </w:p>
    <w:p w14:paraId="639B72DC" w14:textId="77777777" w:rsidR="00626AC8" w:rsidRPr="00420C1B" w:rsidRDefault="00626AC8" w:rsidP="00420C1B">
      <w:pPr>
        <w:spacing w:line="360" w:lineRule="auto"/>
        <w:rPr>
          <w:rFonts w:ascii="Arial" w:hAnsi="Arial" w:cs="Arial"/>
          <w:b/>
          <w:bCs/>
          <w:u w:val="single"/>
        </w:rPr>
      </w:pPr>
    </w:p>
    <w:p w14:paraId="7572C90C" w14:textId="09FDFD41" w:rsidR="000B7A04" w:rsidRPr="00420C1B" w:rsidRDefault="000B7A04" w:rsidP="00420C1B">
      <w:pPr>
        <w:spacing w:line="360" w:lineRule="auto"/>
        <w:rPr>
          <w:rFonts w:ascii="Arial" w:hAnsi="Arial" w:cs="Arial"/>
          <w:b/>
          <w:bCs/>
          <w:u w:val="single"/>
        </w:rPr>
      </w:pPr>
      <w:r w:rsidRPr="00420C1B">
        <w:rPr>
          <w:rFonts w:ascii="Arial" w:hAnsi="Arial" w:cs="Arial"/>
          <w:b/>
          <w:bCs/>
          <w:u w:val="single"/>
        </w:rPr>
        <w:t>EVIDENCE-BASED LIFESTYLE RECOMMENDATIONS</w:t>
      </w:r>
    </w:p>
    <w:p w14:paraId="7EAAAC7A" w14:textId="77777777" w:rsidR="000C677E" w:rsidRPr="00420C1B" w:rsidRDefault="000C677E" w:rsidP="00420C1B">
      <w:pPr>
        <w:spacing w:line="360" w:lineRule="auto"/>
        <w:jc w:val="both"/>
        <w:rPr>
          <w:rFonts w:ascii="Arial" w:hAnsi="Arial" w:cs="Arial"/>
        </w:rPr>
      </w:pPr>
      <w:r w:rsidRPr="00420C1B">
        <w:rPr>
          <w:rFonts w:ascii="Arial" w:hAnsi="Arial" w:cs="Arial"/>
        </w:rPr>
        <w:t>Lifestyle modification is the first-line intervention in the management of Type 2 diabetes and is fundamental in improving insulin sensitivity and overall glycaemic control. Clinical guidelines emphasise that effective management should include dietary changes, increased physical activity, weight management and smoking cessation, as these directly influence metabolic function and cardiovascular risk (NICE, 2022).</w:t>
      </w:r>
    </w:p>
    <w:p w14:paraId="74A7CC9D" w14:textId="77777777" w:rsidR="000C677E" w:rsidRPr="00420C1B" w:rsidRDefault="000C677E" w:rsidP="00420C1B">
      <w:pPr>
        <w:spacing w:line="360" w:lineRule="auto"/>
        <w:jc w:val="both"/>
        <w:rPr>
          <w:rFonts w:ascii="Arial" w:hAnsi="Arial" w:cs="Arial"/>
        </w:rPr>
      </w:pPr>
      <w:r w:rsidRPr="00420C1B">
        <w:rPr>
          <w:rFonts w:ascii="Arial" w:hAnsi="Arial" w:cs="Arial"/>
        </w:rPr>
        <w:t>Dietary modification plays a key role in controlling postprandial blood glucose levels. Reducing intake of refined carbohydrates and increasing dietary fibre slows glucose absorption, leading to more stable blood glucose levels and reduced insulin demand. This can improve insulin sensitivity over time and reduce strain on pancreatic beta cells (Diabetes UK, 2024). However, long-term adherence is often influenced by socioeconomic status, food availability, cultural preferences and patient education, meaning dietary advice must be individualised rather than generic.</w:t>
      </w:r>
    </w:p>
    <w:p w14:paraId="64618C75" w14:textId="77777777" w:rsidR="000C677E" w:rsidRPr="00420C1B" w:rsidRDefault="000C677E" w:rsidP="00420C1B">
      <w:pPr>
        <w:spacing w:line="360" w:lineRule="auto"/>
        <w:jc w:val="both"/>
        <w:rPr>
          <w:rFonts w:ascii="Arial" w:hAnsi="Arial" w:cs="Arial"/>
        </w:rPr>
      </w:pPr>
      <w:r w:rsidRPr="00420C1B">
        <w:rPr>
          <w:rFonts w:ascii="Arial" w:hAnsi="Arial" w:cs="Arial"/>
        </w:rPr>
        <w:t>Physical activity improves glycaemic control by increasing glucose uptake into skeletal muscle independently of insulin (Colberg et al., 2016). Regular exercise also enhances insulin sensitivity, meaning cells respond more effectively to circulating insulin over time. However, adherence can be limited by fatigue, comorbidities, low motivation and environmental barriers, meaning physiological benefit does not always translate into sustained behavioural change.</w:t>
      </w:r>
    </w:p>
    <w:p w14:paraId="0D56543A" w14:textId="77777777" w:rsidR="000C677E" w:rsidRPr="00420C1B" w:rsidRDefault="000C677E" w:rsidP="00420C1B">
      <w:pPr>
        <w:spacing w:line="360" w:lineRule="auto"/>
        <w:jc w:val="both"/>
        <w:rPr>
          <w:rFonts w:ascii="Arial" w:hAnsi="Arial" w:cs="Arial"/>
        </w:rPr>
      </w:pPr>
      <w:r w:rsidRPr="00420C1B">
        <w:rPr>
          <w:rFonts w:ascii="Arial" w:hAnsi="Arial" w:cs="Arial"/>
        </w:rPr>
        <w:t>Weight management is one of the most effective lifestyle interventions for improving insulin resistance and glycaemic control. Evidence from the DiRECT trial shows that significant weight loss can lead to remission of Type 2 diabetes in some individuals, particularly when achieved early in disease progression (Lean et al., 2018). However, maintaining weight loss is challenging, and relapse is common without ongoing behavioural and clinical support, highlighting the need for long-term follow-up.</w:t>
      </w:r>
    </w:p>
    <w:p w14:paraId="43E9E1E1" w14:textId="77777777" w:rsidR="000C677E" w:rsidRPr="00420C1B" w:rsidRDefault="000C677E" w:rsidP="00420C1B">
      <w:pPr>
        <w:spacing w:line="360" w:lineRule="auto"/>
        <w:jc w:val="both"/>
        <w:rPr>
          <w:rFonts w:ascii="Arial" w:hAnsi="Arial" w:cs="Arial"/>
        </w:rPr>
      </w:pPr>
      <w:r w:rsidRPr="00420C1B">
        <w:rPr>
          <w:rFonts w:ascii="Arial" w:hAnsi="Arial" w:cs="Arial"/>
        </w:rPr>
        <w:lastRenderedPageBreak/>
        <w:t>Smoking cessation is also essential, as smoking increases insulin resistance and significantly raises cardiovascular risk, which is already elevated in individuals with Type 2 diabetes. Smokers with diabetes are more likely to develop complications such as cardiovascular disease and peripheral vascular disease compared with non-smokers (NHS, 2024).</w:t>
      </w:r>
    </w:p>
    <w:p w14:paraId="7E8B400A" w14:textId="77777777" w:rsidR="000C677E" w:rsidRPr="00420C1B" w:rsidRDefault="000C677E" w:rsidP="00420C1B">
      <w:pPr>
        <w:spacing w:line="360" w:lineRule="auto"/>
        <w:jc w:val="both"/>
        <w:rPr>
          <w:rFonts w:ascii="Arial" w:hAnsi="Arial" w:cs="Arial"/>
        </w:rPr>
      </w:pPr>
      <w:r w:rsidRPr="00420C1B">
        <w:rPr>
          <w:rFonts w:ascii="Arial" w:hAnsi="Arial" w:cs="Arial"/>
        </w:rPr>
        <w:t>Although lifestyle interventions are effective, their success is strongly influenced by behavioural, psychological and socioeconomic factors. This demonstrates that Type 2 diabetes management cannot rely on patient knowledge alone but requires structured education and continuous professional support (NICE, 2022).</w:t>
      </w:r>
    </w:p>
    <w:p w14:paraId="3F24AE87" w14:textId="77777777" w:rsidR="000C677E" w:rsidRPr="00420C1B" w:rsidRDefault="000C677E" w:rsidP="00420C1B">
      <w:pPr>
        <w:spacing w:line="360" w:lineRule="auto"/>
        <w:jc w:val="both"/>
        <w:rPr>
          <w:rFonts w:ascii="Arial" w:hAnsi="Arial" w:cs="Arial"/>
        </w:rPr>
      </w:pPr>
      <w:r w:rsidRPr="00420C1B">
        <w:rPr>
          <w:rFonts w:ascii="Arial" w:hAnsi="Arial" w:cs="Arial"/>
        </w:rPr>
        <w:t>From a nursing perspective, practice nurses play a key role in supporting behaviour change through education, motivational support, goal setting and regular follow-up (NICE, 2022). This ongoing support is essential in translating lifestyle advice into sustained behavioural change and improving long-term glycaemic outcomes.</w:t>
      </w:r>
    </w:p>
    <w:p w14:paraId="1737A834" w14:textId="77777777" w:rsidR="0075423E" w:rsidRPr="00420C1B" w:rsidRDefault="0075423E" w:rsidP="00420C1B">
      <w:pPr>
        <w:spacing w:line="360" w:lineRule="auto"/>
        <w:rPr>
          <w:rFonts w:ascii="Arial" w:hAnsi="Arial" w:cs="Arial"/>
          <w:b/>
          <w:bCs/>
          <w:u w:val="single"/>
        </w:rPr>
      </w:pPr>
    </w:p>
    <w:p w14:paraId="670112D7" w14:textId="66BA6167" w:rsidR="000B7A04" w:rsidRPr="00420C1B" w:rsidRDefault="000B7A04" w:rsidP="00420C1B">
      <w:pPr>
        <w:spacing w:line="360" w:lineRule="auto"/>
        <w:rPr>
          <w:rFonts w:ascii="Arial" w:hAnsi="Arial" w:cs="Arial"/>
          <w:b/>
          <w:bCs/>
          <w:u w:val="single"/>
        </w:rPr>
      </w:pPr>
      <w:r w:rsidRPr="00420C1B">
        <w:rPr>
          <w:rFonts w:ascii="Arial" w:hAnsi="Arial" w:cs="Arial"/>
          <w:b/>
          <w:bCs/>
          <w:u w:val="single"/>
        </w:rPr>
        <w:t>CONCLUSION</w:t>
      </w:r>
    </w:p>
    <w:p w14:paraId="1A53C460" w14:textId="77777777" w:rsidR="00905634" w:rsidRPr="00420C1B" w:rsidRDefault="00905634" w:rsidP="00330E23">
      <w:pPr>
        <w:spacing w:line="360" w:lineRule="auto"/>
        <w:jc w:val="both"/>
        <w:rPr>
          <w:rFonts w:ascii="Arial" w:hAnsi="Arial" w:cs="Arial"/>
        </w:rPr>
      </w:pPr>
      <w:r w:rsidRPr="00420C1B">
        <w:rPr>
          <w:rFonts w:ascii="Arial" w:hAnsi="Arial" w:cs="Arial"/>
        </w:rPr>
        <w:t>Type 2 diabetes is a complex, progressive metabolic condition characterised by insulin resistance and gradual pancreatic beta-cell dysfunction, resulting in chronic hyperglycaemia and disruption of normal physiological processes. Rather than representing a single-hormone deficiency, it involves multiple organ systems, including the pancreas, liver, skeletal muscle and adipose tissue, highlighting its multifactorial nature.</w:t>
      </w:r>
    </w:p>
    <w:p w14:paraId="1AA148B4" w14:textId="77777777" w:rsidR="00905634" w:rsidRPr="00420C1B" w:rsidRDefault="00905634" w:rsidP="00330E23">
      <w:pPr>
        <w:spacing w:line="360" w:lineRule="auto"/>
        <w:jc w:val="both"/>
        <w:rPr>
          <w:rFonts w:ascii="Arial" w:hAnsi="Arial" w:cs="Arial"/>
        </w:rPr>
      </w:pPr>
      <w:r w:rsidRPr="00420C1B">
        <w:rPr>
          <w:rFonts w:ascii="Arial" w:hAnsi="Arial" w:cs="Arial"/>
        </w:rPr>
        <w:t>Normal blood glucose regulation relies on a tightly controlled negative feedback system involving insulin and glucagon. In Type 2 diabetes, this system becomes disrupted, leading to impaired glucose uptake, continued hepatic glucose production and reduced cellular energy availability despite elevated blood glucose levels.</w:t>
      </w:r>
    </w:p>
    <w:p w14:paraId="386EF337" w14:textId="77777777" w:rsidR="00905634" w:rsidRPr="00420C1B" w:rsidRDefault="00905634" w:rsidP="00330E23">
      <w:pPr>
        <w:spacing w:line="360" w:lineRule="auto"/>
        <w:jc w:val="both"/>
        <w:rPr>
          <w:rFonts w:ascii="Arial" w:hAnsi="Arial" w:cs="Arial"/>
        </w:rPr>
      </w:pPr>
      <w:r w:rsidRPr="00420C1B">
        <w:rPr>
          <w:rFonts w:ascii="Arial" w:hAnsi="Arial" w:cs="Arial"/>
        </w:rPr>
        <w:t>At a cellular level, impaired glucose utilisation affects ATP production, forcing the body to rely more heavily on alternative energy pathways such as fat metabolism. While this compensatory mechanism supports energy production, it can contribute to oxidative stress and the formation of reactive oxygen species and advanced glycation end products, which are associated with long-term vascular complications.</w:t>
      </w:r>
    </w:p>
    <w:p w14:paraId="137545F2" w14:textId="77777777" w:rsidR="00905634" w:rsidRPr="00420C1B" w:rsidRDefault="00905634" w:rsidP="00330E23">
      <w:pPr>
        <w:spacing w:line="360" w:lineRule="auto"/>
        <w:jc w:val="both"/>
        <w:rPr>
          <w:rFonts w:ascii="Arial" w:hAnsi="Arial" w:cs="Arial"/>
        </w:rPr>
      </w:pPr>
      <w:r w:rsidRPr="00420C1B">
        <w:rPr>
          <w:rFonts w:ascii="Arial" w:hAnsi="Arial" w:cs="Arial"/>
        </w:rPr>
        <w:t>Monitoring strategies, including HbA1c, self-monitoring of blood glucose and continuous glucose monitoring, provide essential data for assessing glycaemic control. However, this information is only clinically meaningful when combined with patient education, interpretation and professional support, highlighting the importance of the nursing role in diabetes management.</w:t>
      </w:r>
    </w:p>
    <w:p w14:paraId="15091AE6" w14:textId="77777777" w:rsidR="00905634" w:rsidRPr="00420C1B" w:rsidRDefault="00905634" w:rsidP="00330E23">
      <w:pPr>
        <w:spacing w:line="360" w:lineRule="auto"/>
        <w:jc w:val="both"/>
        <w:rPr>
          <w:rFonts w:ascii="Arial" w:hAnsi="Arial" w:cs="Arial"/>
        </w:rPr>
      </w:pPr>
      <w:r w:rsidRPr="00420C1B">
        <w:rPr>
          <w:rFonts w:ascii="Arial" w:hAnsi="Arial" w:cs="Arial"/>
        </w:rPr>
        <w:lastRenderedPageBreak/>
        <w:t>Lifestyle modification remains the cornerstone of Type 2 diabetes care, particularly dietary change, physical activity, weight management and smoking cessation. However, the effectiveness of these interventions is influenced by behavioural, psychological and socioeconomic factors, demonstrating that successful long-term management requires both physiological understanding and sustained multidisciplinary support.</w:t>
      </w:r>
    </w:p>
    <w:p w14:paraId="1959B60F" w14:textId="77777777" w:rsidR="00905634" w:rsidRPr="00420C1B" w:rsidRDefault="00905634" w:rsidP="00330E23">
      <w:pPr>
        <w:spacing w:line="360" w:lineRule="auto"/>
        <w:jc w:val="both"/>
        <w:rPr>
          <w:rFonts w:ascii="Arial" w:hAnsi="Arial" w:cs="Arial"/>
        </w:rPr>
      </w:pPr>
      <w:r w:rsidRPr="00420C1B">
        <w:rPr>
          <w:rFonts w:ascii="Arial" w:hAnsi="Arial" w:cs="Arial"/>
        </w:rPr>
        <w:t>Future management approaches are likely to focus on earlier intervention, personalised care strategies and wider access to continuous glucose monitoring technologies. Ongoing research into metabolic regulation and behavioural change will continue to improve outcomes and support more individualised diabetes care in clinical practice.</w:t>
      </w:r>
    </w:p>
    <w:p w14:paraId="3F2F77FA" w14:textId="77777777" w:rsidR="000B7A04" w:rsidRPr="00420C1B" w:rsidRDefault="000B7A04" w:rsidP="00420C1B">
      <w:pPr>
        <w:spacing w:line="360" w:lineRule="auto"/>
        <w:rPr>
          <w:rFonts w:ascii="Arial" w:hAnsi="Arial" w:cs="Arial"/>
          <w:b/>
          <w:bCs/>
        </w:rPr>
      </w:pPr>
    </w:p>
    <w:p w14:paraId="64F24E03" w14:textId="77777777" w:rsidR="000B7A04" w:rsidRPr="00420C1B" w:rsidRDefault="000B7A04" w:rsidP="00420C1B">
      <w:pPr>
        <w:spacing w:line="360" w:lineRule="auto"/>
        <w:rPr>
          <w:rFonts w:ascii="Arial" w:hAnsi="Arial" w:cs="Arial"/>
          <w:b/>
          <w:bCs/>
        </w:rPr>
      </w:pPr>
    </w:p>
    <w:p w14:paraId="4E855231" w14:textId="77777777" w:rsidR="000B7A04" w:rsidRPr="00420C1B" w:rsidRDefault="000B7A04" w:rsidP="00420C1B">
      <w:pPr>
        <w:spacing w:line="360" w:lineRule="auto"/>
        <w:rPr>
          <w:rFonts w:ascii="Arial" w:hAnsi="Arial" w:cs="Arial"/>
          <w:b/>
          <w:bCs/>
        </w:rPr>
      </w:pPr>
    </w:p>
    <w:p w14:paraId="149F5442" w14:textId="77777777" w:rsidR="000B7A04" w:rsidRPr="00420C1B" w:rsidRDefault="000B7A04" w:rsidP="00420C1B">
      <w:pPr>
        <w:spacing w:line="360" w:lineRule="auto"/>
        <w:rPr>
          <w:rFonts w:ascii="Arial" w:hAnsi="Arial" w:cs="Arial"/>
          <w:b/>
          <w:bCs/>
        </w:rPr>
      </w:pPr>
    </w:p>
    <w:p w14:paraId="11FD1819" w14:textId="77777777" w:rsidR="00905634" w:rsidRPr="00420C1B" w:rsidRDefault="00905634" w:rsidP="00420C1B">
      <w:pPr>
        <w:spacing w:line="360" w:lineRule="auto"/>
        <w:rPr>
          <w:rFonts w:ascii="Arial" w:hAnsi="Arial" w:cs="Arial"/>
          <w:b/>
          <w:bCs/>
          <w:u w:val="single"/>
        </w:rPr>
      </w:pPr>
    </w:p>
    <w:p w14:paraId="45744ABB" w14:textId="77777777" w:rsidR="00905634" w:rsidRPr="00420C1B" w:rsidRDefault="00905634" w:rsidP="00420C1B">
      <w:pPr>
        <w:spacing w:line="360" w:lineRule="auto"/>
        <w:rPr>
          <w:rFonts w:ascii="Arial" w:hAnsi="Arial" w:cs="Arial"/>
          <w:b/>
          <w:bCs/>
          <w:u w:val="single"/>
        </w:rPr>
      </w:pPr>
    </w:p>
    <w:p w14:paraId="22E83C49" w14:textId="77777777" w:rsidR="00905634" w:rsidRPr="00420C1B" w:rsidRDefault="00905634" w:rsidP="00420C1B">
      <w:pPr>
        <w:spacing w:line="360" w:lineRule="auto"/>
        <w:rPr>
          <w:rFonts w:ascii="Arial" w:hAnsi="Arial" w:cs="Arial"/>
          <w:b/>
          <w:bCs/>
          <w:u w:val="single"/>
        </w:rPr>
      </w:pPr>
    </w:p>
    <w:p w14:paraId="17D4A1D6" w14:textId="77777777" w:rsidR="00905634" w:rsidRPr="00420C1B" w:rsidRDefault="00905634" w:rsidP="00420C1B">
      <w:pPr>
        <w:spacing w:line="360" w:lineRule="auto"/>
        <w:rPr>
          <w:rFonts w:ascii="Arial" w:hAnsi="Arial" w:cs="Arial"/>
          <w:b/>
          <w:bCs/>
          <w:u w:val="single"/>
        </w:rPr>
      </w:pPr>
    </w:p>
    <w:p w14:paraId="6E665B86" w14:textId="77777777" w:rsidR="00905634" w:rsidRPr="00420C1B" w:rsidRDefault="00905634" w:rsidP="00420C1B">
      <w:pPr>
        <w:spacing w:line="360" w:lineRule="auto"/>
        <w:rPr>
          <w:rFonts w:ascii="Arial" w:hAnsi="Arial" w:cs="Arial"/>
          <w:b/>
          <w:bCs/>
          <w:u w:val="single"/>
        </w:rPr>
      </w:pPr>
    </w:p>
    <w:p w14:paraId="011F64A7" w14:textId="77777777" w:rsidR="00905634" w:rsidRPr="00420C1B" w:rsidRDefault="00905634" w:rsidP="00420C1B">
      <w:pPr>
        <w:spacing w:line="360" w:lineRule="auto"/>
        <w:rPr>
          <w:rFonts w:ascii="Arial" w:hAnsi="Arial" w:cs="Arial"/>
          <w:b/>
          <w:bCs/>
          <w:u w:val="single"/>
        </w:rPr>
      </w:pPr>
    </w:p>
    <w:p w14:paraId="3ABA202D" w14:textId="77777777" w:rsidR="00905634" w:rsidRPr="00420C1B" w:rsidRDefault="00905634" w:rsidP="00420C1B">
      <w:pPr>
        <w:spacing w:line="360" w:lineRule="auto"/>
        <w:rPr>
          <w:rFonts w:ascii="Arial" w:hAnsi="Arial" w:cs="Arial"/>
          <w:b/>
          <w:bCs/>
          <w:u w:val="single"/>
        </w:rPr>
      </w:pPr>
    </w:p>
    <w:p w14:paraId="405001F4" w14:textId="77777777" w:rsidR="00905634" w:rsidRPr="00420C1B" w:rsidRDefault="00905634" w:rsidP="00420C1B">
      <w:pPr>
        <w:spacing w:line="360" w:lineRule="auto"/>
        <w:rPr>
          <w:rFonts w:ascii="Arial" w:hAnsi="Arial" w:cs="Arial"/>
          <w:b/>
          <w:bCs/>
          <w:u w:val="single"/>
        </w:rPr>
      </w:pPr>
    </w:p>
    <w:p w14:paraId="2239B5E4" w14:textId="77777777" w:rsidR="00905634" w:rsidRPr="00420C1B" w:rsidRDefault="00905634" w:rsidP="00420C1B">
      <w:pPr>
        <w:spacing w:line="360" w:lineRule="auto"/>
        <w:rPr>
          <w:rFonts w:ascii="Arial" w:hAnsi="Arial" w:cs="Arial"/>
          <w:b/>
          <w:bCs/>
          <w:u w:val="single"/>
        </w:rPr>
      </w:pPr>
    </w:p>
    <w:p w14:paraId="75E93AA9" w14:textId="77777777" w:rsidR="00905634" w:rsidRPr="00420C1B" w:rsidRDefault="00905634" w:rsidP="00420C1B">
      <w:pPr>
        <w:spacing w:line="360" w:lineRule="auto"/>
        <w:rPr>
          <w:rFonts w:ascii="Arial" w:hAnsi="Arial" w:cs="Arial"/>
          <w:b/>
          <w:bCs/>
          <w:u w:val="single"/>
        </w:rPr>
      </w:pPr>
    </w:p>
    <w:p w14:paraId="2ED7586C" w14:textId="77777777" w:rsidR="00905634" w:rsidRPr="00420C1B" w:rsidRDefault="00905634" w:rsidP="00420C1B">
      <w:pPr>
        <w:spacing w:line="360" w:lineRule="auto"/>
        <w:rPr>
          <w:rFonts w:ascii="Arial" w:hAnsi="Arial" w:cs="Arial"/>
          <w:b/>
          <w:bCs/>
          <w:u w:val="single"/>
        </w:rPr>
      </w:pPr>
    </w:p>
    <w:p w14:paraId="2BF30A9F" w14:textId="77777777" w:rsidR="00905634" w:rsidRPr="00420C1B" w:rsidRDefault="00905634" w:rsidP="00420C1B">
      <w:pPr>
        <w:spacing w:line="360" w:lineRule="auto"/>
        <w:rPr>
          <w:rFonts w:ascii="Arial" w:hAnsi="Arial" w:cs="Arial"/>
          <w:b/>
          <w:bCs/>
          <w:u w:val="single"/>
        </w:rPr>
      </w:pPr>
    </w:p>
    <w:p w14:paraId="4FEC3205" w14:textId="77777777" w:rsidR="00905634" w:rsidRPr="00420C1B" w:rsidRDefault="00905634" w:rsidP="00420C1B">
      <w:pPr>
        <w:spacing w:line="360" w:lineRule="auto"/>
        <w:rPr>
          <w:rFonts w:ascii="Arial" w:hAnsi="Arial" w:cs="Arial"/>
          <w:b/>
          <w:bCs/>
          <w:u w:val="single"/>
        </w:rPr>
      </w:pPr>
    </w:p>
    <w:p w14:paraId="661813F2" w14:textId="77777777" w:rsidR="00905634" w:rsidRPr="00420C1B" w:rsidRDefault="00905634" w:rsidP="00420C1B">
      <w:pPr>
        <w:spacing w:line="360" w:lineRule="auto"/>
        <w:rPr>
          <w:rFonts w:ascii="Arial" w:hAnsi="Arial" w:cs="Arial"/>
          <w:b/>
          <w:bCs/>
          <w:u w:val="single"/>
        </w:rPr>
      </w:pPr>
    </w:p>
    <w:p w14:paraId="35707982" w14:textId="77777777" w:rsidR="00907FAA" w:rsidRPr="00420C1B" w:rsidRDefault="00907FAA" w:rsidP="00420C1B">
      <w:pPr>
        <w:spacing w:line="360" w:lineRule="auto"/>
        <w:rPr>
          <w:rFonts w:ascii="Arial" w:hAnsi="Arial" w:cs="Arial"/>
          <w:b/>
          <w:bCs/>
          <w:u w:val="single"/>
        </w:rPr>
      </w:pPr>
    </w:p>
    <w:p w14:paraId="28DB62D3" w14:textId="77777777" w:rsidR="00C04988" w:rsidRDefault="00C04988" w:rsidP="00420C1B">
      <w:pPr>
        <w:spacing w:line="360" w:lineRule="auto"/>
        <w:rPr>
          <w:rFonts w:ascii="Arial" w:hAnsi="Arial" w:cs="Arial"/>
          <w:b/>
          <w:bCs/>
          <w:u w:val="single"/>
        </w:rPr>
      </w:pPr>
    </w:p>
    <w:p w14:paraId="7F2B872B" w14:textId="46864A40" w:rsidR="000B7A04" w:rsidRPr="00420C1B" w:rsidRDefault="000B7A04" w:rsidP="00330E23">
      <w:pPr>
        <w:spacing w:line="360" w:lineRule="auto"/>
        <w:jc w:val="both"/>
        <w:rPr>
          <w:rFonts w:ascii="Arial" w:hAnsi="Arial" w:cs="Arial"/>
          <w:b/>
          <w:bCs/>
          <w:u w:val="single"/>
        </w:rPr>
      </w:pPr>
      <w:r w:rsidRPr="00420C1B">
        <w:rPr>
          <w:rFonts w:ascii="Arial" w:hAnsi="Arial" w:cs="Arial"/>
          <w:b/>
          <w:bCs/>
          <w:u w:val="single"/>
        </w:rPr>
        <w:t xml:space="preserve">REFERENCE LIST </w:t>
      </w:r>
    </w:p>
    <w:p w14:paraId="7E982E48"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Chatterjee, S., Khunti, K. and Davies, M.J. (2021) ‘Type 2 diabetes’, </w:t>
      </w:r>
      <w:r w:rsidRPr="00420C1B">
        <w:rPr>
          <w:rFonts w:ascii="Arial" w:hAnsi="Arial" w:cs="Arial"/>
          <w:i/>
          <w:iCs/>
        </w:rPr>
        <w:t>The Lancet</w:t>
      </w:r>
      <w:r w:rsidRPr="00420C1B">
        <w:rPr>
          <w:rFonts w:ascii="Arial" w:hAnsi="Arial" w:cs="Arial"/>
        </w:rPr>
        <w:t>, 398(10296), pp. 180–192.</w:t>
      </w:r>
    </w:p>
    <w:p w14:paraId="2F34787E"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Colberg, S.R. et al. (2016) ‘Physical activity/exercise and diabetes: a position statement of the American Diabetes Association’, </w:t>
      </w:r>
      <w:r w:rsidRPr="00420C1B">
        <w:rPr>
          <w:rFonts w:ascii="Arial" w:hAnsi="Arial" w:cs="Arial"/>
          <w:i/>
          <w:iCs/>
        </w:rPr>
        <w:t>Diabetes Care</w:t>
      </w:r>
      <w:r w:rsidRPr="00420C1B">
        <w:rPr>
          <w:rFonts w:ascii="Arial" w:hAnsi="Arial" w:cs="Arial"/>
        </w:rPr>
        <w:t>, 39(11), pp. 2065–2079.</w:t>
      </w:r>
    </w:p>
    <w:p w14:paraId="0AFF48D4"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Diabetes UK (2024) </w:t>
      </w:r>
      <w:r w:rsidRPr="00420C1B">
        <w:rPr>
          <w:rFonts w:ascii="Arial" w:hAnsi="Arial" w:cs="Arial"/>
          <w:i/>
          <w:iCs/>
        </w:rPr>
        <w:t>Type 2 diabetes</w:t>
      </w:r>
      <w:r w:rsidRPr="00420C1B">
        <w:rPr>
          <w:rFonts w:ascii="Arial" w:hAnsi="Arial" w:cs="Arial"/>
        </w:rPr>
        <w:t xml:space="preserve">. Available at: </w:t>
      </w:r>
      <w:hyperlink r:id="rId8" w:tgtFrame="_new" w:history="1">
        <w:r w:rsidRPr="00420C1B">
          <w:rPr>
            <w:rStyle w:val="Hyperlink"/>
            <w:rFonts w:ascii="Arial" w:hAnsi="Arial" w:cs="Arial"/>
          </w:rPr>
          <w:t>https://www.</w:t>
        </w:r>
        <w:r w:rsidRPr="00420C1B">
          <w:rPr>
            <w:rStyle w:val="Hyperlink"/>
            <w:rFonts w:ascii="Arial" w:hAnsi="Arial" w:cs="Arial"/>
          </w:rPr>
          <w:t>d</w:t>
        </w:r>
        <w:r w:rsidRPr="00420C1B">
          <w:rPr>
            <w:rStyle w:val="Hyperlink"/>
            <w:rFonts w:ascii="Arial" w:hAnsi="Arial" w:cs="Arial"/>
          </w:rPr>
          <w:t>iabetes.org.uk</w:t>
        </w:r>
      </w:hyperlink>
      <w:r w:rsidRPr="00420C1B">
        <w:rPr>
          <w:rFonts w:ascii="Arial" w:hAnsi="Arial" w:cs="Arial"/>
        </w:rPr>
        <w:t xml:space="preserve"> (Accessed: 27 June 2026).</w:t>
      </w:r>
    </w:p>
    <w:p w14:paraId="7E999254"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Farmer, A.J. et al. (2012) ‘Meta-analysis of self-monitoring of blood glucose in non-insulin treated type 2 diabetes’, </w:t>
      </w:r>
      <w:r w:rsidRPr="00420C1B">
        <w:rPr>
          <w:rFonts w:ascii="Arial" w:hAnsi="Arial" w:cs="Arial"/>
          <w:i/>
          <w:iCs/>
        </w:rPr>
        <w:t>BMJ</w:t>
      </w:r>
      <w:r w:rsidRPr="00420C1B">
        <w:rPr>
          <w:rFonts w:ascii="Arial" w:hAnsi="Arial" w:cs="Arial"/>
        </w:rPr>
        <w:t>, 344, e486.</w:t>
      </w:r>
    </w:p>
    <w:p w14:paraId="648F8BE3"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International Diabetes Federation (2021) </w:t>
      </w:r>
      <w:r w:rsidRPr="00420C1B">
        <w:rPr>
          <w:rFonts w:ascii="Arial" w:hAnsi="Arial" w:cs="Arial"/>
          <w:i/>
          <w:iCs/>
        </w:rPr>
        <w:t>IDF Diabetes Atlas</w:t>
      </w:r>
      <w:r w:rsidRPr="00420C1B">
        <w:rPr>
          <w:rFonts w:ascii="Arial" w:hAnsi="Arial" w:cs="Arial"/>
        </w:rPr>
        <w:t>. 10th edn. Brussels: International Diabetes Federation.</w:t>
      </w:r>
    </w:p>
    <w:p w14:paraId="71F6688A"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Kumar, P. and Clark, M. (2023) </w:t>
      </w:r>
      <w:r w:rsidRPr="00420C1B">
        <w:rPr>
          <w:rFonts w:ascii="Arial" w:hAnsi="Arial" w:cs="Arial"/>
          <w:i/>
          <w:iCs/>
        </w:rPr>
        <w:t>Kumar and Clark’s Clinical Medicine</w:t>
      </w:r>
      <w:r w:rsidRPr="00420C1B">
        <w:rPr>
          <w:rFonts w:ascii="Arial" w:hAnsi="Arial" w:cs="Arial"/>
        </w:rPr>
        <w:t>. 11th edn. Edinburgh: Elsevier.</w:t>
      </w:r>
    </w:p>
    <w:p w14:paraId="1515779D"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Lean, M.E.J. et al. (2018) ‘Primary care-led weight management for remission of type 2 diabetes (DiRECT)’, </w:t>
      </w:r>
      <w:r w:rsidRPr="00420C1B">
        <w:rPr>
          <w:rFonts w:ascii="Arial" w:hAnsi="Arial" w:cs="Arial"/>
          <w:i/>
          <w:iCs/>
        </w:rPr>
        <w:t>The Lancet</w:t>
      </w:r>
      <w:r w:rsidRPr="00420C1B">
        <w:rPr>
          <w:rFonts w:ascii="Arial" w:hAnsi="Arial" w:cs="Arial"/>
        </w:rPr>
        <w:t>, 391(10120), pp. 541–551.</w:t>
      </w:r>
    </w:p>
    <w:p w14:paraId="739A70B6"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Marieb, </w:t>
      </w:r>
      <w:proofErr w:type="spellStart"/>
      <w:r w:rsidRPr="00420C1B">
        <w:rPr>
          <w:rFonts w:ascii="Arial" w:hAnsi="Arial" w:cs="Arial"/>
        </w:rPr>
        <w:t>E.N</w:t>
      </w:r>
      <w:proofErr w:type="spellEnd"/>
      <w:r w:rsidRPr="00420C1B">
        <w:rPr>
          <w:rFonts w:ascii="Arial" w:hAnsi="Arial" w:cs="Arial"/>
        </w:rPr>
        <w:t xml:space="preserve">. and Hoehn, K. (2019) </w:t>
      </w:r>
      <w:r w:rsidRPr="00420C1B">
        <w:rPr>
          <w:rFonts w:ascii="Arial" w:hAnsi="Arial" w:cs="Arial"/>
          <w:i/>
          <w:iCs/>
        </w:rPr>
        <w:t>Human Anatomy &amp; Physiology</w:t>
      </w:r>
      <w:r w:rsidRPr="00420C1B">
        <w:rPr>
          <w:rFonts w:ascii="Arial" w:hAnsi="Arial" w:cs="Arial"/>
        </w:rPr>
        <w:t>. 11th edn. Harlow: Pearson.</w:t>
      </w:r>
    </w:p>
    <w:p w14:paraId="06E2FC8B"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National Health Service (NHS) (2024) </w:t>
      </w:r>
      <w:r w:rsidRPr="00420C1B">
        <w:rPr>
          <w:rFonts w:ascii="Arial" w:hAnsi="Arial" w:cs="Arial"/>
          <w:i/>
          <w:iCs/>
        </w:rPr>
        <w:t>Type 2 diabetes</w:t>
      </w:r>
      <w:r w:rsidRPr="00420C1B">
        <w:rPr>
          <w:rFonts w:ascii="Arial" w:hAnsi="Arial" w:cs="Arial"/>
        </w:rPr>
        <w:t xml:space="preserve">. Available at: </w:t>
      </w:r>
      <w:hyperlink r:id="rId9" w:tgtFrame="_new" w:history="1">
        <w:r w:rsidRPr="00420C1B">
          <w:rPr>
            <w:rStyle w:val="Hyperlink"/>
            <w:rFonts w:ascii="Arial" w:hAnsi="Arial" w:cs="Arial"/>
          </w:rPr>
          <w:t>https://www.nhs.uk/conditions/type-2-diabetes/</w:t>
        </w:r>
      </w:hyperlink>
      <w:r w:rsidRPr="00420C1B">
        <w:rPr>
          <w:rFonts w:ascii="Arial" w:hAnsi="Arial" w:cs="Arial"/>
        </w:rPr>
        <w:t xml:space="preserve"> (Accessed: 27 June 2026).</w:t>
      </w:r>
    </w:p>
    <w:p w14:paraId="4CFF0EE0"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National Institute for Health and Care Excellence (NICE) (2022) </w:t>
      </w:r>
      <w:r w:rsidRPr="00420C1B">
        <w:rPr>
          <w:rFonts w:ascii="Arial" w:hAnsi="Arial" w:cs="Arial"/>
          <w:i/>
          <w:iCs/>
        </w:rPr>
        <w:t>Type 2 diabetes in adults: management (NG28)</w:t>
      </w:r>
      <w:r w:rsidRPr="00420C1B">
        <w:rPr>
          <w:rFonts w:ascii="Arial" w:hAnsi="Arial" w:cs="Arial"/>
        </w:rPr>
        <w:t>. London: NICE.</w:t>
      </w:r>
    </w:p>
    <w:p w14:paraId="6FEA91EC"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Penman, I.D. et al. (2022) </w:t>
      </w:r>
      <w:r w:rsidRPr="00420C1B">
        <w:rPr>
          <w:rFonts w:ascii="Arial" w:hAnsi="Arial" w:cs="Arial"/>
          <w:i/>
          <w:iCs/>
        </w:rPr>
        <w:t>Davidson’s Principles and Practice of Medicine</w:t>
      </w:r>
      <w:r w:rsidRPr="00420C1B">
        <w:rPr>
          <w:rFonts w:ascii="Arial" w:hAnsi="Arial" w:cs="Arial"/>
        </w:rPr>
        <w:t>. 24th edn. Edinburgh: Elsevier.</w:t>
      </w:r>
    </w:p>
    <w:p w14:paraId="14ECEFD1"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Ross, C. and Wilson, A. (2018) </w:t>
      </w:r>
      <w:r w:rsidRPr="00420C1B">
        <w:rPr>
          <w:rFonts w:ascii="Arial" w:hAnsi="Arial" w:cs="Arial"/>
          <w:i/>
          <w:iCs/>
        </w:rPr>
        <w:t>Anatomy and Physiology in Health and Illness</w:t>
      </w:r>
      <w:r w:rsidRPr="00420C1B">
        <w:rPr>
          <w:rFonts w:ascii="Arial" w:hAnsi="Arial" w:cs="Arial"/>
        </w:rPr>
        <w:t>. 13th edn. Edinburgh: Elsevier.</w:t>
      </w:r>
    </w:p>
    <w:p w14:paraId="60B8D9C0"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Sturgeon, D. (2018) </w:t>
      </w:r>
      <w:r w:rsidRPr="00420C1B">
        <w:rPr>
          <w:rFonts w:ascii="Arial" w:hAnsi="Arial" w:cs="Arial"/>
          <w:i/>
          <w:iCs/>
        </w:rPr>
        <w:t>Introduction to Anatomy and Physiology for Healthcare Students</w:t>
      </w:r>
      <w:r w:rsidRPr="00420C1B">
        <w:rPr>
          <w:rFonts w:ascii="Arial" w:hAnsi="Arial" w:cs="Arial"/>
        </w:rPr>
        <w:t>. London: Routledge.</w:t>
      </w:r>
    </w:p>
    <w:p w14:paraId="2E8676C3"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Tortora, G.J. and Derrickson, B. (2020) </w:t>
      </w:r>
      <w:r w:rsidRPr="00420C1B">
        <w:rPr>
          <w:rFonts w:ascii="Arial" w:hAnsi="Arial" w:cs="Arial"/>
          <w:i/>
          <w:iCs/>
        </w:rPr>
        <w:t>Principles of Anatomy and Physiology</w:t>
      </w:r>
      <w:r w:rsidRPr="00420C1B">
        <w:rPr>
          <w:rFonts w:ascii="Arial" w:hAnsi="Arial" w:cs="Arial"/>
        </w:rPr>
        <w:t>. 16th edn. Hoboken: Wiley.</w:t>
      </w:r>
    </w:p>
    <w:p w14:paraId="7786F2C6" w14:textId="77777777" w:rsidR="00907FAA" w:rsidRPr="00420C1B" w:rsidRDefault="00907FAA" w:rsidP="00330E23">
      <w:pPr>
        <w:spacing w:line="360" w:lineRule="auto"/>
        <w:jc w:val="both"/>
        <w:rPr>
          <w:rFonts w:ascii="Arial" w:hAnsi="Arial" w:cs="Arial"/>
        </w:rPr>
      </w:pPr>
      <w:r w:rsidRPr="00420C1B">
        <w:rPr>
          <w:rFonts w:ascii="Arial" w:hAnsi="Arial" w:cs="Arial"/>
        </w:rPr>
        <w:lastRenderedPageBreak/>
        <w:t>UK Prospective Diabetes Study (</w:t>
      </w:r>
      <w:proofErr w:type="spellStart"/>
      <w:r w:rsidRPr="00420C1B">
        <w:rPr>
          <w:rFonts w:ascii="Arial" w:hAnsi="Arial" w:cs="Arial"/>
        </w:rPr>
        <w:t>UKPDS</w:t>
      </w:r>
      <w:proofErr w:type="spellEnd"/>
      <w:r w:rsidRPr="00420C1B">
        <w:rPr>
          <w:rFonts w:ascii="Arial" w:hAnsi="Arial" w:cs="Arial"/>
        </w:rPr>
        <w:t xml:space="preserve">) Group (1998) ‘Intensive blood-glucose control with </w:t>
      </w:r>
      <w:proofErr w:type="spellStart"/>
      <w:r w:rsidRPr="00420C1B">
        <w:rPr>
          <w:rFonts w:ascii="Arial" w:hAnsi="Arial" w:cs="Arial"/>
        </w:rPr>
        <w:t>sulphonylureas</w:t>
      </w:r>
      <w:proofErr w:type="spellEnd"/>
      <w:r w:rsidRPr="00420C1B">
        <w:rPr>
          <w:rFonts w:ascii="Arial" w:hAnsi="Arial" w:cs="Arial"/>
        </w:rPr>
        <w:t xml:space="preserve"> or insulin compared with conventional treatment’, </w:t>
      </w:r>
      <w:r w:rsidRPr="00420C1B">
        <w:rPr>
          <w:rFonts w:ascii="Arial" w:hAnsi="Arial" w:cs="Arial"/>
          <w:i/>
          <w:iCs/>
        </w:rPr>
        <w:t>The Lancet</w:t>
      </w:r>
      <w:r w:rsidRPr="00420C1B">
        <w:rPr>
          <w:rFonts w:ascii="Arial" w:hAnsi="Arial" w:cs="Arial"/>
        </w:rPr>
        <w:t>, 352(9131), pp. 837–853.</w:t>
      </w:r>
    </w:p>
    <w:p w14:paraId="0F1C9144"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Waugh, A. and Grant, A. (2018) </w:t>
      </w:r>
      <w:r w:rsidRPr="00420C1B">
        <w:rPr>
          <w:rFonts w:ascii="Arial" w:hAnsi="Arial" w:cs="Arial"/>
          <w:i/>
          <w:iCs/>
        </w:rPr>
        <w:t>Ross &amp; Wilson Anatomy and Physiology in Health and Illness</w:t>
      </w:r>
      <w:r w:rsidRPr="00420C1B">
        <w:rPr>
          <w:rFonts w:ascii="Arial" w:hAnsi="Arial" w:cs="Arial"/>
        </w:rPr>
        <w:t>. 13th edn. Edinburgh: Elsevier.</w:t>
      </w:r>
    </w:p>
    <w:p w14:paraId="55FD9094" w14:textId="77777777" w:rsidR="00907FAA" w:rsidRPr="00420C1B" w:rsidRDefault="00907FAA" w:rsidP="00330E23">
      <w:pPr>
        <w:spacing w:line="360" w:lineRule="auto"/>
        <w:jc w:val="both"/>
        <w:rPr>
          <w:rFonts w:ascii="Arial" w:hAnsi="Arial" w:cs="Arial"/>
        </w:rPr>
      </w:pPr>
      <w:r w:rsidRPr="00420C1B">
        <w:rPr>
          <w:rFonts w:ascii="Arial" w:hAnsi="Arial" w:cs="Arial"/>
        </w:rPr>
        <w:t xml:space="preserve">World Health Organization (WHO) (2023) </w:t>
      </w:r>
      <w:r w:rsidRPr="00420C1B">
        <w:rPr>
          <w:rFonts w:ascii="Arial" w:hAnsi="Arial" w:cs="Arial"/>
          <w:i/>
          <w:iCs/>
        </w:rPr>
        <w:t>Diabetes</w:t>
      </w:r>
      <w:r w:rsidRPr="00420C1B">
        <w:rPr>
          <w:rFonts w:ascii="Arial" w:hAnsi="Arial" w:cs="Arial"/>
        </w:rPr>
        <w:t xml:space="preserve">. Available at: </w:t>
      </w:r>
      <w:hyperlink r:id="rId10" w:tgtFrame="_new" w:history="1">
        <w:r w:rsidRPr="00420C1B">
          <w:rPr>
            <w:rStyle w:val="Hyperlink"/>
            <w:rFonts w:ascii="Arial" w:hAnsi="Arial" w:cs="Arial"/>
          </w:rPr>
          <w:t>https://www.who.int/news-room/fact-sheets/detail/diabetes</w:t>
        </w:r>
      </w:hyperlink>
      <w:r w:rsidRPr="00420C1B">
        <w:rPr>
          <w:rFonts w:ascii="Arial" w:hAnsi="Arial" w:cs="Arial"/>
        </w:rPr>
        <w:t xml:space="preserve"> (Accessed: 27 June 2026).</w:t>
      </w:r>
    </w:p>
    <w:p w14:paraId="50EB0F98" w14:textId="35B42992" w:rsidR="00AB1AFE" w:rsidRPr="00907FAA" w:rsidRDefault="00AB1AFE" w:rsidP="00907FAA">
      <w:pPr>
        <w:spacing w:line="360" w:lineRule="auto"/>
        <w:jc w:val="both"/>
        <w:rPr>
          <w:rFonts w:ascii="Arial" w:hAnsi="Arial" w:cs="Arial"/>
        </w:rPr>
      </w:pPr>
    </w:p>
    <w:sectPr w:rsidR="00AB1AFE" w:rsidRPr="00907FA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E7F72" w14:textId="77777777" w:rsidR="006E6521" w:rsidRDefault="006E6521" w:rsidP="00BE1E50">
      <w:pPr>
        <w:spacing w:after="0" w:line="240" w:lineRule="auto"/>
      </w:pPr>
      <w:r>
        <w:separator/>
      </w:r>
    </w:p>
  </w:endnote>
  <w:endnote w:type="continuationSeparator" w:id="0">
    <w:p w14:paraId="31A5F2D6" w14:textId="77777777" w:rsidR="006E6521" w:rsidRDefault="006E6521" w:rsidP="00BE1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356703"/>
      <w:docPartObj>
        <w:docPartGallery w:val="Page Numbers (Bottom of Page)"/>
        <w:docPartUnique/>
      </w:docPartObj>
    </w:sdtPr>
    <w:sdtContent>
      <w:p w14:paraId="4C61A4A6" w14:textId="2CF666A9" w:rsidR="00BE1E50" w:rsidRDefault="00BE1E50">
        <w:pPr>
          <w:pStyle w:val="Footer"/>
          <w:jc w:val="center"/>
        </w:pPr>
        <w:r>
          <w:fldChar w:fldCharType="begin"/>
        </w:r>
        <w:r>
          <w:instrText>PAGE   \* MERGEFORMAT</w:instrText>
        </w:r>
        <w:r>
          <w:fldChar w:fldCharType="separate"/>
        </w:r>
        <w:r>
          <w:t>2</w:t>
        </w:r>
        <w:r>
          <w:fldChar w:fldCharType="end"/>
        </w:r>
      </w:p>
    </w:sdtContent>
  </w:sdt>
  <w:p w14:paraId="150D0A59" w14:textId="77777777" w:rsidR="00BE1E50" w:rsidRDefault="00BE1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CD28E" w14:textId="77777777" w:rsidR="006E6521" w:rsidRDefault="006E6521" w:rsidP="00BE1E50">
      <w:pPr>
        <w:spacing w:after="0" w:line="240" w:lineRule="auto"/>
      </w:pPr>
      <w:r>
        <w:separator/>
      </w:r>
    </w:p>
  </w:footnote>
  <w:footnote w:type="continuationSeparator" w:id="0">
    <w:p w14:paraId="7DCC1D32" w14:textId="77777777" w:rsidR="006E6521" w:rsidRDefault="006E6521" w:rsidP="00BE1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72B2"/>
    <w:multiLevelType w:val="multilevel"/>
    <w:tmpl w:val="EB26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9218E"/>
    <w:multiLevelType w:val="hybridMultilevel"/>
    <w:tmpl w:val="EFEE2A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15D23E2"/>
    <w:multiLevelType w:val="hybridMultilevel"/>
    <w:tmpl w:val="50AC5A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650725C"/>
    <w:multiLevelType w:val="multilevel"/>
    <w:tmpl w:val="1E32B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18302B"/>
    <w:multiLevelType w:val="multilevel"/>
    <w:tmpl w:val="5258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0A066B"/>
    <w:multiLevelType w:val="multilevel"/>
    <w:tmpl w:val="BB6822CA"/>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8C5220"/>
    <w:multiLevelType w:val="multilevel"/>
    <w:tmpl w:val="B04A932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030715"/>
    <w:multiLevelType w:val="hybridMultilevel"/>
    <w:tmpl w:val="A98E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CE0D83"/>
    <w:multiLevelType w:val="hybridMultilevel"/>
    <w:tmpl w:val="359A9E5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46BE31F0"/>
    <w:multiLevelType w:val="multilevel"/>
    <w:tmpl w:val="E9AA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E61F31"/>
    <w:multiLevelType w:val="multilevel"/>
    <w:tmpl w:val="86943B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F02F2D"/>
    <w:multiLevelType w:val="hybridMultilevel"/>
    <w:tmpl w:val="F88831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B397D0C"/>
    <w:multiLevelType w:val="hybridMultilevel"/>
    <w:tmpl w:val="F6A822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2954349">
    <w:abstractNumId w:val="5"/>
  </w:num>
  <w:num w:numId="2" w16cid:durableId="283007286">
    <w:abstractNumId w:val="0"/>
  </w:num>
  <w:num w:numId="3" w16cid:durableId="825517053">
    <w:abstractNumId w:val="9"/>
  </w:num>
  <w:num w:numId="4" w16cid:durableId="581598164">
    <w:abstractNumId w:val="4"/>
  </w:num>
  <w:num w:numId="5" w16cid:durableId="1458596744">
    <w:abstractNumId w:val="1"/>
  </w:num>
  <w:num w:numId="6" w16cid:durableId="1743139272">
    <w:abstractNumId w:val="12"/>
  </w:num>
  <w:num w:numId="7" w16cid:durableId="813177092">
    <w:abstractNumId w:val="3"/>
  </w:num>
  <w:num w:numId="8" w16cid:durableId="840437381">
    <w:abstractNumId w:val="10"/>
  </w:num>
  <w:num w:numId="9" w16cid:durableId="480319086">
    <w:abstractNumId w:val="6"/>
  </w:num>
  <w:num w:numId="10" w16cid:durableId="1445466292">
    <w:abstractNumId w:val="11"/>
  </w:num>
  <w:num w:numId="11" w16cid:durableId="1490705648">
    <w:abstractNumId w:val="8"/>
  </w:num>
  <w:num w:numId="12" w16cid:durableId="707491421">
    <w:abstractNumId w:val="2"/>
  </w:num>
  <w:num w:numId="13" w16cid:durableId="822889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A04"/>
    <w:rsid w:val="00014590"/>
    <w:rsid w:val="00014CC3"/>
    <w:rsid w:val="000236F7"/>
    <w:rsid w:val="00033214"/>
    <w:rsid w:val="000902EC"/>
    <w:rsid w:val="00091E1B"/>
    <w:rsid w:val="000B7A04"/>
    <w:rsid w:val="000C3DDF"/>
    <w:rsid w:val="000C5DDB"/>
    <w:rsid w:val="000C677E"/>
    <w:rsid w:val="000E2BD0"/>
    <w:rsid w:val="001017DA"/>
    <w:rsid w:val="00126133"/>
    <w:rsid w:val="0013269B"/>
    <w:rsid w:val="0013278C"/>
    <w:rsid w:val="00152BAE"/>
    <w:rsid w:val="00157D32"/>
    <w:rsid w:val="0017086A"/>
    <w:rsid w:val="001874F9"/>
    <w:rsid w:val="00193BFC"/>
    <w:rsid w:val="001D1E51"/>
    <w:rsid w:val="00203367"/>
    <w:rsid w:val="00235A61"/>
    <w:rsid w:val="002464F6"/>
    <w:rsid w:val="00273DEF"/>
    <w:rsid w:val="00291421"/>
    <w:rsid w:val="00291D1B"/>
    <w:rsid w:val="00293634"/>
    <w:rsid w:val="002C6D49"/>
    <w:rsid w:val="002D38FC"/>
    <w:rsid w:val="002D3A05"/>
    <w:rsid w:val="003102C2"/>
    <w:rsid w:val="00311996"/>
    <w:rsid w:val="00327DE1"/>
    <w:rsid w:val="00330E23"/>
    <w:rsid w:val="0033799B"/>
    <w:rsid w:val="00365EDD"/>
    <w:rsid w:val="003671D6"/>
    <w:rsid w:val="00402C7C"/>
    <w:rsid w:val="00412C62"/>
    <w:rsid w:val="0041718A"/>
    <w:rsid w:val="00420C1B"/>
    <w:rsid w:val="004C0516"/>
    <w:rsid w:val="004D257B"/>
    <w:rsid w:val="004D2B2A"/>
    <w:rsid w:val="004E2060"/>
    <w:rsid w:val="00501BFE"/>
    <w:rsid w:val="00502A2A"/>
    <w:rsid w:val="005241ED"/>
    <w:rsid w:val="00547F7D"/>
    <w:rsid w:val="00551AA8"/>
    <w:rsid w:val="005602EA"/>
    <w:rsid w:val="005921A9"/>
    <w:rsid w:val="005A5C5E"/>
    <w:rsid w:val="005C5D40"/>
    <w:rsid w:val="005D775B"/>
    <w:rsid w:val="005E3CF8"/>
    <w:rsid w:val="005F71AB"/>
    <w:rsid w:val="00604F29"/>
    <w:rsid w:val="006056C2"/>
    <w:rsid w:val="00621C03"/>
    <w:rsid w:val="00626AC8"/>
    <w:rsid w:val="006476CC"/>
    <w:rsid w:val="006D6A5F"/>
    <w:rsid w:val="006E6521"/>
    <w:rsid w:val="0070487C"/>
    <w:rsid w:val="00751805"/>
    <w:rsid w:val="0075423E"/>
    <w:rsid w:val="007662FC"/>
    <w:rsid w:val="0077704E"/>
    <w:rsid w:val="0078669D"/>
    <w:rsid w:val="00793255"/>
    <w:rsid w:val="007A17DD"/>
    <w:rsid w:val="007B5132"/>
    <w:rsid w:val="007C2C61"/>
    <w:rsid w:val="007F0430"/>
    <w:rsid w:val="007F3C79"/>
    <w:rsid w:val="008240AE"/>
    <w:rsid w:val="00833C67"/>
    <w:rsid w:val="0084219E"/>
    <w:rsid w:val="008560A7"/>
    <w:rsid w:val="008A421A"/>
    <w:rsid w:val="008C66B9"/>
    <w:rsid w:val="008D503C"/>
    <w:rsid w:val="008F409B"/>
    <w:rsid w:val="00902B22"/>
    <w:rsid w:val="00905634"/>
    <w:rsid w:val="00907FAA"/>
    <w:rsid w:val="00916782"/>
    <w:rsid w:val="00926A2E"/>
    <w:rsid w:val="00927E28"/>
    <w:rsid w:val="0096585B"/>
    <w:rsid w:val="009777EE"/>
    <w:rsid w:val="00980074"/>
    <w:rsid w:val="00994072"/>
    <w:rsid w:val="009B4B08"/>
    <w:rsid w:val="009C13FA"/>
    <w:rsid w:val="009C3846"/>
    <w:rsid w:val="009E01E6"/>
    <w:rsid w:val="009F27A8"/>
    <w:rsid w:val="009F6D37"/>
    <w:rsid w:val="00A157A6"/>
    <w:rsid w:val="00A15944"/>
    <w:rsid w:val="00A17E4B"/>
    <w:rsid w:val="00A2471D"/>
    <w:rsid w:val="00A36606"/>
    <w:rsid w:val="00A3684E"/>
    <w:rsid w:val="00A514DD"/>
    <w:rsid w:val="00A662B1"/>
    <w:rsid w:val="00AB1AFE"/>
    <w:rsid w:val="00AC42D5"/>
    <w:rsid w:val="00AC6637"/>
    <w:rsid w:val="00AD66B4"/>
    <w:rsid w:val="00AF49F4"/>
    <w:rsid w:val="00B10393"/>
    <w:rsid w:val="00B2658F"/>
    <w:rsid w:val="00B85D05"/>
    <w:rsid w:val="00B86527"/>
    <w:rsid w:val="00B90657"/>
    <w:rsid w:val="00BB06EF"/>
    <w:rsid w:val="00BC5EFD"/>
    <w:rsid w:val="00BD10E7"/>
    <w:rsid w:val="00BE1E46"/>
    <w:rsid w:val="00BE1E50"/>
    <w:rsid w:val="00BF749C"/>
    <w:rsid w:val="00C04988"/>
    <w:rsid w:val="00C0616F"/>
    <w:rsid w:val="00C101C5"/>
    <w:rsid w:val="00C135B8"/>
    <w:rsid w:val="00C23A25"/>
    <w:rsid w:val="00C2553F"/>
    <w:rsid w:val="00C647BC"/>
    <w:rsid w:val="00CB4024"/>
    <w:rsid w:val="00CD7586"/>
    <w:rsid w:val="00CE3169"/>
    <w:rsid w:val="00CF2A91"/>
    <w:rsid w:val="00CF5B89"/>
    <w:rsid w:val="00D03AAE"/>
    <w:rsid w:val="00D11589"/>
    <w:rsid w:val="00D13052"/>
    <w:rsid w:val="00D14F3D"/>
    <w:rsid w:val="00D177CA"/>
    <w:rsid w:val="00D4673E"/>
    <w:rsid w:val="00D541BE"/>
    <w:rsid w:val="00D55D85"/>
    <w:rsid w:val="00D61C0F"/>
    <w:rsid w:val="00DA21A9"/>
    <w:rsid w:val="00DA24C9"/>
    <w:rsid w:val="00E4724B"/>
    <w:rsid w:val="00E52A5B"/>
    <w:rsid w:val="00E84614"/>
    <w:rsid w:val="00EB5952"/>
    <w:rsid w:val="00ED6B72"/>
    <w:rsid w:val="00ED7854"/>
    <w:rsid w:val="00EE5FBC"/>
    <w:rsid w:val="00EE69FC"/>
    <w:rsid w:val="00F162D7"/>
    <w:rsid w:val="00F33342"/>
    <w:rsid w:val="00F41AE6"/>
    <w:rsid w:val="00F61F77"/>
    <w:rsid w:val="00F65A29"/>
    <w:rsid w:val="00F73144"/>
    <w:rsid w:val="00F767EC"/>
    <w:rsid w:val="00F82A7B"/>
    <w:rsid w:val="00F94354"/>
    <w:rsid w:val="00FA32A4"/>
    <w:rsid w:val="00FA7DA9"/>
    <w:rsid w:val="00FF0A33"/>
    <w:rsid w:val="00FF4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A102C"/>
  <w15:chartTrackingRefBased/>
  <w15:docId w15:val="{7B8A5D56-DE21-4C7C-BDAA-5597FFBB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A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7A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7A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A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A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A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A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A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A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A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7A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7A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A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A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A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A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A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A04"/>
    <w:rPr>
      <w:rFonts w:eastAsiaTheme="majorEastAsia" w:cstheme="majorBidi"/>
      <w:color w:val="272727" w:themeColor="text1" w:themeTint="D8"/>
    </w:rPr>
  </w:style>
  <w:style w:type="paragraph" w:styleId="Title">
    <w:name w:val="Title"/>
    <w:basedOn w:val="Normal"/>
    <w:next w:val="Normal"/>
    <w:link w:val="TitleChar"/>
    <w:uiPriority w:val="10"/>
    <w:qFormat/>
    <w:rsid w:val="000B7A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A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A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A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A04"/>
    <w:pPr>
      <w:spacing w:before="160"/>
      <w:jc w:val="center"/>
    </w:pPr>
    <w:rPr>
      <w:i/>
      <w:iCs/>
      <w:color w:val="404040" w:themeColor="text1" w:themeTint="BF"/>
    </w:rPr>
  </w:style>
  <w:style w:type="character" w:customStyle="1" w:styleId="QuoteChar">
    <w:name w:val="Quote Char"/>
    <w:basedOn w:val="DefaultParagraphFont"/>
    <w:link w:val="Quote"/>
    <w:uiPriority w:val="29"/>
    <w:rsid w:val="000B7A04"/>
    <w:rPr>
      <w:i/>
      <w:iCs/>
      <w:color w:val="404040" w:themeColor="text1" w:themeTint="BF"/>
    </w:rPr>
  </w:style>
  <w:style w:type="paragraph" w:styleId="ListParagraph">
    <w:name w:val="List Paragraph"/>
    <w:basedOn w:val="Normal"/>
    <w:uiPriority w:val="34"/>
    <w:qFormat/>
    <w:rsid w:val="000B7A04"/>
    <w:pPr>
      <w:ind w:left="720"/>
      <w:contextualSpacing/>
    </w:pPr>
  </w:style>
  <w:style w:type="character" w:styleId="IntenseEmphasis">
    <w:name w:val="Intense Emphasis"/>
    <w:basedOn w:val="DefaultParagraphFont"/>
    <w:uiPriority w:val="21"/>
    <w:qFormat/>
    <w:rsid w:val="000B7A04"/>
    <w:rPr>
      <w:i/>
      <w:iCs/>
      <w:color w:val="0F4761" w:themeColor="accent1" w:themeShade="BF"/>
    </w:rPr>
  </w:style>
  <w:style w:type="paragraph" w:styleId="IntenseQuote">
    <w:name w:val="Intense Quote"/>
    <w:basedOn w:val="Normal"/>
    <w:next w:val="Normal"/>
    <w:link w:val="IntenseQuoteChar"/>
    <w:uiPriority w:val="30"/>
    <w:qFormat/>
    <w:rsid w:val="000B7A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A04"/>
    <w:rPr>
      <w:i/>
      <w:iCs/>
      <w:color w:val="0F4761" w:themeColor="accent1" w:themeShade="BF"/>
    </w:rPr>
  </w:style>
  <w:style w:type="character" w:styleId="IntenseReference">
    <w:name w:val="Intense Reference"/>
    <w:basedOn w:val="DefaultParagraphFont"/>
    <w:uiPriority w:val="32"/>
    <w:qFormat/>
    <w:rsid w:val="000B7A04"/>
    <w:rPr>
      <w:b/>
      <w:bCs/>
      <w:smallCaps/>
      <w:color w:val="0F4761" w:themeColor="accent1" w:themeShade="BF"/>
      <w:spacing w:val="5"/>
    </w:rPr>
  </w:style>
  <w:style w:type="character" w:styleId="Hyperlink">
    <w:name w:val="Hyperlink"/>
    <w:basedOn w:val="DefaultParagraphFont"/>
    <w:uiPriority w:val="99"/>
    <w:unhideWhenUsed/>
    <w:rsid w:val="000B7A04"/>
    <w:rPr>
      <w:color w:val="467886" w:themeColor="hyperlink"/>
      <w:u w:val="single"/>
    </w:rPr>
  </w:style>
  <w:style w:type="character" w:styleId="UnresolvedMention">
    <w:name w:val="Unresolved Mention"/>
    <w:basedOn w:val="DefaultParagraphFont"/>
    <w:uiPriority w:val="99"/>
    <w:semiHidden/>
    <w:unhideWhenUsed/>
    <w:rsid w:val="000B7A04"/>
    <w:rPr>
      <w:color w:val="605E5C"/>
      <w:shd w:val="clear" w:color="auto" w:fill="E1DFDD"/>
    </w:rPr>
  </w:style>
  <w:style w:type="character" w:styleId="FollowedHyperlink">
    <w:name w:val="FollowedHyperlink"/>
    <w:basedOn w:val="DefaultParagraphFont"/>
    <w:uiPriority w:val="99"/>
    <w:semiHidden/>
    <w:unhideWhenUsed/>
    <w:rsid w:val="000B7A04"/>
    <w:rPr>
      <w:color w:val="96607D" w:themeColor="followedHyperlink"/>
      <w:u w:val="single"/>
    </w:rPr>
  </w:style>
  <w:style w:type="paragraph" w:styleId="Header">
    <w:name w:val="header"/>
    <w:basedOn w:val="Normal"/>
    <w:link w:val="HeaderChar"/>
    <w:uiPriority w:val="99"/>
    <w:unhideWhenUsed/>
    <w:rsid w:val="00BE1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E50"/>
  </w:style>
  <w:style w:type="paragraph" w:styleId="Footer">
    <w:name w:val="footer"/>
    <w:basedOn w:val="Normal"/>
    <w:link w:val="FooterChar"/>
    <w:uiPriority w:val="99"/>
    <w:unhideWhenUsed/>
    <w:rsid w:val="00BE1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E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who.int/news-room/fact-sheets/detail/diabetes" TargetMode="External"/><Relationship Id="rId4" Type="http://schemas.openxmlformats.org/officeDocument/2006/relationships/settings" Target="settings.xml"/><Relationship Id="rId9" Type="http://schemas.openxmlformats.org/officeDocument/2006/relationships/hyperlink" Target="https://www.nhs.uk/condition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97DE3-AB37-462D-8509-1ADF6CDA8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2775</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Romeenah Akhtar</dc:creator>
  <cp:keywords/>
  <dc:description/>
  <cp:lastModifiedBy>Romeenah Akhtar</cp:lastModifiedBy>
  <cp:revision>159</cp:revision>
  <dcterms:created xsi:type="dcterms:W3CDTF">2026-06-24T08:17:00Z</dcterms:created>
  <dcterms:modified xsi:type="dcterms:W3CDTF">2026-06-27T19:30:00Z</dcterms:modified>
</cp:coreProperties>
</file>