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224C40" w14:textId="51054251" w:rsidR="002055A5" w:rsidRPr="0093289D" w:rsidRDefault="00E423D8" w:rsidP="002055A5">
      <w:pPr>
        <w:pBdr>
          <w:bottom w:val="single" w:sz="8" w:space="4" w:color="4472C4" w:themeColor="accent1"/>
        </w:pBdr>
        <w:spacing w:after="300" w:line="240" w:lineRule="auto"/>
        <w:contextualSpacing/>
        <w:rPr>
          <w:rFonts w:cs="Arial"/>
          <w:i/>
          <w:iCs/>
          <w:color w:val="000000"/>
        </w:rPr>
      </w:pPr>
      <w:r w:rsidRPr="0093289D">
        <w:rPr>
          <w:rFonts w:cs="Arial"/>
          <w:i/>
          <w:iCs/>
          <w:color w:val="000000"/>
        </w:rPr>
        <w:t>Albert Mircea</w:t>
      </w:r>
      <w:r w:rsidR="005A04F9" w:rsidRPr="0093289D">
        <w:rPr>
          <w:rFonts w:cs="Arial"/>
          <w:i/>
          <w:iCs/>
          <w:color w:val="000000"/>
        </w:rPr>
        <w:t>(2333683)</w:t>
      </w:r>
    </w:p>
    <w:p w14:paraId="1744D5AB" w14:textId="77777777" w:rsidR="00A643F6" w:rsidRDefault="00E423D8" w:rsidP="002055A5">
      <w:pPr>
        <w:pBdr>
          <w:bottom w:val="single" w:sz="8" w:space="4" w:color="4472C4" w:themeColor="accent1"/>
        </w:pBdr>
        <w:spacing w:after="300" w:line="240" w:lineRule="auto"/>
        <w:contextualSpacing/>
        <w:rPr>
          <w:rFonts w:cs="Arial"/>
          <w:i/>
          <w:iCs/>
          <w:color w:val="000000"/>
        </w:rPr>
      </w:pPr>
      <w:r w:rsidRPr="0093289D">
        <w:rPr>
          <w:rFonts w:cs="Arial"/>
          <w:i/>
          <w:iCs/>
          <w:color w:val="000000"/>
        </w:rPr>
        <w:t xml:space="preserve">Project Management </w:t>
      </w:r>
    </w:p>
    <w:p w14:paraId="4CE82EE4" w14:textId="087BFA7A" w:rsidR="002E439F" w:rsidRPr="0093289D" w:rsidRDefault="002E439F" w:rsidP="002055A5">
      <w:pPr>
        <w:pBdr>
          <w:bottom w:val="single" w:sz="8" w:space="4" w:color="4472C4" w:themeColor="accent1"/>
        </w:pBdr>
        <w:spacing w:after="300" w:line="240" w:lineRule="auto"/>
        <w:contextualSpacing/>
        <w:rPr>
          <w:rFonts w:cs="Arial"/>
          <w:i/>
          <w:iCs/>
          <w:color w:val="000000"/>
        </w:rPr>
      </w:pPr>
      <w:r w:rsidRPr="0093289D">
        <w:rPr>
          <w:rFonts w:cs="Arial"/>
          <w:i/>
          <w:iCs/>
          <w:color w:val="000000"/>
        </w:rPr>
        <w:t>Portofolio</w:t>
      </w:r>
    </w:p>
    <w:p w14:paraId="573C64B4" w14:textId="60E4D267" w:rsidR="00202A5B" w:rsidRDefault="00B671A7" w:rsidP="002055A5">
      <w:pPr>
        <w:pBdr>
          <w:bottom w:val="single" w:sz="8" w:space="4" w:color="4472C4" w:themeColor="accent1"/>
        </w:pBdr>
        <w:spacing w:after="300" w:line="240" w:lineRule="auto"/>
        <w:contextualSpacing/>
        <w:rPr>
          <w:rFonts w:cs="Arial"/>
          <w:color w:val="000000"/>
        </w:rPr>
      </w:pPr>
      <w:r>
        <w:rPr>
          <w:rFonts w:ascii="Arial" w:eastAsiaTheme="majorEastAsia" w:hAnsi="Arial" w:cs="Arial"/>
          <w:noProof/>
          <w:color w:val="323E4F" w:themeColor="text2" w:themeShade="BF"/>
          <w:spacing w:val="5"/>
          <w:kern w:val="28"/>
          <w:sz w:val="22"/>
          <w:szCs w:val="22"/>
          <w:lang w:val="en-US" w:eastAsia="en-US"/>
        </w:rPr>
        <w:drawing>
          <wp:anchor distT="0" distB="0" distL="114300" distR="114300" simplePos="0" relativeHeight="251659264" behindDoc="0" locked="0" layoutInCell="1" allowOverlap="1" wp14:anchorId="2AD04859" wp14:editId="5CD784DD">
            <wp:simplePos x="0" y="0"/>
            <wp:positionH relativeFrom="column">
              <wp:posOffset>-895985</wp:posOffset>
            </wp:positionH>
            <wp:positionV relativeFrom="paragraph">
              <wp:posOffset>254635</wp:posOffset>
            </wp:positionV>
            <wp:extent cx="7479665" cy="5482590"/>
            <wp:effectExtent l="0" t="0" r="635" b="3810"/>
            <wp:wrapTopAndBottom/>
            <wp:docPr id="196345150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51501" name="Imagine 1963451501"/>
                    <pic:cNvPicPr/>
                  </pic:nvPicPr>
                  <pic:blipFill>
                    <a:blip r:embed="rId7">
                      <a:extLst>
                        <a:ext uri="{28A0092B-C50C-407E-A947-70E740481C1C}">
                          <a14:useLocalDpi xmlns:a14="http://schemas.microsoft.com/office/drawing/2010/main" val="0"/>
                        </a:ext>
                      </a:extLst>
                    </a:blip>
                    <a:stretch>
                      <a:fillRect/>
                    </a:stretch>
                  </pic:blipFill>
                  <pic:spPr>
                    <a:xfrm>
                      <a:off x="0" y="0"/>
                      <a:ext cx="7479665" cy="5482590"/>
                    </a:xfrm>
                    <a:prstGeom prst="rect">
                      <a:avLst/>
                    </a:prstGeom>
                  </pic:spPr>
                </pic:pic>
              </a:graphicData>
            </a:graphic>
            <wp14:sizeRelH relativeFrom="margin">
              <wp14:pctWidth>0</wp14:pctWidth>
            </wp14:sizeRelH>
            <wp14:sizeRelV relativeFrom="margin">
              <wp14:pctHeight>0</wp14:pctHeight>
            </wp14:sizeRelV>
          </wp:anchor>
        </w:drawing>
      </w:r>
    </w:p>
    <w:p w14:paraId="15DB090B" w14:textId="77777777" w:rsidR="00202A5B" w:rsidRDefault="00202A5B" w:rsidP="002055A5">
      <w:pPr>
        <w:pBdr>
          <w:bottom w:val="single" w:sz="8" w:space="4" w:color="4472C4" w:themeColor="accent1"/>
        </w:pBdr>
        <w:spacing w:after="300" w:line="240" w:lineRule="auto"/>
        <w:contextualSpacing/>
        <w:rPr>
          <w:rFonts w:cs="Arial"/>
          <w:color w:val="000000"/>
        </w:rPr>
      </w:pPr>
    </w:p>
    <w:p w14:paraId="1D5D4250" w14:textId="77777777" w:rsidR="00404116" w:rsidRDefault="00404116" w:rsidP="002055A5">
      <w:pPr>
        <w:pBdr>
          <w:bottom w:val="single" w:sz="8" w:space="4" w:color="4472C4" w:themeColor="accent1"/>
        </w:pBdr>
        <w:spacing w:after="300" w:line="240" w:lineRule="auto"/>
        <w:contextualSpacing/>
        <w:rPr>
          <w:rFonts w:cs="Arial"/>
          <w:color w:val="000000"/>
        </w:rPr>
      </w:pPr>
    </w:p>
    <w:p w14:paraId="45EF61FE" w14:textId="77777777" w:rsidR="00404116" w:rsidRDefault="00404116" w:rsidP="002055A5">
      <w:pPr>
        <w:pBdr>
          <w:bottom w:val="single" w:sz="8" w:space="4" w:color="4472C4" w:themeColor="accent1"/>
        </w:pBdr>
        <w:spacing w:after="300" w:line="240" w:lineRule="auto"/>
        <w:contextualSpacing/>
        <w:rPr>
          <w:rFonts w:cs="Arial"/>
          <w:color w:val="000000"/>
        </w:rPr>
      </w:pPr>
    </w:p>
    <w:p w14:paraId="0B58722E" w14:textId="77777777" w:rsidR="00404116" w:rsidRDefault="00404116" w:rsidP="002055A5">
      <w:pPr>
        <w:pBdr>
          <w:bottom w:val="single" w:sz="8" w:space="4" w:color="4472C4" w:themeColor="accent1"/>
        </w:pBdr>
        <w:spacing w:after="300" w:line="240" w:lineRule="auto"/>
        <w:contextualSpacing/>
        <w:rPr>
          <w:rFonts w:cs="Arial"/>
          <w:color w:val="000000"/>
        </w:rPr>
      </w:pPr>
    </w:p>
    <w:p w14:paraId="1CA879C0" w14:textId="77777777" w:rsidR="00404116" w:rsidRDefault="00404116" w:rsidP="002055A5">
      <w:pPr>
        <w:pBdr>
          <w:bottom w:val="single" w:sz="8" w:space="4" w:color="4472C4" w:themeColor="accent1"/>
        </w:pBdr>
        <w:spacing w:after="300" w:line="240" w:lineRule="auto"/>
        <w:contextualSpacing/>
        <w:rPr>
          <w:rFonts w:cs="Arial"/>
          <w:color w:val="000000"/>
        </w:rPr>
      </w:pPr>
    </w:p>
    <w:p w14:paraId="4AD7EBCF" w14:textId="77777777" w:rsidR="00404116" w:rsidRDefault="00404116" w:rsidP="002055A5">
      <w:pPr>
        <w:pBdr>
          <w:bottom w:val="single" w:sz="8" w:space="4" w:color="4472C4" w:themeColor="accent1"/>
        </w:pBdr>
        <w:spacing w:after="300" w:line="240" w:lineRule="auto"/>
        <w:contextualSpacing/>
        <w:rPr>
          <w:rFonts w:cs="Arial"/>
          <w:color w:val="000000"/>
        </w:rPr>
      </w:pPr>
    </w:p>
    <w:p w14:paraId="7F890702" w14:textId="77777777" w:rsidR="00404116" w:rsidRDefault="00404116" w:rsidP="002055A5">
      <w:pPr>
        <w:pBdr>
          <w:bottom w:val="single" w:sz="8" w:space="4" w:color="4472C4" w:themeColor="accent1"/>
        </w:pBdr>
        <w:spacing w:after="300" w:line="240" w:lineRule="auto"/>
        <w:contextualSpacing/>
        <w:rPr>
          <w:rFonts w:cs="Arial"/>
          <w:color w:val="000000"/>
        </w:rPr>
      </w:pPr>
    </w:p>
    <w:p w14:paraId="6AE9BB6B" w14:textId="77777777" w:rsidR="00404116" w:rsidRDefault="00404116" w:rsidP="002055A5">
      <w:pPr>
        <w:pBdr>
          <w:bottom w:val="single" w:sz="8" w:space="4" w:color="4472C4" w:themeColor="accent1"/>
        </w:pBdr>
        <w:spacing w:after="300" w:line="240" w:lineRule="auto"/>
        <w:contextualSpacing/>
        <w:rPr>
          <w:rFonts w:cs="Arial"/>
          <w:color w:val="000000"/>
        </w:rPr>
      </w:pPr>
    </w:p>
    <w:p w14:paraId="4532145D" w14:textId="77777777" w:rsidR="00404116" w:rsidRDefault="00404116" w:rsidP="002055A5">
      <w:pPr>
        <w:pBdr>
          <w:bottom w:val="single" w:sz="8" w:space="4" w:color="4472C4" w:themeColor="accent1"/>
        </w:pBdr>
        <w:spacing w:after="300" w:line="240" w:lineRule="auto"/>
        <w:contextualSpacing/>
        <w:rPr>
          <w:rFonts w:cs="Arial"/>
          <w:color w:val="000000"/>
        </w:rPr>
      </w:pPr>
    </w:p>
    <w:p w14:paraId="28C84DE8" w14:textId="77777777" w:rsidR="00404116" w:rsidRDefault="00404116" w:rsidP="002055A5">
      <w:pPr>
        <w:pBdr>
          <w:bottom w:val="single" w:sz="8" w:space="4" w:color="4472C4" w:themeColor="accent1"/>
        </w:pBdr>
        <w:spacing w:after="300" w:line="240" w:lineRule="auto"/>
        <w:contextualSpacing/>
        <w:rPr>
          <w:rFonts w:cs="Arial"/>
          <w:color w:val="000000"/>
        </w:rPr>
      </w:pPr>
    </w:p>
    <w:p w14:paraId="65C9F39D" w14:textId="77777777" w:rsidR="00404116" w:rsidRDefault="00404116" w:rsidP="002055A5">
      <w:pPr>
        <w:pBdr>
          <w:bottom w:val="single" w:sz="8" w:space="4" w:color="4472C4" w:themeColor="accent1"/>
        </w:pBdr>
        <w:spacing w:after="300" w:line="240" w:lineRule="auto"/>
        <w:contextualSpacing/>
        <w:rPr>
          <w:rFonts w:cs="Arial"/>
          <w:color w:val="000000"/>
        </w:rPr>
      </w:pPr>
    </w:p>
    <w:p w14:paraId="30D25492" w14:textId="77777777" w:rsidR="00404116" w:rsidRDefault="00404116" w:rsidP="002055A5">
      <w:pPr>
        <w:pBdr>
          <w:bottom w:val="single" w:sz="8" w:space="4" w:color="4472C4" w:themeColor="accent1"/>
        </w:pBdr>
        <w:spacing w:after="300" w:line="240" w:lineRule="auto"/>
        <w:contextualSpacing/>
        <w:rPr>
          <w:rFonts w:cs="Arial"/>
          <w:color w:val="000000"/>
        </w:rPr>
      </w:pPr>
    </w:p>
    <w:p w14:paraId="6B0A8A3A" w14:textId="77777777" w:rsidR="00404116" w:rsidRDefault="00404116" w:rsidP="002055A5">
      <w:pPr>
        <w:pBdr>
          <w:bottom w:val="single" w:sz="8" w:space="4" w:color="4472C4" w:themeColor="accent1"/>
        </w:pBdr>
        <w:spacing w:after="300" w:line="240" w:lineRule="auto"/>
        <w:contextualSpacing/>
        <w:rPr>
          <w:rFonts w:cs="Arial"/>
          <w:color w:val="000000"/>
        </w:rPr>
      </w:pPr>
    </w:p>
    <w:p w14:paraId="31953194" w14:textId="601043EB" w:rsidR="005F40AB" w:rsidRDefault="00440EBA" w:rsidP="002055A5">
      <w:pPr>
        <w:pBdr>
          <w:bottom w:val="single" w:sz="8" w:space="4" w:color="4472C4" w:themeColor="accent1"/>
        </w:pBdr>
        <w:spacing w:after="300" w:line="240" w:lineRule="auto"/>
        <w:contextualSpacing/>
        <w:rPr>
          <w:rFonts w:cs="Arial"/>
          <w:color w:val="000000"/>
        </w:rPr>
      </w:pPr>
      <w:r w:rsidRPr="00EF375E">
        <w:rPr>
          <w:rFonts w:cs="Arial"/>
          <w:color w:val="000000"/>
        </w:rPr>
        <w:lastRenderedPageBreak/>
        <w:t>Following the presentation of the project poster on the reconstruction of Highway 5 after the 2022</w:t>
      </w:r>
      <w:r w:rsidR="0055455D">
        <w:rPr>
          <w:rFonts w:cs="Arial"/>
          <w:color w:val="000000"/>
        </w:rPr>
        <w:t xml:space="preserve"> </w:t>
      </w:r>
      <w:r w:rsidRPr="00EF375E">
        <w:rPr>
          <w:rFonts w:cs="Arial"/>
          <w:color w:val="000000"/>
        </w:rPr>
        <w:t>British Columbia</w:t>
      </w:r>
      <w:r w:rsidR="0055455D">
        <w:rPr>
          <w:rFonts w:cs="Arial"/>
          <w:color w:val="000000"/>
        </w:rPr>
        <w:t xml:space="preserve"> floods</w:t>
      </w:r>
      <w:r w:rsidRPr="00EF375E">
        <w:rPr>
          <w:rFonts w:cs="Arial"/>
          <w:color w:val="000000"/>
        </w:rPr>
        <w:t>, valuable feedback was received from both the lecturer and peers. This feedback was essential in identifying strengths in the original poster and recognising areas where further improvements could enhance academic quality and visual clarity. Reflecting on this feedback has helped refine the approach to the final project management plan.</w:t>
      </w:r>
    </w:p>
    <w:p w14:paraId="2EED45BA" w14:textId="5B28D66B" w:rsidR="005F40AB" w:rsidRDefault="00440EBA" w:rsidP="005F40AB">
      <w:pPr>
        <w:pBdr>
          <w:bottom w:val="single" w:sz="8" w:space="4" w:color="4472C4" w:themeColor="accent1"/>
        </w:pBdr>
        <w:spacing w:after="300" w:line="240" w:lineRule="auto"/>
        <w:contextualSpacing/>
        <w:rPr>
          <w:rFonts w:cs="Arial"/>
          <w:color w:val="000000"/>
        </w:rPr>
      </w:pPr>
      <w:r w:rsidRPr="00EF375E">
        <w:rPr>
          <w:rFonts w:cs="Arial"/>
          <w:color w:val="000000"/>
        </w:rPr>
        <w:t>One of the main positive points highlighted by the lecturer was the</w:t>
      </w:r>
      <w:r w:rsidRPr="00EF375E">
        <w:rPr>
          <w:rStyle w:val="apple-converted-space"/>
          <w:rFonts w:cs="Arial"/>
          <w:color w:val="000000"/>
        </w:rPr>
        <w:t> </w:t>
      </w:r>
      <w:r w:rsidRPr="00EF375E">
        <w:rPr>
          <w:rStyle w:val="Robust"/>
          <w:rFonts w:cs="Arial"/>
          <w:b w:val="0"/>
          <w:bCs w:val="0"/>
          <w:color w:val="000000"/>
        </w:rPr>
        <w:t>clarity and organisation</w:t>
      </w:r>
      <w:r w:rsidRPr="00EF375E">
        <w:rPr>
          <w:rStyle w:val="apple-converted-space"/>
          <w:rFonts w:cs="Arial"/>
          <w:b/>
          <w:bCs/>
          <w:color w:val="000000"/>
        </w:rPr>
        <w:t> </w:t>
      </w:r>
      <w:r w:rsidRPr="00EF375E">
        <w:rPr>
          <w:rFonts w:cs="Arial"/>
          <w:color w:val="000000"/>
        </w:rPr>
        <w:t xml:space="preserve">of the poster. The use of numbered sections was particularly appreciated, as it allowed the audience to follow the content in a logical sequence. This structural choice improved readability and helped ensure that each section of the project was easily identifiable. The lecturer also noted that the poster effectively </w:t>
      </w:r>
      <w:r w:rsidR="00D803FB">
        <w:rPr>
          <w:rFonts w:cs="Arial"/>
          <w:color w:val="000000"/>
        </w:rPr>
        <w:t>covered</w:t>
      </w:r>
      <w:r w:rsidRPr="00EF375E">
        <w:rPr>
          <w:rFonts w:cs="Arial"/>
          <w:color w:val="000000"/>
        </w:rPr>
        <w:t xml:space="preserve"> all the required components of the assignment, including project scope, work breakdown structure, stakeholder involvement, </w:t>
      </w:r>
      <w:r w:rsidR="006316D0">
        <w:rPr>
          <w:rFonts w:cs="Arial"/>
          <w:color w:val="000000"/>
        </w:rPr>
        <w:t>quad and gantt chart,</w:t>
      </w:r>
      <w:r w:rsidRPr="00EF375E">
        <w:rPr>
          <w:rFonts w:cs="Arial"/>
          <w:color w:val="000000"/>
        </w:rPr>
        <w:t xml:space="preserve">and risk assessment. This demonstrated that the essential elements of </w:t>
      </w:r>
      <w:r w:rsidR="00FF5DEF">
        <w:rPr>
          <w:rFonts w:cs="Arial"/>
          <w:color w:val="000000"/>
        </w:rPr>
        <w:t xml:space="preserve">academic ustensiles and </w:t>
      </w:r>
      <w:r w:rsidRPr="00EF375E">
        <w:rPr>
          <w:rFonts w:cs="Arial"/>
          <w:color w:val="000000"/>
        </w:rPr>
        <w:t>project management had been fully understood and correctly applied.</w:t>
      </w:r>
    </w:p>
    <w:p w14:paraId="014B6894" w14:textId="03295345" w:rsidR="00C465E4" w:rsidRDefault="00440EBA" w:rsidP="00C465E4">
      <w:pPr>
        <w:pBdr>
          <w:bottom w:val="single" w:sz="8" w:space="4" w:color="4472C4" w:themeColor="accent1"/>
        </w:pBdr>
        <w:spacing w:after="300" w:line="240" w:lineRule="auto"/>
        <w:contextualSpacing/>
        <w:rPr>
          <w:rFonts w:cs="Arial"/>
          <w:color w:val="000000"/>
        </w:rPr>
      </w:pPr>
      <w:r w:rsidRPr="00EF375E">
        <w:rPr>
          <w:rFonts w:cs="Arial"/>
          <w:color w:val="000000"/>
        </w:rPr>
        <w:t>Peers also provided encouraging feedback, particularly regarding the</w:t>
      </w:r>
      <w:r w:rsidRPr="00EF375E">
        <w:rPr>
          <w:rStyle w:val="apple-converted-space"/>
          <w:rFonts w:cs="Arial"/>
          <w:color w:val="000000"/>
        </w:rPr>
        <w:t> </w:t>
      </w:r>
      <w:r w:rsidRPr="00AE01D9">
        <w:rPr>
          <w:rStyle w:val="Robust"/>
          <w:rFonts w:cs="Arial"/>
          <w:b w:val="0"/>
          <w:bCs w:val="0"/>
          <w:color w:val="000000"/>
        </w:rPr>
        <w:t>clarity of the information</w:t>
      </w:r>
      <w:r w:rsidRPr="00AE01D9">
        <w:rPr>
          <w:rStyle w:val="apple-converted-space"/>
          <w:rFonts w:cs="Arial"/>
          <w:b/>
          <w:bCs/>
          <w:color w:val="000000"/>
        </w:rPr>
        <w:t> </w:t>
      </w:r>
      <w:r w:rsidRPr="00EF375E">
        <w:rPr>
          <w:rFonts w:cs="Arial"/>
          <w:color w:val="000000"/>
        </w:rPr>
        <w:t>presented. They mentioned that the explanations were straightforward, the structure was simple to follow, and the purpose of the project was well communicated. Several peers stated that the poster effectively conveyed the importance of reopening Highway 5 and restoring connectivity between communities. This positive response confirmed that the poster achieved its aim of communicating technical and contextual information in a clear and engaging way. The simplicity of the design and the logical sequence of content contributed to the overall accessibility of the presentation.However, both the lecturer and peers also made</w:t>
      </w:r>
      <w:r w:rsidRPr="00EF375E">
        <w:rPr>
          <w:rStyle w:val="apple-converted-space"/>
          <w:rFonts w:cs="Arial"/>
          <w:color w:val="000000"/>
        </w:rPr>
        <w:t> </w:t>
      </w:r>
      <w:r w:rsidRPr="00AE01D9">
        <w:rPr>
          <w:rStyle w:val="Robust"/>
          <w:rFonts w:cs="Arial"/>
          <w:b w:val="0"/>
          <w:bCs w:val="0"/>
          <w:color w:val="000000"/>
        </w:rPr>
        <w:t>constructive suggestions for improvement</w:t>
      </w:r>
      <w:r w:rsidRPr="00AE01D9">
        <w:rPr>
          <w:rFonts w:cs="Arial"/>
          <w:b/>
          <w:bCs/>
          <w:color w:val="000000"/>
        </w:rPr>
        <w:t xml:space="preserve">. </w:t>
      </w:r>
      <w:r w:rsidRPr="00EF375E">
        <w:rPr>
          <w:rFonts w:cs="Arial"/>
          <w:color w:val="000000"/>
        </w:rPr>
        <w:t>The lecturer recommended adding more</w:t>
      </w:r>
      <w:r w:rsidRPr="00EF375E">
        <w:rPr>
          <w:rStyle w:val="apple-converted-space"/>
          <w:rFonts w:cs="Arial"/>
          <w:color w:val="000000"/>
        </w:rPr>
        <w:t> </w:t>
      </w:r>
      <w:r w:rsidRPr="00AE01D9">
        <w:rPr>
          <w:rStyle w:val="Robust"/>
          <w:rFonts w:cs="Arial"/>
          <w:b w:val="0"/>
          <w:bCs w:val="0"/>
          <w:color w:val="000000"/>
        </w:rPr>
        <w:t>academic sources</w:t>
      </w:r>
      <w:r w:rsidRPr="00EF375E">
        <w:rPr>
          <w:rStyle w:val="apple-converted-space"/>
          <w:rFonts w:cs="Arial"/>
          <w:color w:val="000000"/>
        </w:rPr>
        <w:t> </w:t>
      </w:r>
      <w:r w:rsidRPr="00EF375E">
        <w:rPr>
          <w:rFonts w:cs="Arial"/>
          <w:color w:val="000000"/>
        </w:rPr>
        <w:t xml:space="preserve">to strengthen </w:t>
      </w:r>
      <w:r w:rsidR="009B0DCD">
        <w:rPr>
          <w:rFonts w:cs="Arial"/>
          <w:color w:val="000000"/>
        </w:rPr>
        <w:t>my poster.</w:t>
      </w:r>
      <w:r w:rsidRPr="00EF375E">
        <w:rPr>
          <w:rFonts w:cs="Arial"/>
          <w:color w:val="000000"/>
        </w:rPr>
        <w:t xml:space="preserve"> Although the poster already included credible references such as the Government of British Columbia (2022) and project management texts, it was suggested that additional </w:t>
      </w:r>
      <w:r w:rsidR="002F274C">
        <w:rPr>
          <w:rFonts w:cs="Arial"/>
          <w:color w:val="000000"/>
        </w:rPr>
        <w:t>academic</w:t>
      </w:r>
      <w:r w:rsidRPr="00EF375E">
        <w:rPr>
          <w:rFonts w:cs="Arial"/>
          <w:color w:val="000000"/>
        </w:rPr>
        <w:t xml:space="preserve"> sources would provide greater academic depth and support the arguments more effectively. In response, further literature on climate-resilient infrastructure, disaster recovery, and sustainable project management </w:t>
      </w:r>
      <w:r w:rsidR="000034B5">
        <w:rPr>
          <w:rFonts w:cs="Arial"/>
          <w:color w:val="000000"/>
        </w:rPr>
        <w:t>should</w:t>
      </w:r>
      <w:r w:rsidRPr="00EF375E">
        <w:rPr>
          <w:rFonts w:cs="Arial"/>
          <w:color w:val="000000"/>
        </w:rPr>
        <w:t xml:space="preserve"> be incorporated into the final </w:t>
      </w:r>
      <w:r w:rsidR="00EA32EE">
        <w:rPr>
          <w:rFonts w:cs="Arial"/>
          <w:color w:val="000000"/>
        </w:rPr>
        <w:t>poster</w:t>
      </w:r>
      <w:r w:rsidRPr="00EF375E">
        <w:rPr>
          <w:rFonts w:cs="Arial"/>
          <w:color w:val="000000"/>
        </w:rPr>
        <w:t>.The lecturer also advised presenting the</w:t>
      </w:r>
      <w:r w:rsidRPr="00EF375E">
        <w:rPr>
          <w:rStyle w:val="apple-converted-space"/>
          <w:rFonts w:cs="Arial"/>
          <w:color w:val="000000"/>
        </w:rPr>
        <w:t> </w:t>
      </w:r>
      <w:r w:rsidRPr="00AE01D9">
        <w:rPr>
          <w:rStyle w:val="Robust"/>
          <w:rFonts w:cs="Arial"/>
          <w:b w:val="0"/>
          <w:bCs w:val="0"/>
          <w:color w:val="000000"/>
        </w:rPr>
        <w:t>Quad Chart and Gantt Chart</w:t>
      </w:r>
      <w:r w:rsidRPr="00EF375E">
        <w:rPr>
          <w:rStyle w:val="apple-converted-space"/>
          <w:rFonts w:cs="Arial"/>
          <w:color w:val="000000"/>
        </w:rPr>
        <w:t> </w:t>
      </w:r>
      <w:r w:rsidRPr="00EF375E">
        <w:rPr>
          <w:rFonts w:cs="Arial"/>
          <w:color w:val="000000"/>
        </w:rPr>
        <w:t>in</w:t>
      </w:r>
      <w:r w:rsidRPr="00EF375E">
        <w:rPr>
          <w:rStyle w:val="apple-converted-space"/>
          <w:rFonts w:cs="Arial"/>
          <w:color w:val="000000"/>
        </w:rPr>
        <w:t> </w:t>
      </w:r>
      <w:r w:rsidRPr="00AE01D9">
        <w:rPr>
          <w:rStyle w:val="Robust"/>
          <w:rFonts w:cs="Arial"/>
          <w:b w:val="0"/>
          <w:bCs w:val="0"/>
          <w:color w:val="000000"/>
        </w:rPr>
        <w:t>table format</w:t>
      </w:r>
      <w:r w:rsidRPr="00AE01D9">
        <w:rPr>
          <w:rFonts w:cs="Arial"/>
          <w:b/>
          <w:bCs/>
          <w:color w:val="000000"/>
        </w:rPr>
        <w:t>.</w:t>
      </w:r>
      <w:r w:rsidRPr="00EF375E">
        <w:rPr>
          <w:rFonts w:cs="Arial"/>
          <w:color w:val="000000"/>
        </w:rPr>
        <w:t xml:space="preserve"> In the original version, these were described in text, but converting them into structured tables will make the information clearer and easier to interpret. This feedback will be applied by creating concise tables that visually display project phases, timelines, objectives, and outcomes.Reflecting on the feedback, it is evident that the poster successfully met the main requirements of the task, particularly in terms of structure, clarity, and content coverage. At the same time, the comments provided valuable insights into how the academic quality and presentation of information can be improved. The process of receiving and applying feedback has been an important learning experience, demonstrating the importance of continual refinement in academic and professional project work. </w:t>
      </w:r>
    </w:p>
    <w:p w14:paraId="54358568" w14:textId="77777777" w:rsidR="009D0670" w:rsidRDefault="009D0670" w:rsidP="00C465E4">
      <w:pPr>
        <w:pBdr>
          <w:bottom w:val="single" w:sz="8" w:space="4" w:color="4472C4" w:themeColor="accent1"/>
        </w:pBdr>
        <w:spacing w:after="300" w:line="240" w:lineRule="auto"/>
        <w:contextualSpacing/>
        <w:rPr>
          <w:rFonts w:eastAsiaTheme="majorEastAsia" w:cs="Arial"/>
          <w:b/>
          <w:bCs/>
          <w:color w:val="000000" w:themeColor="text1"/>
          <w:spacing w:val="5"/>
          <w:kern w:val="28"/>
          <w:sz w:val="30"/>
          <w:szCs w:val="30"/>
          <w:lang w:val="en-US" w:eastAsia="en-US"/>
          <w14:ligatures w14:val="none"/>
        </w:rPr>
      </w:pPr>
    </w:p>
    <w:p w14:paraId="09126679" w14:textId="77777777" w:rsidR="009D0670" w:rsidRDefault="009D0670" w:rsidP="00C465E4">
      <w:pPr>
        <w:pBdr>
          <w:bottom w:val="single" w:sz="8" w:space="4" w:color="4472C4" w:themeColor="accent1"/>
        </w:pBdr>
        <w:spacing w:after="300" w:line="240" w:lineRule="auto"/>
        <w:contextualSpacing/>
        <w:rPr>
          <w:rFonts w:eastAsiaTheme="majorEastAsia" w:cs="Arial"/>
          <w:b/>
          <w:bCs/>
          <w:color w:val="000000" w:themeColor="text1"/>
          <w:spacing w:val="5"/>
          <w:kern w:val="28"/>
          <w:sz w:val="30"/>
          <w:szCs w:val="30"/>
          <w:lang w:val="en-US" w:eastAsia="en-US"/>
          <w14:ligatures w14:val="none"/>
        </w:rPr>
      </w:pPr>
    </w:p>
    <w:p w14:paraId="56CEB515" w14:textId="77777777" w:rsidR="009D0670" w:rsidRDefault="009D0670" w:rsidP="00C465E4">
      <w:pPr>
        <w:pBdr>
          <w:bottom w:val="single" w:sz="8" w:space="4" w:color="4472C4" w:themeColor="accent1"/>
        </w:pBdr>
        <w:spacing w:after="300" w:line="240" w:lineRule="auto"/>
        <w:contextualSpacing/>
        <w:rPr>
          <w:rFonts w:eastAsiaTheme="majorEastAsia" w:cs="Arial"/>
          <w:b/>
          <w:bCs/>
          <w:color w:val="000000" w:themeColor="text1"/>
          <w:spacing w:val="5"/>
          <w:kern w:val="28"/>
          <w:sz w:val="30"/>
          <w:szCs w:val="30"/>
          <w:lang w:val="en-US" w:eastAsia="en-US"/>
          <w14:ligatures w14:val="none"/>
        </w:rPr>
      </w:pPr>
    </w:p>
    <w:p w14:paraId="20D1F4F4" w14:textId="77777777" w:rsidR="009D0670" w:rsidRDefault="009D0670" w:rsidP="00C465E4">
      <w:pPr>
        <w:pBdr>
          <w:bottom w:val="single" w:sz="8" w:space="4" w:color="4472C4" w:themeColor="accent1"/>
        </w:pBdr>
        <w:spacing w:after="300" w:line="240" w:lineRule="auto"/>
        <w:contextualSpacing/>
        <w:rPr>
          <w:rFonts w:eastAsiaTheme="majorEastAsia" w:cs="Arial"/>
          <w:b/>
          <w:bCs/>
          <w:color w:val="000000" w:themeColor="text1"/>
          <w:spacing w:val="5"/>
          <w:kern w:val="28"/>
          <w:sz w:val="30"/>
          <w:szCs w:val="30"/>
          <w:lang w:val="en-US" w:eastAsia="en-US"/>
          <w14:ligatures w14:val="none"/>
        </w:rPr>
      </w:pPr>
    </w:p>
    <w:p w14:paraId="0D458695" w14:textId="5305CE8E" w:rsidR="00D73869" w:rsidRPr="00C465E4" w:rsidRDefault="00D73869" w:rsidP="00C465E4">
      <w:pPr>
        <w:pBdr>
          <w:bottom w:val="single" w:sz="8" w:space="4" w:color="4472C4" w:themeColor="accent1"/>
        </w:pBdr>
        <w:spacing w:after="300" w:line="240" w:lineRule="auto"/>
        <w:contextualSpacing/>
        <w:rPr>
          <w:rFonts w:cs="Arial"/>
          <w:color w:val="000000"/>
        </w:rPr>
      </w:pPr>
      <w:r w:rsidRPr="00D10811">
        <w:rPr>
          <w:rFonts w:eastAsiaTheme="majorEastAsia" w:cs="Arial"/>
          <w:b/>
          <w:bCs/>
          <w:color w:val="000000" w:themeColor="text1"/>
          <w:spacing w:val="5"/>
          <w:kern w:val="28"/>
          <w:sz w:val="30"/>
          <w:szCs w:val="30"/>
          <w:lang w:val="en-US" w:eastAsia="en-US"/>
          <w14:ligatures w14:val="none"/>
        </w:rPr>
        <w:lastRenderedPageBreak/>
        <w:t>Project Management Plan: Reconstruction of Highway 5 after the 2022 British Columbia Floods</w:t>
      </w:r>
    </w:p>
    <w:p w14:paraId="3F48B78E" w14:textId="1028EB1E" w:rsidR="00D73869" w:rsidRPr="00FB4A95" w:rsidRDefault="00D73869" w:rsidP="00D73869">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FB4A95">
        <w:rPr>
          <w:rFonts w:eastAsiaTheme="majorEastAsia" w:cs="Arial"/>
          <w:color w:val="2F5496" w:themeColor="accent1" w:themeShade="BF"/>
          <w:kern w:val="0"/>
          <w:lang w:val="en-US" w:eastAsia="en-US"/>
          <w14:ligatures w14:val="none"/>
        </w:rPr>
        <w:t>1. Introduction</w:t>
      </w:r>
      <w:r w:rsidR="00CD7E7D" w:rsidRPr="00FB4A95">
        <w:rPr>
          <w:rFonts w:eastAsiaTheme="majorEastAsia" w:cs="Arial"/>
          <w:color w:val="2F5496" w:themeColor="accent1" w:themeShade="BF"/>
          <w:kern w:val="0"/>
          <w:lang w:val="en-US" w:eastAsia="en-US"/>
          <w14:ligatures w14:val="none"/>
        </w:rPr>
        <w:t>:</w:t>
      </w:r>
    </w:p>
    <w:p w14:paraId="4ACAE6F3" w14:textId="2FF298A4" w:rsidR="002E0C4A" w:rsidRDefault="00D73869" w:rsidP="002E0C4A">
      <w:pPr>
        <w:spacing w:before="100" w:beforeAutospacing="1" w:after="100" w:afterAutospacing="1" w:line="240" w:lineRule="auto"/>
        <w:rPr>
          <w:rFonts w:cs="Arial"/>
          <w:color w:val="000000"/>
          <w:kern w:val="0"/>
          <w14:ligatures w14:val="none"/>
        </w:rPr>
      </w:pPr>
      <w:r w:rsidRPr="00FB4A95">
        <w:rPr>
          <w:rFonts w:cs="Arial"/>
          <w:color w:val="000000"/>
          <w:kern w:val="0"/>
          <w14:ligatures w14:val="none"/>
        </w:rPr>
        <w:t>The 2022 floods in British Columbia, Canada, represented one of the most destructive natural disasters in the province’s recent history. Triggered by an atmospheric river, the flooding caused catastrophic damage to infrastructure, particularly along the Highway 5 corridor, which serves as the principal transportation route connecting the Lower Mainland to the rest of Canada. Landslides, bridge collapses, and road washouts not only disrupted economic activity but also isolated communities, hindered access to essential services, and caused significant financial losses for farmers, businesses, and public institutions (Government of British Columbia, 2022). The flooding exposed vulnerabilities in infrastructure design, emergency response, and disaster preparedness, highlighting the need for a comprehensive, resilient reconstruction strategy.The urgency of reopening and strengthening Highway 5 cannot be overstated. This corridor is critical not only for the movement of goods and services but also for ensuring public safety, supporting emergency response, and facilitating economic recovery. According to Barsley (2019), flood resilience in infrastructure requires not only immediate recovery measures but also long-term design strategies that minimise vulnerability to future events. Incorporating climate-resilient engineering, adaptive planning, and stakeholder engagement is essential to ensure that reconstructed infrastructure can withstand increasingly extreme weather events. The present project focuses on the reconstruction of Highway 5, integrating resilience principles to ensure that the corridor is restored safely, efficiently, and sustainably.Furthermore, the project considers socio-economic implications, recognizing that the closure of Highway 5 adversely affected multiple sectors, including agriculture, logistics, and tourism. A holistic reconstruction plan must therefore account for economic continuity, environmental protection, and social well-being. According to Ayyub (2018), resilient infrastructure projects are most successful when they incorporate both technical robustness and adaptive management approaches, which include planning for uncertainties and future climate scenarios.</w:t>
      </w:r>
    </w:p>
    <w:p w14:paraId="3985A835" w14:textId="77777777" w:rsidR="00202A5B" w:rsidRDefault="00D52DFD" w:rsidP="002E0C4A">
      <w:pPr>
        <w:spacing w:before="100" w:beforeAutospacing="1" w:after="100" w:afterAutospacing="1" w:line="240" w:lineRule="auto"/>
        <w:rPr>
          <w:rFonts w:eastAsiaTheme="majorEastAsia" w:cs="Arial"/>
          <w:color w:val="2F5496" w:themeColor="accent1" w:themeShade="BF"/>
          <w:kern w:val="0"/>
          <w:lang w:val="en-US" w:eastAsia="en-US"/>
          <w14:ligatures w14:val="none"/>
        </w:rPr>
      </w:pPr>
      <w:r w:rsidRPr="00FB4A95">
        <w:rPr>
          <w:rFonts w:eastAsiaTheme="majorEastAsia" w:cs="Arial"/>
          <w:color w:val="2F5496" w:themeColor="accent1" w:themeShade="BF"/>
          <w:kern w:val="0"/>
          <w:lang w:val="en-US" w:eastAsia="en-US"/>
          <w14:ligatures w14:val="none"/>
        </w:rPr>
        <w:t>2. Project Description</w:t>
      </w:r>
      <w:r w:rsidR="00576B4B">
        <w:rPr>
          <w:rFonts w:eastAsiaTheme="majorEastAsia" w:cs="Arial"/>
          <w:color w:val="2F5496" w:themeColor="accent1" w:themeShade="BF"/>
          <w:kern w:val="0"/>
          <w:lang w:val="en-US" w:eastAsia="en-US"/>
          <w14:ligatures w14:val="none"/>
        </w:rPr>
        <w:t>:</w:t>
      </w:r>
      <w:r w:rsidR="00100B25">
        <w:rPr>
          <w:rFonts w:eastAsiaTheme="majorEastAsia" w:cs="Arial"/>
          <w:color w:val="2F5496" w:themeColor="accent1" w:themeShade="BF"/>
          <w:kern w:val="0"/>
          <w:lang w:val="en-US" w:eastAsia="en-US"/>
          <w14:ligatures w14:val="none"/>
        </w:rPr>
        <w:t xml:space="preserve">                                                                                                                         </w:t>
      </w:r>
    </w:p>
    <w:p w14:paraId="720EEEEE" w14:textId="242BA5D5" w:rsidR="003D52F0" w:rsidRPr="002E0C4A" w:rsidRDefault="003D52F0" w:rsidP="002E0C4A">
      <w:pPr>
        <w:spacing w:before="100" w:beforeAutospacing="1" w:after="100" w:afterAutospacing="1" w:line="240" w:lineRule="auto"/>
        <w:rPr>
          <w:rFonts w:cs="Arial"/>
          <w:color w:val="000000"/>
          <w:kern w:val="0"/>
          <w14:ligatures w14:val="none"/>
        </w:rPr>
      </w:pPr>
      <w:r w:rsidRPr="00FB4A95">
        <w:rPr>
          <w:rFonts w:cs="Arial"/>
          <w:color w:val="000000"/>
        </w:rPr>
        <w:t>The proposed project involves the rebuilding and upgrading of Highway 5, including bridges, road segments, and slope stabilisation systems that were destroyed or damaged during the floods. The project will not only restore the corridor’s transportation functionality but also integrate climate-resilient design principles that increase the highway’s long-term durability against extreme weather events. Bridges and culverts will be redesigned to accommodate higher water flow, while slopes and embankments will be reinforced using modern geotechnical methods (Bastidas-Arteaga &amp; Stewart, 2019).</w:t>
      </w:r>
    </w:p>
    <w:p w14:paraId="41F1083D" w14:textId="77777777" w:rsidR="003D52F0" w:rsidRPr="00FB4A95" w:rsidRDefault="003D52F0">
      <w:pPr>
        <w:pStyle w:val="NormalWeb"/>
        <w:divId w:val="1601452390"/>
        <w:rPr>
          <w:rFonts w:asciiTheme="minorHAnsi" w:hAnsiTheme="minorHAnsi" w:cs="Arial"/>
          <w:color w:val="000000"/>
        </w:rPr>
      </w:pPr>
      <w:r w:rsidRPr="00FB4A95">
        <w:rPr>
          <w:rFonts w:asciiTheme="minorHAnsi" w:hAnsiTheme="minorHAnsi" w:cs="Arial"/>
          <w:color w:val="000000"/>
        </w:rPr>
        <w:t>Key project objectives include:</w:t>
      </w:r>
    </w:p>
    <w:p w14:paraId="56D5D5AA" w14:textId="77777777" w:rsidR="003D52F0" w:rsidRPr="00FB4A95" w:rsidRDefault="003D52F0">
      <w:pPr>
        <w:pStyle w:val="NormalWeb"/>
        <w:numPr>
          <w:ilvl w:val="0"/>
          <w:numId w:val="1"/>
        </w:numPr>
        <w:divId w:val="1601452390"/>
        <w:rPr>
          <w:rFonts w:asciiTheme="minorHAnsi" w:hAnsiTheme="minorHAnsi" w:cs="Arial"/>
          <w:color w:val="000000"/>
        </w:rPr>
      </w:pPr>
      <w:r w:rsidRPr="00FB4A95">
        <w:rPr>
          <w:rStyle w:val="Robust"/>
          <w:rFonts w:asciiTheme="minorHAnsi" w:hAnsiTheme="minorHAnsi" w:cs="Arial"/>
          <w:b w:val="0"/>
          <w:bCs w:val="0"/>
          <w:color w:val="000000"/>
        </w:rPr>
        <w:t>Restoration of transportation infrastructure:</w:t>
      </w:r>
      <w:r w:rsidRPr="00FB4A95">
        <w:rPr>
          <w:rStyle w:val="apple-converted-space"/>
          <w:rFonts w:asciiTheme="minorHAnsi" w:hAnsiTheme="minorHAnsi" w:cs="Arial"/>
          <w:color w:val="000000"/>
        </w:rPr>
        <w:t> </w:t>
      </w:r>
      <w:r w:rsidRPr="00FB4A95">
        <w:rPr>
          <w:rFonts w:asciiTheme="minorHAnsi" w:hAnsiTheme="minorHAnsi" w:cs="Arial"/>
          <w:color w:val="000000"/>
        </w:rPr>
        <w:t>Reconstruct damaged bridges, repair washed-out roads, and stabilise landslide-prone areas to restore full corridor functionality.</w:t>
      </w:r>
    </w:p>
    <w:p w14:paraId="6472BBDD" w14:textId="77777777" w:rsidR="003D52F0" w:rsidRPr="00FB4A95" w:rsidRDefault="003D52F0">
      <w:pPr>
        <w:pStyle w:val="NormalWeb"/>
        <w:numPr>
          <w:ilvl w:val="0"/>
          <w:numId w:val="1"/>
        </w:numPr>
        <w:divId w:val="1601452390"/>
        <w:rPr>
          <w:rFonts w:asciiTheme="minorHAnsi" w:hAnsiTheme="minorHAnsi" w:cs="Arial"/>
          <w:color w:val="000000"/>
        </w:rPr>
      </w:pPr>
      <w:r w:rsidRPr="00FB4A95">
        <w:rPr>
          <w:rStyle w:val="Robust"/>
          <w:rFonts w:asciiTheme="minorHAnsi" w:hAnsiTheme="minorHAnsi" w:cs="Arial"/>
          <w:b w:val="0"/>
          <w:bCs w:val="0"/>
          <w:color w:val="000000"/>
        </w:rPr>
        <w:lastRenderedPageBreak/>
        <w:t>Enhancement of resilience:</w:t>
      </w:r>
      <w:r w:rsidRPr="00FB4A95">
        <w:rPr>
          <w:rStyle w:val="apple-converted-space"/>
          <w:rFonts w:asciiTheme="minorHAnsi" w:hAnsiTheme="minorHAnsi" w:cs="Arial"/>
          <w:color w:val="000000"/>
        </w:rPr>
        <w:t> </w:t>
      </w:r>
      <w:r w:rsidRPr="00FB4A95">
        <w:rPr>
          <w:rFonts w:asciiTheme="minorHAnsi" w:hAnsiTheme="minorHAnsi" w:cs="Arial"/>
          <w:color w:val="000000"/>
        </w:rPr>
        <w:t>Integrate design features that reduce vulnerability to floods, landslides, and erosion, using a combination of structural reinforcement, drainage improvements, and slope stabilization techniques (Barsley, 2019).</w:t>
      </w:r>
    </w:p>
    <w:p w14:paraId="209DF6B6" w14:textId="77777777" w:rsidR="003D52F0" w:rsidRPr="00FB4A95" w:rsidRDefault="003D52F0">
      <w:pPr>
        <w:pStyle w:val="NormalWeb"/>
        <w:numPr>
          <w:ilvl w:val="0"/>
          <w:numId w:val="1"/>
        </w:numPr>
        <w:divId w:val="1601452390"/>
        <w:rPr>
          <w:rFonts w:asciiTheme="minorHAnsi" w:hAnsiTheme="minorHAnsi" w:cs="Arial"/>
          <w:color w:val="000000"/>
        </w:rPr>
      </w:pPr>
      <w:r w:rsidRPr="00FB4A95">
        <w:rPr>
          <w:rStyle w:val="Robust"/>
          <w:rFonts w:asciiTheme="minorHAnsi" w:hAnsiTheme="minorHAnsi" w:cs="Arial"/>
          <w:b w:val="0"/>
          <w:bCs w:val="0"/>
          <w:color w:val="000000"/>
        </w:rPr>
        <w:t>Economic recovery:</w:t>
      </w:r>
      <w:r w:rsidRPr="00FB4A95">
        <w:rPr>
          <w:rStyle w:val="apple-converted-space"/>
          <w:rFonts w:asciiTheme="minorHAnsi" w:hAnsiTheme="minorHAnsi" w:cs="Arial"/>
          <w:color w:val="000000"/>
        </w:rPr>
        <w:t> </w:t>
      </w:r>
      <w:r w:rsidRPr="00FB4A95">
        <w:rPr>
          <w:rFonts w:asciiTheme="minorHAnsi" w:hAnsiTheme="minorHAnsi" w:cs="Arial"/>
          <w:color w:val="000000"/>
        </w:rPr>
        <w:t>Facilitate the timely movement of goods and services to reduce financial losses across multiple sectors affected by the highway closure.</w:t>
      </w:r>
    </w:p>
    <w:p w14:paraId="670E6D65" w14:textId="77777777" w:rsidR="003D52F0" w:rsidRPr="00FB4A95" w:rsidRDefault="003D52F0">
      <w:pPr>
        <w:pStyle w:val="NormalWeb"/>
        <w:numPr>
          <w:ilvl w:val="0"/>
          <w:numId w:val="1"/>
        </w:numPr>
        <w:divId w:val="1601452390"/>
        <w:rPr>
          <w:rFonts w:asciiTheme="minorHAnsi" w:hAnsiTheme="minorHAnsi" w:cs="Arial"/>
          <w:color w:val="000000"/>
        </w:rPr>
      </w:pPr>
      <w:r w:rsidRPr="00FB4A95">
        <w:rPr>
          <w:rStyle w:val="Robust"/>
          <w:rFonts w:asciiTheme="minorHAnsi" w:hAnsiTheme="minorHAnsi" w:cs="Arial"/>
          <w:b w:val="0"/>
          <w:bCs w:val="0"/>
          <w:color w:val="000000"/>
        </w:rPr>
        <w:t>Stakeholder engagement:</w:t>
      </w:r>
      <w:r w:rsidRPr="00FB4A95">
        <w:rPr>
          <w:rStyle w:val="apple-converted-space"/>
          <w:rFonts w:asciiTheme="minorHAnsi" w:hAnsiTheme="minorHAnsi" w:cs="Arial"/>
          <w:color w:val="000000"/>
        </w:rPr>
        <w:t> </w:t>
      </w:r>
      <w:r w:rsidRPr="00FB4A95">
        <w:rPr>
          <w:rFonts w:asciiTheme="minorHAnsi" w:hAnsiTheme="minorHAnsi" w:cs="Arial"/>
          <w:color w:val="000000"/>
        </w:rPr>
        <w:t>Implement inclusive planning with Indigenous communities, local municipalities, commercial stakeholders, and the general public to ensure the project reflects local needs and priorities.</w:t>
      </w:r>
    </w:p>
    <w:p w14:paraId="2F87AE42" w14:textId="77777777" w:rsidR="003D52F0" w:rsidRPr="00FB4A95" w:rsidRDefault="003D52F0">
      <w:pPr>
        <w:pStyle w:val="NormalWeb"/>
        <w:numPr>
          <w:ilvl w:val="0"/>
          <w:numId w:val="1"/>
        </w:numPr>
        <w:divId w:val="1601452390"/>
        <w:rPr>
          <w:rFonts w:asciiTheme="minorHAnsi" w:hAnsiTheme="minorHAnsi" w:cs="Arial"/>
          <w:color w:val="000000"/>
        </w:rPr>
      </w:pPr>
      <w:r w:rsidRPr="00FB4A95">
        <w:rPr>
          <w:rStyle w:val="Robust"/>
          <w:rFonts w:asciiTheme="minorHAnsi" w:hAnsiTheme="minorHAnsi" w:cs="Arial"/>
          <w:b w:val="0"/>
          <w:bCs w:val="0"/>
          <w:color w:val="000000"/>
        </w:rPr>
        <w:t>Environmental stewardship:</w:t>
      </w:r>
      <w:r w:rsidRPr="00FB4A95">
        <w:rPr>
          <w:rStyle w:val="apple-converted-space"/>
          <w:rFonts w:asciiTheme="minorHAnsi" w:hAnsiTheme="minorHAnsi" w:cs="Arial"/>
          <w:color w:val="000000"/>
        </w:rPr>
        <w:t> </w:t>
      </w:r>
      <w:r w:rsidRPr="00FB4A95">
        <w:rPr>
          <w:rFonts w:asciiTheme="minorHAnsi" w:hAnsiTheme="minorHAnsi" w:cs="Arial"/>
          <w:color w:val="000000"/>
        </w:rPr>
        <w:t>Conduct environmental impact assessments and integrate sustainable practices, including erosion control, habitat protection, and use of low-carbon construction materials (Hamin Infield et al., 2019).</w:t>
      </w:r>
    </w:p>
    <w:p w14:paraId="0334E968" w14:textId="77777777" w:rsidR="003D52F0" w:rsidRPr="00FB4A95" w:rsidRDefault="003D52F0">
      <w:pPr>
        <w:pStyle w:val="NormalWeb"/>
        <w:divId w:val="1601452390"/>
        <w:rPr>
          <w:rFonts w:asciiTheme="minorHAnsi" w:hAnsiTheme="minorHAnsi" w:cs="Arial"/>
          <w:color w:val="000000"/>
        </w:rPr>
      </w:pPr>
      <w:r w:rsidRPr="00FB4A95">
        <w:rPr>
          <w:rFonts w:asciiTheme="minorHAnsi" w:hAnsiTheme="minorHAnsi" w:cs="Arial"/>
          <w:color w:val="000000"/>
        </w:rPr>
        <w:t>The project will adopt the PMBOK framework for project management (Project Management Institute, 2021), ensuring structured planning, execution, and monitoring phases. Risk-based decision-making will guide the prioritization of construction activities, while contingency measures will address uncertainties in environmental conditions and material availability.</w:t>
      </w:r>
    </w:p>
    <w:p w14:paraId="300E1443" w14:textId="02018A72" w:rsidR="00EA3B4A" w:rsidRPr="00576B4B" w:rsidRDefault="00EA3B4A" w:rsidP="00EA3B4A">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576B4B">
        <w:rPr>
          <w:rFonts w:eastAsiaTheme="majorEastAsia" w:cs="Arial"/>
          <w:color w:val="2F5496" w:themeColor="accent1" w:themeShade="BF"/>
          <w:kern w:val="0"/>
          <w:lang w:val="en-US" w:eastAsia="en-US"/>
          <w14:ligatures w14:val="none"/>
        </w:rPr>
        <w:t>3. Scope</w:t>
      </w:r>
      <w:r w:rsidR="00CD7E7D" w:rsidRPr="00576B4B">
        <w:rPr>
          <w:rFonts w:eastAsiaTheme="majorEastAsia" w:cs="Arial"/>
          <w:color w:val="2F5496" w:themeColor="accent1" w:themeShade="BF"/>
          <w:kern w:val="0"/>
          <w:lang w:val="en-US" w:eastAsia="en-US"/>
          <w14:ligatures w14:val="none"/>
        </w:rPr>
        <w:t>:</w:t>
      </w:r>
    </w:p>
    <w:p w14:paraId="7D7BA1F0" w14:textId="77777777" w:rsidR="00643FBA" w:rsidRPr="00576B4B" w:rsidRDefault="00643FBA" w:rsidP="00643FBA">
      <w:pPr>
        <w:spacing w:before="100" w:beforeAutospacing="1" w:after="100" w:afterAutospacing="1" w:line="240" w:lineRule="auto"/>
        <w:outlineLvl w:val="2"/>
        <w:divId w:val="948701978"/>
        <w:rPr>
          <w:rFonts w:eastAsia="Times New Roman" w:cs="Arial"/>
          <w:color w:val="000000"/>
          <w:kern w:val="0"/>
          <w14:ligatures w14:val="none"/>
        </w:rPr>
      </w:pPr>
      <w:r w:rsidRPr="00576B4B">
        <w:rPr>
          <w:rFonts w:eastAsia="Times New Roman" w:cs="Arial"/>
          <w:color w:val="000000"/>
          <w:kern w:val="0"/>
          <w14:ligatures w14:val="none"/>
        </w:rPr>
        <w:t>3.1 In-Scope Activities</w:t>
      </w:r>
    </w:p>
    <w:p w14:paraId="0B006DA6" w14:textId="77777777" w:rsidR="00643FBA" w:rsidRPr="00576B4B" w:rsidRDefault="00643FBA" w:rsidP="00643FBA">
      <w:p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The project scope includes:</w:t>
      </w:r>
    </w:p>
    <w:p w14:paraId="2A7B3DB7"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Reconstruction of collapsed bridges and overpasses along Highway 5.</w:t>
      </w:r>
    </w:p>
    <w:p w14:paraId="54FB6919"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Pavement repairs and full resurfacing of damaged road sections.</w:t>
      </w:r>
    </w:p>
    <w:p w14:paraId="4BFBD932"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Drainage and culvert improvements to accommodate increased precipitation.</w:t>
      </w:r>
    </w:p>
    <w:p w14:paraId="17C82956"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Stabilization of slopes and embankments to prevent future landslides.</w:t>
      </w:r>
    </w:p>
    <w:p w14:paraId="74E6775F"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Design and implementation of climate-resilient measures, including adaptive structural elements and materials.</w:t>
      </w:r>
    </w:p>
    <w:p w14:paraId="487E5B04"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Stakeholder consultation and public engagement activities.</w:t>
      </w:r>
    </w:p>
    <w:p w14:paraId="32768AAF"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Compliance with environmental and construction regulations.</w:t>
      </w:r>
    </w:p>
    <w:p w14:paraId="08B33A70"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Post-construction monitoring and maintenance planning.</w:t>
      </w:r>
    </w:p>
    <w:p w14:paraId="5ED58C83" w14:textId="77777777" w:rsidR="00643FBA" w:rsidRPr="00576B4B" w:rsidRDefault="00643FBA" w:rsidP="00643FBA">
      <w:pPr>
        <w:spacing w:before="100" w:beforeAutospacing="1" w:after="100" w:afterAutospacing="1" w:line="240" w:lineRule="auto"/>
        <w:outlineLvl w:val="2"/>
        <w:divId w:val="948701978"/>
        <w:rPr>
          <w:rFonts w:eastAsia="Times New Roman" w:cs="Arial"/>
          <w:color w:val="000000"/>
          <w:kern w:val="0"/>
          <w14:ligatures w14:val="none"/>
        </w:rPr>
      </w:pPr>
      <w:r w:rsidRPr="00576B4B">
        <w:rPr>
          <w:rFonts w:eastAsia="Times New Roman" w:cs="Arial"/>
          <w:color w:val="000000"/>
          <w:kern w:val="0"/>
          <w14:ligatures w14:val="none"/>
        </w:rPr>
        <w:t>3.2 Out-of-Scope Activities</w:t>
      </w:r>
    </w:p>
    <w:p w14:paraId="417C75C6" w14:textId="77777777" w:rsidR="00643FBA" w:rsidRPr="00576B4B" w:rsidRDefault="00643FBA" w:rsidP="00643FBA">
      <w:pPr>
        <w:numPr>
          <w:ilvl w:val="0"/>
          <w:numId w:val="3"/>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Reconstruction of unrelated local roads outside Highway 5.</w:t>
      </w:r>
    </w:p>
    <w:p w14:paraId="5EBF1441" w14:textId="77777777" w:rsidR="00643FBA" w:rsidRPr="00576B4B" w:rsidRDefault="00643FBA" w:rsidP="00643FBA">
      <w:pPr>
        <w:numPr>
          <w:ilvl w:val="0"/>
          <w:numId w:val="3"/>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Compensation for private property losses unrelated to highway reconstruction.</w:t>
      </w:r>
    </w:p>
    <w:p w14:paraId="6378EDF5" w14:textId="77777777" w:rsidR="00643FBA" w:rsidRPr="00576B4B" w:rsidRDefault="00643FBA" w:rsidP="00643FBA">
      <w:pPr>
        <w:numPr>
          <w:ilvl w:val="0"/>
          <w:numId w:val="3"/>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Long-term urban planning or economic development outside the immediate corridor.</w:t>
      </w:r>
    </w:p>
    <w:p w14:paraId="314DC2DF" w14:textId="77777777" w:rsidR="00643FBA" w:rsidRPr="00576B4B" w:rsidRDefault="00643FBA" w:rsidP="00643FBA">
      <w:pPr>
        <w:spacing w:before="100" w:beforeAutospacing="1" w:after="100" w:afterAutospacing="1" w:line="240" w:lineRule="auto"/>
        <w:outlineLvl w:val="2"/>
        <w:divId w:val="948701978"/>
        <w:rPr>
          <w:rFonts w:eastAsia="Times New Roman" w:cs="Arial"/>
          <w:color w:val="000000"/>
          <w:kern w:val="0"/>
          <w14:ligatures w14:val="none"/>
        </w:rPr>
      </w:pPr>
      <w:r w:rsidRPr="00576B4B">
        <w:rPr>
          <w:rFonts w:eastAsia="Times New Roman" w:cs="Arial"/>
          <w:color w:val="000000"/>
          <w:kern w:val="0"/>
          <w14:ligatures w14:val="none"/>
        </w:rPr>
        <w:t>3.3 Deliverables</w:t>
      </w:r>
    </w:p>
    <w:p w14:paraId="0F39A9F3" w14:textId="77777777" w:rsidR="00643FBA" w:rsidRPr="00576B4B" w:rsidRDefault="00643FBA" w:rsidP="00643FBA">
      <w:pPr>
        <w:numPr>
          <w:ilvl w:val="0"/>
          <w:numId w:val="4"/>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Fully restored Highway 5 with operational traffic lanes.</w:t>
      </w:r>
    </w:p>
    <w:p w14:paraId="323986F3" w14:textId="77777777" w:rsidR="00643FBA" w:rsidRPr="00576B4B" w:rsidRDefault="00643FBA" w:rsidP="00643FBA">
      <w:pPr>
        <w:numPr>
          <w:ilvl w:val="0"/>
          <w:numId w:val="4"/>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Reconstructed bridges with climate-adaptive designs.</w:t>
      </w:r>
    </w:p>
    <w:p w14:paraId="63FAF08A" w14:textId="77777777" w:rsidR="00643FBA" w:rsidRPr="00576B4B" w:rsidRDefault="00643FBA" w:rsidP="00643FBA">
      <w:pPr>
        <w:numPr>
          <w:ilvl w:val="0"/>
          <w:numId w:val="4"/>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Functional drainage and slope stabilization systems.</w:t>
      </w:r>
    </w:p>
    <w:p w14:paraId="2CEADD4A" w14:textId="77777777" w:rsidR="00643FBA" w:rsidRPr="00576B4B" w:rsidRDefault="00643FBA" w:rsidP="00643FBA">
      <w:pPr>
        <w:numPr>
          <w:ilvl w:val="0"/>
          <w:numId w:val="4"/>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Stakeholder engagement reports and environmental compliance documentation.</w:t>
      </w:r>
    </w:p>
    <w:p w14:paraId="49381CB9" w14:textId="77777777" w:rsidR="00643FBA" w:rsidRPr="00576B4B" w:rsidRDefault="00643FBA" w:rsidP="00643FBA">
      <w:pPr>
        <w:numPr>
          <w:ilvl w:val="0"/>
          <w:numId w:val="4"/>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lastRenderedPageBreak/>
        <w:t>Post-construction monitoring framework.</w:t>
      </w:r>
    </w:p>
    <w:p w14:paraId="54D87941" w14:textId="0DEC0143" w:rsidR="00FD1FB8" w:rsidRPr="00576B4B" w:rsidRDefault="00FD1FB8" w:rsidP="00FD1FB8">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576B4B">
        <w:rPr>
          <w:rFonts w:eastAsiaTheme="majorEastAsia" w:cs="Arial"/>
          <w:color w:val="2F5496" w:themeColor="accent1" w:themeShade="BF"/>
          <w:kern w:val="0"/>
          <w:lang w:val="en-US" w:eastAsia="en-US"/>
          <w14:ligatures w14:val="none"/>
        </w:rPr>
        <w:t>4. Work Breakdown Structure:</w:t>
      </w:r>
    </w:p>
    <w:p w14:paraId="68621119" w14:textId="77777777" w:rsidR="00746F23" w:rsidRPr="00576B4B" w:rsidRDefault="00746F23" w:rsidP="00746F23">
      <w:pPr>
        <w:spacing w:before="100" w:beforeAutospacing="1" w:after="100" w:afterAutospacing="1" w:line="240" w:lineRule="auto"/>
        <w:divId w:val="1877306966"/>
        <w:rPr>
          <w:rFonts w:cs="Arial"/>
          <w:color w:val="000000"/>
          <w:kern w:val="0"/>
          <w14:ligatures w14:val="none"/>
        </w:rPr>
      </w:pPr>
      <w:r w:rsidRPr="00576B4B">
        <w:rPr>
          <w:rFonts w:cs="Arial"/>
          <w:color w:val="000000"/>
          <w:kern w:val="0"/>
          <w14:ligatures w14:val="none"/>
        </w:rPr>
        <w:t>The Work Breakdown Structure (WBS) divides the project into manageable components, facilitating task management, resource allocation, and progress tracking. According to Hamin Infield et al. (2019), a structured WBS ensures clarity in responsibilities, reduces ambiguity, and improves efficiency.</w:t>
      </w:r>
    </w:p>
    <w:p w14:paraId="1536DB81" w14:textId="64923E68" w:rsidR="00746F23" w:rsidRPr="00FB4A95" w:rsidRDefault="00746F23" w:rsidP="00746F23">
      <w:pPr>
        <w:spacing w:before="100" w:beforeAutospacing="1" w:after="100" w:afterAutospacing="1" w:line="240" w:lineRule="auto"/>
        <w:divId w:val="1877306966"/>
        <w:rPr>
          <w:rFonts w:cs="Arial"/>
          <w:color w:val="000000"/>
          <w:kern w:val="0"/>
          <w14:ligatures w14:val="none"/>
        </w:rPr>
      </w:pPr>
      <w:r w:rsidRPr="00FB4A95">
        <w:rPr>
          <w:rFonts w:cs="Arial"/>
          <w:color w:val="000000"/>
          <w:kern w:val="0"/>
          <w14:ligatures w14:val="none"/>
        </w:rPr>
        <w:t>Figure 1: Work Breakdown Structure (WBS)</w:t>
      </w:r>
    </w:p>
    <w:tbl>
      <w:tblPr>
        <w:tblStyle w:val="Tabelgril5ntunecat-Accentuare6"/>
        <w:tblW w:w="0" w:type="auto"/>
        <w:tblLook w:val="04A0" w:firstRow="1" w:lastRow="0" w:firstColumn="1" w:lastColumn="0" w:noHBand="0" w:noVBand="1"/>
      </w:tblPr>
      <w:tblGrid>
        <w:gridCol w:w="717"/>
        <w:gridCol w:w="2763"/>
      </w:tblGrid>
      <w:tr w:rsidR="00746F23" w:rsidRPr="00FB4A95" w14:paraId="723DB3AE" w14:textId="77777777" w:rsidTr="00915EB8">
        <w:trPr>
          <w:cnfStyle w:val="100000000000" w:firstRow="1" w:lastRow="0" w:firstColumn="0" w:lastColumn="0" w:oddVBand="0" w:evenVBand="0" w:oddHBand="0"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748F9B28" w14:textId="77777777" w:rsidR="00746F23" w:rsidRPr="00FB4A95" w:rsidRDefault="00746F23" w:rsidP="00746F23">
            <w:pPr>
              <w:jc w:val="center"/>
              <w:rPr>
                <w:rFonts w:eastAsia="Times New Roman" w:cs="Arial"/>
                <w:b w:val="0"/>
                <w:bCs w:val="0"/>
                <w:kern w:val="0"/>
                <w14:ligatures w14:val="none"/>
              </w:rPr>
            </w:pPr>
            <w:r w:rsidRPr="00FB4A95">
              <w:rPr>
                <w:rFonts w:eastAsia="Times New Roman" w:cs="Arial"/>
                <w:b w:val="0"/>
                <w:bCs w:val="0"/>
                <w:kern w:val="0"/>
                <w14:ligatures w14:val="none"/>
              </w:rPr>
              <w:t>Code</w:t>
            </w:r>
          </w:p>
        </w:tc>
        <w:tc>
          <w:tcPr>
            <w:tcW w:w="0" w:type="auto"/>
            <w:hideMark/>
          </w:tcPr>
          <w:p w14:paraId="44404FAF" w14:textId="77777777" w:rsidR="00746F23" w:rsidRPr="00FB4A95" w:rsidRDefault="00746F23" w:rsidP="00746F23">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FB4A95">
              <w:rPr>
                <w:rFonts w:eastAsia="Times New Roman" w:cs="Arial"/>
                <w:b w:val="0"/>
                <w:bCs w:val="0"/>
                <w:kern w:val="0"/>
                <w14:ligatures w14:val="none"/>
              </w:rPr>
              <w:t>Task</w:t>
            </w:r>
          </w:p>
        </w:tc>
      </w:tr>
      <w:tr w:rsidR="00746F23" w:rsidRPr="00FB4A95" w14:paraId="1D3C98FB"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44230283"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1.0</w:t>
            </w:r>
          </w:p>
        </w:tc>
        <w:tc>
          <w:tcPr>
            <w:tcW w:w="0" w:type="auto"/>
            <w:hideMark/>
          </w:tcPr>
          <w:p w14:paraId="0E242F70"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Highway 5 Reconstruction</w:t>
            </w:r>
          </w:p>
        </w:tc>
      </w:tr>
      <w:tr w:rsidR="00746F23" w:rsidRPr="00FB4A95" w14:paraId="5FDFE1FB"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38C59EFD"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1.1</w:t>
            </w:r>
          </w:p>
        </w:tc>
        <w:tc>
          <w:tcPr>
            <w:tcW w:w="0" w:type="auto"/>
            <w:hideMark/>
          </w:tcPr>
          <w:p w14:paraId="10712688"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Planning</w:t>
            </w:r>
          </w:p>
        </w:tc>
      </w:tr>
      <w:tr w:rsidR="00746F23" w:rsidRPr="00FB4A95" w14:paraId="0F7F7796"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2AED4B54"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1.1.1</w:t>
            </w:r>
          </w:p>
        </w:tc>
        <w:tc>
          <w:tcPr>
            <w:tcW w:w="0" w:type="auto"/>
            <w:hideMark/>
          </w:tcPr>
          <w:p w14:paraId="6C6F93A1"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Feasibility Study</w:t>
            </w:r>
          </w:p>
        </w:tc>
      </w:tr>
      <w:tr w:rsidR="00746F23" w:rsidRPr="00FB4A95" w14:paraId="2378CE77"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281B5EC8"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1.1.2</w:t>
            </w:r>
          </w:p>
        </w:tc>
        <w:tc>
          <w:tcPr>
            <w:tcW w:w="0" w:type="auto"/>
            <w:hideMark/>
          </w:tcPr>
          <w:p w14:paraId="3D0FD55B"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Stakeholder Consultation</w:t>
            </w:r>
          </w:p>
        </w:tc>
      </w:tr>
      <w:tr w:rsidR="00746F23" w:rsidRPr="00FB4A95" w14:paraId="7A0EB765"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6C956CDE"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1.2</w:t>
            </w:r>
          </w:p>
        </w:tc>
        <w:tc>
          <w:tcPr>
            <w:tcW w:w="0" w:type="auto"/>
            <w:hideMark/>
          </w:tcPr>
          <w:p w14:paraId="3B7E5EFC"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Design</w:t>
            </w:r>
          </w:p>
        </w:tc>
      </w:tr>
      <w:tr w:rsidR="00746F23" w:rsidRPr="00FB4A95" w14:paraId="60034417"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219E9355"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1.2.1</w:t>
            </w:r>
          </w:p>
        </w:tc>
        <w:tc>
          <w:tcPr>
            <w:tcW w:w="0" w:type="auto"/>
            <w:hideMark/>
          </w:tcPr>
          <w:p w14:paraId="5B86DE19"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Bridge Design</w:t>
            </w:r>
          </w:p>
        </w:tc>
      </w:tr>
      <w:tr w:rsidR="00746F23" w:rsidRPr="00FB4A95" w14:paraId="0F7B7434"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78580C7B"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1.2.2</w:t>
            </w:r>
          </w:p>
        </w:tc>
        <w:tc>
          <w:tcPr>
            <w:tcW w:w="0" w:type="auto"/>
            <w:hideMark/>
          </w:tcPr>
          <w:p w14:paraId="64E3BAA0"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Road Alignment</w:t>
            </w:r>
          </w:p>
        </w:tc>
      </w:tr>
      <w:tr w:rsidR="00746F23" w:rsidRPr="00FB4A95" w14:paraId="1C77B7F4"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0E25ADD5"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1.3</w:t>
            </w:r>
          </w:p>
        </w:tc>
        <w:tc>
          <w:tcPr>
            <w:tcW w:w="0" w:type="auto"/>
            <w:hideMark/>
          </w:tcPr>
          <w:p w14:paraId="568A8E08"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Construction</w:t>
            </w:r>
          </w:p>
        </w:tc>
      </w:tr>
      <w:tr w:rsidR="00746F23" w:rsidRPr="00FB4A95" w14:paraId="18724AB7"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37D8C676"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1.3.1</w:t>
            </w:r>
          </w:p>
        </w:tc>
        <w:tc>
          <w:tcPr>
            <w:tcW w:w="0" w:type="auto"/>
            <w:hideMark/>
          </w:tcPr>
          <w:p w14:paraId="124266E6"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Bridge Construction</w:t>
            </w:r>
          </w:p>
        </w:tc>
      </w:tr>
      <w:tr w:rsidR="00746F23" w:rsidRPr="00FB4A95" w14:paraId="78E888AE"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73A91B0E"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1.3.2</w:t>
            </w:r>
          </w:p>
        </w:tc>
        <w:tc>
          <w:tcPr>
            <w:tcW w:w="0" w:type="auto"/>
            <w:hideMark/>
          </w:tcPr>
          <w:p w14:paraId="397FDA5A"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Road Paving</w:t>
            </w:r>
          </w:p>
        </w:tc>
      </w:tr>
      <w:tr w:rsidR="00746F23" w:rsidRPr="00FB4A95" w14:paraId="58E68EAE"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0BD08130"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1.3.3</w:t>
            </w:r>
          </w:p>
        </w:tc>
        <w:tc>
          <w:tcPr>
            <w:tcW w:w="0" w:type="auto"/>
            <w:hideMark/>
          </w:tcPr>
          <w:p w14:paraId="58F8B938"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Slope Stabilisation</w:t>
            </w:r>
          </w:p>
        </w:tc>
      </w:tr>
      <w:tr w:rsidR="00746F23" w:rsidRPr="00FB4A95" w14:paraId="7ACE2DEE"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1FFC9449"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1.4</w:t>
            </w:r>
          </w:p>
        </w:tc>
        <w:tc>
          <w:tcPr>
            <w:tcW w:w="0" w:type="auto"/>
            <w:hideMark/>
          </w:tcPr>
          <w:p w14:paraId="37D17DA6"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Monitoring &amp; Closure</w:t>
            </w:r>
          </w:p>
        </w:tc>
      </w:tr>
      <w:tr w:rsidR="00746F23" w:rsidRPr="00FB4A95" w14:paraId="5614F085"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52C5017D"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1.4.1</w:t>
            </w:r>
          </w:p>
        </w:tc>
        <w:tc>
          <w:tcPr>
            <w:tcW w:w="0" w:type="auto"/>
            <w:hideMark/>
          </w:tcPr>
          <w:p w14:paraId="6AD7062E"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Quality Assurance</w:t>
            </w:r>
          </w:p>
        </w:tc>
      </w:tr>
      <w:tr w:rsidR="00746F23" w:rsidRPr="00FB4A95" w14:paraId="20679D1A"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7C5C0809"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1.4.2</w:t>
            </w:r>
          </w:p>
        </w:tc>
        <w:tc>
          <w:tcPr>
            <w:tcW w:w="0" w:type="auto"/>
            <w:hideMark/>
          </w:tcPr>
          <w:p w14:paraId="71AD4CC9"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Final Handover</w:t>
            </w:r>
          </w:p>
        </w:tc>
      </w:tr>
    </w:tbl>
    <w:p w14:paraId="4202BF71" w14:textId="77777777" w:rsidR="00746F23" w:rsidRPr="00E10485" w:rsidRDefault="00746F23" w:rsidP="00746F23">
      <w:pPr>
        <w:spacing w:before="100" w:beforeAutospacing="1" w:after="100" w:afterAutospacing="1" w:line="240" w:lineRule="auto"/>
        <w:divId w:val="1877306966"/>
        <w:rPr>
          <w:rFonts w:cs="Arial"/>
          <w:color w:val="000000"/>
          <w:kern w:val="0"/>
          <w14:ligatures w14:val="none"/>
        </w:rPr>
      </w:pPr>
      <w:r w:rsidRPr="00E10485">
        <w:rPr>
          <w:rFonts w:cs="Arial"/>
          <w:color w:val="000000"/>
          <w:kern w:val="0"/>
          <w14:ligatures w14:val="none"/>
        </w:rPr>
        <w:t>Caption: Figure 1: Work Breakdown Structure (WBS) for the Highway 5 Reconstruction Project.</w:t>
      </w:r>
    </w:p>
    <w:p w14:paraId="36C7D1A2" w14:textId="53ABADF3" w:rsidR="00131D57" w:rsidRPr="004B31A8" w:rsidRDefault="00746F23">
      <w:pPr>
        <w:pStyle w:val="NormalWeb"/>
        <w:divId w:val="1217620170"/>
        <w:rPr>
          <w:rFonts w:asciiTheme="minorHAnsi" w:hAnsiTheme="minorHAnsi"/>
          <w:color w:val="000000"/>
        </w:rPr>
      </w:pPr>
      <w:r w:rsidRPr="004B31A8">
        <w:rPr>
          <w:rFonts w:asciiTheme="minorHAnsi" w:hAnsiTheme="minorHAnsi" w:cs="Arial"/>
          <w:color w:val="000000"/>
        </w:rPr>
        <w:t>This WBS allows for task sequencing, assignment of responsibilities, and detailed cost estimation. Dependencies between tasks, such as design completion before construction, are explicitly identified to avoid delays.</w:t>
      </w:r>
      <w:r w:rsidR="00131D57" w:rsidRPr="004B31A8">
        <w:rPr>
          <w:rFonts w:asciiTheme="minorHAnsi" w:hAnsiTheme="minorHAnsi"/>
          <w:color w:val="000000"/>
        </w:rPr>
        <w:t xml:space="preserve"> Furthermore, the WBS supports integration across multiple teams by clearly linking each deliverable to the wider project goals. As noted by the Project Management Institute (2021), a well-defined WBS helps ensure that every task contributes directly to the project’s scope and prevents unnecessary work that could increase costs or extend the schedule. In the context of the Highway 5 Reconstruction Project, the WBS provides a foundation for coordinating engineers, environmental specialists, construction crews, and government stakeholders.</w:t>
      </w:r>
    </w:p>
    <w:p w14:paraId="2AC20A2C" w14:textId="77777777" w:rsidR="00131D57" w:rsidRPr="004B31A8" w:rsidRDefault="00131D57">
      <w:pPr>
        <w:pStyle w:val="NormalWeb"/>
        <w:divId w:val="1217620170"/>
        <w:rPr>
          <w:rFonts w:asciiTheme="minorHAnsi" w:hAnsiTheme="minorHAnsi"/>
          <w:color w:val="000000"/>
        </w:rPr>
      </w:pPr>
      <w:r w:rsidRPr="004B31A8">
        <w:rPr>
          <w:rFonts w:asciiTheme="minorHAnsi" w:hAnsiTheme="minorHAnsi"/>
          <w:color w:val="000000"/>
        </w:rPr>
        <w:t>The hierarchical breakdown also assists in risk identification. For example, separating the construction activities into bridge works, paving, and slope stabilisation allows risks to be assessed at a more detailed level, leading to targeted mitigation strategies. Bastidas-Arteaga and Stewart (2019) highlight that infrastructure projects exposed to climate-related hazards benefit greatly from this level of granularity, as each task can be evaluated for vulnerability to weather disruptions and supply chain delays.</w:t>
      </w:r>
    </w:p>
    <w:p w14:paraId="5EFC56B2" w14:textId="77777777" w:rsidR="00A13CA1" w:rsidRDefault="00131D57" w:rsidP="00A13CA1">
      <w:pPr>
        <w:pStyle w:val="NormalWeb"/>
        <w:divId w:val="1217620170"/>
        <w:rPr>
          <w:rFonts w:asciiTheme="minorHAnsi" w:hAnsiTheme="minorHAnsi"/>
          <w:color w:val="000000"/>
        </w:rPr>
      </w:pPr>
      <w:r w:rsidRPr="004B31A8">
        <w:rPr>
          <w:rFonts w:asciiTheme="minorHAnsi" w:hAnsiTheme="minorHAnsi"/>
          <w:color w:val="000000"/>
        </w:rPr>
        <w:lastRenderedPageBreak/>
        <w:t>Additionally, the WBS supports more accurate budgeting. By assigning costs to each work package, project managers can forecast expenditure and track financial performance throughout the project lifecycle. This is particularly important in post-disaster reconstruction, where funding must be tightly controlled and justified. The WBS therefore acts as both a planning and governance tool, ensuring that the reconstruction effort remains aligned with safety standards, environmental considerations, and long-term resilience goals.</w:t>
      </w:r>
    </w:p>
    <w:p w14:paraId="151B0A09" w14:textId="4AC4123C" w:rsidR="00367438" w:rsidRPr="00A13CA1" w:rsidRDefault="00367438" w:rsidP="00A13CA1">
      <w:pPr>
        <w:pStyle w:val="NormalWeb"/>
        <w:divId w:val="1217620170"/>
        <w:rPr>
          <w:rFonts w:asciiTheme="minorHAnsi" w:hAnsiTheme="minorHAnsi"/>
          <w:color w:val="000000"/>
        </w:rPr>
      </w:pPr>
      <w:r w:rsidRPr="004B31A8">
        <w:rPr>
          <w:rFonts w:asciiTheme="minorHAnsi" w:eastAsiaTheme="majorEastAsia" w:hAnsiTheme="minorHAnsi" w:cs="Arial"/>
          <w:color w:val="2F5496" w:themeColor="accent1" w:themeShade="BF"/>
          <w:lang w:val="en-US" w:eastAsia="en-US"/>
        </w:rPr>
        <w:t>5. Quad Chart</w:t>
      </w:r>
      <w:r w:rsidR="00CD7E7D" w:rsidRPr="004B31A8">
        <w:rPr>
          <w:rFonts w:asciiTheme="minorHAnsi" w:eastAsiaTheme="majorEastAsia" w:hAnsiTheme="minorHAnsi" w:cs="Arial"/>
          <w:color w:val="2F5496" w:themeColor="accent1" w:themeShade="BF"/>
          <w:lang w:val="en-US" w:eastAsia="en-US"/>
        </w:rPr>
        <w:t>:</w:t>
      </w:r>
    </w:p>
    <w:p w14:paraId="1023C20F" w14:textId="77777777" w:rsidR="00655CC7" w:rsidRPr="004B31A8" w:rsidRDefault="00655CC7" w:rsidP="00655CC7">
      <w:pPr>
        <w:spacing w:before="100" w:beforeAutospacing="1" w:after="100" w:afterAutospacing="1" w:line="240" w:lineRule="auto"/>
        <w:rPr>
          <w:rFonts w:cs="Arial"/>
          <w:color w:val="000000"/>
          <w:kern w:val="0"/>
          <w14:ligatures w14:val="none"/>
        </w:rPr>
      </w:pPr>
      <w:r w:rsidRPr="004B31A8">
        <w:rPr>
          <w:rFonts w:cs="Arial"/>
          <w:color w:val="000000"/>
          <w:kern w:val="0"/>
          <w14:ligatures w14:val="none"/>
        </w:rPr>
        <w:t>The Quad Chart provides a concise overview of project rationale, objectives, approach, and anticipated outcomes. According to Malalgoda et al. (2025), visual project summaries aid stakeholder understanding and facilitate decision-making.</w:t>
      </w:r>
    </w:p>
    <w:p w14:paraId="46D867AE" w14:textId="77777777" w:rsidR="00655CC7" w:rsidRPr="00E10485" w:rsidRDefault="00655CC7" w:rsidP="00655CC7">
      <w:pPr>
        <w:spacing w:before="100" w:beforeAutospacing="1" w:after="100" w:afterAutospacing="1" w:line="240" w:lineRule="auto"/>
        <w:rPr>
          <w:rFonts w:cs="Arial"/>
          <w:color w:val="000000"/>
          <w:kern w:val="0"/>
          <w14:ligatures w14:val="none"/>
        </w:rPr>
      </w:pPr>
      <w:r w:rsidRPr="00E10485">
        <w:rPr>
          <w:rFonts w:cs="Arial"/>
          <w:color w:val="000000"/>
          <w:kern w:val="0"/>
          <w14:ligatures w14:val="none"/>
        </w:rPr>
        <w:t>Figure 2: Quad Chart</w:t>
      </w:r>
    </w:p>
    <w:tbl>
      <w:tblPr>
        <w:tblStyle w:val="Tabelgril4-Accentuare6"/>
        <w:tblW w:w="0" w:type="auto"/>
        <w:tblLook w:val="04A0" w:firstRow="1" w:lastRow="0" w:firstColumn="1" w:lastColumn="0" w:noHBand="0" w:noVBand="1"/>
      </w:tblPr>
      <w:tblGrid>
        <w:gridCol w:w="4552"/>
        <w:gridCol w:w="4464"/>
      </w:tblGrid>
      <w:tr w:rsidR="00655CC7" w:rsidRPr="00E10485" w14:paraId="49F9961C" w14:textId="77777777" w:rsidTr="006350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0E5AD2" w14:textId="77777777" w:rsidR="00655CC7" w:rsidRPr="00E10485" w:rsidRDefault="00655CC7" w:rsidP="00655CC7">
            <w:pPr>
              <w:jc w:val="center"/>
              <w:rPr>
                <w:rFonts w:eastAsia="Times New Roman" w:cs="Arial"/>
                <w:b w:val="0"/>
                <w:bCs w:val="0"/>
                <w:kern w:val="0"/>
                <w14:ligatures w14:val="none"/>
              </w:rPr>
            </w:pPr>
            <w:r w:rsidRPr="00E10485">
              <w:rPr>
                <w:rFonts w:eastAsia="Times New Roman" w:cs="Arial"/>
                <w:b w:val="0"/>
                <w:bCs w:val="0"/>
                <w:kern w:val="0"/>
                <w14:ligatures w14:val="none"/>
              </w:rPr>
              <w:t>Problem</w:t>
            </w:r>
          </w:p>
        </w:tc>
        <w:tc>
          <w:tcPr>
            <w:tcW w:w="0" w:type="auto"/>
            <w:hideMark/>
          </w:tcPr>
          <w:p w14:paraId="7CBF179B" w14:textId="77777777" w:rsidR="00655CC7" w:rsidRPr="00E10485" w:rsidRDefault="00655CC7" w:rsidP="00655CC7">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Objectives</w:t>
            </w:r>
          </w:p>
        </w:tc>
      </w:tr>
      <w:tr w:rsidR="00655CC7" w:rsidRPr="00E10485" w14:paraId="2C7D6AAC" w14:textId="77777777" w:rsidTr="006350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00934E" w14:textId="77777777" w:rsidR="00655CC7" w:rsidRPr="00E10485" w:rsidRDefault="00655CC7" w:rsidP="00655CC7">
            <w:pPr>
              <w:rPr>
                <w:rFonts w:eastAsia="Times New Roman" w:cs="Arial"/>
                <w:b w:val="0"/>
                <w:bCs w:val="0"/>
                <w:kern w:val="0"/>
                <w14:ligatures w14:val="none"/>
              </w:rPr>
            </w:pPr>
            <w:r w:rsidRPr="00E10485">
              <w:rPr>
                <w:rFonts w:eastAsia="Times New Roman" w:cs="Arial"/>
                <w:b w:val="0"/>
                <w:bCs w:val="0"/>
                <w:kern w:val="0"/>
                <w14:ligatures w14:val="none"/>
              </w:rPr>
              <w:t>Highway 5 destroyed by 2022 floods, cutting off the transportation corridor and disrupting trade and services.</w:t>
            </w:r>
          </w:p>
        </w:tc>
        <w:tc>
          <w:tcPr>
            <w:tcW w:w="0" w:type="auto"/>
            <w:hideMark/>
          </w:tcPr>
          <w:p w14:paraId="3C1FD6BA" w14:textId="77777777" w:rsidR="00655CC7" w:rsidRPr="00E10485" w:rsidRDefault="00655CC7" w:rsidP="00655CC7">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eastAsia="Times New Roman" w:cs="Arial"/>
                <w:kern w:val="0"/>
                <w14:ligatures w14:val="none"/>
              </w:rPr>
              <w:t>Restore connectivity, build climate resilience, ensure safety and reliability.</w:t>
            </w:r>
          </w:p>
        </w:tc>
      </w:tr>
      <w:tr w:rsidR="00655CC7" w:rsidRPr="00E10485" w14:paraId="60C8562E" w14:textId="77777777" w:rsidTr="006350E7">
        <w:tc>
          <w:tcPr>
            <w:cnfStyle w:val="001000000000" w:firstRow="0" w:lastRow="0" w:firstColumn="1" w:lastColumn="0" w:oddVBand="0" w:evenVBand="0" w:oddHBand="0" w:evenHBand="0" w:firstRowFirstColumn="0" w:firstRowLastColumn="0" w:lastRowFirstColumn="0" w:lastRowLastColumn="0"/>
            <w:tcW w:w="0" w:type="auto"/>
            <w:hideMark/>
          </w:tcPr>
          <w:p w14:paraId="62721ECD" w14:textId="77777777" w:rsidR="00655CC7" w:rsidRPr="00E10485" w:rsidRDefault="00655CC7" w:rsidP="00655CC7">
            <w:pPr>
              <w:jc w:val="center"/>
              <w:rPr>
                <w:rFonts w:eastAsia="Times New Roman" w:cs="Arial"/>
                <w:b w:val="0"/>
                <w:bCs w:val="0"/>
                <w:kern w:val="0"/>
                <w14:ligatures w14:val="none"/>
              </w:rPr>
            </w:pPr>
            <w:r w:rsidRPr="00E10485">
              <w:rPr>
                <w:rFonts w:eastAsia="Times New Roman" w:cs="Arial"/>
                <w:b w:val="0"/>
                <w:bCs w:val="0"/>
                <w:kern w:val="0"/>
                <w14:ligatures w14:val="none"/>
              </w:rPr>
              <w:t>Approach</w:t>
            </w:r>
          </w:p>
        </w:tc>
        <w:tc>
          <w:tcPr>
            <w:tcW w:w="0" w:type="auto"/>
            <w:hideMark/>
          </w:tcPr>
          <w:p w14:paraId="4F1481E7" w14:textId="77777777" w:rsidR="00655CC7" w:rsidRPr="00E10485" w:rsidRDefault="00655CC7" w:rsidP="00655CC7">
            <w:pPr>
              <w:jc w:val="cente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eastAsia="Times New Roman" w:cs="Arial"/>
                <w:kern w:val="0"/>
                <w14:ligatures w14:val="none"/>
              </w:rPr>
              <w:t>Outcomes</w:t>
            </w:r>
          </w:p>
        </w:tc>
      </w:tr>
      <w:tr w:rsidR="00655CC7" w:rsidRPr="00E10485" w14:paraId="6EDE673E" w14:textId="77777777" w:rsidTr="006350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9F05B2" w14:textId="77777777" w:rsidR="00655CC7" w:rsidRPr="00E10485" w:rsidRDefault="00655CC7" w:rsidP="00655CC7">
            <w:pPr>
              <w:rPr>
                <w:rFonts w:eastAsia="Times New Roman" w:cs="Arial"/>
                <w:b w:val="0"/>
                <w:bCs w:val="0"/>
                <w:kern w:val="0"/>
                <w14:ligatures w14:val="none"/>
              </w:rPr>
            </w:pPr>
            <w:r w:rsidRPr="00E10485">
              <w:rPr>
                <w:rFonts w:eastAsia="Times New Roman" w:cs="Arial"/>
                <w:b w:val="0"/>
                <w:bCs w:val="0"/>
                <w:kern w:val="0"/>
                <w14:ligatures w14:val="none"/>
              </w:rPr>
              <w:t>Phased plan: Planning → Design → Construction → Monitoring, with full stakeholder engagement.</w:t>
            </w:r>
          </w:p>
        </w:tc>
        <w:tc>
          <w:tcPr>
            <w:tcW w:w="0" w:type="auto"/>
            <w:hideMark/>
          </w:tcPr>
          <w:p w14:paraId="6FAA2F1D" w14:textId="77777777" w:rsidR="00655CC7" w:rsidRPr="00E10485" w:rsidRDefault="00655CC7" w:rsidP="00655CC7">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eastAsia="Times New Roman" w:cs="Arial"/>
                <w:kern w:val="0"/>
                <w14:ligatures w14:val="none"/>
              </w:rPr>
              <w:t>Restored Highway 5, improved resilience, reduced economic disruption, stronger emergency preparedness.</w:t>
            </w:r>
          </w:p>
        </w:tc>
      </w:tr>
    </w:tbl>
    <w:p w14:paraId="652B968E" w14:textId="77777777" w:rsidR="00655CC7" w:rsidRDefault="00655CC7" w:rsidP="00655CC7">
      <w:pPr>
        <w:spacing w:before="100" w:beforeAutospacing="1" w:after="100" w:afterAutospacing="1" w:line="240" w:lineRule="auto"/>
        <w:rPr>
          <w:rFonts w:cs="Arial"/>
          <w:color w:val="000000"/>
          <w:kern w:val="0"/>
          <w14:ligatures w14:val="none"/>
        </w:rPr>
      </w:pPr>
      <w:r w:rsidRPr="00E10485">
        <w:rPr>
          <w:rFonts w:cs="Arial"/>
          <w:color w:val="000000"/>
          <w:kern w:val="0"/>
          <w14:ligatures w14:val="none"/>
        </w:rPr>
        <w:t>Caption: Figure 2: Quad Chart summarizing the problem, objectives, approach, and expected outcomes of the Highway 5 Reconstruction Project.</w:t>
      </w:r>
    </w:p>
    <w:p w14:paraId="397BA769" w14:textId="14FA029F" w:rsidR="00A13CA1" w:rsidRPr="00A13CA1" w:rsidRDefault="00A13CA1">
      <w:pPr>
        <w:pStyle w:val="NormalWeb"/>
        <w:divId w:val="770978807"/>
        <w:rPr>
          <w:rFonts w:asciiTheme="minorHAnsi" w:hAnsiTheme="minorHAnsi"/>
          <w:color w:val="000000"/>
        </w:rPr>
      </w:pPr>
      <w:r w:rsidRPr="00A13CA1">
        <w:rPr>
          <w:rFonts w:asciiTheme="minorHAnsi" w:hAnsiTheme="minorHAnsi"/>
          <w:color w:val="000000"/>
        </w:rPr>
        <w:t>The Quad Chart is particularly useful in large-scale infrastructure projects because it condenses complex information into a format that stakeholders can interpret quickly. This is essential when multiple groups</w:t>
      </w:r>
      <w:r w:rsidR="00317501">
        <w:rPr>
          <w:rFonts w:asciiTheme="minorHAnsi" w:hAnsiTheme="minorHAnsi"/>
          <w:color w:val="000000"/>
        </w:rPr>
        <w:t xml:space="preserve"> </w:t>
      </w:r>
      <w:r w:rsidRPr="00A13CA1">
        <w:rPr>
          <w:rFonts w:asciiTheme="minorHAnsi" w:hAnsiTheme="minorHAnsi"/>
          <w:color w:val="000000"/>
        </w:rPr>
        <w:t>such as engineers, government officials, and community representatives</w:t>
      </w:r>
      <w:r w:rsidR="00317501">
        <w:rPr>
          <w:rFonts w:asciiTheme="minorHAnsi" w:hAnsiTheme="minorHAnsi"/>
          <w:color w:val="000000"/>
        </w:rPr>
        <w:t xml:space="preserve"> </w:t>
      </w:r>
      <w:r w:rsidRPr="00A13CA1">
        <w:rPr>
          <w:rFonts w:asciiTheme="minorHAnsi" w:hAnsiTheme="minorHAnsi"/>
          <w:color w:val="000000"/>
        </w:rPr>
        <w:t>must coordinate their efforts. As Barsley (2019) notes, clarity in early communication significantly reduces misunderstandings and supports more efficient project execution. In this project, the Quad Chart highlights how the reconstruction effort is not only a response to flood damage but also a strategic investment in long-term climate resilience.</w:t>
      </w:r>
    </w:p>
    <w:p w14:paraId="57D24255" w14:textId="77777777" w:rsidR="00A13CA1" w:rsidRPr="00A13CA1" w:rsidRDefault="00A13CA1">
      <w:pPr>
        <w:pStyle w:val="NormalWeb"/>
        <w:divId w:val="770978807"/>
        <w:rPr>
          <w:rFonts w:asciiTheme="minorHAnsi" w:hAnsiTheme="minorHAnsi"/>
          <w:color w:val="000000"/>
        </w:rPr>
      </w:pPr>
      <w:r w:rsidRPr="00A13CA1">
        <w:rPr>
          <w:rFonts w:asciiTheme="minorHAnsi" w:hAnsiTheme="minorHAnsi"/>
          <w:color w:val="000000"/>
        </w:rPr>
        <w:t>Furthermore, the visual structure reinforces the alignment between the identified problem and the proposed approach. By linking the phased plan directly to measurable outcomes, the chart demonstrates how each stage contributes to restoring safety and functionality. This transparency helps build trust among stakeholders and offers a clear justification for the project’s scope, budget, and timeline.</w:t>
      </w:r>
    </w:p>
    <w:p w14:paraId="56A40D5B" w14:textId="77777777" w:rsidR="00EB0E2D" w:rsidRDefault="00EB0E2D" w:rsidP="0093014F">
      <w:pPr>
        <w:keepNext/>
        <w:keepLines/>
        <w:spacing w:before="480" w:after="0" w:line="276" w:lineRule="auto"/>
        <w:outlineLvl w:val="0"/>
        <w:rPr>
          <w:rFonts w:cs="Arial"/>
          <w:color w:val="000000"/>
          <w:kern w:val="0"/>
          <w14:ligatures w14:val="none"/>
        </w:rPr>
      </w:pPr>
    </w:p>
    <w:p w14:paraId="63ED99D8" w14:textId="7AB0406A" w:rsidR="0093014F" w:rsidRPr="00E10485" w:rsidRDefault="0093014F" w:rsidP="0093014F">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E10485">
        <w:rPr>
          <w:rFonts w:eastAsiaTheme="majorEastAsia" w:cs="Arial"/>
          <w:color w:val="2F5496" w:themeColor="accent1" w:themeShade="BF"/>
          <w:kern w:val="0"/>
          <w:lang w:val="en-US" w:eastAsia="en-US"/>
          <w14:ligatures w14:val="none"/>
        </w:rPr>
        <w:t>6. Gantt Chart</w:t>
      </w:r>
      <w:r w:rsidR="00CD7E7D" w:rsidRPr="00E10485">
        <w:rPr>
          <w:rFonts w:eastAsiaTheme="majorEastAsia" w:cs="Arial"/>
          <w:color w:val="2F5496" w:themeColor="accent1" w:themeShade="BF"/>
          <w:kern w:val="0"/>
          <w:lang w:val="en-US" w:eastAsia="en-US"/>
          <w14:ligatures w14:val="none"/>
        </w:rPr>
        <w:t>:</w:t>
      </w:r>
    </w:p>
    <w:p w14:paraId="40BD466D" w14:textId="77777777" w:rsidR="00B400F7" w:rsidRPr="00E10485" w:rsidRDefault="00B400F7" w:rsidP="00B400F7">
      <w:pPr>
        <w:spacing w:before="100" w:beforeAutospacing="1" w:after="100" w:afterAutospacing="1" w:line="240" w:lineRule="auto"/>
        <w:rPr>
          <w:rFonts w:cs="Arial"/>
          <w:color w:val="000000"/>
          <w:kern w:val="0"/>
          <w14:ligatures w14:val="none"/>
        </w:rPr>
      </w:pPr>
      <w:r w:rsidRPr="00E10485">
        <w:rPr>
          <w:rFonts w:cs="Arial"/>
          <w:color w:val="000000"/>
          <w:kern w:val="0"/>
          <w14:ligatures w14:val="none"/>
        </w:rPr>
        <w:t>The Gantt Chart outlines the 24-month timeline for the project, illustrating task sequencing, dependencies, and resource allocation. According to Ayyub (2018), visual timeline tools support project coordination and help anticipate scheduling conflicts.</w:t>
      </w:r>
    </w:p>
    <w:tbl>
      <w:tblPr>
        <w:tblStyle w:val="Tabelgril4-Accentuare6"/>
        <w:tblpPr w:leftFromText="180" w:rightFromText="180" w:vertAnchor="text" w:horzAnchor="margin" w:tblpXSpec="center" w:tblpY="377"/>
        <w:tblW w:w="11854" w:type="dxa"/>
        <w:tblLook w:val="04A0" w:firstRow="1" w:lastRow="0" w:firstColumn="1" w:lastColumn="0" w:noHBand="0" w:noVBand="1"/>
      </w:tblPr>
      <w:tblGrid>
        <w:gridCol w:w="1471"/>
        <w:gridCol w:w="387"/>
        <w:gridCol w:w="387"/>
        <w:gridCol w:w="387"/>
        <w:gridCol w:w="387"/>
        <w:gridCol w:w="387"/>
        <w:gridCol w:w="387"/>
        <w:gridCol w:w="387"/>
        <w:gridCol w:w="387"/>
        <w:gridCol w:w="387"/>
        <w:gridCol w:w="460"/>
        <w:gridCol w:w="460"/>
        <w:gridCol w:w="460"/>
        <w:gridCol w:w="460"/>
        <w:gridCol w:w="460"/>
        <w:gridCol w:w="460"/>
        <w:gridCol w:w="460"/>
        <w:gridCol w:w="460"/>
        <w:gridCol w:w="460"/>
        <w:gridCol w:w="460"/>
        <w:gridCol w:w="460"/>
        <w:gridCol w:w="460"/>
        <w:gridCol w:w="460"/>
        <w:gridCol w:w="460"/>
        <w:gridCol w:w="460"/>
      </w:tblGrid>
      <w:tr w:rsidR="00DC3981" w:rsidRPr="00E10485" w14:paraId="1F5B46E3" w14:textId="77777777" w:rsidTr="006350E7">
        <w:trPr>
          <w:cnfStyle w:val="100000000000" w:firstRow="1" w:lastRow="0" w:firstColumn="0" w:lastColumn="0" w:oddVBand="0" w:evenVBand="0" w:oddHBand="0" w:evenHBand="0" w:firstRowFirstColumn="0" w:firstRowLastColumn="0" w:lastRowFirstColumn="0" w:lastRowLastColumn="0"/>
          <w:trHeight w:val="599"/>
        </w:trPr>
        <w:tc>
          <w:tcPr>
            <w:cnfStyle w:val="001000000000" w:firstRow="0" w:lastRow="0" w:firstColumn="1" w:lastColumn="0" w:oddVBand="0" w:evenVBand="0" w:oddHBand="0" w:evenHBand="0" w:firstRowFirstColumn="0" w:firstRowLastColumn="0" w:lastRowFirstColumn="0" w:lastRowLastColumn="0"/>
            <w:tcW w:w="0" w:type="auto"/>
            <w:hideMark/>
          </w:tcPr>
          <w:p w14:paraId="02FA905D" w14:textId="77777777" w:rsidR="00DC3981" w:rsidRPr="00E10485" w:rsidRDefault="00DC3981" w:rsidP="00DC3981">
            <w:pPr>
              <w:jc w:val="center"/>
              <w:rPr>
                <w:rFonts w:eastAsia="Times New Roman" w:cs="Arial"/>
                <w:b w:val="0"/>
                <w:bCs w:val="0"/>
                <w:kern w:val="0"/>
                <w14:ligatures w14:val="none"/>
              </w:rPr>
            </w:pPr>
            <w:r w:rsidRPr="00E10485">
              <w:rPr>
                <w:rFonts w:eastAsia="Times New Roman" w:cs="Arial"/>
                <w:b w:val="0"/>
                <w:bCs w:val="0"/>
                <w:kern w:val="0"/>
                <w14:ligatures w14:val="none"/>
              </w:rPr>
              <w:t>Task</w:t>
            </w:r>
          </w:p>
        </w:tc>
        <w:tc>
          <w:tcPr>
            <w:tcW w:w="0" w:type="auto"/>
            <w:hideMark/>
          </w:tcPr>
          <w:p w14:paraId="6180EF10"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w:t>
            </w:r>
          </w:p>
        </w:tc>
        <w:tc>
          <w:tcPr>
            <w:tcW w:w="0" w:type="auto"/>
            <w:hideMark/>
          </w:tcPr>
          <w:p w14:paraId="2A602A42"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2</w:t>
            </w:r>
          </w:p>
        </w:tc>
        <w:tc>
          <w:tcPr>
            <w:tcW w:w="0" w:type="auto"/>
            <w:hideMark/>
          </w:tcPr>
          <w:p w14:paraId="4641F09B"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3</w:t>
            </w:r>
          </w:p>
        </w:tc>
        <w:tc>
          <w:tcPr>
            <w:tcW w:w="0" w:type="auto"/>
            <w:hideMark/>
          </w:tcPr>
          <w:p w14:paraId="6AB840D9"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4</w:t>
            </w:r>
          </w:p>
        </w:tc>
        <w:tc>
          <w:tcPr>
            <w:tcW w:w="0" w:type="auto"/>
            <w:hideMark/>
          </w:tcPr>
          <w:p w14:paraId="399CBD2B"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5</w:t>
            </w:r>
          </w:p>
        </w:tc>
        <w:tc>
          <w:tcPr>
            <w:tcW w:w="0" w:type="auto"/>
            <w:hideMark/>
          </w:tcPr>
          <w:p w14:paraId="4D11E985"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6</w:t>
            </w:r>
          </w:p>
        </w:tc>
        <w:tc>
          <w:tcPr>
            <w:tcW w:w="0" w:type="auto"/>
            <w:hideMark/>
          </w:tcPr>
          <w:p w14:paraId="4338776C"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7</w:t>
            </w:r>
          </w:p>
        </w:tc>
        <w:tc>
          <w:tcPr>
            <w:tcW w:w="0" w:type="auto"/>
            <w:hideMark/>
          </w:tcPr>
          <w:p w14:paraId="684A377C"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8</w:t>
            </w:r>
          </w:p>
        </w:tc>
        <w:tc>
          <w:tcPr>
            <w:tcW w:w="0" w:type="auto"/>
            <w:hideMark/>
          </w:tcPr>
          <w:p w14:paraId="023F744E"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9</w:t>
            </w:r>
          </w:p>
        </w:tc>
        <w:tc>
          <w:tcPr>
            <w:tcW w:w="0" w:type="auto"/>
            <w:hideMark/>
          </w:tcPr>
          <w:p w14:paraId="575D8929"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10</w:t>
            </w:r>
          </w:p>
        </w:tc>
        <w:tc>
          <w:tcPr>
            <w:tcW w:w="0" w:type="auto"/>
            <w:hideMark/>
          </w:tcPr>
          <w:p w14:paraId="3A63C5E9"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11</w:t>
            </w:r>
          </w:p>
        </w:tc>
        <w:tc>
          <w:tcPr>
            <w:tcW w:w="0" w:type="auto"/>
            <w:hideMark/>
          </w:tcPr>
          <w:p w14:paraId="20AC4839"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12</w:t>
            </w:r>
          </w:p>
        </w:tc>
        <w:tc>
          <w:tcPr>
            <w:tcW w:w="0" w:type="auto"/>
            <w:hideMark/>
          </w:tcPr>
          <w:p w14:paraId="0C5B7E9D"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13</w:t>
            </w:r>
          </w:p>
        </w:tc>
        <w:tc>
          <w:tcPr>
            <w:tcW w:w="0" w:type="auto"/>
            <w:hideMark/>
          </w:tcPr>
          <w:p w14:paraId="2D150096"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14</w:t>
            </w:r>
          </w:p>
        </w:tc>
        <w:tc>
          <w:tcPr>
            <w:tcW w:w="0" w:type="auto"/>
            <w:hideMark/>
          </w:tcPr>
          <w:p w14:paraId="19C45323"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15</w:t>
            </w:r>
          </w:p>
        </w:tc>
        <w:tc>
          <w:tcPr>
            <w:tcW w:w="0" w:type="auto"/>
            <w:hideMark/>
          </w:tcPr>
          <w:p w14:paraId="1BB6149F"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16</w:t>
            </w:r>
          </w:p>
        </w:tc>
        <w:tc>
          <w:tcPr>
            <w:tcW w:w="0" w:type="auto"/>
            <w:hideMark/>
          </w:tcPr>
          <w:p w14:paraId="3341E65D"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17</w:t>
            </w:r>
          </w:p>
        </w:tc>
        <w:tc>
          <w:tcPr>
            <w:tcW w:w="0" w:type="auto"/>
            <w:hideMark/>
          </w:tcPr>
          <w:p w14:paraId="022F4605"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18</w:t>
            </w:r>
          </w:p>
        </w:tc>
        <w:tc>
          <w:tcPr>
            <w:tcW w:w="0" w:type="auto"/>
            <w:hideMark/>
          </w:tcPr>
          <w:p w14:paraId="6A9DE530"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19</w:t>
            </w:r>
          </w:p>
        </w:tc>
        <w:tc>
          <w:tcPr>
            <w:tcW w:w="0" w:type="auto"/>
            <w:hideMark/>
          </w:tcPr>
          <w:p w14:paraId="466E4532"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20</w:t>
            </w:r>
          </w:p>
        </w:tc>
        <w:tc>
          <w:tcPr>
            <w:tcW w:w="0" w:type="auto"/>
            <w:hideMark/>
          </w:tcPr>
          <w:p w14:paraId="0F616915"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21</w:t>
            </w:r>
          </w:p>
        </w:tc>
        <w:tc>
          <w:tcPr>
            <w:tcW w:w="0" w:type="auto"/>
            <w:hideMark/>
          </w:tcPr>
          <w:p w14:paraId="2708FCE8"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22</w:t>
            </w:r>
          </w:p>
        </w:tc>
        <w:tc>
          <w:tcPr>
            <w:tcW w:w="0" w:type="auto"/>
            <w:hideMark/>
          </w:tcPr>
          <w:p w14:paraId="1EDB258D"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23</w:t>
            </w:r>
          </w:p>
        </w:tc>
        <w:tc>
          <w:tcPr>
            <w:tcW w:w="0" w:type="auto"/>
            <w:hideMark/>
          </w:tcPr>
          <w:p w14:paraId="583C60D2"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24</w:t>
            </w:r>
          </w:p>
        </w:tc>
      </w:tr>
      <w:tr w:rsidR="00DC3981" w:rsidRPr="00E10485" w14:paraId="03D70B5E" w14:textId="77777777" w:rsidTr="006350E7">
        <w:trPr>
          <w:cnfStyle w:val="000000100000" w:firstRow="0" w:lastRow="0" w:firstColumn="0" w:lastColumn="0" w:oddVBand="0" w:evenVBand="0" w:oddHBand="1" w:evenHBand="0" w:firstRowFirstColumn="0" w:firstRowLastColumn="0" w:lastRowFirstColumn="0" w:lastRowLastColumn="0"/>
          <w:trHeight w:val="599"/>
        </w:trPr>
        <w:tc>
          <w:tcPr>
            <w:cnfStyle w:val="001000000000" w:firstRow="0" w:lastRow="0" w:firstColumn="1" w:lastColumn="0" w:oddVBand="0" w:evenVBand="0" w:oddHBand="0" w:evenHBand="0" w:firstRowFirstColumn="0" w:firstRowLastColumn="0" w:lastRowFirstColumn="0" w:lastRowLastColumn="0"/>
            <w:tcW w:w="0" w:type="auto"/>
            <w:hideMark/>
          </w:tcPr>
          <w:p w14:paraId="0BBB29D7"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Planning</w:t>
            </w:r>
          </w:p>
        </w:tc>
        <w:tc>
          <w:tcPr>
            <w:tcW w:w="0" w:type="auto"/>
            <w:hideMark/>
          </w:tcPr>
          <w:p w14:paraId="2640D980"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20E4C66A"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039C8BDB"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27ADFEA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p>
        </w:tc>
        <w:tc>
          <w:tcPr>
            <w:tcW w:w="0" w:type="auto"/>
            <w:hideMark/>
          </w:tcPr>
          <w:p w14:paraId="590EA840"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25994D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1AEC92D"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968A67B"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EC77C1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5EFB20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78CA6A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9E344A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7ECD22D6"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EBE751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B9EA4E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0284E6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55509F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A6BC07D"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2C4560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12408A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E6BDF0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B581EE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EA589E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FA97AC0"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r>
      <w:tr w:rsidR="00DC3981" w:rsidRPr="00E10485" w14:paraId="69BB28F1" w14:textId="77777777" w:rsidTr="006350E7">
        <w:trPr>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6BDBD309"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Design</w:t>
            </w:r>
          </w:p>
        </w:tc>
        <w:tc>
          <w:tcPr>
            <w:tcW w:w="0" w:type="auto"/>
            <w:hideMark/>
          </w:tcPr>
          <w:p w14:paraId="6B3C01D1"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p>
        </w:tc>
        <w:tc>
          <w:tcPr>
            <w:tcW w:w="0" w:type="auto"/>
            <w:hideMark/>
          </w:tcPr>
          <w:p w14:paraId="781EB15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4C8792D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819B374"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5D061F16"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4EE386CD"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09B75153"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p>
        </w:tc>
        <w:tc>
          <w:tcPr>
            <w:tcW w:w="0" w:type="auto"/>
            <w:hideMark/>
          </w:tcPr>
          <w:p w14:paraId="58B79160"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155100D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F9B1B30"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C6EF8C5"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84A92D5"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4FEFB31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39B77983"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4EBD7AD8"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61E8BA8"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6CE0880A"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CCFE9EE"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4F4E4ADE"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99B06C9"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1B600239"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4D41F6D5"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6A73712"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7F8AAB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r>
      <w:tr w:rsidR="00DC3981" w:rsidRPr="00E10485" w14:paraId="70C79225" w14:textId="77777777" w:rsidTr="006350E7">
        <w:trPr>
          <w:cnfStyle w:val="000000100000" w:firstRow="0" w:lastRow="0" w:firstColumn="0" w:lastColumn="0" w:oddVBand="0" w:evenVBand="0" w:oddHBand="1" w:evenHBand="0" w:firstRowFirstColumn="0" w:firstRowLastColumn="0" w:lastRowFirstColumn="0" w:lastRowLastColumn="0"/>
          <w:trHeight w:val="1460"/>
        </w:trPr>
        <w:tc>
          <w:tcPr>
            <w:cnfStyle w:val="001000000000" w:firstRow="0" w:lastRow="0" w:firstColumn="1" w:lastColumn="0" w:oddVBand="0" w:evenVBand="0" w:oddHBand="0" w:evenHBand="0" w:firstRowFirstColumn="0" w:firstRowLastColumn="0" w:lastRowFirstColumn="0" w:lastRowLastColumn="0"/>
            <w:tcW w:w="0" w:type="auto"/>
            <w:hideMark/>
          </w:tcPr>
          <w:p w14:paraId="4C1E914C"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Construction – Bridges</w:t>
            </w:r>
          </w:p>
        </w:tc>
        <w:tc>
          <w:tcPr>
            <w:tcW w:w="0" w:type="auto"/>
            <w:hideMark/>
          </w:tcPr>
          <w:p w14:paraId="4BB8F21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p>
        </w:tc>
        <w:tc>
          <w:tcPr>
            <w:tcW w:w="0" w:type="auto"/>
            <w:hideMark/>
          </w:tcPr>
          <w:p w14:paraId="112C424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9F6B90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39249C8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C95CB3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9A21DEE"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B62ED3B"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2D33CBF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3725CE2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40618F5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79C413A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7231F55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019DA2A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1775ECB6"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2206C84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793D2530"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39C8942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p>
        </w:tc>
        <w:tc>
          <w:tcPr>
            <w:tcW w:w="0" w:type="auto"/>
            <w:hideMark/>
          </w:tcPr>
          <w:p w14:paraId="5EE8084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693B9BC"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C491E8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C2470CA"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D07D01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FC80DD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8C74C5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r>
      <w:tr w:rsidR="00DC3981" w:rsidRPr="00E10485" w14:paraId="49B6EDAA" w14:textId="77777777" w:rsidTr="006350E7">
        <w:trPr>
          <w:trHeight w:val="1199"/>
        </w:trPr>
        <w:tc>
          <w:tcPr>
            <w:cnfStyle w:val="001000000000" w:firstRow="0" w:lastRow="0" w:firstColumn="1" w:lastColumn="0" w:oddVBand="0" w:evenVBand="0" w:oddHBand="0" w:evenHBand="0" w:firstRowFirstColumn="0" w:firstRowLastColumn="0" w:lastRowFirstColumn="0" w:lastRowLastColumn="0"/>
            <w:tcW w:w="0" w:type="auto"/>
            <w:hideMark/>
          </w:tcPr>
          <w:p w14:paraId="333E83A9"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Construction – Roads</w:t>
            </w:r>
          </w:p>
        </w:tc>
        <w:tc>
          <w:tcPr>
            <w:tcW w:w="0" w:type="auto"/>
            <w:hideMark/>
          </w:tcPr>
          <w:p w14:paraId="004DCBB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p>
        </w:tc>
        <w:tc>
          <w:tcPr>
            <w:tcW w:w="0" w:type="auto"/>
            <w:hideMark/>
          </w:tcPr>
          <w:p w14:paraId="438D7689"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509490E"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044536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841AFC1"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B003E47"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3362085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2E74760"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DAA102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03B9A8A"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19A47434"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550AC116"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189E4CCD"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0BF505D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51EE4A92"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3DAF9CB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151C75AC"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7FDB02C0"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10057398"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p>
        </w:tc>
        <w:tc>
          <w:tcPr>
            <w:tcW w:w="0" w:type="auto"/>
            <w:hideMark/>
          </w:tcPr>
          <w:p w14:paraId="3C303AA7"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146E77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382BA9E9"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E222103"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E597A54"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r>
      <w:tr w:rsidR="00DC3981" w:rsidRPr="00E10485" w14:paraId="04009136" w14:textId="77777777" w:rsidTr="006350E7">
        <w:trPr>
          <w:cnfStyle w:val="000000100000" w:firstRow="0" w:lastRow="0" w:firstColumn="0" w:lastColumn="0" w:oddVBand="0" w:evenVBand="0" w:oddHBand="1" w:evenHBand="0" w:firstRowFirstColumn="0" w:firstRowLastColumn="0" w:lastRowFirstColumn="0" w:lastRowLastColumn="0"/>
          <w:trHeight w:val="886"/>
        </w:trPr>
        <w:tc>
          <w:tcPr>
            <w:cnfStyle w:val="001000000000" w:firstRow="0" w:lastRow="0" w:firstColumn="1" w:lastColumn="0" w:oddVBand="0" w:evenVBand="0" w:oddHBand="0" w:evenHBand="0" w:firstRowFirstColumn="0" w:firstRowLastColumn="0" w:lastRowFirstColumn="0" w:lastRowLastColumn="0"/>
            <w:tcW w:w="0" w:type="auto"/>
            <w:hideMark/>
          </w:tcPr>
          <w:p w14:paraId="09C8640F"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Slope Stabilisation</w:t>
            </w:r>
          </w:p>
        </w:tc>
        <w:tc>
          <w:tcPr>
            <w:tcW w:w="0" w:type="auto"/>
            <w:hideMark/>
          </w:tcPr>
          <w:p w14:paraId="67B349F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p>
        </w:tc>
        <w:tc>
          <w:tcPr>
            <w:tcW w:w="0" w:type="auto"/>
            <w:hideMark/>
          </w:tcPr>
          <w:p w14:paraId="642A9E7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20E2B7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4A69E8C"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71D0F5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0E1619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1694BB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F8AD3B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BE830A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59F3A1B"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884E39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D1B0FA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0233B18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142DCB8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3BE4D05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54192DC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64FD665B"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684CAD10"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6098304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4980079A"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p>
        </w:tc>
        <w:tc>
          <w:tcPr>
            <w:tcW w:w="0" w:type="auto"/>
            <w:hideMark/>
          </w:tcPr>
          <w:p w14:paraId="4FB07E8E"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0F3DEBC"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6B4A14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3A9BBF2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r>
      <w:tr w:rsidR="00DC3981" w:rsidRPr="00E10485" w14:paraId="07896B9C" w14:textId="77777777" w:rsidTr="006350E7">
        <w:trPr>
          <w:trHeight w:val="860"/>
        </w:trPr>
        <w:tc>
          <w:tcPr>
            <w:cnfStyle w:val="001000000000" w:firstRow="0" w:lastRow="0" w:firstColumn="1" w:lastColumn="0" w:oddVBand="0" w:evenVBand="0" w:oddHBand="0" w:evenHBand="0" w:firstRowFirstColumn="0" w:firstRowLastColumn="0" w:lastRowFirstColumn="0" w:lastRowLastColumn="0"/>
            <w:tcW w:w="0" w:type="auto"/>
            <w:hideMark/>
          </w:tcPr>
          <w:p w14:paraId="24CF82E2"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Monitoring &amp; QA</w:t>
            </w:r>
          </w:p>
        </w:tc>
        <w:tc>
          <w:tcPr>
            <w:tcW w:w="0" w:type="auto"/>
            <w:hideMark/>
          </w:tcPr>
          <w:p w14:paraId="47DCEFC4"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p>
        </w:tc>
        <w:tc>
          <w:tcPr>
            <w:tcW w:w="0" w:type="auto"/>
            <w:hideMark/>
          </w:tcPr>
          <w:p w14:paraId="01E71FFA"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1AC27145"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3080276E"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3F757CC1"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193FD121"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4046B0BC"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2F6FCA7"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8478324"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3A7EA1E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71683CC"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5CAF144"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5969478"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CCAA679"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5613291"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CDDD0E0"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4A2DFF0"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775EDB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22DD5D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437211DE"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0A244D4A"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2DB5C8F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31EC0865"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p>
        </w:tc>
        <w:tc>
          <w:tcPr>
            <w:tcW w:w="0" w:type="auto"/>
            <w:hideMark/>
          </w:tcPr>
          <w:p w14:paraId="470AE1E8"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r>
      <w:tr w:rsidR="00DC3981" w:rsidRPr="00E10485" w14:paraId="4EC749A4" w14:textId="77777777" w:rsidTr="006350E7">
        <w:trPr>
          <w:cnfStyle w:val="000000100000" w:firstRow="0" w:lastRow="0" w:firstColumn="0" w:lastColumn="0" w:oddVBand="0" w:evenVBand="0" w:oddHBand="1" w:evenHBand="0" w:firstRowFirstColumn="0" w:firstRowLastColumn="0" w:lastRowFirstColumn="0" w:lastRowLastColumn="0"/>
          <w:trHeight w:val="912"/>
        </w:trPr>
        <w:tc>
          <w:tcPr>
            <w:cnfStyle w:val="001000000000" w:firstRow="0" w:lastRow="0" w:firstColumn="1" w:lastColumn="0" w:oddVBand="0" w:evenVBand="0" w:oddHBand="0" w:evenHBand="0" w:firstRowFirstColumn="0" w:firstRowLastColumn="0" w:lastRowFirstColumn="0" w:lastRowLastColumn="0"/>
            <w:tcW w:w="0" w:type="auto"/>
            <w:hideMark/>
          </w:tcPr>
          <w:p w14:paraId="3DF1E97B"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Project Closure</w:t>
            </w:r>
          </w:p>
        </w:tc>
        <w:tc>
          <w:tcPr>
            <w:tcW w:w="0" w:type="auto"/>
            <w:hideMark/>
          </w:tcPr>
          <w:p w14:paraId="0496FB2A"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p>
        </w:tc>
        <w:tc>
          <w:tcPr>
            <w:tcW w:w="0" w:type="auto"/>
            <w:hideMark/>
          </w:tcPr>
          <w:p w14:paraId="2F2E27D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8BA4130"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3C63941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336404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34BD308"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EEBB67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3C2F36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90094E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365D3DA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32122FEB"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7EC5097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808CB7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34722E6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B6A282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292ABF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FDB259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753E51BE"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72D2ED3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0E264B8"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83E9A5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4B30D7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418414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18C4F3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r>
    </w:tbl>
    <w:p w14:paraId="38438F94" w14:textId="77777777" w:rsidR="00B400F7" w:rsidRPr="00E10485" w:rsidRDefault="00B400F7" w:rsidP="00B400F7">
      <w:pPr>
        <w:spacing w:before="100" w:beforeAutospacing="1" w:after="100" w:afterAutospacing="1" w:line="240" w:lineRule="auto"/>
        <w:rPr>
          <w:rFonts w:cs="Arial"/>
          <w:color w:val="000000"/>
          <w:kern w:val="0"/>
          <w14:ligatures w14:val="none"/>
        </w:rPr>
      </w:pPr>
      <w:r w:rsidRPr="00E10485">
        <w:rPr>
          <w:rFonts w:cs="Arial"/>
          <w:color w:val="000000"/>
          <w:kern w:val="0"/>
          <w14:ligatures w14:val="none"/>
        </w:rPr>
        <w:t>Figure 3: Simplified Gantt Chart</w:t>
      </w:r>
    </w:p>
    <w:p w14:paraId="45136D1D" w14:textId="62A14715" w:rsidR="000F7F2C" w:rsidRPr="00E10485" w:rsidRDefault="000F7F2C" w:rsidP="000F7F2C">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E10485">
        <w:rPr>
          <w:rFonts w:eastAsiaTheme="majorEastAsia" w:cs="Arial"/>
          <w:color w:val="2F5496" w:themeColor="accent1" w:themeShade="BF"/>
          <w:kern w:val="0"/>
          <w:lang w:val="en-US" w:eastAsia="en-US"/>
          <w14:ligatures w14:val="none"/>
        </w:rPr>
        <w:t>7. Stakeholder Involvement</w:t>
      </w:r>
      <w:r w:rsidR="00CD7E7D" w:rsidRPr="00E10485">
        <w:rPr>
          <w:rFonts w:eastAsiaTheme="majorEastAsia" w:cs="Arial"/>
          <w:color w:val="2F5496" w:themeColor="accent1" w:themeShade="BF"/>
          <w:kern w:val="0"/>
          <w:lang w:val="en-US" w:eastAsia="en-US"/>
          <w14:ligatures w14:val="none"/>
        </w:rPr>
        <w:t>:</w:t>
      </w:r>
    </w:p>
    <w:p w14:paraId="684B043D" w14:textId="77777777" w:rsidR="00CD612B" w:rsidRPr="00E10485" w:rsidRDefault="00CD612B">
      <w:pPr>
        <w:pStyle w:val="NormalWeb"/>
        <w:divId w:val="1432431394"/>
        <w:rPr>
          <w:rFonts w:asciiTheme="minorHAnsi" w:hAnsiTheme="minorHAnsi" w:cs="Arial"/>
          <w:color w:val="000000"/>
        </w:rPr>
      </w:pPr>
      <w:r w:rsidRPr="00E10485">
        <w:rPr>
          <w:rFonts w:asciiTheme="minorHAnsi" w:hAnsiTheme="minorHAnsi" w:cs="Arial"/>
          <w:color w:val="000000"/>
        </w:rPr>
        <w:t>Effective stakeholder engagement is critical to the project’s success. Key stakeholders include:</w:t>
      </w:r>
    </w:p>
    <w:p w14:paraId="20EE81D0" w14:textId="77777777" w:rsidR="00CD612B" w:rsidRPr="00E10485" w:rsidRDefault="00CD612B" w:rsidP="00CD612B">
      <w:pPr>
        <w:pStyle w:val="NormalWeb"/>
        <w:numPr>
          <w:ilvl w:val="0"/>
          <w:numId w:val="5"/>
        </w:numPr>
        <w:divId w:val="1432431394"/>
        <w:rPr>
          <w:rFonts w:asciiTheme="minorHAnsi" w:hAnsiTheme="minorHAnsi" w:cs="Arial"/>
          <w:color w:val="000000"/>
        </w:rPr>
      </w:pPr>
      <w:r w:rsidRPr="00E10485">
        <w:rPr>
          <w:rStyle w:val="Robust"/>
          <w:rFonts w:asciiTheme="minorHAnsi" w:hAnsiTheme="minorHAnsi" w:cs="Arial"/>
          <w:b w:val="0"/>
          <w:bCs w:val="0"/>
          <w:color w:val="000000"/>
        </w:rPr>
        <w:t>Government agencies:</w:t>
      </w:r>
      <w:r w:rsidRPr="00E10485">
        <w:rPr>
          <w:rStyle w:val="apple-converted-space"/>
          <w:rFonts w:asciiTheme="minorHAnsi" w:hAnsiTheme="minorHAnsi" w:cs="Arial"/>
          <w:color w:val="000000"/>
        </w:rPr>
        <w:t> </w:t>
      </w:r>
      <w:r w:rsidRPr="00E10485">
        <w:rPr>
          <w:rFonts w:asciiTheme="minorHAnsi" w:hAnsiTheme="minorHAnsi" w:cs="Arial"/>
          <w:color w:val="000000"/>
        </w:rPr>
        <w:t>Provincial Ministry of Transportation, local municipal authorities, and environmental regulators.</w:t>
      </w:r>
    </w:p>
    <w:p w14:paraId="78F6C062" w14:textId="77777777" w:rsidR="00CD612B" w:rsidRPr="00E10485" w:rsidRDefault="00CD612B" w:rsidP="00CD612B">
      <w:pPr>
        <w:pStyle w:val="NormalWeb"/>
        <w:numPr>
          <w:ilvl w:val="0"/>
          <w:numId w:val="5"/>
        </w:numPr>
        <w:divId w:val="1432431394"/>
        <w:rPr>
          <w:rFonts w:asciiTheme="minorHAnsi" w:hAnsiTheme="minorHAnsi" w:cs="Arial"/>
          <w:color w:val="000000"/>
        </w:rPr>
      </w:pPr>
      <w:r w:rsidRPr="00E10485">
        <w:rPr>
          <w:rStyle w:val="Robust"/>
          <w:rFonts w:asciiTheme="minorHAnsi" w:hAnsiTheme="minorHAnsi" w:cs="Arial"/>
          <w:b w:val="0"/>
          <w:bCs w:val="0"/>
          <w:color w:val="000000"/>
        </w:rPr>
        <w:t>Indigenous communities:</w:t>
      </w:r>
      <w:r w:rsidRPr="00E10485">
        <w:rPr>
          <w:rStyle w:val="apple-converted-space"/>
          <w:rFonts w:asciiTheme="minorHAnsi" w:hAnsiTheme="minorHAnsi" w:cs="Arial"/>
          <w:color w:val="000000"/>
        </w:rPr>
        <w:t> </w:t>
      </w:r>
      <w:r w:rsidRPr="00E10485">
        <w:rPr>
          <w:rFonts w:asciiTheme="minorHAnsi" w:hAnsiTheme="minorHAnsi" w:cs="Arial"/>
          <w:color w:val="000000"/>
        </w:rPr>
        <w:t>Consultation with First Nations to ensure that construction does not negatively impact cultural sites.</w:t>
      </w:r>
    </w:p>
    <w:p w14:paraId="2D3F55CE" w14:textId="77777777" w:rsidR="00CD612B" w:rsidRPr="00E10485" w:rsidRDefault="00CD612B" w:rsidP="00CD612B">
      <w:pPr>
        <w:pStyle w:val="NormalWeb"/>
        <w:numPr>
          <w:ilvl w:val="0"/>
          <w:numId w:val="5"/>
        </w:numPr>
        <w:divId w:val="1432431394"/>
        <w:rPr>
          <w:rFonts w:asciiTheme="minorHAnsi" w:hAnsiTheme="minorHAnsi" w:cs="Arial"/>
          <w:color w:val="000000"/>
        </w:rPr>
      </w:pPr>
      <w:r w:rsidRPr="00E10485">
        <w:rPr>
          <w:rStyle w:val="Robust"/>
          <w:rFonts w:asciiTheme="minorHAnsi" w:hAnsiTheme="minorHAnsi" w:cs="Arial"/>
          <w:b w:val="0"/>
          <w:bCs w:val="0"/>
          <w:color w:val="000000"/>
        </w:rPr>
        <w:t>Local businesses and farmers:</w:t>
      </w:r>
      <w:r w:rsidRPr="00E10485">
        <w:rPr>
          <w:rStyle w:val="apple-converted-space"/>
          <w:rFonts w:asciiTheme="minorHAnsi" w:hAnsiTheme="minorHAnsi" w:cs="Arial"/>
          <w:color w:val="000000"/>
        </w:rPr>
        <w:t> </w:t>
      </w:r>
      <w:r w:rsidRPr="00E10485">
        <w:rPr>
          <w:rFonts w:asciiTheme="minorHAnsi" w:hAnsiTheme="minorHAnsi" w:cs="Arial"/>
          <w:color w:val="000000"/>
        </w:rPr>
        <w:t>Coordination for logistical support, compensation discussions, and traffic management during construction.</w:t>
      </w:r>
    </w:p>
    <w:p w14:paraId="71CB9062" w14:textId="77777777" w:rsidR="00CD612B" w:rsidRPr="00E10485" w:rsidRDefault="00CD612B" w:rsidP="00CD612B">
      <w:pPr>
        <w:pStyle w:val="NormalWeb"/>
        <w:numPr>
          <w:ilvl w:val="0"/>
          <w:numId w:val="5"/>
        </w:numPr>
        <w:divId w:val="1432431394"/>
        <w:rPr>
          <w:rFonts w:asciiTheme="minorHAnsi" w:hAnsiTheme="minorHAnsi" w:cs="Arial"/>
          <w:color w:val="000000"/>
        </w:rPr>
      </w:pPr>
      <w:r w:rsidRPr="00E10485">
        <w:rPr>
          <w:rStyle w:val="Robust"/>
          <w:rFonts w:asciiTheme="minorHAnsi" w:hAnsiTheme="minorHAnsi" w:cs="Arial"/>
          <w:b w:val="0"/>
          <w:bCs w:val="0"/>
          <w:color w:val="000000"/>
        </w:rPr>
        <w:t>Public and commuters:</w:t>
      </w:r>
      <w:r w:rsidRPr="00E10485">
        <w:rPr>
          <w:rStyle w:val="apple-converted-space"/>
          <w:rFonts w:asciiTheme="minorHAnsi" w:hAnsiTheme="minorHAnsi" w:cs="Arial"/>
          <w:color w:val="000000"/>
        </w:rPr>
        <w:t> </w:t>
      </w:r>
      <w:r w:rsidRPr="00E10485">
        <w:rPr>
          <w:rFonts w:asciiTheme="minorHAnsi" w:hAnsiTheme="minorHAnsi" w:cs="Arial"/>
          <w:color w:val="000000"/>
        </w:rPr>
        <w:t>Communication strategies to inform road closures, alternative routes, and project progress.</w:t>
      </w:r>
    </w:p>
    <w:p w14:paraId="5C3FBCBC" w14:textId="003CDD01" w:rsidR="00D73869" w:rsidRPr="00E10485" w:rsidRDefault="00CD612B" w:rsidP="00F75E6B">
      <w:pPr>
        <w:pStyle w:val="NormalWeb"/>
        <w:divId w:val="1432431394"/>
        <w:rPr>
          <w:rFonts w:asciiTheme="minorHAnsi" w:hAnsiTheme="minorHAnsi" w:cs="Arial"/>
          <w:color w:val="000000"/>
        </w:rPr>
      </w:pPr>
      <w:r w:rsidRPr="00E10485">
        <w:rPr>
          <w:rFonts w:asciiTheme="minorHAnsi" w:hAnsiTheme="minorHAnsi" w:cs="Arial"/>
          <w:color w:val="000000"/>
        </w:rPr>
        <w:lastRenderedPageBreak/>
        <w:t>A structured communication plan will be implemented, including weekly progress reports, monthly stakeholder meetings, and public information campaigns. Engagement strategies will follow PMI guidelines for stakeholder management (Project Management Institute, 2021), ensuring transparency and inclusivity.</w:t>
      </w:r>
    </w:p>
    <w:p w14:paraId="7E9073A4" w14:textId="135CCE79" w:rsidR="00D554DA" w:rsidRPr="00165F67" w:rsidRDefault="00D554DA" w:rsidP="00D554DA">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165F67">
        <w:rPr>
          <w:rFonts w:eastAsiaTheme="majorEastAsia" w:cs="Arial"/>
          <w:color w:val="2F5496" w:themeColor="accent1" w:themeShade="BF"/>
          <w:kern w:val="0"/>
          <w:lang w:val="en-US" w:eastAsia="en-US"/>
          <w14:ligatures w14:val="none"/>
        </w:rPr>
        <w:t>8. Allocation of Resources</w:t>
      </w:r>
      <w:r w:rsidR="00156AF9" w:rsidRPr="00165F67">
        <w:rPr>
          <w:rFonts w:eastAsiaTheme="majorEastAsia" w:cs="Arial"/>
          <w:color w:val="2F5496" w:themeColor="accent1" w:themeShade="BF"/>
          <w:kern w:val="0"/>
          <w:lang w:val="en-US" w:eastAsia="en-US"/>
          <w14:ligatures w14:val="none"/>
        </w:rPr>
        <w:t>:</w:t>
      </w:r>
    </w:p>
    <w:p w14:paraId="45F41018" w14:textId="77777777" w:rsidR="00B635A2" w:rsidRPr="00165F67" w:rsidRDefault="00B635A2" w:rsidP="00B635A2">
      <w:pPr>
        <w:spacing w:before="100" w:beforeAutospacing="1" w:after="100" w:afterAutospacing="1" w:line="240" w:lineRule="auto"/>
        <w:outlineLvl w:val="2"/>
        <w:divId w:val="1832718169"/>
        <w:rPr>
          <w:rFonts w:eastAsia="Times New Roman" w:cs="Arial"/>
          <w:color w:val="000000"/>
          <w:kern w:val="0"/>
          <w14:ligatures w14:val="none"/>
        </w:rPr>
      </w:pPr>
      <w:r w:rsidRPr="00165F67">
        <w:rPr>
          <w:rFonts w:eastAsia="Times New Roman" w:cs="Arial"/>
          <w:color w:val="000000"/>
          <w:kern w:val="0"/>
          <w14:ligatures w14:val="none"/>
        </w:rPr>
        <w:t>8.1 Human Resources</w:t>
      </w:r>
    </w:p>
    <w:p w14:paraId="3F1A4601"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Project Manager (1)</w:t>
      </w:r>
    </w:p>
    <w:p w14:paraId="6DFC73AB"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Civil Engineers (6)</w:t>
      </w:r>
    </w:p>
    <w:p w14:paraId="08EE6920"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Geotechnical Engineers (4)</w:t>
      </w:r>
    </w:p>
    <w:p w14:paraId="3D43A9CC"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Construction Crew (50+)</w:t>
      </w:r>
    </w:p>
    <w:p w14:paraId="67D5C149"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Environmental Specialists (3)</w:t>
      </w:r>
    </w:p>
    <w:p w14:paraId="0E6506FB"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QA/QC Inspectors (5)</w:t>
      </w:r>
    </w:p>
    <w:p w14:paraId="54C98F84"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Support Staff and Administration (5)</w:t>
      </w:r>
    </w:p>
    <w:p w14:paraId="010B05D7" w14:textId="77777777" w:rsidR="00E460AD" w:rsidRPr="00165F67" w:rsidRDefault="00E460AD" w:rsidP="00B635A2">
      <w:pPr>
        <w:spacing w:before="100" w:beforeAutospacing="1" w:after="100" w:afterAutospacing="1" w:line="240" w:lineRule="auto"/>
        <w:outlineLvl w:val="2"/>
        <w:divId w:val="1832718169"/>
        <w:rPr>
          <w:rFonts w:ascii="Arial" w:eastAsia="Times New Roman" w:hAnsi="Arial" w:cs="Arial"/>
          <w:b/>
          <w:bCs/>
          <w:color w:val="000000"/>
          <w:kern w:val="0"/>
          <w14:ligatures w14:val="none"/>
        </w:rPr>
      </w:pPr>
    </w:p>
    <w:p w14:paraId="5393ADF8" w14:textId="4DE90FAC" w:rsidR="00B635A2" w:rsidRPr="00165F67" w:rsidRDefault="00B635A2" w:rsidP="00B635A2">
      <w:pPr>
        <w:spacing w:before="100" w:beforeAutospacing="1" w:after="100" w:afterAutospacing="1" w:line="240" w:lineRule="auto"/>
        <w:outlineLvl w:val="2"/>
        <w:divId w:val="1832718169"/>
        <w:rPr>
          <w:rFonts w:eastAsia="Times New Roman" w:cs="Arial"/>
          <w:color w:val="000000"/>
          <w:kern w:val="0"/>
          <w14:ligatures w14:val="none"/>
        </w:rPr>
      </w:pPr>
      <w:r w:rsidRPr="00165F67">
        <w:rPr>
          <w:rFonts w:eastAsia="Times New Roman" w:cs="Arial"/>
          <w:color w:val="000000"/>
          <w:kern w:val="0"/>
          <w14:ligatures w14:val="none"/>
        </w:rPr>
        <w:t>8.2 Financial Resources</w:t>
      </w:r>
    </w:p>
    <w:p w14:paraId="6385D5F6" w14:textId="77777777" w:rsidR="00B635A2" w:rsidRPr="00165F67" w:rsidRDefault="00B635A2" w:rsidP="00B635A2">
      <w:pPr>
        <w:numPr>
          <w:ilvl w:val="0"/>
          <w:numId w:val="7"/>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Total estimated budget: CAD 500 million</w:t>
      </w:r>
    </w:p>
    <w:p w14:paraId="206E3A87" w14:textId="77777777" w:rsidR="00B635A2" w:rsidRPr="00165F67" w:rsidRDefault="00B635A2" w:rsidP="00B635A2">
      <w:pPr>
        <w:numPr>
          <w:ilvl w:val="0"/>
          <w:numId w:val="7"/>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Contingency reserve: 10% to address unforeseen costs</w:t>
      </w:r>
    </w:p>
    <w:p w14:paraId="3FC7FFB2" w14:textId="77777777" w:rsidR="00B635A2" w:rsidRPr="00165F67" w:rsidRDefault="00B635A2" w:rsidP="00B635A2">
      <w:pPr>
        <w:spacing w:before="100" w:beforeAutospacing="1" w:after="100" w:afterAutospacing="1" w:line="240" w:lineRule="auto"/>
        <w:outlineLvl w:val="2"/>
        <w:divId w:val="1832718169"/>
        <w:rPr>
          <w:rFonts w:eastAsia="Times New Roman" w:cs="Arial"/>
          <w:color w:val="000000"/>
          <w:kern w:val="0"/>
          <w14:ligatures w14:val="none"/>
        </w:rPr>
      </w:pPr>
      <w:r w:rsidRPr="00165F67">
        <w:rPr>
          <w:rFonts w:eastAsia="Times New Roman" w:cs="Arial"/>
          <w:color w:val="000000"/>
          <w:kern w:val="0"/>
          <w14:ligatures w14:val="none"/>
        </w:rPr>
        <w:t>8.3 Technical Resources</w:t>
      </w:r>
    </w:p>
    <w:p w14:paraId="76A92168" w14:textId="77777777" w:rsidR="00B635A2" w:rsidRPr="00165F67" w:rsidRDefault="00B635A2" w:rsidP="00B635A2">
      <w:pPr>
        <w:numPr>
          <w:ilvl w:val="0"/>
          <w:numId w:val="8"/>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Heavy machinery: Excavators, bulldozers, cranes, paving equipment</w:t>
      </w:r>
    </w:p>
    <w:p w14:paraId="51739980" w14:textId="77777777" w:rsidR="00B635A2" w:rsidRPr="00165F67" w:rsidRDefault="00B635A2" w:rsidP="00B635A2">
      <w:pPr>
        <w:numPr>
          <w:ilvl w:val="0"/>
          <w:numId w:val="8"/>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Materials: Concrete, asphalt, steel reinforcements, geotextiles</w:t>
      </w:r>
    </w:p>
    <w:p w14:paraId="2F844F8F" w14:textId="77777777" w:rsidR="00D06B2A" w:rsidRPr="00165F67" w:rsidRDefault="00B635A2" w:rsidP="00D06B2A">
      <w:pPr>
        <w:numPr>
          <w:ilvl w:val="0"/>
          <w:numId w:val="8"/>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Monitoring equipment: Sensors for slope stability, bridge load measurement, and flood detection</w:t>
      </w:r>
    </w:p>
    <w:p w14:paraId="08D02ADF" w14:textId="01ECEB22" w:rsidR="00D06B2A" w:rsidRPr="00165F67" w:rsidRDefault="00D06B2A" w:rsidP="00D06B2A">
      <w:pPr>
        <w:spacing w:before="100" w:beforeAutospacing="1" w:after="100" w:afterAutospacing="1" w:line="240" w:lineRule="auto"/>
        <w:divId w:val="1832718169"/>
        <w:rPr>
          <w:rFonts w:eastAsiaTheme="majorEastAsia" w:cs="Arial"/>
          <w:color w:val="2F5496" w:themeColor="accent1" w:themeShade="BF"/>
          <w:kern w:val="0"/>
          <w:lang w:val="en-US" w:eastAsia="en-US"/>
          <w14:ligatures w14:val="none"/>
        </w:rPr>
      </w:pPr>
      <w:r w:rsidRPr="00165F67">
        <w:rPr>
          <w:rFonts w:eastAsiaTheme="majorEastAsia" w:cs="Arial"/>
          <w:color w:val="2F5496" w:themeColor="accent1" w:themeShade="BF"/>
          <w:kern w:val="0"/>
          <w:lang w:val="en-US" w:eastAsia="en-US"/>
          <w14:ligatures w14:val="none"/>
        </w:rPr>
        <w:t>9. Risk Analysis:</w:t>
      </w:r>
    </w:p>
    <w:p w14:paraId="4274ED35" w14:textId="77777777" w:rsidR="003A644C" w:rsidRPr="00165F67" w:rsidRDefault="003A644C">
      <w:pPr>
        <w:pStyle w:val="NormalWeb"/>
        <w:divId w:val="2019692289"/>
        <w:rPr>
          <w:rFonts w:asciiTheme="minorHAnsi" w:hAnsiTheme="minorHAnsi" w:cs="Arial"/>
          <w:color w:val="000000"/>
        </w:rPr>
      </w:pPr>
      <w:r w:rsidRPr="00165F67">
        <w:rPr>
          <w:rFonts w:asciiTheme="minorHAnsi" w:hAnsiTheme="minorHAnsi" w:cs="Arial"/>
          <w:color w:val="000000"/>
        </w:rPr>
        <w:t>Risk identification, assessment, and mitigation are crucial to ensure project success (Hossain, 2020). Key risks include:</w:t>
      </w:r>
    </w:p>
    <w:p w14:paraId="1ABCD183" w14:textId="77777777" w:rsidR="003A644C" w:rsidRPr="00165F67" w:rsidRDefault="003A644C" w:rsidP="003A644C">
      <w:pPr>
        <w:pStyle w:val="NormalWeb"/>
        <w:numPr>
          <w:ilvl w:val="0"/>
          <w:numId w:val="9"/>
        </w:numPr>
        <w:divId w:val="2019692289"/>
        <w:rPr>
          <w:rFonts w:asciiTheme="minorHAnsi" w:hAnsiTheme="minorHAnsi" w:cs="Arial"/>
          <w:color w:val="000000"/>
        </w:rPr>
      </w:pPr>
      <w:r w:rsidRPr="00165F67">
        <w:rPr>
          <w:rStyle w:val="Robust"/>
          <w:rFonts w:asciiTheme="minorHAnsi" w:hAnsiTheme="minorHAnsi" w:cs="Arial"/>
          <w:b w:val="0"/>
          <w:bCs w:val="0"/>
          <w:color w:val="000000"/>
        </w:rPr>
        <w:t>Extreme weather:</w:t>
      </w:r>
      <w:r w:rsidRPr="00165F67">
        <w:rPr>
          <w:rStyle w:val="apple-converted-space"/>
          <w:rFonts w:asciiTheme="minorHAnsi" w:hAnsiTheme="minorHAnsi" w:cs="Arial"/>
          <w:color w:val="000000"/>
        </w:rPr>
        <w:t> </w:t>
      </w:r>
      <w:r w:rsidRPr="00165F67">
        <w:rPr>
          <w:rFonts w:asciiTheme="minorHAnsi" w:hAnsiTheme="minorHAnsi" w:cs="Arial"/>
          <w:color w:val="000000"/>
        </w:rPr>
        <w:t>Delays due to rain, snow, or landslides; mitigated by flexible scheduling and temporary protection measures.</w:t>
      </w:r>
    </w:p>
    <w:p w14:paraId="58BE5E76" w14:textId="77777777" w:rsidR="003A644C" w:rsidRPr="00165F67" w:rsidRDefault="003A644C" w:rsidP="003A644C">
      <w:pPr>
        <w:pStyle w:val="NormalWeb"/>
        <w:numPr>
          <w:ilvl w:val="0"/>
          <w:numId w:val="9"/>
        </w:numPr>
        <w:divId w:val="2019692289"/>
        <w:rPr>
          <w:rFonts w:asciiTheme="minorHAnsi" w:hAnsiTheme="minorHAnsi" w:cs="Arial"/>
          <w:color w:val="000000"/>
        </w:rPr>
      </w:pPr>
      <w:r w:rsidRPr="00165F67">
        <w:rPr>
          <w:rStyle w:val="Robust"/>
          <w:rFonts w:asciiTheme="minorHAnsi" w:hAnsiTheme="minorHAnsi" w:cs="Arial"/>
          <w:b w:val="0"/>
          <w:bCs w:val="0"/>
          <w:color w:val="000000"/>
        </w:rPr>
        <w:t>Supply chain disruptions:</w:t>
      </w:r>
      <w:r w:rsidRPr="00165F67">
        <w:rPr>
          <w:rStyle w:val="apple-converted-space"/>
          <w:rFonts w:asciiTheme="minorHAnsi" w:hAnsiTheme="minorHAnsi" w:cs="Arial"/>
          <w:color w:val="000000"/>
        </w:rPr>
        <w:t> </w:t>
      </w:r>
      <w:r w:rsidRPr="00165F67">
        <w:rPr>
          <w:rFonts w:asciiTheme="minorHAnsi" w:hAnsiTheme="minorHAnsi" w:cs="Arial"/>
          <w:color w:val="000000"/>
        </w:rPr>
        <w:t>Shortages of materials or equipment; mitigated via early procurement and multiple suppliers.</w:t>
      </w:r>
    </w:p>
    <w:p w14:paraId="1A3AC6D6" w14:textId="77777777" w:rsidR="003A644C" w:rsidRPr="00165F67" w:rsidRDefault="003A644C" w:rsidP="003A644C">
      <w:pPr>
        <w:pStyle w:val="NormalWeb"/>
        <w:numPr>
          <w:ilvl w:val="0"/>
          <w:numId w:val="9"/>
        </w:numPr>
        <w:divId w:val="2019692289"/>
        <w:rPr>
          <w:rFonts w:asciiTheme="minorHAnsi" w:hAnsiTheme="minorHAnsi" w:cs="Arial"/>
          <w:color w:val="000000"/>
        </w:rPr>
      </w:pPr>
      <w:r w:rsidRPr="00165F67">
        <w:rPr>
          <w:rStyle w:val="Robust"/>
          <w:rFonts w:asciiTheme="minorHAnsi" w:hAnsiTheme="minorHAnsi" w:cs="Arial"/>
          <w:b w:val="0"/>
          <w:bCs w:val="0"/>
          <w:color w:val="000000"/>
        </w:rPr>
        <w:t>Budget overruns:</w:t>
      </w:r>
      <w:r w:rsidRPr="00165F67">
        <w:rPr>
          <w:rStyle w:val="apple-converted-space"/>
          <w:rFonts w:asciiTheme="minorHAnsi" w:hAnsiTheme="minorHAnsi" w:cs="Arial"/>
          <w:color w:val="000000"/>
        </w:rPr>
        <w:t> </w:t>
      </w:r>
      <w:r w:rsidRPr="00165F67">
        <w:rPr>
          <w:rFonts w:asciiTheme="minorHAnsi" w:hAnsiTheme="minorHAnsi" w:cs="Arial"/>
          <w:color w:val="000000"/>
        </w:rPr>
        <w:t>Contingency allocation and regular financial monitoring.</w:t>
      </w:r>
    </w:p>
    <w:p w14:paraId="5BEABDC8" w14:textId="77777777" w:rsidR="003A644C" w:rsidRPr="00165F67" w:rsidRDefault="003A644C" w:rsidP="003A644C">
      <w:pPr>
        <w:pStyle w:val="NormalWeb"/>
        <w:numPr>
          <w:ilvl w:val="0"/>
          <w:numId w:val="9"/>
        </w:numPr>
        <w:divId w:val="2019692289"/>
        <w:rPr>
          <w:rFonts w:asciiTheme="minorHAnsi" w:hAnsiTheme="minorHAnsi" w:cs="Arial"/>
          <w:color w:val="000000"/>
        </w:rPr>
      </w:pPr>
      <w:r w:rsidRPr="00165F67">
        <w:rPr>
          <w:rStyle w:val="Robust"/>
          <w:rFonts w:asciiTheme="minorHAnsi" w:hAnsiTheme="minorHAnsi" w:cs="Arial"/>
          <w:b w:val="0"/>
          <w:bCs w:val="0"/>
          <w:color w:val="000000"/>
        </w:rPr>
        <w:t>Community opposition:</w:t>
      </w:r>
      <w:r w:rsidRPr="00165F67">
        <w:rPr>
          <w:rStyle w:val="apple-converted-space"/>
          <w:rFonts w:asciiTheme="minorHAnsi" w:hAnsiTheme="minorHAnsi" w:cs="Arial"/>
          <w:color w:val="000000"/>
        </w:rPr>
        <w:t> </w:t>
      </w:r>
      <w:r w:rsidRPr="00165F67">
        <w:rPr>
          <w:rFonts w:asciiTheme="minorHAnsi" w:hAnsiTheme="minorHAnsi" w:cs="Arial"/>
          <w:color w:val="000000"/>
        </w:rPr>
        <w:t>Mitigated through proactive communication, consultation, and grievance mechanisms.</w:t>
      </w:r>
    </w:p>
    <w:p w14:paraId="15532F7E" w14:textId="77777777" w:rsidR="00E42775" w:rsidRPr="00165F67" w:rsidRDefault="003A644C" w:rsidP="00E42775">
      <w:pPr>
        <w:pStyle w:val="NormalWeb"/>
        <w:numPr>
          <w:ilvl w:val="0"/>
          <w:numId w:val="9"/>
        </w:numPr>
        <w:divId w:val="2019692289"/>
        <w:rPr>
          <w:rFonts w:asciiTheme="minorHAnsi" w:hAnsiTheme="minorHAnsi" w:cs="Arial"/>
          <w:color w:val="000000"/>
        </w:rPr>
      </w:pPr>
      <w:r w:rsidRPr="00165F67">
        <w:rPr>
          <w:rStyle w:val="Robust"/>
          <w:rFonts w:asciiTheme="minorHAnsi" w:hAnsiTheme="minorHAnsi" w:cs="Arial"/>
          <w:b w:val="0"/>
          <w:bCs w:val="0"/>
          <w:color w:val="000000"/>
        </w:rPr>
        <w:t>Environmental impacts:</w:t>
      </w:r>
      <w:r w:rsidRPr="00165F67">
        <w:rPr>
          <w:rStyle w:val="apple-converted-space"/>
          <w:rFonts w:asciiTheme="minorHAnsi" w:hAnsiTheme="minorHAnsi" w:cs="Arial"/>
          <w:color w:val="000000"/>
        </w:rPr>
        <w:t> </w:t>
      </w:r>
      <w:r w:rsidRPr="00165F67">
        <w:rPr>
          <w:rFonts w:asciiTheme="minorHAnsi" w:hAnsiTheme="minorHAnsi" w:cs="Arial"/>
          <w:color w:val="000000"/>
        </w:rPr>
        <w:t>Environmental impact assessments and adherence to regulations.</w:t>
      </w:r>
    </w:p>
    <w:p w14:paraId="3112E9BE" w14:textId="77777777" w:rsidR="00777E85" w:rsidRPr="00165F67" w:rsidRDefault="00777E85" w:rsidP="00E42775">
      <w:pPr>
        <w:pStyle w:val="NormalWeb"/>
        <w:divId w:val="2019692289"/>
        <w:rPr>
          <w:rFonts w:asciiTheme="minorHAnsi" w:eastAsiaTheme="majorEastAsia" w:hAnsiTheme="minorHAnsi" w:cs="Arial"/>
          <w:color w:val="2F5496" w:themeColor="accent1" w:themeShade="BF"/>
          <w:lang w:val="en-US" w:eastAsia="en-US"/>
        </w:rPr>
      </w:pPr>
    </w:p>
    <w:p w14:paraId="2483C1B9" w14:textId="77777777" w:rsidR="00D37E1F" w:rsidRDefault="00D37E1F" w:rsidP="00E42775">
      <w:pPr>
        <w:pStyle w:val="NormalWeb"/>
        <w:divId w:val="2019692289"/>
        <w:rPr>
          <w:rFonts w:asciiTheme="minorHAnsi" w:eastAsiaTheme="majorEastAsia" w:hAnsiTheme="minorHAnsi" w:cs="Arial"/>
          <w:color w:val="2F5496" w:themeColor="accent1" w:themeShade="BF"/>
          <w:lang w:val="en-US" w:eastAsia="en-US"/>
        </w:rPr>
      </w:pPr>
    </w:p>
    <w:p w14:paraId="4B1EF062" w14:textId="4A3D160D" w:rsidR="00E42775" w:rsidRPr="00165F67" w:rsidRDefault="00E42775" w:rsidP="00E42775">
      <w:pPr>
        <w:pStyle w:val="NormalWeb"/>
        <w:divId w:val="2019692289"/>
        <w:rPr>
          <w:rFonts w:asciiTheme="minorHAnsi" w:eastAsiaTheme="majorEastAsia" w:hAnsiTheme="minorHAnsi" w:cs="Arial"/>
          <w:color w:val="2F5496" w:themeColor="accent1" w:themeShade="BF"/>
          <w:lang w:val="en-US" w:eastAsia="en-US"/>
        </w:rPr>
      </w:pPr>
      <w:r w:rsidRPr="00165F67">
        <w:rPr>
          <w:rFonts w:asciiTheme="minorHAnsi" w:eastAsiaTheme="majorEastAsia" w:hAnsiTheme="minorHAnsi" w:cs="Arial"/>
          <w:color w:val="2F5496" w:themeColor="accent1" w:themeShade="BF"/>
          <w:lang w:val="en-US" w:eastAsia="en-US"/>
        </w:rPr>
        <w:t>10. Conclusion:</w:t>
      </w:r>
    </w:p>
    <w:p w14:paraId="7E42091D"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The Highway 5 Reconstruction Project represents a critical intervention to restore connectivity, ensure public safety, and enhance resilience against future climatic events. By integrating structured project management practices, stakeholder engagement, and climate-adaptive designs, the project not only facilitates recovery but also positions the region for improved sustainability and economic stability. The reconstructed highway will serve as a model for resilient infrastructure in flood-prone regions.</w:t>
      </w:r>
    </w:p>
    <w:p w14:paraId="4664A049"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Beyond the immediate benefits of reopening a key transportation corridor, the project carries significant strategic importance. Highway 5 is a vital economic lifeline for the Lower Mainland and the broader British Columbia region, facilitating the transport of goods, services, and people. The prolonged disruption of this corridor during the 2022 floods highlighted vulnerabilities not only in infrastructure but also in regional supply chains, emergency response systems, and community preparedness. By addressing these weaknesses, the reconstruction project contributes directly to long-term regional resilience. As noted by Ayyub (2018), infrastructure projects that incorporate adaptive design principles enhance the system’s ability to absorb, recover, and adapt to future disruptions, providing both tangible and intangible socio-economic benefits.</w:t>
      </w:r>
    </w:p>
    <w:p w14:paraId="1D65E903"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The project’s focus on climate-adaptive design elements represents a significant advancement in infrastructure planning. Bridges are being reconstructed to accommodate higher flood flows, incorporating reinforced materials, elevated spans, and improved foundations to withstand extreme weather. Roadway segments are designed with improved drainage and surface treatments to reduce erosion and water damage, while slopes are stabilised through modern geotechnical techniques, including retaining structures and vegetation-based reinforcement. This integrated approach ensures that the reconstructed highway is not only functional but also resilient, reducing the likelihood of costly future repairs and service interruptions (Barsley, 2019; Bastidas-Arteaga and Stewart, 2019).</w:t>
      </w:r>
    </w:p>
    <w:p w14:paraId="69A8DF6B"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Stakeholder engagement is another cornerstone of the project’s success. Consultation with local communities, Indigenous groups, municipal authorities, and businesses ensures that the reconstruction aligns with local priorities, mitigates adverse social impacts, and enhances public trust. Inclusive engagement strategies also contribute to better decision-making, as insights from those directly affected can guide design adaptations and construction sequencing. According to Hamin Infield et al. (2019), participatory planning strengthens resilience by integrating community knowledge, promoting social cohesion, and ensuring that infrastructure investments address both immediate needs and long-term adaptation goals.</w:t>
      </w:r>
    </w:p>
    <w:p w14:paraId="0E900914" w14:textId="067E9FD4"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From a project management perspective, the reconstruction of Highway 5 demonstrates the practical application of PMBOK principles, including detailed planning, risk management, resource allocation, and monitoring. Risks such as extreme weather, material shortages, and budget overruns were systematically identified and mitigated through contingency planning and adaptive scheduling. The project’s phased approach</w:t>
      </w:r>
      <w:r w:rsidR="008D0FF6">
        <w:rPr>
          <w:rFonts w:cs="Arial"/>
          <w:color w:val="000000"/>
          <w:kern w:val="0"/>
          <w14:ligatures w14:val="none"/>
        </w:rPr>
        <w:t xml:space="preserve"> </w:t>
      </w:r>
      <w:r w:rsidRPr="008D0FF6">
        <w:rPr>
          <w:rFonts w:cs="Arial"/>
          <w:color w:val="000000"/>
          <w:kern w:val="0"/>
          <w14:ligatures w14:val="none"/>
        </w:rPr>
        <w:t>planning, design, construction, and monitoring</w:t>
      </w:r>
      <w:r w:rsidR="008D0FF6">
        <w:rPr>
          <w:rFonts w:cs="Arial"/>
          <w:color w:val="000000"/>
          <w:kern w:val="0"/>
          <w14:ligatures w14:val="none"/>
        </w:rPr>
        <w:t xml:space="preserve"> </w:t>
      </w:r>
      <w:r w:rsidRPr="008D0FF6">
        <w:rPr>
          <w:rFonts w:cs="Arial"/>
          <w:color w:val="000000"/>
          <w:kern w:val="0"/>
          <w14:ligatures w14:val="none"/>
        </w:rPr>
        <w:t xml:space="preserve">facilitates </w:t>
      </w:r>
      <w:r w:rsidRPr="008D0FF6">
        <w:rPr>
          <w:rFonts w:cs="Arial"/>
          <w:color w:val="000000"/>
          <w:kern w:val="0"/>
          <w14:ligatures w14:val="none"/>
        </w:rPr>
        <w:lastRenderedPageBreak/>
        <w:t>effective coordination, ensures quality control, and allows for continuous evaluation of progress (Project Management Institute, 2021).</w:t>
      </w:r>
    </w:p>
    <w:p w14:paraId="46B90BBF"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Economically, the project provides immediate and long-term benefits. The reopening of Highway 5 restores the movement of goods and services, reducing supply chain disruptions for agriculture, forestry, manufacturing, and retail sectors. In addition, the project generates employment opportunities across engineering, construction, environmental management, and administrative domains. These outcomes contribute to regional economic recovery while promoting social stability and community resilience. Furthermore, the investment in climate-adaptive infrastructure provides long-term cost savings by reducing maintenance requirements and lowering vulnerability to future flood events (Malalgoda et al., 2025).</w:t>
      </w:r>
    </w:p>
    <w:p w14:paraId="4404832A"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Finally, the Highway 5 Reconstruction Project exemplifies a model for resilient infrastructure in other flood-prone regions. By integrating adaptive engineering, comprehensive risk management, stakeholder collaboration, and sustainability principles, the project sets a benchmark for similar initiatives across Canada and internationally. It demonstrates how infrastructure reconstruction can move beyond mere recovery to create systems that are more robust, environmentally responsible, and socio-economically beneficial. The lessons learned from this project, including design innovations, community engagement practices, and risk mitigation strategies, can inform future infrastructure planning, helping governments and organisations proactively prepare for the increasing frequency and intensity of climate-related disasters (Hossain, 2020).</w:t>
      </w:r>
    </w:p>
    <w:p w14:paraId="7C28C7DB"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In conclusion, the reconstruction of Highway 5 is not simply an act of repair but a transformative investment in resilience, sustainability, and regional prosperity. Through careful planning, innovative design, and inclusive stakeholder engagement, the project restores critical connectivity, enhances public safety, and strengthens the region’s capacity to withstand future climatic challenges, establishing Highway 5 as a flagship example of resilient infrastructure in a changing climate.</w:t>
      </w:r>
    </w:p>
    <w:p w14:paraId="2CC7E505" w14:textId="77777777" w:rsidR="005753A5" w:rsidRPr="00E10485" w:rsidRDefault="005753A5" w:rsidP="0042216F">
      <w:pPr>
        <w:keepNext/>
        <w:keepLines/>
        <w:spacing w:before="480" w:after="0" w:line="276" w:lineRule="auto"/>
        <w:outlineLvl w:val="0"/>
        <w:rPr>
          <w:rFonts w:eastAsia="Times New Roman" w:cs="Times New Roman"/>
          <w:kern w:val="0"/>
          <w14:ligatures w14:val="none"/>
        </w:rPr>
      </w:pPr>
    </w:p>
    <w:p w14:paraId="6B09E978" w14:textId="2327111A" w:rsidR="0042216F" w:rsidRPr="00165F67" w:rsidRDefault="0042216F" w:rsidP="0042216F">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165F67">
        <w:rPr>
          <w:rFonts w:eastAsiaTheme="majorEastAsia" w:cs="Arial"/>
          <w:color w:val="2F5496" w:themeColor="accent1" w:themeShade="BF"/>
          <w:kern w:val="0"/>
          <w:lang w:val="en-US" w:eastAsia="en-US"/>
          <w14:ligatures w14:val="none"/>
        </w:rPr>
        <w:t>11. References:</w:t>
      </w:r>
    </w:p>
    <w:p w14:paraId="4B15E09B" w14:textId="66DAF92B" w:rsidR="0037187D" w:rsidRPr="00E10485" w:rsidRDefault="0037187D" w:rsidP="0037187D">
      <w:pPr>
        <w:pStyle w:val="NormalWeb"/>
        <w:numPr>
          <w:ilvl w:val="0"/>
          <w:numId w:val="10"/>
        </w:numPr>
        <w:divId w:val="1937906162"/>
        <w:rPr>
          <w:rFonts w:asciiTheme="minorHAnsi" w:hAnsiTheme="minorHAnsi" w:cs="Arial"/>
          <w:color w:val="000000"/>
        </w:rPr>
      </w:pPr>
      <w:hyperlink r:id="rId8" w:anchor="d=gs_qabs&amp;t=1759097840434&amp;u=%23p%3DsXe7RDmf2YEJ" w:history="1">
        <w:r w:rsidRPr="00215FE3">
          <w:rPr>
            <w:rStyle w:val="Hyperlink"/>
            <w:rFonts w:asciiTheme="minorHAnsi" w:hAnsiTheme="minorHAnsi" w:cs="Arial"/>
          </w:rPr>
          <w:t>Ayyub, B.M., 2018. Climate-Resilient Infrastructure: Adaptive Design and Risk Management. Reston: ASCE.</w:t>
        </w:r>
      </w:hyperlink>
    </w:p>
    <w:p w14:paraId="2156890E" w14:textId="49F759C8" w:rsidR="0037187D" w:rsidRPr="00E10485" w:rsidRDefault="0037187D" w:rsidP="0037187D">
      <w:pPr>
        <w:pStyle w:val="NormalWeb"/>
        <w:numPr>
          <w:ilvl w:val="0"/>
          <w:numId w:val="10"/>
        </w:numPr>
        <w:divId w:val="1937906162"/>
        <w:rPr>
          <w:rFonts w:asciiTheme="minorHAnsi" w:hAnsiTheme="minorHAnsi" w:cs="Arial"/>
          <w:color w:val="000000"/>
        </w:rPr>
      </w:pPr>
      <w:hyperlink r:id="rId9" w:history="1">
        <w:r w:rsidRPr="008244E2">
          <w:rPr>
            <w:rStyle w:val="Hyperlink"/>
            <w:rFonts w:asciiTheme="minorHAnsi" w:hAnsiTheme="minorHAnsi" w:cs="Arial"/>
          </w:rPr>
          <w:t>Barsley, E., 2019. Retrofitting for Flood Resilience: A Guide to Building &amp; Community Design. London: RIBA Publishing.</w:t>
        </w:r>
      </w:hyperlink>
    </w:p>
    <w:p w14:paraId="0FD4A366" w14:textId="501ED4D0" w:rsidR="0037187D" w:rsidRPr="00E10485" w:rsidRDefault="0037187D" w:rsidP="0037187D">
      <w:pPr>
        <w:pStyle w:val="NormalWeb"/>
        <w:numPr>
          <w:ilvl w:val="0"/>
          <w:numId w:val="10"/>
        </w:numPr>
        <w:divId w:val="1937906162"/>
        <w:rPr>
          <w:rFonts w:asciiTheme="minorHAnsi" w:hAnsiTheme="minorHAnsi" w:cs="Arial"/>
          <w:color w:val="000000"/>
        </w:rPr>
      </w:pPr>
      <w:hyperlink r:id="rId10" w:anchor="v=onepage&amp;q&amp;f=false" w:history="1">
        <w:r w:rsidRPr="003F7CF3">
          <w:rPr>
            <w:rStyle w:val="Hyperlink"/>
            <w:rFonts w:asciiTheme="minorHAnsi" w:hAnsiTheme="minorHAnsi" w:cs="Arial"/>
          </w:rPr>
          <w:t>Bastidas-Arteaga, E. and Stewart, M.G., 2019. Climate Adaptation Engineering: Risks and Economics for Infrastructure Decision-Making. Oxford: Butterworth-Heinemann.</w:t>
        </w:r>
      </w:hyperlink>
    </w:p>
    <w:p w14:paraId="6B8D3434" w14:textId="5F94B9D9" w:rsidR="0037187D" w:rsidRPr="00E10485" w:rsidRDefault="000E284A" w:rsidP="0037187D">
      <w:pPr>
        <w:pStyle w:val="NormalWeb"/>
        <w:numPr>
          <w:ilvl w:val="0"/>
          <w:numId w:val="10"/>
        </w:numPr>
        <w:divId w:val="1937906162"/>
        <w:rPr>
          <w:rFonts w:asciiTheme="minorHAnsi" w:hAnsiTheme="minorHAnsi" w:cs="Arial"/>
          <w:color w:val="000000"/>
        </w:rPr>
      </w:pPr>
      <w:hyperlink r:id="rId11" w:history="1">
        <w:r>
          <w:rPr>
            <w:rStyle w:val="Hyperlink"/>
            <w:rFonts w:asciiTheme="minorHAnsi" w:hAnsiTheme="minorHAnsi" w:cs="Arial"/>
          </w:rPr>
          <w:t xml:space="preserve">Government of British Columbia, 2022. Permanent Repairs Coming for Flood-Damaged Sections of Highway 5. </w:t>
        </w:r>
      </w:hyperlink>
      <w:r w:rsidR="0037187D" w:rsidRPr="00E10485">
        <w:rPr>
          <w:rFonts w:asciiTheme="minorHAnsi" w:hAnsiTheme="minorHAnsi" w:cs="Arial"/>
          <w:color w:val="000000"/>
        </w:rPr>
        <w:t xml:space="preserve"> </w:t>
      </w:r>
    </w:p>
    <w:p w14:paraId="231898EB" w14:textId="09C5A6B9" w:rsidR="0037187D" w:rsidRPr="00E10485" w:rsidRDefault="0037187D" w:rsidP="0037187D">
      <w:pPr>
        <w:pStyle w:val="NormalWeb"/>
        <w:numPr>
          <w:ilvl w:val="0"/>
          <w:numId w:val="10"/>
        </w:numPr>
        <w:divId w:val="1937906162"/>
        <w:rPr>
          <w:rFonts w:asciiTheme="minorHAnsi" w:hAnsiTheme="minorHAnsi" w:cs="Arial"/>
          <w:color w:val="000000"/>
        </w:rPr>
      </w:pPr>
      <w:hyperlink r:id="rId12" w:history="1">
        <w:r w:rsidRPr="000F6075">
          <w:rPr>
            <w:rStyle w:val="Hyperlink"/>
            <w:rFonts w:asciiTheme="minorHAnsi" w:hAnsiTheme="minorHAnsi" w:cs="Arial"/>
          </w:rPr>
          <w:t>Hamin Infield, E.M., Abunnasr, Y. and Ryan, R.L., 2019. Planning for Climate Change: A Reader in Green Infrastructure and Sustainable Design for Resilient Cities. London: Routledge.</w:t>
        </w:r>
      </w:hyperlink>
    </w:p>
    <w:p w14:paraId="01AF23C0" w14:textId="0C05183B" w:rsidR="0037187D" w:rsidRPr="00E10485" w:rsidRDefault="0037187D" w:rsidP="0037187D">
      <w:pPr>
        <w:pStyle w:val="NormalWeb"/>
        <w:numPr>
          <w:ilvl w:val="0"/>
          <w:numId w:val="10"/>
        </w:numPr>
        <w:divId w:val="1937906162"/>
        <w:rPr>
          <w:rFonts w:asciiTheme="minorHAnsi" w:hAnsiTheme="minorHAnsi" w:cs="Arial"/>
          <w:color w:val="000000"/>
        </w:rPr>
      </w:pPr>
      <w:hyperlink r:id="rId13" w:anchor="d=gs_qabs&amp;t=1759098208371&amp;u=%23p%3D1ekxUE8FBeQJ" w:history="1">
        <w:r w:rsidRPr="00DB709A">
          <w:rPr>
            <w:rStyle w:val="Hyperlink"/>
            <w:rFonts w:asciiTheme="minorHAnsi" w:hAnsiTheme="minorHAnsi" w:cs="Arial"/>
          </w:rPr>
          <w:t>Hossain, F. (ed.), 2020. Resilience of Large Water Management Infrastructure: Solutions from Modern Atmospheric Science. Cham: Springer.</w:t>
        </w:r>
      </w:hyperlink>
    </w:p>
    <w:p w14:paraId="36FB2EF4" w14:textId="20F38EF5" w:rsidR="0037187D" w:rsidRPr="00E10485" w:rsidRDefault="0037187D" w:rsidP="0037187D">
      <w:pPr>
        <w:pStyle w:val="NormalWeb"/>
        <w:numPr>
          <w:ilvl w:val="0"/>
          <w:numId w:val="10"/>
        </w:numPr>
        <w:divId w:val="1937906162"/>
        <w:rPr>
          <w:rFonts w:asciiTheme="minorHAnsi" w:hAnsiTheme="minorHAnsi" w:cs="Arial"/>
          <w:color w:val="000000"/>
        </w:rPr>
      </w:pPr>
      <w:hyperlink r:id="rId14" w:anchor="v=onepage&amp;q&amp;f=false" w:history="1">
        <w:r w:rsidRPr="000A5B98">
          <w:rPr>
            <w:rStyle w:val="Hyperlink"/>
            <w:rFonts w:asciiTheme="minorHAnsi" w:hAnsiTheme="minorHAnsi" w:cs="Arial"/>
          </w:rPr>
          <w:t>Malalgoda, C., Amaratunga, D., Haigh, R. and Nissanka, N. (eds.), 2025. Climate Change Adaptation in the Built Environment: Transdisciplinary and Innovative Learning. Cham: Springer.</w:t>
        </w:r>
      </w:hyperlink>
    </w:p>
    <w:p w14:paraId="5D4514F1" w14:textId="5906D280" w:rsidR="0037187D" w:rsidRPr="00E10485" w:rsidRDefault="0037187D" w:rsidP="0037187D">
      <w:pPr>
        <w:pStyle w:val="NormalWeb"/>
        <w:numPr>
          <w:ilvl w:val="0"/>
          <w:numId w:val="10"/>
        </w:numPr>
        <w:divId w:val="1937906162"/>
        <w:rPr>
          <w:rFonts w:asciiTheme="minorHAnsi" w:hAnsiTheme="minorHAnsi" w:cs="Arial"/>
          <w:color w:val="000000"/>
        </w:rPr>
      </w:pPr>
      <w:hyperlink r:id="rId15" w:anchor="v=onepage&amp;q&amp;f=false" w:history="1">
        <w:r w:rsidRPr="00DC3981">
          <w:rPr>
            <w:rStyle w:val="Hyperlink"/>
            <w:rFonts w:asciiTheme="minorHAnsi" w:hAnsiTheme="minorHAnsi" w:cs="Arial"/>
          </w:rPr>
          <w:t>Project Management Institute, 2021. A Guide to the Project Management Body of Knowledge (PMBOK Guide). 7th ed. Newtown Square: PMI.</w:t>
        </w:r>
      </w:hyperlink>
    </w:p>
    <w:p w14:paraId="3A447461" w14:textId="77777777" w:rsidR="0037187D" w:rsidRPr="00E10485" w:rsidRDefault="0037187D" w:rsidP="0042216F">
      <w:pPr>
        <w:keepNext/>
        <w:keepLines/>
        <w:spacing w:before="480" w:after="0" w:line="276" w:lineRule="auto"/>
        <w:outlineLvl w:val="0"/>
        <w:rPr>
          <w:rFonts w:eastAsiaTheme="majorEastAsia" w:cs="Arial"/>
          <w:color w:val="000000" w:themeColor="text1"/>
          <w:kern w:val="0"/>
          <w:sz w:val="22"/>
          <w:szCs w:val="22"/>
          <w:lang w:val="en-US" w:eastAsia="en-US"/>
          <w14:ligatures w14:val="none"/>
        </w:rPr>
      </w:pPr>
    </w:p>
    <w:p w14:paraId="33ED89AD" w14:textId="77777777" w:rsidR="00554862" w:rsidRPr="00E10485" w:rsidRDefault="00554862" w:rsidP="0042216F">
      <w:pPr>
        <w:keepNext/>
        <w:keepLines/>
        <w:spacing w:before="480" w:after="0" w:line="276" w:lineRule="auto"/>
        <w:outlineLvl w:val="0"/>
        <w:rPr>
          <w:rFonts w:eastAsiaTheme="majorEastAsia" w:cs="Arial"/>
          <w:color w:val="000000" w:themeColor="text1"/>
          <w:kern w:val="0"/>
          <w:sz w:val="22"/>
          <w:szCs w:val="22"/>
          <w:lang w:val="en-US" w:eastAsia="en-US"/>
          <w14:ligatures w14:val="none"/>
        </w:rPr>
      </w:pPr>
    </w:p>
    <w:p w14:paraId="0C09B24D" w14:textId="77777777" w:rsidR="0042216F" w:rsidRPr="00E10485" w:rsidRDefault="0042216F">
      <w:pPr>
        <w:pStyle w:val="NormalWeb"/>
        <w:divId w:val="1821190077"/>
        <w:rPr>
          <w:rFonts w:asciiTheme="minorHAnsi" w:hAnsiTheme="minorHAnsi" w:cs="Arial"/>
          <w:color w:val="000000"/>
        </w:rPr>
      </w:pPr>
    </w:p>
    <w:p w14:paraId="355CD21B" w14:textId="77777777" w:rsidR="0042216F" w:rsidRPr="00E10485" w:rsidRDefault="0042216F">
      <w:pPr>
        <w:pStyle w:val="NormalWeb"/>
        <w:divId w:val="1821190077"/>
        <w:rPr>
          <w:rFonts w:asciiTheme="minorHAnsi" w:hAnsiTheme="minorHAnsi" w:cs="Arial"/>
          <w:color w:val="000000"/>
        </w:rPr>
      </w:pPr>
    </w:p>
    <w:p w14:paraId="78BE6E55" w14:textId="77777777" w:rsidR="00E42775" w:rsidRPr="00E10485" w:rsidRDefault="00E42775" w:rsidP="00E42775">
      <w:pPr>
        <w:pStyle w:val="NormalWeb"/>
        <w:divId w:val="2019692289"/>
        <w:rPr>
          <w:rFonts w:asciiTheme="minorHAnsi" w:hAnsiTheme="minorHAnsi" w:cs="Arial"/>
          <w:color w:val="000000"/>
        </w:rPr>
      </w:pPr>
    </w:p>
    <w:p w14:paraId="002D66F5" w14:textId="77777777" w:rsidR="00E42775" w:rsidRPr="00E10485" w:rsidRDefault="00E42775" w:rsidP="00E42775">
      <w:pPr>
        <w:pStyle w:val="NormalWeb"/>
        <w:divId w:val="2019692289"/>
        <w:rPr>
          <w:rFonts w:asciiTheme="minorHAnsi" w:hAnsiTheme="minorHAnsi" w:cs="Arial"/>
          <w:color w:val="000000"/>
        </w:rPr>
      </w:pPr>
    </w:p>
    <w:p w14:paraId="55462454" w14:textId="77777777" w:rsidR="00D06B2A" w:rsidRPr="00E10485" w:rsidRDefault="00D06B2A" w:rsidP="00D06B2A">
      <w:pPr>
        <w:spacing w:before="100" w:beforeAutospacing="1" w:after="100" w:afterAutospacing="1" w:line="240" w:lineRule="auto"/>
        <w:divId w:val="1832718169"/>
        <w:rPr>
          <w:rFonts w:cs="Arial"/>
          <w:color w:val="000000" w:themeColor="text1"/>
          <w:kern w:val="0"/>
          <w14:ligatures w14:val="none"/>
        </w:rPr>
      </w:pPr>
    </w:p>
    <w:p w14:paraId="216B8C59" w14:textId="77777777" w:rsidR="00A17067" w:rsidRPr="00E10485" w:rsidRDefault="00A17067" w:rsidP="00A17067">
      <w:pPr>
        <w:spacing w:before="100" w:beforeAutospacing="1" w:after="100" w:afterAutospacing="1" w:line="240" w:lineRule="auto"/>
        <w:divId w:val="1832718169"/>
        <w:rPr>
          <w:rFonts w:cs="Arial"/>
          <w:color w:val="000000"/>
          <w:kern w:val="0"/>
          <w14:ligatures w14:val="none"/>
        </w:rPr>
      </w:pPr>
    </w:p>
    <w:p w14:paraId="7295F978" w14:textId="77777777" w:rsidR="00D554DA" w:rsidRPr="00E10485" w:rsidRDefault="00D554DA" w:rsidP="00F75E6B">
      <w:pPr>
        <w:pStyle w:val="NormalWeb"/>
        <w:divId w:val="1432431394"/>
        <w:rPr>
          <w:rFonts w:asciiTheme="minorHAnsi" w:hAnsiTheme="minorHAnsi" w:cs="Arial"/>
          <w:color w:val="000000"/>
        </w:rPr>
      </w:pPr>
    </w:p>
    <w:p w14:paraId="563A63B9" w14:textId="77777777" w:rsidR="00F75E6B" w:rsidRPr="00E10485" w:rsidRDefault="00F75E6B" w:rsidP="00F75E6B">
      <w:pPr>
        <w:pStyle w:val="NormalWeb"/>
        <w:divId w:val="1432431394"/>
        <w:rPr>
          <w:rFonts w:asciiTheme="minorHAnsi" w:hAnsiTheme="minorHAnsi" w:cs="Arial"/>
          <w:color w:val="000000"/>
        </w:rPr>
      </w:pPr>
    </w:p>
    <w:sectPr w:rsidR="00F75E6B" w:rsidRPr="00E104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56032" w14:textId="77777777" w:rsidR="001A671A" w:rsidRDefault="001A671A" w:rsidP="00D13A4A">
      <w:pPr>
        <w:spacing w:after="0" w:line="240" w:lineRule="auto"/>
      </w:pPr>
      <w:r>
        <w:separator/>
      </w:r>
    </w:p>
  </w:endnote>
  <w:endnote w:type="continuationSeparator" w:id="0">
    <w:p w14:paraId="0C0427A2" w14:textId="77777777" w:rsidR="001A671A" w:rsidRDefault="001A671A" w:rsidP="00D13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9926F4" w14:textId="77777777" w:rsidR="001A671A" w:rsidRDefault="001A671A" w:rsidP="00D13A4A">
      <w:pPr>
        <w:spacing w:after="0" w:line="240" w:lineRule="auto"/>
      </w:pPr>
      <w:r>
        <w:separator/>
      </w:r>
    </w:p>
  </w:footnote>
  <w:footnote w:type="continuationSeparator" w:id="0">
    <w:p w14:paraId="67750B5D" w14:textId="77777777" w:rsidR="001A671A" w:rsidRDefault="001A671A" w:rsidP="00D13A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61E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71D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8550D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082A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725D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990C6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8B64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3155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957ED3"/>
    <w:multiLevelType w:val="hybridMultilevel"/>
    <w:tmpl w:val="8F42777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15:restartNumberingAfterBreak="0">
    <w:nsid w:val="45482F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30573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4536145">
    <w:abstractNumId w:val="2"/>
  </w:num>
  <w:num w:numId="2" w16cid:durableId="356202801">
    <w:abstractNumId w:val="1"/>
  </w:num>
  <w:num w:numId="3" w16cid:durableId="129590820">
    <w:abstractNumId w:val="9"/>
  </w:num>
  <w:num w:numId="4" w16cid:durableId="1165584945">
    <w:abstractNumId w:val="7"/>
  </w:num>
  <w:num w:numId="5" w16cid:durableId="968439079">
    <w:abstractNumId w:val="6"/>
  </w:num>
  <w:num w:numId="6" w16cid:durableId="959149638">
    <w:abstractNumId w:val="4"/>
  </w:num>
  <w:num w:numId="7" w16cid:durableId="223956577">
    <w:abstractNumId w:val="5"/>
  </w:num>
  <w:num w:numId="8" w16cid:durableId="940719807">
    <w:abstractNumId w:val="3"/>
  </w:num>
  <w:num w:numId="9" w16cid:durableId="944112375">
    <w:abstractNumId w:val="0"/>
  </w:num>
  <w:num w:numId="10" w16cid:durableId="1030104639">
    <w:abstractNumId w:val="10"/>
  </w:num>
  <w:num w:numId="11" w16cid:durableId="10765879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869"/>
    <w:rsid w:val="000034B5"/>
    <w:rsid w:val="000726BF"/>
    <w:rsid w:val="000A5B98"/>
    <w:rsid w:val="000D7AD4"/>
    <w:rsid w:val="000E284A"/>
    <w:rsid w:val="000E6683"/>
    <w:rsid w:val="000F6075"/>
    <w:rsid w:val="000F7F2C"/>
    <w:rsid w:val="00100B25"/>
    <w:rsid w:val="001149E9"/>
    <w:rsid w:val="00131D57"/>
    <w:rsid w:val="001434F7"/>
    <w:rsid w:val="00152C94"/>
    <w:rsid w:val="00156AF9"/>
    <w:rsid w:val="00165F67"/>
    <w:rsid w:val="001A671A"/>
    <w:rsid w:val="001B0978"/>
    <w:rsid w:val="001B2145"/>
    <w:rsid w:val="001D1C04"/>
    <w:rsid w:val="00202A5B"/>
    <w:rsid w:val="002055A5"/>
    <w:rsid w:val="00210E22"/>
    <w:rsid w:val="00215FE3"/>
    <w:rsid w:val="00234C3A"/>
    <w:rsid w:val="00236A0E"/>
    <w:rsid w:val="00240061"/>
    <w:rsid w:val="002D624A"/>
    <w:rsid w:val="002E0C4A"/>
    <w:rsid w:val="002E439F"/>
    <w:rsid w:val="002F274C"/>
    <w:rsid w:val="00317501"/>
    <w:rsid w:val="00361C57"/>
    <w:rsid w:val="00367438"/>
    <w:rsid w:val="0037187D"/>
    <w:rsid w:val="0038268D"/>
    <w:rsid w:val="003A644C"/>
    <w:rsid w:val="003D52F0"/>
    <w:rsid w:val="003F7CF3"/>
    <w:rsid w:val="00404116"/>
    <w:rsid w:val="0041421B"/>
    <w:rsid w:val="004210F8"/>
    <w:rsid w:val="0042216F"/>
    <w:rsid w:val="00440EBA"/>
    <w:rsid w:val="00486F7C"/>
    <w:rsid w:val="00492DFA"/>
    <w:rsid w:val="004B31A8"/>
    <w:rsid w:val="0055455D"/>
    <w:rsid w:val="00554862"/>
    <w:rsid w:val="005753A5"/>
    <w:rsid w:val="00576B4B"/>
    <w:rsid w:val="005A04F9"/>
    <w:rsid w:val="005C1CB4"/>
    <w:rsid w:val="005C2B9E"/>
    <w:rsid w:val="005E51EC"/>
    <w:rsid w:val="005F40AB"/>
    <w:rsid w:val="00607883"/>
    <w:rsid w:val="00620E1C"/>
    <w:rsid w:val="00624E5D"/>
    <w:rsid w:val="006316D0"/>
    <w:rsid w:val="006350E7"/>
    <w:rsid w:val="00643FBA"/>
    <w:rsid w:val="0064725D"/>
    <w:rsid w:val="00655CC7"/>
    <w:rsid w:val="006569A8"/>
    <w:rsid w:val="00702694"/>
    <w:rsid w:val="00727289"/>
    <w:rsid w:val="0074676D"/>
    <w:rsid w:val="00746F23"/>
    <w:rsid w:val="007633E0"/>
    <w:rsid w:val="00777E85"/>
    <w:rsid w:val="0079321A"/>
    <w:rsid w:val="007D5A1D"/>
    <w:rsid w:val="007D79B3"/>
    <w:rsid w:val="007E00D8"/>
    <w:rsid w:val="008244E2"/>
    <w:rsid w:val="008339EE"/>
    <w:rsid w:val="0083789C"/>
    <w:rsid w:val="008B6B32"/>
    <w:rsid w:val="008C3475"/>
    <w:rsid w:val="008C4D16"/>
    <w:rsid w:val="008D0FF6"/>
    <w:rsid w:val="00901EAC"/>
    <w:rsid w:val="00915EB8"/>
    <w:rsid w:val="0093014F"/>
    <w:rsid w:val="0093289D"/>
    <w:rsid w:val="0095637D"/>
    <w:rsid w:val="00984F68"/>
    <w:rsid w:val="0098515E"/>
    <w:rsid w:val="009B0DCD"/>
    <w:rsid w:val="009D0670"/>
    <w:rsid w:val="009E5887"/>
    <w:rsid w:val="00A13CA1"/>
    <w:rsid w:val="00A17067"/>
    <w:rsid w:val="00A643F6"/>
    <w:rsid w:val="00A72CC8"/>
    <w:rsid w:val="00A835D5"/>
    <w:rsid w:val="00A939EB"/>
    <w:rsid w:val="00AA1815"/>
    <w:rsid w:val="00AE01D9"/>
    <w:rsid w:val="00AF4CD9"/>
    <w:rsid w:val="00B400F7"/>
    <w:rsid w:val="00B635A2"/>
    <w:rsid w:val="00B671A7"/>
    <w:rsid w:val="00B966C5"/>
    <w:rsid w:val="00BE792C"/>
    <w:rsid w:val="00C06784"/>
    <w:rsid w:val="00C465E4"/>
    <w:rsid w:val="00C53C73"/>
    <w:rsid w:val="00C71F79"/>
    <w:rsid w:val="00C90C71"/>
    <w:rsid w:val="00C974A7"/>
    <w:rsid w:val="00C979D3"/>
    <w:rsid w:val="00CD612B"/>
    <w:rsid w:val="00CD7E7D"/>
    <w:rsid w:val="00D06B2A"/>
    <w:rsid w:val="00D10811"/>
    <w:rsid w:val="00D13A4A"/>
    <w:rsid w:val="00D37E1F"/>
    <w:rsid w:val="00D52DFD"/>
    <w:rsid w:val="00D554DA"/>
    <w:rsid w:val="00D73869"/>
    <w:rsid w:val="00D803FB"/>
    <w:rsid w:val="00D91028"/>
    <w:rsid w:val="00DB709A"/>
    <w:rsid w:val="00DC3981"/>
    <w:rsid w:val="00E10485"/>
    <w:rsid w:val="00E423D8"/>
    <w:rsid w:val="00E42775"/>
    <w:rsid w:val="00E437FD"/>
    <w:rsid w:val="00E460AD"/>
    <w:rsid w:val="00E54A5C"/>
    <w:rsid w:val="00E853B5"/>
    <w:rsid w:val="00EA32EE"/>
    <w:rsid w:val="00EA3B4A"/>
    <w:rsid w:val="00EB0E2D"/>
    <w:rsid w:val="00ED7E05"/>
    <w:rsid w:val="00EF1706"/>
    <w:rsid w:val="00EF2FAE"/>
    <w:rsid w:val="00EF375E"/>
    <w:rsid w:val="00EF648C"/>
    <w:rsid w:val="00F257E5"/>
    <w:rsid w:val="00F75E6B"/>
    <w:rsid w:val="00FB4A95"/>
    <w:rsid w:val="00FD1FB8"/>
    <w:rsid w:val="00FF2ECF"/>
    <w:rsid w:val="00FF5DEF"/>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AEE61"/>
  <w15:chartTrackingRefBased/>
  <w15:docId w15:val="{0758CFEC-8C73-6C4D-A9F0-04979D518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7386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D7386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unhideWhenUsed/>
    <w:qFormat/>
    <w:rsid w:val="00D73869"/>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D73869"/>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D73869"/>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D7386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D7386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D7386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D7386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73869"/>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D73869"/>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D73869"/>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D73869"/>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D73869"/>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D7386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D7386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D7386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D73869"/>
    <w:rPr>
      <w:rFonts w:eastAsiaTheme="majorEastAsia" w:cstheme="majorBidi"/>
      <w:color w:val="272727" w:themeColor="text1" w:themeTint="D8"/>
    </w:rPr>
  </w:style>
  <w:style w:type="paragraph" w:styleId="Titlu">
    <w:name w:val="Title"/>
    <w:basedOn w:val="Normal"/>
    <w:next w:val="Normal"/>
    <w:link w:val="TitluCaracter"/>
    <w:uiPriority w:val="10"/>
    <w:qFormat/>
    <w:rsid w:val="00D738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7386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D7386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D7386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D7386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D73869"/>
    <w:rPr>
      <w:i/>
      <w:iCs/>
      <w:color w:val="404040" w:themeColor="text1" w:themeTint="BF"/>
    </w:rPr>
  </w:style>
  <w:style w:type="paragraph" w:styleId="Listparagraf">
    <w:name w:val="List Paragraph"/>
    <w:basedOn w:val="Normal"/>
    <w:uiPriority w:val="34"/>
    <w:qFormat/>
    <w:rsid w:val="00D73869"/>
    <w:pPr>
      <w:ind w:left="720"/>
      <w:contextualSpacing/>
    </w:pPr>
  </w:style>
  <w:style w:type="character" w:styleId="Accentuareintens">
    <w:name w:val="Intense Emphasis"/>
    <w:basedOn w:val="Fontdeparagrafimplicit"/>
    <w:uiPriority w:val="21"/>
    <w:qFormat/>
    <w:rsid w:val="00D73869"/>
    <w:rPr>
      <w:i/>
      <w:iCs/>
      <w:color w:val="2F5496" w:themeColor="accent1" w:themeShade="BF"/>
    </w:rPr>
  </w:style>
  <w:style w:type="paragraph" w:styleId="Citatintens">
    <w:name w:val="Intense Quote"/>
    <w:basedOn w:val="Normal"/>
    <w:next w:val="Normal"/>
    <w:link w:val="CitatintensCaracter"/>
    <w:uiPriority w:val="30"/>
    <w:qFormat/>
    <w:rsid w:val="00D738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D73869"/>
    <w:rPr>
      <w:i/>
      <w:iCs/>
      <w:color w:val="2F5496" w:themeColor="accent1" w:themeShade="BF"/>
    </w:rPr>
  </w:style>
  <w:style w:type="character" w:styleId="Referireintens">
    <w:name w:val="Intense Reference"/>
    <w:basedOn w:val="Fontdeparagrafimplicit"/>
    <w:uiPriority w:val="32"/>
    <w:qFormat/>
    <w:rsid w:val="00D73869"/>
    <w:rPr>
      <w:b/>
      <w:bCs/>
      <w:smallCaps/>
      <w:color w:val="2F5496" w:themeColor="accent1" w:themeShade="BF"/>
      <w:spacing w:val="5"/>
    </w:rPr>
  </w:style>
  <w:style w:type="paragraph" w:styleId="NormalWeb">
    <w:name w:val="Normal (Web)"/>
    <w:basedOn w:val="Normal"/>
    <w:uiPriority w:val="99"/>
    <w:unhideWhenUsed/>
    <w:rsid w:val="00D73869"/>
    <w:pPr>
      <w:spacing w:before="100" w:beforeAutospacing="1" w:after="100" w:afterAutospacing="1" w:line="240" w:lineRule="auto"/>
    </w:pPr>
    <w:rPr>
      <w:rFonts w:ascii="Times New Roman" w:hAnsi="Times New Roman" w:cs="Times New Roman"/>
      <w:kern w:val="0"/>
      <w14:ligatures w14:val="none"/>
    </w:rPr>
  </w:style>
  <w:style w:type="character" w:styleId="Robust">
    <w:name w:val="Strong"/>
    <w:basedOn w:val="Fontdeparagrafimplicit"/>
    <w:uiPriority w:val="22"/>
    <w:qFormat/>
    <w:rsid w:val="003D52F0"/>
    <w:rPr>
      <w:b/>
      <w:bCs/>
    </w:rPr>
  </w:style>
  <w:style w:type="character" w:customStyle="1" w:styleId="apple-converted-space">
    <w:name w:val="apple-converted-space"/>
    <w:basedOn w:val="Fontdeparagrafimplicit"/>
    <w:rsid w:val="003D52F0"/>
  </w:style>
  <w:style w:type="character" w:styleId="Accentuat">
    <w:name w:val="Emphasis"/>
    <w:basedOn w:val="Fontdeparagrafimplicit"/>
    <w:uiPriority w:val="20"/>
    <w:qFormat/>
    <w:rsid w:val="00746F23"/>
    <w:rPr>
      <w:i/>
      <w:iCs/>
    </w:rPr>
  </w:style>
  <w:style w:type="table" w:styleId="Tabelgril5ntunecat-Accentuare4">
    <w:name w:val="Grid Table 5 Dark Accent 4"/>
    <w:basedOn w:val="TabelNormal"/>
    <w:uiPriority w:val="50"/>
    <w:rsid w:val="00C71F7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Tabelgril4-Accentuare4">
    <w:name w:val="Grid Table 4 Accent 4"/>
    <w:basedOn w:val="TabelNormal"/>
    <w:uiPriority w:val="49"/>
    <w:rsid w:val="000726BF"/>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Hyperlink">
    <w:name w:val="Hyperlink"/>
    <w:basedOn w:val="Fontdeparagrafimplicit"/>
    <w:uiPriority w:val="99"/>
    <w:unhideWhenUsed/>
    <w:rsid w:val="0037187D"/>
    <w:rPr>
      <w:color w:val="0000FF"/>
      <w:u w:val="single"/>
    </w:rPr>
  </w:style>
  <w:style w:type="character" w:styleId="MeniuneNerezolvat">
    <w:name w:val="Unresolved Mention"/>
    <w:basedOn w:val="Fontdeparagrafimplicit"/>
    <w:uiPriority w:val="99"/>
    <w:semiHidden/>
    <w:unhideWhenUsed/>
    <w:rsid w:val="00215FE3"/>
    <w:rPr>
      <w:color w:val="605E5C"/>
      <w:shd w:val="clear" w:color="auto" w:fill="E1DFDD"/>
    </w:rPr>
  </w:style>
  <w:style w:type="character" w:styleId="HyperlinkParcurs">
    <w:name w:val="FollowedHyperlink"/>
    <w:basedOn w:val="Fontdeparagrafimplicit"/>
    <w:uiPriority w:val="99"/>
    <w:semiHidden/>
    <w:unhideWhenUsed/>
    <w:rsid w:val="000E284A"/>
    <w:rPr>
      <w:color w:val="954F72" w:themeColor="followedHyperlink"/>
      <w:u w:val="single"/>
    </w:rPr>
  </w:style>
  <w:style w:type="paragraph" w:styleId="Antet">
    <w:name w:val="header"/>
    <w:basedOn w:val="Normal"/>
    <w:link w:val="AntetCaracter"/>
    <w:uiPriority w:val="99"/>
    <w:unhideWhenUsed/>
    <w:rsid w:val="00D13A4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13A4A"/>
  </w:style>
  <w:style w:type="paragraph" w:styleId="Subsol">
    <w:name w:val="footer"/>
    <w:basedOn w:val="Normal"/>
    <w:link w:val="SubsolCaracter"/>
    <w:uiPriority w:val="99"/>
    <w:unhideWhenUsed/>
    <w:rsid w:val="00D13A4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13A4A"/>
  </w:style>
  <w:style w:type="table" w:styleId="Tabelgril5ntunecat-Accentuare6">
    <w:name w:val="Grid Table 5 Dark Accent 6"/>
    <w:basedOn w:val="TabelNormal"/>
    <w:uiPriority w:val="50"/>
    <w:rsid w:val="00915EB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Tabelgril4-Accentuare6">
    <w:name w:val="Grid Table 4 Accent 6"/>
    <w:basedOn w:val="TabelNormal"/>
    <w:uiPriority w:val="49"/>
    <w:rsid w:val="006350E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0978807">
      <w:bodyDiv w:val="1"/>
      <w:marLeft w:val="0"/>
      <w:marRight w:val="0"/>
      <w:marTop w:val="0"/>
      <w:marBottom w:val="0"/>
      <w:divBdr>
        <w:top w:val="none" w:sz="0" w:space="0" w:color="auto"/>
        <w:left w:val="none" w:sz="0" w:space="0" w:color="auto"/>
        <w:bottom w:val="none" w:sz="0" w:space="0" w:color="auto"/>
        <w:right w:val="none" w:sz="0" w:space="0" w:color="auto"/>
      </w:divBdr>
    </w:div>
    <w:div w:id="1432431394">
      <w:bodyDiv w:val="1"/>
      <w:marLeft w:val="0"/>
      <w:marRight w:val="0"/>
      <w:marTop w:val="0"/>
      <w:marBottom w:val="0"/>
      <w:divBdr>
        <w:top w:val="none" w:sz="0" w:space="0" w:color="auto"/>
        <w:left w:val="none" w:sz="0" w:space="0" w:color="auto"/>
        <w:bottom w:val="none" w:sz="0" w:space="0" w:color="auto"/>
        <w:right w:val="none" w:sz="0" w:space="0" w:color="auto"/>
      </w:divBdr>
      <w:divsChild>
        <w:div w:id="1832718169">
          <w:marLeft w:val="0"/>
          <w:marRight w:val="0"/>
          <w:marTop w:val="0"/>
          <w:marBottom w:val="0"/>
          <w:divBdr>
            <w:top w:val="none" w:sz="0" w:space="0" w:color="auto"/>
            <w:left w:val="none" w:sz="0" w:space="0" w:color="auto"/>
            <w:bottom w:val="none" w:sz="0" w:space="0" w:color="auto"/>
            <w:right w:val="none" w:sz="0" w:space="0" w:color="auto"/>
          </w:divBdr>
          <w:divsChild>
            <w:div w:id="2019692289">
              <w:marLeft w:val="0"/>
              <w:marRight w:val="0"/>
              <w:marTop w:val="0"/>
              <w:marBottom w:val="0"/>
              <w:divBdr>
                <w:top w:val="none" w:sz="0" w:space="0" w:color="auto"/>
                <w:left w:val="none" w:sz="0" w:space="0" w:color="auto"/>
                <w:bottom w:val="none" w:sz="0" w:space="0" w:color="auto"/>
                <w:right w:val="none" w:sz="0" w:space="0" w:color="auto"/>
              </w:divBdr>
              <w:divsChild>
                <w:div w:id="182119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452390">
      <w:bodyDiv w:val="1"/>
      <w:marLeft w:val="0"/>
      <w:marRight w:val="0"/>
      <w:marTop w:val="0"/>
      <w:marBottom w:val="0"/>
      <w:divBdr>
        <w:top w:val="none" w:sz="0" w:space="0" w:color="auto"/>
        <w:left w:val="none" w:sz="0" w:space="0" w:color="auto"/>
        <w:bottom w:val="none" w:sz="0" w:space="0" w:color="auto"/>
        <w:right w:val="none" w:sz="0" w:space="0" w:color="auto"/>
      </w:divBdr>
      <w:divsChild>
        <w:div w:id="948701978">
          <w:marLeft w:val="0"/>
          <w:marRight w:val="0"/>
          <w:marTop w:val="0"/>
          <w:marBottom w:val="0"/>
          <w:divBdr>
            <w:top w:val="none" w:sz="0" w:space="0" w:color="auto"/>
            <w:left w:val="none" w:sz="0" w:space="0" w:color="auto"/>
            <w:bottom w:val="none" w:sz="0" w:space="0" w:color="auto"/>
            <w:right w:val="none" w:sz="0" w:space="0" w:color="auto"/>
          </w:divBdr>
        </w:div>
      </w:divsChild>
    </w:div>
    <w:div w:id="1740058095">
      <w:bodyDiv w:val="1"/>
      <w:marLeft w:val="0"/>
      <w:marRight w:val="0"/>
      <w:marTop w:val="0"/>
      <w:marBottom w:val="0"/>
      <w:divBdr>
        <w:top w:val="none" w:sz="0" w:space="0" w:color="auto"/>
        <w:left w:val="none" w:sz="0" w:space="0" w:color="auto"/>
        <w:bottom w:val="none" w:sz="0" w:space="0" w:color="auto"/>
        <w:right w:val="none" w:sz="0" w:space="0" w:color="auto"/>
      </w:divBdr>
    </w:div>
    <w:div w:id="1877306966">
      <w:bodyDiv w:val="1"/>
      <w:marLeft w:val="0"/>
      <w:marRight w:val="0"/>
      <w:marTop w:val="0"/>
      <w:marBottom w:val="0"/>
      <w:divBdr>
        <w:top w:val="none" w:sz="0" w:space="0" w:color="auto"/>
        <w:left w:val="none" w:sz="0" w:space="0" w:color="auto"/>
        <w:bottom w:val="none" w:sz="0" w:space="0" w:color="auto"/>
        <w:right w:val="none" w:sz="0" w:space="0" w:color="auto"/>
      </w:divBdr>
      <w:divsChild>
        <w:div w:id="911695431">
          <w:marLeft w:val="0"/>
          <w:marRight w:val="0"/>
          <w:marTop w:val="0"/>
          <w:marBottom w:val="0"/>
          <w:divBdr>
            <w:top w:val="none" w:sz="0" w:space="0" w:color="auto"/>
            <w:left w:val="none" w:sz="0" w:space="0" w:color="auto"/>
            <w:bottom w:val="none" w:sz="0" w:space="0" w:color="auto"/>
            <w:right w:val="none" w:sz="0" w:space="0" w:color="auto"/>
          </w:divBdr>
          <w:divsChild>
            <w:div w:id="864053390">
              <w:marLeft w:val="0"/>
              <w:marRight w:val="0"/>
              <w:marTop w:val="0"/>
              <w:marBottom w:val="0"/>
              <w:divBdr>
                <w:top w:val="none" w:sz="0" w:space="0" w:color="auto"/>
                <w:left w:val="none" w:sz="0" w:space="0" w:color="auto"/>
                <w:bottom w:val="none" w:sz="0" w:space="0" w:color="auto"/>
                <w:right w:val="none" w:sz="0" w:space="0" w:color="auto"/>
              </w:divBdr>
            </w:div>
          </w:divsChild>
        </w:div>
        <w:div w:id="1217620170">
          <w:marLeft w:val="0"/>
          <w:marRight w:val="0"/>
          <w:marTop w:val="0"/>
          <w:marBottom w:val="0"/>
          <w:divBdr>
            <w:top w:val="none" w:sz="0" w:space="0" w:color="auto"/>
            <w:left w:val="none" w:sz="0" w:space="0" w:color="auto"/>
            <w:bottom w:val="none" w:sz="0" w:space="0" w:color="auto"/>
            <w:right w:val="none" w:sz="0" w:space="0" w:color="auto"/>
          </w:divBdr>
        </w:div>
      </w:divsChild>
    </w:div>
    <w:div w:id="1937906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scholar?hl=ro&amp;as_sdt=0%2C5&amp;as_vis=1&amp;q=1.%09Ayyub%2C+B.M.%2C+2018.+Climate-Resilient+Infrastructure%3A+Adaptive+Design+and+Risk+Management.+Reston%3A+ASCE.&amp;btnG=" TargetMode="External"/><Relationship Id="rId13" Type="http://schemas.openxmlformats.org/officeDocument/2006/relationships/hyperlink" Target="https://scholar.google.co.uk/scholar?hl=ro&amp;as_sdt=0%2C5&amp;as_vis=1&amp;q=Hossain%2C+F.+%28ed.%29%2C+2020.+Resilience+of+Large+Water+Management+Infrastructure%3A+Solutions+from+Modern+Atmospheric+Science.+Cham%3A+Springer.&amp;btn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3-euw1-ap-pe-df-pch-content-store-p.s3.eu-west-1.amazonaws.com/9781351201117/b54c714d-fee7-46b7-9ba5-9e5f3ee257d4/preview.pdf?AWSAccessKeyId=ASIAQFVOSJ577E6FWJKR&amp;Expires=1759098167&amp;Signature=NfMZ%2BiOyajNVJCSgRYeSCAAlpfg%3D&amp;response-content-disposition=attachment%3B%20filename%3D%2210.4324_9781351201117_previewpdf.pdf%22&amp;x-amz-security-token=IQoJb3JpZ2luX2VjEDkaCXVzLWVhc3QtMSJGMEQCIFcqCkmc3Zty4FaJqfxK7Z7TwnfY6g6vLiww1%2B36bkCkAiA24wSGCA12UzvPGu0ta3fRCPVyZ7ArCaHquA5pEoqJ9SqWBAjC%2F%2F%2F%2F%2F%2F%2F%2F%2F%2F8BEAQaDDAxMjE3NzI2NDUxMSIMgaFGbxwkDk%2BUa29mKuoDQVqZ%2BxAnBlCrToI8EuQ2Tf3Vx6PkTbsubbo3S9eMj0KYbY9qcn4SaoAQ%2F9%2FiejoXQu7SgTWpOE4kmIuMVRZRPFnAbBseSXiR3f%2BQVpfj%2B1r58eI61dpJpKKg4uOqc1WA6QQK8lPIAFJIA7PWpfo1iahbTzakfZePbUkAC7wBPOWsdTwphZ7djlYfq0JqOxTBDBDkZjO0mg9o%2F5ShMAb7C7qqpCrzyYQ3Pgxt9ivFJA6UjH6eXjPw0DRRxEEAcifU%2BiqCM%2F%2B5b%2BwyWunxzPSJApfyE0Lpk%2FYCVOMTU%2B1nw0OxmurwMnomK0KO4v1mxs7Ou4PENE64ChCvgv3qYbijgMlgbzp1Uw3KGIpyhuts03OmtztQmzdFMhSsvsDchh%2FmwSTCqI2z96HgY5sjUMYFni8dzty5%2BI6l3nEA35Hbg%2FLX%2Fl1mPumE9R7ZvXd30yTS7Drg7LlINneimySXzQuqVhOu7mkfU46gnemN%2F89nWmkZdotyFF%2FZlbmO6Ipr%2FmhncfqOC%2FPEbhhZR3cVbOoNoSsQ1YlIc2IH5kgg4vsrxuKh2oxcVpzd%2FIdtWUfw%2FODBLZKJj7PeqfgfwmytsVz4%2Fe6UINdodwVwB%2FYmLCuiCzJE1CJ5%2BoXHKs17Y73PIbAJ%2FFIBReSEP5NGAjD5yuXGBjqmASktjmC9tG36CT4MU1qjQUuj6lCk5R2YWEvQBJpQvLTLozia7RHMO3cUv7jVf%2FfKJcj9LfkxPIkvTIEPcpGvokpON4fLM2xZN%2Bw%2BTyA7owsmgNn3WqeqDvdHtP7Zk8wYd7dw5cX6Ws7lqRwA0o9r8yebs837TYSv4mZ55bbptWhtadeNRwZCe0crXwgBNzh2RLdgNvVuEIy%2BYKyoQnyFnt9O3n7GPRM%3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s.gov.bc.ca/releases/2022TRAN0025-000419?utm_source=chatgpt.com" TargetMode="External"/><Relationship Id="rId5" Type="http://schemas.openxmlformats.org/officeDocument/2006/relationships/footnotes" Target="footnotes.xml"/><Relationship Id="rId15" Type="http://schemas.openxmlformats.org/officeDocument/2006/relationships/hyperlink" Target="https://books.google.co.uk/books?hl=ro&amp;lr=&amp;id=lKsxEAAAQBAJ&amp;oi=fnd&amp;pg=PT31&amp;dq=info:3VL5EPZcE6oJ:scholar.google.com/&amp;ots=wTtviHijYA&amp;sig=WClP11EoX1l2X57nYym2ZLXYhms" TargetMode="External"/><Relationship Id="rId10" Type="http://schemas.openxmlformats.org/officeDocument/2006/relationships/hyperlink" Target="https://books.google.co.uk/books?hl=ro&amp;lr=&amp;id=9UyNDwAAQBAJ&amp;oi=fnd&amp;pg=PP1&amp;dq=info:npq14XnwDG8J:scholar.google.com/&amp;ots=eBC6gBPYKr&amp;sig=eDRva9KA0sg14CJtKBrNN0ofjBQ" TargetMode="External"/><Relationship Id="rId4" Type="http://schemas.openxmlformats.org/officeDocument/2006/relationships/webSettings" Target="webSettings.xml"/><Relationship Id="rId9" Type="http://schemas.openxmlformats.org/officeDocument/2006/relationships/hyperlink" Target="https://www.taylorfrancis.com/books/mono/10.4324/9780429347986/retrofitting-flood-resilience-edward-barsley" TargetMode="External"/><Relationship Id="rId14" Type="http://schemas.openxmlformats.org/officeDocument/2006/relationships/hyperlink" Target="https://books.google.co.uk/books?hl=ro&amp;lr=&amp;id=2tFSEQAAQBAJ&amp;oi=fnd&amp;pg=PR5&amp;dq=info:wzHHWeubXdgJ:scholar.google.com/&amp;ots=bvOIDHT9bn&amp;sig=poldSdjMHwQDYzUSygMlujrtIHE"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TotalTime>
  <Pages>11</Pages>
  <Words>3821</Words>
  <Characters>22163</Characters>
  <Application>Microsoft Office Word</Application>
  <DocSecurity>0</DocSecurity>
  <Lines>184</Lines>
  <Paragraphs>51</Paragraphs>
  <ScaleCrop>false</ScaleCrop>
  <Company/>
  <LinksUpToDate>false</LinksUpToDate>
  <CharactersWithSpaces>25933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Mircea (2333683)</dc:creator>
  <cp:keywords/>
  <dc:description/>
  <cp:lastModifiedBy>Albert Mircea (2333683)</cp:lastModifiedBy>
  <cp:revision>75</cp:revision>
  <dcterms:created xsi:type="dcterms:W3CDTF">2025-09-28T22:25:00Z</dcterms:created>
  <dcterms:modified xsi:type="dcterms:W3CDTF">2025-11-16T12:41:00Z</dcterms:modified>
</cp:coreProperties>
</file>