
<file path=[Content_Types].xml><?xml version="1.0" encoding="utf-8"?>
<Types xmlns="http://schemas.openxmlformats.org/package/2006/content-types">
  <Default Extension="xml" ContentType="application/xml"/>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customXml/itemProps2.xml" ContentType="application/vnd.openxmlformats-officedocument.customXmlProperties+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rPr>
          <w:rFonts w:ascii="Times New Roman" w:cs="Times New Roman" w:hAnsi="Times New Roman"/>
          <w:sz w:val="24"/>
          <w:szCs w:val="24"/>
          <w:lang w:val="en-GB"/>
        </w:rPr>
      </w:pPr>
      <w:r>
        <w:rPr>
          <w:rFonts w:ascii="Times New Roman" w:cs="Times New Roman" w:hAnsi="Times New Roman"/>
          <w:noProof/>
          <w:sz w:val="24"/>
          <w:szCs w:val="24"/>
        </w:rPr>
        <mc:AlternateContent>
          <mc:Choice Requires="wps">
            <w:drawing>
              <wp:anchor distT="45720" distB="45720" distL="114300" distR="114300" simplePos="false" relativeHeight="4" behindDoc="false" locked="false" layoutInCell="true" allowOverlap="true">
                <wp:simplePos x="0" y="0"/>
                <wp:positionH relativeFrom="column">
                  <wp:posOffset>-617220</wp:posOffset>
                </wp:positionH>
                <wp:positionV relativeFrom="paragraph">
                  <wp:posOffset>7178040</wp:posOffset>
                </wp:positionV>
                <wp:extent cx="2636520" cy="716280"/>
                <wp:effectExtent l="0" t="0" r="11430" b="26669"/>
                <wp:wrapSquare wrapText="bothSides"/>
                <wp:docPr id="1026" name="Text Box 2"/>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2636520" cy="716280"/>
                        </a:xfrm>
                        <a:prstGeom prst="rect"/>
                        <a:solidFill>
                          <a:srgbClr val="ffffff"/>
                        </a:solidFill>
                        <a:ln cmpd="sng" cap="flat" w="9525">
                          <a:solidFill>
                            <a:srgbClr val="000000"/>
                          </a:solidFill>
                          <a:prstDash val="solid"/>
                          <a:miter/>
                          <a:headEnd len="med" w="med" type="none"/>
                          <a:tailEnd len="med" w="med" type="none"/>
                        </a:ln>
                      </wps:spPr>
                      <wps:txbx id="1026">
                        <w:txbxContent>
                          <w:p>
                            <w:pPr>
                              <w:pStyle w:val="style0"/>
                              <w:rPr>
                                <w:b/>
                                <w:bCs/>
                                <w:sz w:val="24"/>
                                <w:szCs w:val="24"/>
                              </w:rPr>
                            </w:pPr>
                            <w:r>
                              <w:rPr>
                                <w:b/>
                                <w:bCs/>
                                <w:sz w:val="24"/>
                                <w:szCs w:val="24"/>
                              </w:rPr>
                              <w:t xml:space="preserve">Submitted By: </w:t>
                            </w:r>
                            <w:r>
                              <w:rPr>
                                <w:rFonts w:ascii="Arial" w:cs="Arial" w:hAnsi="Arial"/>
                                <w:b/>
                                <w:bCs/>
                                <w:color w:val="222222"/>
                                <w:sz w:val="24"/>
                                <w:szCs w:val="24"/>
                                <w:shd w:val="clear" w:color="auto" w:fill="ffffff"/>
                              </w:rPr>
                              <w:t>Dimple Ben Patel</w:t>
                            </w:r>
                          </w:p>
                          <w:p>
                            <w:pPr>
                              <w:pStyle w:val="style0"/>
                              <w:rPr>
                                <w:b/>
                                <w:bCs/>
                                <w:sz w:val="24"/>
                                <w:szCs w:val="24"/>
                              </w:rPr>
                            </w:pPr>
                            <w:r>
                              <w:rPr>
                                <w:b/>
                                <w:bCs/>
                                <w:sz w:val="24"/>
                                <w:szCs w:val="24"/>
                              </w:rPr>
                              <w:t xml:space="preserve">Student ID: </w:t>
                            </w:r>
                            <w:r>
                              <w:rPr>
                                <w:b/>
                                <w:bCs/>
                                <w:sz w:val="24"/>
                                <w:szCs w:val="24"/>
                                <w:lang w:val="en-US"/>
                              </w:rPr>
                              <w:t>2133978</w:t>
                            </w:r>
                          </w:p>
                        </w:txbxContent>
                      </wps:txbx>
                      <wps:bodyPr lIns="91440" rIns="91440" tIns="45720" bIns="45720" vert="horz" anchor="t" wrap="square">
                        <a:prstTxWarp prst="textNoShape"/>
                        <a:noAutofit/>
                      </wps:bodyPr>
                    </wps:wsp>
                  </a:graphicData>
                </a:graphic>
                <wp14:sizeRelH relativeFrom="margin">
                  <wp14:pctWidth>0</wp14:pctWidth>
                </wp14:sizeRelH>
                <wp14:sizeRelV relativeFrom="margin">
                  <wp14:pctHeight>0</wp14:pctHeight>
                </wp14:sizeRelV>
              </wp:anchor>
            </w:drawing>
          </mc:Choice>
          <mc:Fallback>
            <w:pict>
              <v:rect id="1026" fillcolor="white" stroked="t" style="position:absolute;margin-left:-48.6pt;margin-top:565.2pt;width:207.6pt;height:56.4pt;z-index:4;mso-position-horizontal-relative:text;mso-position-vertical-relative:text;mso-width-percent:0;mso-height-percent:0;mso-width-relative:margin;mso-height-relative:margin;mso-wrap-distance-top:3.6000001pt;mso-wrap-distance-bottom:3.6000001pt;visibility:visible;">
                <v:stroke joinstyle="miter"/>
                <w10:wrap type="square"/>
                <v:fill/>
                <v:textbox inset="7.2pt,3.6pt,7.2pt,3.6pt">
                  <w:txbxContent>
                    <w:p>
                      <w:pPr>
                        <w:pStyle w:val="style0"/>
                        <w:rPr>
                          <w:b/>
                          <w:bCs/>
                          <w:sz w:val="24"/>
                          <w:szCs w:val="24"/>
                        </w:rPr>
                      </w:pPr>
                      <w:r>
                        <w:rPr>
                          <w:b/>
                          <w:bCs/>
                          <w:sz w:val="24"/>
                          <w:szCs w:val="24"/>
                        </w:rPr>
                        <w:t xml:space="preserve">Submitted By: </w:t>
                      </w:r>
                      <w:r>
                        <w:rPr>
                          <w:rFonts w:ascii="Arial" w:cs="Arial" w:hAnsi="Arial"/>
                          <w:b/>
                          <w:bCs/>
                          <w:color w:val="222222"/>
                          <w:sz w:val="24"/>
                          <w:szCs w:val="24"/>
                          <w:shd w:val="clear" w:color="auto" w:fill="ffffff"/>
                        </w:rPr>
                        <w:t>Dimple Ben Patel</w:t>
                      </w:r>
                    </w:p>
                    <w:p>
                      <w:pPr>
                        <w:pStyle w:val="style0"/>
                        <w:rPr>
                          <w:b/>
                          <w:bCs/>
                          <w:sz w:val="24"/>
                          <w:szCs w:val="24"/>
                        </w:rPr>
                      </w:pPr>
                      <w:r>
                        <w:rPr>
                          <w:b/>
                          <w:bCs/>
                          <w:sz w:val="24"/>
                          <w:szCs w:val="24"/>
                        </w:rPr>
                        <w:t xml:space="preserve">Student ID: </w:t>
                      </w:r>
                      <w:r>
                        <w:rPr>
                          <w:b/>
                          <w:bCs/>
                          <w:sz w:val="24"/>
                          <w:szCs w:val="24"/>
                          <w:lang w:val="en-US"/>
                        </w:rPr>
                        <w:t>2133978</w:t>
                      </w:r>
                    </w:p>
                  </w:txbxContent>
                </v:textbox>
              </v:rect>
            </w:pict>
          </mc:Fallback>
        </mc:AlternateContent>
      </w:r>
      <w:r>
        <w:rPr>
          <w:rFonts w:ascii="Times New Roman" w:cs="Times New Roman" w:hAnsi="Times New Roman"/>
          <w:noProof/>
          <w:sz w:val="24"/>
          <w:szCs w:val="24"/>
        </w:rPr>
        <mc:AlternateContent>
          <mc:Choice Requires="wpg">
            <w:drawing>
              <wp:anchor distT="0" distB="0" distL="0" distR="0" simplePos="false" relativeHeight="2" behindDoc="false" locked="false" layoutInCell="false" allowOverlap="true">
                <wp:simplePos x="0" y="0"/>
                <wp:positionH relativeFrom="page">
                  <wp:align>center</wp:align>
                </wp:positionH>
                <wp:positionV relativeFrom="page">
                  <wp:align>center</wp:align>
                </wp:positionV>
                <wp:extent cx="7372350" cy="9544050"/>
                <wp:effectExtent l="0" t="0" r="0" b="0"/>
                <wp:wrapNone/>
                <wp:docPr id="1027" name="Group 76"/>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Group">
                    <wpg:wgp>
                      <wpg:cNvGrpSpPr/>
                      <wpg:grpSpPr>
                        <a:xfrm rot="0">
                          <a:off x="0" y="0"/>
                          <a:ext cx="7372350" cy="9544050"/>
                          <a:chOff x="321" y="411"/>
                          <a:chExt cx="11600" cy="15018"/>
                        </a:xfrm>
                      </wpg:grpSpPr>
                      <wps:wsp>
                        <wps:cNvSpPr/>
                        <wps:spPr>
                          <a:xfrm rot="0">
                            <a:off x="321" y="411"/>
                            <a:ext cx="11600" cy="15018"/>
                          </a:xfrm>
                          <a:prstGeom prst="rect"/>
                          <a:ln cmpd="sng" cap="flat" w="9525">
                            <a:solidFill>
                              <a:srgbClr val="000000"/>
                            </a:solidFill>
                            <a:prstDash val="solid"/>
                            <a:miter/>
                            <a:headEnd/>
                            <a:tailEnd/>
                          </a:ln>
                        </wps:spPr>
                        <wps:bodyPr>
                          <a:prstTxWarp prst="textNoShape"/>
                        </wps:bodyPr>
                      </wps:wsp>
                      <wps:wsp>
                        <wps:cNvSpPr/>
                        <wps:spPr>
                          <a:xfrm rot="0">
                            <a:off x="350" y="14683"/>
                            <a:ext cx="11537" cy="719"/>
                          </a:xfrm>
                          <a:prstGeom prst="rect"/>
                          <a:solidFill>
                            <a:srgbClr val="953734"/>
                          </a:solidFill>
                        </wps:spPr>
                        <wps:txbx id="1029">
                          <w:txbxContent>
                            <w:p>
                              <w:pPr>
                                <w:pStyle w:val="style157"/>
                                <w:jc w:val="center"/>
                                <w:rPr>
                                  <w:smallCaps/>
                                  <w:color w:val="ffffff"/>
                                  <w:spacing w:val="60"/>
                                  <w:sz w:val="28"/>
                                  <w:szCs w:val="28"/>
                                </w:rPr>
                              </w:pPr>
                              <w:r>
                                <w:rPr>
                                  <w:color w:val="eeece1"/>
                                  <w:spacing w:val="60"/>
                                  <w:sz w:val="28"/>
                                  <w:szCs w:val="28"/>
                                </w:rPr>
                                <w:t xml:space="preserve">     </w:t>
                              </w:r>
                            </w:p>
                          </w:txbxContent>
                        </wps:txbx>
                        <wps:bodyPr lIns="91440" rIns="91440" tIns="45720" bIns="45720" vert="horz" anchor="ctr" wrap="square" upright="true">
                          <a:prstTxWarp prst="textNoShape"/>
                          <a:noAutofit/>
                        </wps:bodyPr>
                      </wps:wsp>
                      <wps:wsp>
                        <wps:cNvSpPr/>
                        <wps:spPr>
                          <a:xfrm rot="0">
                            <a:off x="9028" y="10710"/>
                            <a:ext cx="2859" cy="3937"/>
                          </a:xfrm>
                          <a:prstGeom prst="rect"/>
                          <a:gradFill flip="none" rotWithShape="true">
                            <a:gsLst>
                              <a:gs pos="0">
                                <a:srgbClr val="29869f"/>
                              </a:gs>
                              <a:gs pos="80000">
                                <a:srgbClr val="36b0d0"/>
                              </a:gs>
                              <a:gs pos="100000">
                                <a:srgbClr val="33b3d5"/>
                              </a:gs>
                            </a:gsLst>
                            <a:lin ang="16200000" scaled="false"/>
                          </a:gradFill>
                          <a:ln cmpd="sng" cap="flat" w="9525">
                            <a:solidFill>
                              <a:srgbClr val="45a9c4"/>
                            </a:solidFill>
                            <a:prstDash val="solid"/>
                            <a:round/>
                            <a:headEnd/>
                            <a:tailEnd/>
                          </a:ln>
                          <a:effectLst>
                            <a:outerShdw rotWithShape="false" sx="100000" sy="100000" dist="12700" dir="5400000" blurRad="40000" kx="0" ky="0" algn="b">
                              <a:srgbClr val="000000">
                                <a:alpha val="35001"/>
                              </a:srgbClr>
                            </a:outerShdw>
                          </a:effectLst>
                        </wps:spPr>
                        <wps:bodyPr>
                          <a:prstTxWarp prst="textNoShape"/>
                        </wps:bodyPr>
                      </wps:wsp>
                      <wps:wsp>
                        <wps:cNvSpPr/>
                        <wps:spPr>
                          <a:xfrm rot="0">
                            <a:off x="350" y="10711"/>
                            <a:ext cx="8631" cy="3942"/>
                          </a:xfrm>
                          <a:prstGeom prst="rect"/>
                          <a:gradFill flip="none" rotWithShape="true">
                            <a:gsLst>
                              <a:gs pos="0">
                                <a:srgbClr val="992f2b"/>
                              </a:gs>
                              <a:gs pos="80000">
                                <a:srgbClr val="c93d39"/>
                              </a:gs>
                              <a:gs pos="100000">
                                <a:srgbClr val="cd3a36"/>
                              </a:gs>
                            </a:gsLst>
                            <a:lin ang="16200000" scaled="false"/>
                          </a:gradFill>
                          <a:ln cmpd="sng" cap="flat" w="9525">
                            <a:solidFill>
                              <a:srgbClr val="bd4b48"/>
                            </a:solidFill>
                            <a:prstDash val="solid"/>
                            <a:round/>
                            <a:headEnd/>
                            <a:tailEnd/>
                          </a:ln>
                          <a:effectLst>
                            <a:outerShdw rotWithShape="false" sx="100000" sy="100000" dist="12700" dir="5400000" blurRad="40000" kx="0" ky="0" algn="b">
                              <a:srgbClr val="000000">
                                <a:alpha val="35001"/>
                              </a:srgbClr>
                            </a:outerShdw>
                          </a:effectLst>
                        </wps:spPr>
                        <wps:bodyPr>
                          <a:prstTxWarp prst="textNoShape"/>
                        </wps:bodyPr>
                      </wps:wsp>
                      <wps:wsp>
                        <wps:cNvSpPr/>
                        <wps:spPr>
                          <a:xfrm rot="0">
                            <a:off x="9028" y="9607"/>
                            <a:ext cx="2860" cy="1073"/>
                          </a:xfrm>
                          <a:prstGeom prst="rect"/>
                          <a:solidFill>
                            <a:srgbClr val="953734"/>
                          </a:solidFill>
                        </wps:spPr>
                        <wps:txbx id="1032">
                          <w:txbxContent>
                            <w:p>
                              <w:pPr>
                                <w:pStyle w:val="style157"/>
                                <w:rPr>
                                  <w:rFonts w:ascii="Cambria" w:cs="Times New Roman" w:eastAsia="宋体" w:hAnsi="Cambria"/>
                                  <w:color w:val="dbe5f1"/>
                                  <w:sz w:val="56"/>
                                  <w:szCs w:val="56"/>
                                </w:rPr>
                              </w:pPr>
                              <w:r>
                                <w:rPr>
                                  <w:rFonts w:ascii="Cambria" w:cs="Times New Roman" w:eastAsia="宋体" w:hAnsi="Cambria"/>
                                  <w:color w:val="ffffff"/>
                                  <w:sz w:val="56"/>
                                  <w:szCs w:val="56"/>
                                </w:rPr>
                                <w:t xml:space="preserve">     </w:t>
                              </w:r>
                            </w:p>
                          </w:txbxContent>
                        </wps:txbx>
                        <wps:bodyPr lIns="91440" rIns="91440" tIns="45720" bIns="45720" vert="horz" anchor="ctr" wrap="square" upright="true">
                          <a:prstTxWarp prst="textNoShape"/>
                          <a:noAutofit/>
                        </wps:bodyPr>
                      </wps:wsp>
                      <wps:wsp>
                        <wps:cNvSpPr/>
                        <wps:spPr>
                          <a:xfrm rot="0">
                            <a:off x="6137" y="9607"/>
                            <a:ext cx="2860" cy="1073"/>
                          </a:xfrm>
                          <a:prstGeom prst="rect"/>
                          <a:solidFill>
                            <a:srgbClr val="953734"/>
                          </a:solidFill>
                        </wps:spPr>
                        <wps:bodyPr>
                          <a:prstTxWarp prst="textNoShape"/>
                        </wps:bodyPr>
                      </wps:wsp>
                      <wps:wsp>
                        <wps:cNvSpPr/>
                        <wps:spPr>
                          <a:xfrm rot="0">
                            <a:off x="3245" y="9607"/>
                            <a:ext cx="2860" cy="1073"/>
                          </a:xfrm>
                          <a:prstGeom prst="rect"/>
                          <a:solidFill>
                            <a:srgbClr val="953734"/>
                          </a:solidFill>
                        </wps:spPr>
                        <wps:bodyPr>
                          <a:prstTxWarp prst="textNoShape"/>
                        </wps:bodyPr>
                      </wps:wsp>
                      <wps:wsp>
                        <wps:cNvSpPr/>
                        <wps:spPr>
                          <a:xfrm rot="0">
                            <a:off x="354" y="9607"/>
                            <a:ext cx="2860" cy="1073"/>
                          </a:xfrm>
                          <a:prstGeom prst="rect"/>
                          <a:solidFill>
                            <a:srgbClr val="953734"/>
                          </a:solidFill>
                        </wps:spPr>
                        <wps:bodyPr>
                          <a:prstTxWarp prst="textNoShape"/>
                        </wps:bodyPr>
                      </wps:wsp>
                      <wps:wsp>
                        <wps:cNvSpPr/>
                        <wps:spPr>
                          <a:xfrm rot="0">
                            <a:off x="9028" y="2263"/>
                            <a:ext cx="2859" cy="7316"/>
                          </a:xfrm>
                          <a:prstGeom prst="rect"/>
                          <a:gradFill flip="none" rotWithShape="true">
                            <a:gsLst>
                              <a:gs pos="0">
                                <a:srgbClr val="c96c1f"/>
                              </a:gs>
                              <a:gs pos="80000">
                                <a:srgbClr val="ff8e29"/>
                              </a:gs>
                              <a:gs pos="100000">
                                <a:srgbClr val="ff8d25"/>
                              </a:gs>
                            </a:gsLst>
                            <a:lin ang="16200000" scaled="false"/>
                          </a:gradFill>
                          <a:ln cmpd="sng" cap="flat" w="9525">
                            <a:solidFill>
                              <a:srgbClr val="f5913f"/>
                            </a:solidFill>
                            <a:prstDash val="solid"/>
                            <a:round/>
                            <a:headEnd/>
                            <a:tailEnd/>
                          </a:ln>
                          <a:effectLst>
                            <a:outerShdw rotWithShape="false" sx="100000" sy="100000" dist="12700" dir="5400000" blurRad="40000" kx="0" ky="0" algn="b">
                              <a:srgbClr val="000000">
                                <a:alpha val="35001"/>
                              </a:srgbClr>
                            </a:outerShdw>
                          </a:effectLst>
                        </wps:spPr>
                        <wps:bodyPr>
                          <a:prstTxWarp prst="textNoShape"/>
                        </wps:bodyPr>
                      </wps:wsp>
                      <wps:wsp>
                        <wps:cNvSpPr/>
                        <wps:spPr>
                          <a:xfrm rot="0">
                            <a:off x="354" y="2263"/>
                            <a:ext cx="8643" cy="7316"/>
                          </a:xfrm>
                          <a:prstGeom prst="rect"/>
                          <a:gradFill flip="none" rotWithShape="true">
                            <a:gsLst>
                              <a:gs pos="0">
                                <a:srgbClr val="759436"/>
                              </a:gs>
                              <a:gs pos="80000">
                                <a:srgbClr val="9bc247"/>
                              </a:gs>
                              <a:gs pos="100000">
                                <a:srgbClr val="9bc545"/>
                              </a:gs>
                            </a:gsLst>
                            <a:lin ang="16200000" scaled="false"/>
                          </a:gradFill>
                          <a:ln cmpd="sng" cap="flat" w="9525">
                            <a:solidFill>
                              <a:srgbClr val="97b853"/>
                            </a:solidFill>
                            <a:prstDash val="solid"/>
                            <a:round/>
                            <a:headEnd/>
                            <a:tailEnd/>
                          </a:ln>
                          <a:effectLst>
                            <a:outerShdw rotWithShape="false" sx="100000" sy="100000" dist="12700" dir="5400000" blurRad="40000" kx="0" ky="0" algn="b">
                              <a:srgbClr val="000000">
                                <a:alpha val="35001"/>
                              </a:srgbClr>
                            </a:outerShdw>
                          </a:effectLst>
                        </wps:spPr>
                        <wps:txbx id="1037">
                          <w:txbxContent>
                            <w:p>
                              <w:pPr>
                                <w:pStyle w:val="style0"/>
                                <w:jc w:val="center"/>
                                <w:rPr>
                                  <w:rFonts w:ascii="Cambria" w:cs="Times New Roman" w:eastAsia="宋体" w:hAnsi="Cambria"/>
                                  <w:color w:val="632423"/>
                                  <w:sz w:val="28"/>
                                  <w:szCs w:val="28"/>
                                </w:rPr>
                              </w:pPr>
                              <w:r>
                                <w:rPr>
                                  <w:rFonts w:ascii="Cambria" w:cs="Times New Roman" w:eastAsia="宋体" w:hAnsi="Cambria"/>
                                  <w:b/>
                                  <w:color w:val="000000"/>
                                  <w:sz w:val="28"/>
                                  <w:szCs w:val="28"/>
                                  <w:u w:val="single"/>
                                </w:rPr>
                                <w:t>Bridging the Gap: Investigating Entrepreneurial Approaches for Top shop International Market Entry into India's Dynamic Fashion and Retail Sector</w:t>
                              </w:r>
                            </w:p>
                            <w:p>
                              <w:pPr>
                                <w:pStyle w:val="style0"/>
                                <w:jc w:val="right"/>
                                <w:rPr>
                                  <w:color w:val="ffffff"/>
                                  <w:sz w:val="28"/>
                                  <w:szCs w:val="28"/>
                                </w:rPr>
                              </w:pPr>
                            </w:p>
                          </w:txbxContent>
                        </wps:txbx>
                        <wps:bodyPr lIns="228600" rIns="228600" tIns="45720" bIns="45720" vert="horz" anchor="ctr" wrap="square" upright="true">
                          <a:prstTxWarp prst="textNoShape"/>
                          <a:noAutofit/>
                        </wps:bodyPr>
                      </wps:wsp>
                      <wps:wsp>
                        <wps:cNvSpPr/>
                        <wps:spPr>
                          <a:xfrm rot="0">
                            <a:off x="350" y="440"/>
                            <a:ext cx="11537" cy="1784"/>
                          </a:xfrm>
                          <a:prstGeom prst="rect"/>
                          <a:solidFill>
                            <a:srgbClr val="953734"/>
                          </a:solidFill>
                        </wps:spPr>
                        <wps:txbx id="1038">
                          <w:txbxContent>
                            <w:p>
                              <w:pPr>
                                <w:pStyle w:val="style157"/>
                                <w:rPr>
                                  <w:smallCaps/>
                                  <w:color w:val="ffffff"/>
                                  <w:sz w:val="44"/>
                                  <w:szCs w:val="44"/>
                                </w:rPr>
                              </w:pPr>
                              <w:r>
                                <w:rPr>
                                  <w:color w:val="ffffff"/>
                                  <w:sz w:val="44"/>
                                  <w:szCs w:val="44"/>
                                </w:rPr>
                                <w:t xml:space="preserve">     </w:t>
                              </w:r>
                            </w:p>
                          </w:txbxContent>
                        </wps:txbx>
                        <wps:bodyPr lIns="228600" rIns="228600" tIns="45720" bIns="45720" vert="horz" anchor="ctr" wrap="square" upright="true">
                          <a:prstTxWarp prst="textNoShape"/>
                          <a:noAutofit/>
                        </wps:bodyPr>
                      </wps:wsp>
                    </wpg:wgp>
                  </a:graphicData>
                </a:graphic>
                <wp14:sizeRelH relativeFrom="page">
                  <wp14:pctWidth>95000</wp14:pctWidth>
                </wp14:sizeRelH>
                <wp14:sizeRelV relativeFrom="page">
                  <wp14:pctHeight>95000</wp14:pctHeight>
                </wp14:sizeRelV>
              </wp:anchor>
            </w:drawing>
          </mc:Choice>
          <mc:Fallback>
            <w:pict>
              <v:group id="1027" filled="f" stroked="f" style="position:absolute;margin-left:0.0pt;margin-top:0.0pt;width:580.5pt;height:751.5pt;z-index:2;mso-position-horizontal:center;mso-position-vertical:center;mso-position-horizontal-relative:page;mso-position-vertical-relative:page;mso-width-percent:950;mso-height-percent:950;mso-width-relative:page;mso-height-relative:page;mso-wrap-distance-left:0.0pt;mso-wrap-distance-right:0.0pt;visibility:visible;" o:allowincell="false" coordsize="11600,15018" coordorigin="321,411">
                <v:rect id="1028" filled="f" stroked="t" style="position:absolute;left:321;top:411;width:11600;height:15018;z-index:2;mso-position-horizontal-relative:page;mso-position-vertical-relative:page;mso-width-relative:page;mso-height-relative:page;visibility:visible;">
                  <v:stroke joinstyle="miter"/>
                  <v:fill/>
                </v:rect>
                <v:rect id="1029" fillcolor="#953734" stroked="f" style="position:absolute;left:350;top:14683;width:11537;height:719;z-index:3;mso-position-horizontal-relative:page;mso-position-vertical-relative:page;mso-width-relative:page;mso-height-relative:page;visibility:visible;v-text-anchor:middle;">
                  <v:fill/>
                  <v:textbox inset="7.2pt,3.6pt,7.2pt,3.6pt">
                    <w:txbxContent>
                      <w:p>
                        <w:pPr>
                          <w:pStyle w:val="style157"/>
                          <w:jc w:val="center"/>
                          <w:rPr>
                            <w:smallCaps/>
                            <w:color w:val="ffffff"/>
                            <w:spacing w:val="60"/>
                            <w:sz w:val="28"/>
                            <w:szCs w:val="28"/>
                          </w:rPr>
                        </w:pPr>
                        <w:r>
                          <w:rPr>
                            <w:color w:val="eeece1"/>
                            <w:spacing w:val="60"/>
                            <w:sz w:val="28"/>
                            <w:szCs w:val="28"/>
                          </w:rPr>
                          <w:t xml:space="preserve">     </w:t>
                        </w:r>
                      </w:p>
                    </w:txbxContent>
                  </v:textbox>
                </v:rect>
                <v:rect id="1030" stroked="t" style="position:absolute;left:9028;top:10710;width:2859;height:3937;z-index:4;mso-position-horizontal-relative:page;mso-position-vertical-relative:page;mso-width-relative:page;mso-height-relative:page;visibility:visible;">
                  <v:stroke color="#45a9c4"/>
                  <v:fill color2="#33b3d5" rotate="true" method="any" color="#29869f" focus="100%" angle="180" type="gradient" colors="0f #29869f;52428f #36b0d0;1 #33b3d5;">
                    <o:fill v:ext="view" type="gradientUnscaled"/>
                  </v:fill>
                  <v:shadow on="t" color="black" offset="-4.371139E-8pt,1.0pt" opacity="22937f" origin=",0.5" type="perspective"/>
                </v:rect>
                <v:rect id="1031" stroked="t" style="position:absolute;left:350;top:10711;width:8631;height:3942;z-index:5;mso-position-horizontal-relative:page;mso-position-vertical-relative:page;mso-width-relative:page;mso-height-relative:page;visibility:visible;">
                  <v:stroke color="#bd4b48"/>
                  <v:fill color2="#cd3a36" rotate="true" method="any" color="#992f2b" focus="100%" angle="180" type="gradient" colors="0f #992f2b;52428f #c93d39;1 #cd3a36;">
                    <o:fill v:ext="view" type="gradientUnscaled"/>
                  </v:fill>
                  <v:shadow on="t" color="black" offset="-4.371139E-8pt,1.0pt" opacity="22937f" origin=",0.5" type="perspective"/>
                </v:rect>
                <v:rect id="1032" fillcolor="#953734" stroked="f" style="position:absolute;left:9028;top:9607;width:2860;height:1073;z-index:6;mso-position-horizontal-relative:page;mso-position-vertical-relative:page;mso-width-relative:page;mso-height-relative:page;visibility:visible;v-text-anchor:middle;">
                  <v:fill/>
                  <v:textbox inset="7.2pt,3.6pt,7.2pt,3.6pt">
                    <w:txbxContent>
                      <w:p>
                        <w:pPr>
                          <w:pStyle w:val="style157"/>
                          <w:rPr>
                            <w:rFonts w:ascii="Cambria" w:cs="Times New Roman" w:eastAsia="宋体" w:hAnsi="Cambria"/>
                            <w:color w:val="dbe5f1"/>
                            <w:sz w:val="56"/>
                            <w:szCs w:val="56"/>
                          </w:rPr>
                        </w:pPr>
                        <w:r>
                          <w:rPr>
                            <w:rFonts w:ascii="Cambria" w:cs="Times New Roman" w:eastAsia="宋体" w:hAnsi="Cambria"/>
                            <w:color w:val="ffffff"/>
                            <w:sz w:val="56"/>
                            <w:szCs w:val="56"/>
                          </w:rPr>
                          <w:t xml:space="preserve">     </w:t>
                        </w:r>
                      </w:p>
                    </w:txbxContent>
                  </v:textbox>
                </v:rect>
                <v:rect id="1033" fillcolor="#953734" stroked="f" style="position:absolute;left:6137;top:9607;width:2860;height:1073;z-index:7;mso-position-horizontal-relative:page;mso-position-vertical-relative:page;mso-width-relative:page;mso-height-relative:page;visibility:visible;">
                  <v:fill/>
                </v:rect>
                <v:rect id="1034" fillcolor="#953734" stroked="f" style="position:absolute;left:3245;top:9607;width:2860;height:1073;z-index:8;mso-position-horizontal-relative:page;mso-position-vertical-relative:page;mso-width-relative:page;mso-height-relative:page;visibility:visible;">
                  <v:fill/>
                </v:rect>
                <v:rect id="1035" fillcolor="#953734" stroked="f" style="position:absolute;left:354;top:9607;width:2860;height:1073;z-index:9;mso-position-horizontal-relative:page;mso-position-vertical-relative:page;mso-width-relative:page;mso-height-relative:page;visibility:visible;">
                  <v:fill/>
                </v:rect>
                <v:rect id="1036" stroked="t" style="position:absolute;left:9028;top:2263;width:2859;height:7316;z-index:10;mso-position-horizontal-relative:page;mso-position-vertical-relative:page;mso-width-relative:page;mso-height-relative:page;visibility:visible;">
                  <v:stroke color="#f5913f"/>
                  <v:fill color2="#ff8d25" rotate="true" method="any" color="#c96c1f" focus="100%" angle="180" type="gradient" colors="0f #c96c1f;52428f #ff8e29;1 #ff8d25;">
                    <o:fill v:ext="view" type="gradientUnscaled"/>
                  </v:fill>
                  <v:shadow on="t" color="black" offset="-4.371139E-8pt,1.0pt" opacity="22937f" origin=",0.5" type="perspective"/>
                </v:rect>
                <v:rect id="1037" stroked="t" style="position:absolute;left:354;top:2263;width:8643;height:7316;z-index:11;mso-position-horizontal-relative:page;mso-position-vertical-relative:page;mso-width-relative:page;mso-height-relative:page;visibility:visible;v-text-anchor:middle;">
                  <v:stroke color="#97b853"/>
                  <v:fill color2="#9bc545" rotate="true" method="any" color="#759436" focus="100%" angle="180" type="gradient" colors="0f #759436;52428f #9bc247;1 #9bc545;">
                    <o:fill v:ext="view" type="gradientUnscaled"/>
                  </v:fill>
                  <v:shadow on="t" color="black" offset="-4.371139E-8pt,1.0pt" opacity="22937f" origin=",0.5" type="perspective"/>
                  <v:textbox inset="18.0pt,3.6pt,18.0pt,3.6pt">
                    <w:txbxContent>
                      <w:p>
                        <w:pPr>
                          <w:pStyle w:val="style0"/>
                          <w:jc w:val="center"/>
                          <w:rPr>
                            <w:rFonts w:ascii="Cambria" w:cs="Times New Roman" w:eastAsia="宋体" w:hAnsi="Cambria"/>
                            <w:color w:val="632423"/>
                            <w:sz w:val="28"/>
                            <w:szCs w:val="28"/>
                          </w:rPr>
                        </w:pPr>
                        <w:r>
                          <w:rPr>
                            <w:rFonts w:ascii="Cambria" w:cs="Times New Roman" w:eastAsia="宋体" w:hAnsi="Cambria"/>
                            <w:b/>
                            <w:color w:val="000000"/>
                            <w:sz w:val="28"/>
                            <w:szCs w:val="28"/>
                            <w:u w:val="single"/>
                          </w:rPr>
                          <w:t>Bridging the Gap: Investigating Entrepreneurial Approaches for Top shop International Market Entry into India's Dynamic Fashion and Retail Sector</w:t>
                        </w:r>
                      </w:p>
                      <w:p>
                        <w:pPr>
                          <w:pStyle w:val="style0"/>
                          <w:jc w:val="right"/>
                          <w:rPr>
                            <w:color w:val="ffffff"/>
                            <w:sz w:val="28"/>
                            <w:szCs w:val="28"/>
                          </w:rPr>
                        </w:pPr>
                      </w:p>
                    </w:txbxContent>
                  </v:textbox>
                </v:rect>
                <v:rect id="1038" fillcolor="#953734" stroked="f" style="position:absolute;left:350;top:440;width:11537;height:1784;z-index:12;mso-position-horizontal-relative:page;mso-position-vertical-relative:page;mso-width-relative:page;mso-height-relative:page;visibility:visible;v-text-anchor:middle;">
                  <v:fill/>
                  <v:textbox inset="18.0pt,3.6pt,18.0pt,3.6pt">
                    <w:txbxContent>
                      <w:p>
                        <w:pPr>
                          <w:pStyle w:val="style157"/>
                          <w:rPr>
                            <w:smallCaps/>
                            <w:color w:val="ffffff"/>
                            <w:sz w:val="44"/>
                            <w:szCs w:val="44"/>
                          </w:rPr>
                        </w:pPr>
                        <w:r>
                          <w:rPr>
                            <w:color w:val="ffffff"/>
                            <w:sz w:val="44"/>
                            <w:szCs w:val="44"/>
                          </w:rPr>
                          <w:t xml:space="preserve">     </w:t>
                        </w:r>
                      </w:p>
                    </w:txbxContent>
                  </v:textbox>
                </v:rect>
                <v:fill/>
              </v:group>
            </w:pict>
          </mc:Fallback>
        </mc:AlternateContent>
      </w:r>
      <w:r>
        <w:rPr>
          <w:noProof/>
        </w:rPr>
        <mc:AlternateContent>
          <mc:Choice Requires="wps">
            <w:drawing>
              <wp:anchor distT="0" distB="0" distL="0" distR="0" simplePos="false" relativeHeight="3" behindDoc="false" locked="false" layoutInCell="true" allowOverlap="true">
                <wp:simplePos x="0" y="0"/>
                <wp:positionH relativeFrom="column">
                  <wp:posOffset>-563880</wp:posOffset>
                </wp:positionH>
                <wp:positionV relativeFrom="paragraph">
                  <wp:posOffset>-510540</wp:posOffset>
                </wp:positionV>
                <wp:extent cx="7383780" cy="9555480"/>
                <wp:effectExtent l="0" t="0" r="0" b="0"/>
                <wp:wrapNone/>
                <wp:docPr id="1039" name="Text Box 1"/>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7383780" cy="9555480"/>
                        </a:xfrm>
                        <a:prstGeom prst="rect"/>
                        <a:ln cmpd="sng" cap="flat" w="6350">
                          <a:solidFill>
                            <a:srgbClr val="000000"/>
                          </a:solidFill>
                          <a:prstDash val="solid"/>
                          <a:round/>
                          <a:headEnd/>
                          <a:tailEnd/>
                        </a:ln>
                      </wps:spPr>
                      <wps:txbx id="1039">
                        <w:txbxContent>
                          <w:p>
                            <w:pPr>
                              <w:pStyle w:val="style0"/>
                              <w:jc w:val="right"/>
                              <w:rPr>
                                <w:color w:val="ffffff"/>
                                <w:sz w:val="28"/>
                                <w:szCs w:val="28"/>
                              </w:rPr>
                            </w:pPr>
                          </w:p>
                        </w:txbxContent>
                      </wps:txbx>
                      <wps:bodyPr lIns="91440" rIns="91440" tIns="45720" bIns="45720" vert="horz" anchor="t" wrap="square">
                        <a:prstTxWarp prst="textNoShape"/>
                        <a:noAutofit/>
                      </wps:bodyPr>
                    </wps:wsp>
                  </a:graphicData>
                </a:graphic>
              </wp:anchor>
            </w:drawing>
          </mc:Choice>
          <mc:Fallback>
            <w:pict>
              <v:rect id="1039" filled="f" stroked="t" style="position:absolute;margin-left:-44.4pt;margin-top:-40.2pt;width:581.4pt;height:752.4pt;z-index:3;mso-position-horizontal-relative:text;mso-position-vertical-relative:text;mso-width-relative:page;mso-height-relative:page;mso-wrap-distance-left:0.0pt;mso-wrap-distance-right:0.0pt;visibility:visible;">
                <v:stroke weight="0.5pt"/>
                <v:fill/>
                <v:textbox inset="7.2pt,3.6pt,7.2pt,3.6pt">
                  <w:txbxContent>
                    <w:p>
                      <w:pPr>
                        <w:pStyle w:val="style0"/>
                        <w:jc w:val="right"/>
                        <w:rPr>
                          <w:color w:val="ffffff"/>
                          <w:sz w:val="28"/>
                          <w:szCs w:val="28"/>
                        </w:rPr>
                      </w:pPr>
                    </w:p>
                  </w:txbxContent>
                </v:textbox>
              </v:rect>
            </w:pict>
          </mc:Fallback>
        </mc:AlternateContent>
      </w:r>
      <w:r>
        <w:rPr>
          <w:rFonts w:ascii="Times New Roman" w:cs="Times New Roman" w:hAnsi="Times New Roman"/>
          <w:sz w:val="24"/>
          <w:szCs w:val="24"/>
          <w:lang w:val="en-GB"/>
        </w:rPr>
        <w:br w:type="page"/>
      </w:r>
    </w:p>
    <w:p>
      <w:pPr>
        <w:pStyle w:val="style19"/>
        <w:tabs>
          <w:tab w:val="right" w:leader="underscore" w:pos="9350"/>
        </w:tabs>
        <w:rPr>
          <w:rFonts w:cs="Arial" w:eastAsia="宋体"/>
          <w:b w:val="false"/>
          <w:bCs w:val="false"/>
          <w:caps w:val="false"/>
          <w:noProof/>
          <w:sz w:val="22"/>
          <w:szCs w:val="22"/>
        </w:rPr>
      </w:pPr>
      <w:r>
        <w:rPr>
          <w:rFonts w:ascii="Times New Roman" w:cs="Times New Roman" w:hAnsi="Times New Roman"/>
          <w:sz w:val="24"/>
          <w:szCs w:val="24"/>
        </w:rPr>
        <w:fldChar w:fldCharType="begin"/>
      </w:r>
      <w:r>
        <w:rPr>
          <w:rFonts w:ascii="Times New Roman" w:cs="Times New Roman" w:hAnsi="Times New Roman"/>
          <w:sz w:val="24"/>
          <w:szCs w:val="24"/>
        </w:rPr>
        <w:instrText xml:space="preserve"> TOC \o "1-3" \h \z \u </w:instrText>
      </w:r>
      <w:r>
        <w:rPr>
          <w:rFonts w:ascii="Times New Roman" w:cs="Times New Roman" w:hAnsi="Times New Roman"/>
          <w:sz w:val="24"/>
          <w:szCs w:val="24"/>
        </w:rPr>
        <w:fldChar w:fldCharType="separate"/>
      </w:r>
      <w:r>
        <w:rPr/>
        <w:fldChar w:fldCharType="begin"/>
      </w:r>
      <w:r>
        <w:instrText xml:space="preserve"> HYPERLINK \l "_Toc150726394" </w:instrText>
      </w:r>
      <w:r>
        <w:rPr/>
        <w:fldChar w:fldCharType="separate"/>
      </w:r>
      <w:r>
        <w:rPr>
          <w:rStyle w:val="style85"/>
          <w:rFonts w:ascii="Times New Roman" w:cs="Times New Roman" w:hAnsi="Times New Roman"/>
          <w:noProof/>
        </w:rPr>
        <w:t>1. Introduction:</w:t>
      </w:r>
      <w:r>
        <w:rPr>
          <w:noProof/>
          <w:webHidden/>
        </w:rPr>
        <w:tab/>
      </w:r>
      <w:r>
        <w:rPr>
          <w:noProof/>
          <w:webHidden/>
        </w:rPr>
        <w:fldChar w:fldCharType="begin"/>
      </w:r>
      <w:r>
        <w:rPr>
          <w:noProof/>
          <w:webHidden/>
        </w:rPr>
        <w:instrText xml:space="preserve"> PAGEREF _Toc150726394 \h </w:instrText>
      </w:r>
      <w:r>
        <w:rPr>
          <w:noProof/>
          <w:webHidden/>
        </w:rPr>
        <w:fldChar w:fldCharType="separate"/>
      </w:r>
      <w:r>
        <w:rPr>
          <w:noProof/>
          <w:webHidden/>
        </w:rPr>
        <w:t>1</w:t>
      </w:r>
      <w:r>
        <w:rPr>
          <w:noProof/>
          <w:webHidden/>
        </w:rPr>
        <w:fldChar w:fldCharType="end"/>
      </w:r>
      <w:r>
        <w:rPr/>
        <w:fldChar w:fldCharType="end"/>
      </w:r>
    </w:p>
    <w:p>
      <w:pPr>
        <w:pStyle w:val="style19"/>
        <w:tabs>
          <w:tab w:val="right" w:leader="underscore" w:pos="9350"/>
        </w:tabs>
        <w:rPr>
          <w:rFonts w:cs="Arial" w:eastAsia="宋体"/>
          <w:b w:val="false"/>
          <w:bCs w:val="false"/>
          <w:caps w:val="false"/>
          <w:noProof/>
          <w:sz w:val="22"/>
          <w:szCs w:val="22"/>
        </w:rPr>
      </w:pPr>
      <w:r>
        <w:rPr/>
        <w:fldChar w:fldCharType="begin"/>
      </w:r>
      <w:r>
        <w:instrText xml:space="preserve"> HYPERLINK \l "_Toc150726395" </w:instrText>
      </w:r>
      <w:r>
        <w:rPr/>
        <w:fldChar w:fldCharType="separate"/>
      </w:r>
      <w:r>
        <w:rPr>
          <w:rStyle w:val="style85"/>
          <w:rFonts w:ascii="Times New Roman" w:cs="Times New Roman" w:hAnsi="Times New Roman"/>
          <w:noProof/>
        </w:rPr>
        <w:t>2. Aim and Objectives:</w:t>
      </w:r>
      <w:r>
        <w:rPr>
          <w:noProof/>
          <w:webHidden/>
        </w:rPr>
        <w:tab/>
      </w:r>
      <w:r>
        <w:rPr>
          <w:noProof/>
          <w:webHidden/>
        </w:rPr>
        <w:fldChar w:fldCharType="begin"/>
      </w:r>
      <w:r>
        <w:rPr>
          <w:noProof/>
          <w:webHidden/>
        </w:rPr>
        <w:instrText xml:space="preserve"> PAGEREF _Toc150726395 \h </w:instrText>
      </w:r>
      <w:r>
        <w:rPr>
          <w:noProof/>
          <w:webHidden/>
        </w:rPr>
        <w:fldChar w:fldCharType="separate"/>
      </w:r>
      <w:r>
        <w:rPr>
          <w:noProof/>
          <w:webHidden/>
        </w:rPr>
        <w:t>1</w:t>
      </w:r>
      <w:r>
        <w:rPr>
          <w:noProof/>
          <w:webHidden/>
        </w:rPr>
        <w:fldChar w:fldCharType="end"/>
      </w:r>
      <w:r>
        <w:rPr/>
        <w:fldChar w:fldCharType="end"/>
      </w:r>
    </w:p>
    <w:p>
      <w:pPr>
        <w:pStyle w:val="style19"/>
        <w:tabs>
          <w:tab w:val="right" w:leader="underscore" w:pos="9350"/>
        </w:tabs>
        <w:rPr>
          <w:rFonts w:cs="Arial" w:eastAsia="宋体"/>
          <w:b w:val="false"/>
          <w:bCs w:val="false"/>
          <w:caps w:val="false"/>
          <w:noProof/>
          <w:sz w:val="22"/>
          <w:szCs w:val="22"/>
        </w:rPr>
      </w:pPr>
      <w:r>
        <w:rPr/>
        <w:fldChar w:fldCharType="begin"/>
      </w:r>
      <w:r>
        <w:instrText xml:space="preserve"> HYPERLINK \l "_Toc150726396" </w:instrText>
      </w:r>
      <w:r>
        <w:rPr/>
        <w:fldChar w:fldCharType="separate"/>
      </w:r>
      <w:r>
        <w:rPr>
          <w:rStyle w:val="style85"/>
          <w:rFonts w:ascii="Times New Roman" w:cs="Times New Roman" w:hAnsi="Times New Roman"/>
          <w:noProof/>
        </w:rPr>
        <w:t>3. Literature Review:</w:t>
      </w:r>
      <w:r>
        <w:rPr>
          <w:noProof/>
          <w:webHidden/>
        </w:rPr>
        <w:tab/>
      </w:r>
      <w:r>
        <w:rPr>
          <w:noProof/>
          <w:webHidden/>
        </w:rPr>
        <w:fldChar w:fldCharType="begin"/>
      </w:r>
      <w:r>
        <w:rPr>
          <w:noProof/>
          <w:webHidden/>
        </w:rPr>
        <w:instrText xml:space="preserve"> PAGEREF _Toc150726396 \h </w:instrText>
      </w:r>
      <w:r>
        <w:rPr>
          <w:noProof/>
          <w:webHidden/>
        </w:rPr>
        <w:fldChar w:fldCharType="separate"/>
      </w:r>
      <w:r>
        <w:rPr>
          <w:noProof/>
          <w:webHidden/>
        </w:rPr>
        <w:t>2</w:t>
      </w:r>
      <w:r>
        <w:rPr>
          <w:noProof/>
          <w:webHidden/>
        </w:rPr>
        <w:fldChar w:fldCharType="end"/>
      </w:r>
      <w:r>
        <w:rPr/>
        <w:fldChar w:fldCharType="end"/>
      </w:r>
    </w:p>
    <w:p>
      <w:pPr>
        <w:pStyle w:val="style19"/>
        <w:tabs>
          <w:tab w:val="right" w:leader="underscore" w:pos="9350"/>
        </w:tabs>
        <w:rPr>
          <w:rFonts w:cs="Arial" w:eastAsia="宋体"/>
          <w:b w:val="false"/>
          <w:bCs w:val="false"/>
          <w:caps w:val="false"/>
          <w:noProof/>
          <w:sz w:val="22"/>
          <w:szCs w:val="22"/>
        </w:rPr>
      </w:pPr>
      <w:r>
        <w:rPr/>
        <w:fldChar w:fldCharType="begin"/>
      </w:r>
      <w:r>
        <w:instrText xml:space="preserve"> HYPERLINK \l "_Toc150726397" </w:instrText>
      </w:r>
      <w:r>
        <w:rPr/>
        <w:fldChar w:fldCharType="separate"/>
      </w:r>
      <w:r>
        <w:rPr>
          <w:rStyle w:val="style85"/>
          <w:rFonts w:ascii="Times New Roman" w:cs="Times New Roman" w:hAnsi="Times New Roman"/>
          <w:noProof/>
        </w:rPr>
        <w:t>4. Methodology:</w:t>
      </w:r>
      <w:r>
        <w:rPr>
          <w:noProof/>
          <w:webHidden/>
        </w:rPr>
        <w:tab/>
      </w:r>
      <w:r>
        <w:rPr>
          <w:noProof/>
          <w:webHidden/>
        </w:rPr>
        <w:fldChar w:fldCharType="begin"/>
      </w:r>
      <w:r>
        <w:rPr>
          <w:noProof/>
          <w:webHidden/>
        </w:rPr>
        <w:instrText xml:space="preserve"> PAGEREF _Toc150726397 \h </w:instrText>
      </w:r>
      <w:r>
        <w:rPr>
          <w:noProof/>
          <w:webHidden/>
        </w:rPr>
        <w:fldChar w:fldCharType="separate"/>
      </w:r>
      <w:r>
        <w:rPr>
          <w:noProof/>
          <w:webHidden/>
        </w:rPr>
        <w:t>4</w:t>
      </w:r>
      <w:r>
        <w:rPr>
          <w:noProof/>
          <w:webHidden/>
        </w:rPr>
        <w:fldChar w:fldCharType="end"/>
      </w:r>
      <w:r>
        <w:rPr/>
        <w:fldChar w:fldCharType="end"/>
      </w:r>
    </w:p>
    <w:p>
      <w:pPr>
        <w:pStyle w:val="style20"/>
        <w:tabs>
          <w:tab w:val="right" w:leader="underscore" w:pos="9350"/>
        </w:tabs>
        <w:rPr>
          <w:rFonts w:cs="Arial" w:eastAsia="宋体"/>
          <w:smallCaps w:val="false"/>
          <w:noProof/>
          <w:sz w:val="22"/>
          <w:szCs w:val="22"/>
        </w:rPr>
      </w:pPr>
      <w:r>
        <w:rPr/>
        <w:fldChar w:fldCharType="begin"/>
      </w:r>
      <w:r>
        <w:instrText xml:space="preserve"> HYPERLINK \l "_Toc150726398" </w:instrText>
      </w:r>
      <w:r>
        <w:rPr/>
        <w:fldChar w:fldCharType="separate"/>
      </w:r>
      <w:r>
        <w:rPr>
          <w:rStyle w:val="style85"/>
          <w:rFonts w:ascii="Times New Roman" w:cs="Times New Roman" w:hAnsi="Times New Roman"/>
          <w:noProof/>
        </w:rPr>
        <w:t>Qualitative Analysis for In-Depth Insights</w:t>
      </w:r>
      <w:r>
        <w:rPr>
          <w:noProof/>
          <w:webHidden/>
        </w:rPr>
        <w:tab/>
      </w:r>
      <w:r>
        <w:rPr>
          <w:noProof/>
          <w:webHidden/>
        </w:rPr>
        <w:fldChar w:fldCharType="begin"/>
      </w:r>
      <w:r>
        <w:rPr>
          <w:noProof/>
          <w:webHidden/>
        </w:rPr>
        <w:instrText xml:space="preserve"> PAGEREF _Toc150726398 \h </w:instrText>
      </w:r>
      <w:r>
        <w:rPr>
          <w:noProof/>
          <w:webHidden/>
        </w:rPr>
        <w:fldChar w:fldCharType="separate"/>
      </w:r>
      <w:r>
        <w:rPr>
          <w:noProof/>
          <w:webHidden/>
        </w:rPr>
        <w:t>4</w:t>
      </w:r>
      <w:r>
        <w:rPr>
          <w:noProof/>
          <w:webHidden/>
        </w:rPr>
        <w:fldChar w:fldCharType="end"/>
      </w:r>
      <w:r>
        <w:rPr/>
        <w:fldChar w:fldCharType="end"/>
      </w:r>
    </w:p>
    <w:p>
      <w:pPr>
        <w:pStyle w:val="style20"/>
        <w:tabs>
          <w:tab w:val="right" w:leader="underscore" w:pos="9350"/>
        </w:tabs>
        <w:rPr>
          <w:rFonts w:cs="Arial" w:eastAsia="宋体"/>
          <w:smallCaps w:val="false"/>
          <w:noProof/>
          <w:sz w:val="22"/>
          <w:szCs w:val="22"/>
        </w:rPr>
      </w:pPr>
      <w:r>
        <w:rPr/>
        <w:fldChar w:fldCharType="begin"/>
      </w:r>
      <w:r>
        <w:instrText xml:space="preserve"> HYPERLINK \l "_Toc150726399" </w:instrText>
      </w:r>
      <w:r>
        <w:rPr/>
        <w:fldChar w:fldCharType="separate"/>
      </w:r>
      <w:r>
        <w:rPr>
          <w:rStyle w:val="style85"/>
          <w:rFonts w:ascii="Times New Roman" w:cs="Times New Roman" w:hAnsi="Times New Roman"/>
          <w:noProof/>
        </w:rPr>
        <w:t>Primary Research Method with Online Survey</w:t>
      </w:r>
      <w:r>
        <w:rPr>
          <w:noProof/>
          <w:webHidden/>
        </w:rPr>
        <w:tab/>
      </w:r>
      <w:r>
        <w:rPr>
          <w:noProof/>
          <w:webHidden/>
        </w:rPr>
        <w:fldChar w:fldCharType="begin"/>
      </w:r>
      <w:r>
        <w:rPr>
          <w:noProof/>
          <w:webHidden/>
        </w:rPr>
        <w:instrText xml:space="preserve"> PAGEREF _Toc150726399 \h </w:instrText>
      </w:r>
      <w:r>
        <w:rPr>
          <w:noProof/>
          <w:webHidden/>
        </w:rPr>
        <w:fldChar w:fldCharType="separate"/>
      </w:r>
      <w:r>
        <w:rPr>
          <w:noProof/>
          <w:webHidden/>
        </w:rPr>
        <w:t>4</w:t>
      </w:r>
      <w:r>
        <w:rPr>
          <w:noProof/>
          <w:webHidden/>
        </w:rPr>
        <w:fldChar w:fldCharType="end"/>
      </w:r>
      <w:r>
        <w:rPr/>
        <w:fldChar w:fldCharType="end"/>
      </w:r>
    </w:p>
    <w:p>
      <w:pPr>
        <w:pStyle w:val="style19"/>
        <w:tabs>
          <w:tab w:val="right" w:leader="underscore" w:pos="9350"/>
        </w:tabs>
        <w:rPr>
          <w:rFonts w:cs="Arial" w:eastAsia="宋体"/>
          <w:b w:val="false"/>
          <w:bCs w:val="false"/>
          <w:caps w:val="false"/>
          <w:noProof/>
          <w:sz w:val="22"/>
          <w:szCs w:val="22"/>
        </w:rPr>
      </w:pPr>
      <w:r>
        <w:rPr/>
        <w:fldChar w:fldCharType="begin"/>
      </w:r>
      <w:r>
        <w:instrText xml:space="preserve"> HYPERLINK \l "_Toc150726400" </w:instrText>
      </w:r>
      <w:r>
        <w:rPr/>
        <w:fldChar w:fldCharType="separate"/>
      </w:r>
      <w:r>
        <w:rPr>
          <w:rStyle w:val="style85"/>
          <w:rFonts w:ascii="Times New Roman" w:cs="Times New Roman" w:hAnsi="Times New Roman"/>
          <w:noProof/>
        </w:rPr>
        <w:t>5. Limitations:</w:t>
      </w:r>
      <w:r>
        <w:rPr>
          <w:noProof/>
          <w:webHidden/>
        </w:rPr>
        <w:tab/>
      </w:r>
      <w:r>
        <w:rPr>
          <w:noProof/>
          <w:webHidden/>
        </w:rPr>
        <w:fldChar w:fldCharType="begin"/>
      </w:r>
      <w:r>
        <w:rPr>
          <w:noProof/>
          <w:webHidden/>
        </w:rPr>
        <w:instrText xml:space="preserve"> PAGEREF _Toc150726400 \h </w:instrText>
      </w:r>
      <w:r>
        <w:rPr>
          <w:noProof/>
          <w:webHidden/>
        </w:rPr>
        <w:fldChar w:fldCharType="separate"/>
      </w:r>
      <w:r>
        <w:rPr>
          <w:noProof/>
          <w:webHidden/>
        </w:rPr>
        <w:t>5</w:t>
      </w:r>
      <w:r>
        <w:rPr>
          <w:noProof/>
          <w:webHidden/>
        </w:rPr>
        <w:fldChar w:fldCharType="end"/>
      </w:r>
      <w:r>
        <w:rPr/>
        <w:fldChar w:fldCharType="end"/>
      </w:r>
    </w:p>
    <w:p>
      <w:pPr>
        <w:pStyle w:val="style19"/>
        <w:tabs>
          <w:tab w:val="right" w:leader="underscore" w:pos="9350"/>
        </w:tabs>
        <w:rPr>
          <w:rFonts w:cs="Arial" w:eastAsia="宋体"/>
          <w:b w:val="false"/>
          <w:bCs w:val="false"/>
          <w:caps w:val="false"/>
          <w:noProof/>
          <w:sz w:val="22"/>
          <w:szCs w:val="22"/>
        </w:rPr>
      </w:pPr>
      <w:r>
        <w:rPr/>
        <w:fldChar w:fldCharType="begin"/>
      </w:r>
      <w:r>
        <w:instrText xml:space="preserve"> HYPERLINK \l "_Toc150726401" </w:instrText>
      </w:r>
      <w:r>
        <w:rPr/>
        <w:fldChar w:fldCharType="separate"/>
      </w:r>
      <w:r>
        <w:rPr>
          <w:rStyle w:val="style85"/>
          <w:rFonts w:ascii="Times New Roman" w:cs="Times New Roman" w:hAnsi="Times New Roman"/>
          <w:noProof/>
        </w:rPr>
        <w:t>6. Ethical Considerations:</w:t>
      </w:r>
      <w:r>
        <w:rPr>
          <w:noProof/>
          <w:webHidden/>
        </w:rPr>
        <w:tab/>
      </w:r>
      <w:r>
        <w:rPr>
          <w:noProof/>
          <w:webHidden/>
        </w:rPr>
        <w:fldChar w:fldCharType="begin"/>
      </w:r>
      <w:r>
        <w:rPr>
          <w:noProof/>
          <w:webHidden/>
        </w:rPr>
        <w:instrText xml:space="preserve"> PAGEREF _Toc150726401 \h </w:instrText>
      </w:r>
      <w:r>
        <w:rPr>
          <w:noProof/>
          <w:webHidden/>
        </w:rPr>
        <w:fldChar w:fldCharType="separate"/>
      </w:r>
      <w:r>
        <w:rPr>
          <w:noProof/>
          <w:webHidden/>
        </w:rPr>
        <w:t>5</w:t>
      </w:r>
      <w:r>
        <w:rPr>
          <w:noProof/>
          <w:webHidden/>
        </w:rPr>
        <w:fldChar w:fldCharType="end"/>
      </w:r>
      <w:r>
        <w:rPr/>
        <w:fldChar w:fldCharType="end"/>
      </w:r>
    </w:p>
    <w:p>
      <w:pPr>
        <w:pStyle w:val="style19"/>
        <w:tabs>
          <w:tab w:val="right" w:leader="underscore" w:pos="9350"/>
        </w:tabs>
        <w:rPr>
          <w:rFonts w:cs="Arial" w:eastAsia="宋体"/>
          <w:b w:val="false"/>
          <w:bCs w:val="false"/>
          <w:caps w:val="false"/>
          <w:noProof/>
          <w:sz w:val="22"/>
          <w:szCs w:val="22"/>
        </w:rPr>
      </w:pPr>
      <w:r>
        <w:rPr/>
        <w:fldChar w:fldCharType="begin"/>
      </w:r>
      <w:r>
        <w:instrText xml:space="preserve"> HYPERLINK \l "_Toc150726402" </w:instrText>
      </w:r>
      <w:r>
        <w:rPr/>
        <w:fldChar w:fldCharType="separate"/>
      </w:r>
      <w:r>
        <w:rPr>
          <w:rStyle w:val="style85"/>
          <w:rFonts w:ascii="Times New Roman" w:cs="Times New Roman" w:hAnsi="Times New Roman"/>
          <w:noProof/>
        </w:rPr>
        <w:t>7. Timeframe:</w:t>
      </w:r>
      <w:r>
        <w:rPr>
          <w:noProof/>
          <w:webHidden/>
        </w:rPr>
        <w:tab/>
      </w:r>
      <w:r>
        <w:rPr>
          <w:noProof/>
          <w:webHidden/>
        </w:rPr>
        <w:fldChar w:fldCharType="begin"/>
      </w:r>
      <w:r>
        <w:rPr>
          <w:noProof/>
          <w:webHidden/>
        </w:rPr>
        <w:instrText xml:space="preserve"> PAGEREF _Toc150726402 \h </w:instrText>
      </w:r>
      <w:r>
        <w:rPr>
          <w:noProof/>
          <w:webHidden/>
        </w:rPr>
        <w:fldChar w:fldCharType="separate"/>
      </w:r>
      <w:r>
        <w:rPr>
          <w:noProof/>
          <w:webHidden/>
        </w:rPr>
        <w:t>6</w:t>
      </w:r>
      <w:r>
        <w:rPr>
          <w:noProof/>
          <w:webHidden/>
        </w:rPr>
        <w:fldChar w:fldCharType="end"/>
      </w:r>
      <w:r>
        <w:rPr/>
        <w:fldChar w:fldCharType="end"/>
      </w:r>
    </w:p>
    <w:p>
      <w:pPr>
        <w:pStyle w:val="style20"/>
        <w:tabs>
          <w:tab w:val="right" w:leader="underscore" w:pos="9350"/>
        </w:tabs>
        <w:rPr>
          <w:rFonts w:cs="Arial" w:eastAsia="宋体"/>
          <w:smallCaps w:val="false"/>
          <w:noProof/>
          <w:sz w:val="22"/>
          <w:szCs w:val="22"/>
        </w:rPr>
      </w:pPr>
      <w:r>
        <w:rPr/>
        <w:fldChar w:fldCharType="begin"/>
      </w:r>
      <w:r>
        <w:instrText xml:space="preserve"> HYPERLINK \l "_Toc150726403" </w:instrText>
      </w:r>
      <w:r>
        <w:rPr/>
        <w:fldChar w:fldCharType="separate"/>
      </w:r>
      <w:r>
        <w:rPr>
          <w:rStyle w:val="style85"/>
          <w:rFonts w:ascii="Times New Roman" w:cs="Times New Roman" w:hAnsi="Times New Roman"/>
          <w:noProof/>
        </w:rPr>
        <w:t>Time Frame:</w:t>
      </w:r>
      <w:r>
        <w:rPr>
          <w:noProof/>
          <w:webHidden/>
        </w:rPr>
        <w:tab/>
      </w:r>
      <w:r>
        <w:rPr>
          <w:noProof/>
          <w:webHidden/>
        </w:rPr>
        <w:fldChar w:fldCharType="begin"/>
      </w:r>
      <w:r>
        <w:rPr>
          <w:noProof/>
          <w:webHidden/>
        </w:rPr>
        <w:instrText xml:space="preserve"> PAGEREF _Toc150726403 \h </w:instrText>
      </w:r>
      <w:r>
        <w:rPr>
          <w:noProof/>
          <w:webHidden/>
        </w:rPr>
        <w:fldChar w:fldCharType="separate"/>
      </w:r>
      <w:r>
        <w:rPr>
          <w:noProof/>
          <w:webHidden/>
        </w:rPr>
        <w:t>6</w:t>
      </w:r>
      <w:r>
        <w:rPr>
          <w:noProof/>
          <w:webHidden/>
        </w:rPr>
        <w:fldChar w:fldCharType="end"/>
      </w:r>
      <w:r>
        <w:rPr/>
        <w:fldChar w:fldCharType="end"/>
      </w:r>
    </w:p>
    <w:p>
      <w:pPr>
        <w:pStyle w:val="style19"/>
        <w:tabs>
          <w:tab w:val="right" w:leader="underscore" w:pos="9350"/>
        </w:tabs>
        <w:rPr>
          <w:rFonts w:cs="Arial" w:eastAsia="宋体"/>
          <w:b w:val="false"/>
          <w:bCs w:val="false"/>
          <w:caps w:val="false"/>
          <w:noProof/>
          <w:sz w:val="22"/>
          <w:szCs w:val="22"/>
        </w:rPr>
      </w:pPr>
      <w:r>
        <w:rPr/>
        <w:fldChar w:fldCharType="begin"/>
      </w:r>
      <w:r>
        <w:instrText xml:space="preserve"> HYPERLINK \l "_Toc150726404" </w:instrText>
      </w:r>
      <w:r>
        <w:rPr/>
        <w:fldChar w:fldCharType="separate"/>
      </w:r>
      <w:r>
        <w:rPr>
          <w:rStyle w:val="style85"/>
          <w:rFonts w:ascii="Times New Roman" w:cs="Times New Roman" w:hAnsi="Times New Roman"/>
          <w:noProof/>
        </w:rPr>
        <w:t>8. Conclusion:</w:t>
      </w:r>
      <w:r>
        <w:rPr>
          <w:noProof/>
          <w:webHidden/>
        </w:rPr>
        <w:tab/>
      </w:r>
      <w:r>
        <w:rPr>
          <w:noProof/>
          <w:webHidden/>
        </w:rPr>
        <w:fldChar w:fldCharType="begin"/>
      </w:r>
      <w:r>
        <w:rPr>
          <w:noProof/>
          <w:webHidden/>
        </w:rPr>
        <w:instrText xml:space="preserve"> PAGEREF _Toc150726404 \h </w:instrText>
      </w:r>
      <w:r>
        <w:rPr>
          <w:noProof/>
          <w:webHidden/>
        </w:rPr>
        <w:fldChar w:fldCharType="separate"/>
      </w:r>
      <w:r>
        <w:rPr>
          <w:noProof/>
          <w:webHidden/>
        </w:rPr>
        <w:t>6</w:t>
      </w:r>
      <w:r>
        <w:rPr>
          <w:noProof/>
          <w:webHidden/>
        </w:rPr>
        <w:fldChar w:fldCharType="end"/>
      </w:r>
      <w:r>
        <w:rPr/>
        <w:fldChar w:fldCharType="end"/>
      </w:r>
    </w:p>
    <w:p>
      <w:pPr>
        <w:pStyle w:val="style19"/>
        <w:tabs>
          <w:tab w:val="right" w:leader="underscore" w:pos="9350"/>
        </w:tabs>
        <w:rPr>
          <w:rFonts w:cs="Arial" w:eastAsia="宋体"/>
          <w:b w:val="false"/>
          <w:bCs w:val="false"/>
          <w:caps w:val="false"/>
          <w:noProof/>
          <w:sz w:val="22"/>
          <w:szCs w:val="22"/>
        </w:rPr>
      </w:pPr>
      <w:r>
        <w:rPr/>
        <w:fldChar w:fldCharType="begin"/>
      </w:r>
      <w:r>
        <w:instrText xml:space="preserve"> HYPERLINK \l "_Toc150726405" </w:instrText>
      </w:r>
      <w:r>
        <w:rPr/>
        <w:fldChar w:fldCharType="separate"/>
      </w:r>
      <w:r>
        <w:rPr>
          <w:rStyle w:val="style85"/>
          <w:noProof/>
        </w:rPr>
        <w:t>Reference:</w:t>
      </w:r>
      <w:r>
        <w:rPr>
          <w:noProof/>
          <w:webHidden/>
        </w:rPr>
        <w:tab/>
      </w:r>
      <w:r>
        <w:rPr>
          <w:noProof/>
          <w:webHidden/>
        </w:rPr>
        <w:fldChar w:fldCharType="begin"/>
      </w:r>
      <w:r>
        <w:rPr>
          <w:noProof/>
          <w:webHidden/>
        </w:rPr>
        <w:instrText xml:space="preserve"> PAGEREF _Toc150726405 \h </w:instrText>
      </w:r>
      <w:r>
        <w:rPr>
          <w:noProof/>
          <w:webHidden/>
        </w:rPr>
        <w:fldChar w:fldCharType="separate"/>
      </w:r>
      <w:r>
        <w:rPr>
          <w:noProof/>
          <w:webHidden/>
        </w:rPr>
        <w:t>7</w:t>
      </w:r>
      <w:r>
        <w:rPr>
          <w:noProof/>
          <w:webHidden/>
        </w:rPr>
        <w:fldChar w:fldCharType="end"/>
      </w:r>
      <w:r>
        <w:rPr/>
        <w:fldChar w:fldCharType="end"/>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fldChar w:fldCharType="end"/>
      </w:r>
    </w:p>
    <w:p>
      <w:pPr>
        <w:pStyle w:val="style0"/>
        <w:spacing w:lineRule="auto" w:line="360"/>
        <w:jc w:val="both"/>
        <w:rPr>
          <w:rFonts w:ascii="Times New Roman" w:cs="Times New Roman" w:hAnsi="Times New Roman"/>
          <w:sz w:val="24"/>
          <w:szCs w:val="24"/>
        </w:rPr>
      </w:pPr>
    </w:p>
    <w:p>
      <w:pPr>
        <w:pStyle w:val="style0"/>
        <w:spacing w:lineRule="auto" w:line="360"/>
        <w:jc w:val="both"/>
        <w:rPr>
          <w:rFonts w:ascii="Times New Roman" w:cs="Times New Roman" w:hAnsi="Times New Roman"/>
          <w:sz w:val="24"/>
          <w:szCs w:val="24"/>
        </w:rPr>
      </w:pPr>
    </w:p>
    <w:p>
      <w:pPr>
        <w:pStyle w:val="style0"/>
        <w:spacing w:lineRule="auto" w:line="360"/>
        <w:jc w:val="both"/>
        <w:rPr>
          <w:rFonts w:ascii="Times New Roman" w:cs="Times New Roman" w:hAnsi="Times New Roman"/>
          <w:sz w:val="24"/>
          <w:szCs w:val="24"/>
        </w:rPr>
      </w:pPr>
    </w:p>
    <w:p>
      <w:pPr>
        <w:pStyle w:val="style0"/>
        <w:spacing w:lineRule="auto" w:line="360"/>
        <w:jc w:val="both"/>
        <w:rPr>
          <w:rFonts w:ascii="Times New Roman" w:cs="Times New Roman" w:hAnsi="Times New Roman"/>
          <w:sz w:val="24"/>
          <w:szCs w:val="24"/>
        </w:rPr>
      </w:pPr>
    </w:p>
    <w:p>
      <w:pPr>
        <w:pStyle w:val="style0"/>
        <w:spacing w:lineRule="auto" w:line="360"/>
        <w:jc w:val="both"/>
        <w:rPr>
          <w:rFonts w:ascii="Times New Roman" w:cs="Times New Roman" w:hAnsi="Times New Roman"/>
          <w:sz w:val="24"/>
          <w:szCs w:val="24"/>
        </w:rPr>
      </w:pPr>
    </w:p>
    <w:p>
      <w:pPr>
        <w:pStyle w:val="style0"/>
        <w:spacing w:lineRule="auto" w:line="360"/>
        <w:jc w:val="both"/>
        <w:rPr>
          <w:rFonts w:ascii="Times New Roman" w:cs="Times New Roman" w:hAnsi="Times New Roman"/>
          <w:sz w:val="24"/>
          <w:szCs w:val="24"/>
        </w:rPr>
      </w:pPr>
    </w:p>
    <w:p>
      <w:pPr>
        <w:pStyle w:val="style0"/>
        <w:spacing w:lineRule="auto" w:line="360"/>
        <w:jc w:val="both"/>
        <w:rPr>
          <w:rFonts w:ascii="Times New Roman" w:cs="Times New Roman" w:hAnsi="Times New Roman"/>
          <w:sz w:val="24"/>
          <w:szCs w:val="24"/>
        </w:rPr>
      </w:pPr>
    </w:p>
    <w:p>
      <w:pPr>
        <w:pStyle w:val="style0"/>
        <w:spacing w:lineRule="auto" w:line="360"/>
        <w:jc w:val="both"/>
        <w:rPr>
          <w:rFonts w:ascii="Times New Roman" w:cs="Times New Roman" w:hAnsi="Times New Roman"/>
          <w:sz w:val="24"/>
          <w:szCs w:val="24"/>
        </w:rPr>
      </w:pPr>
    </w:p>
    <w:p>
      <w:pPr>
        <w:pStyle w:val="style0"/>
        <w:spacing w:lineRule="auto" w:line="360"/>
        <w:jc w:val="both"/>
        <w:rPr>
          <w:rFonts w:ascii="Times New Roman" w:cs="Times New Roman" w:hAnsi="Times New Roman"/>
          <w:sz w:val="24"/>
          <w:szCs w:val="24"/>
        </w:rPr>
      </w:pPr>
    </w:p>
    <w:p>
      <w:pPr>
        <w:pStyle w:val="style0"/>
        <w:spacing w:lineRule="auto" w:line="360"/>
        <w:jc w:val="both"/>
        <w:rPr>
          <w:rFonts w:ascii="Times New Roman" w:cs="Times New Roman" w:hAnsi="Times New Roman"/>
          <w:sz w:val="24"/>
          <w:szCs w:val="24"/>
        </w:rPr>
      </w:pPr>
    </w:p>
    <w:bookmarkStart w:id="0" w:name="_Toc150726394"/>
    <w:p>
      <w:pPr>
        <w:pStyle w:val="style1"/>
        <w:rPr>
          <w:rFonts w:ascii="Times New Roman" w:cs="Times New Roman" w:hAnsi="Times New Roman"/>
        </w:rPr>
      </w:pPr>
      <w:r>
        <w:rPr>
          <w:rFonts w:ascii="Times New Roman" w:cs="Times New Roman" w:hAnsi="Times New Roman"/>
        </w:rPr>
        <w:t>1. Introduction:</w:t>
      </w:r>
      <w:bookmarkEnd w:id="0"/>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The Indian fashion and retail industry is a dynamic and ever-changing market that presents a range of possibilities and difficulties for international businesses wishing to enter its ever-changing environment. Within this framework, the principal aim of the study proposal is to provide Topshop, a well-known fashion and retail brand, with crucial perspectives and suggestions for a successful launch into the Indian market. A comprehensive knowledge is necessary due to the complex interplay of cultural, regulatory, and competitive variables that form India's consumer market (</w:t>
      </w:r>
      <w:r>
        <w:rPr>
          <w:rFonts w:ascii="Times New Roman" w:cs="Times New Roman" w:eastAsia="SimSun" w:hAnsi="Times New Roman"/>
          <w:sz w:val="24"/>
          <w:szCs w:val="24"/>
          <w:lang w:eastAsia="zh-CN"/>
        </w:rPr>
        <w:t>Stöcker et al., 2021)</w:t>
      </w:r>
      <w:r>
        <w:rPr>
          <w:rFonts w:ascii="Times New Roman" w:cs="Times New Roman" w:hAnsi="Times New Roman"/>
          <w:sz w:val="24"/>
          <w:szCs w:val="24"/>
        </w:rPr>
        <w:t>. The goal of the research is to unravel the complexities of the Indian fashion and retail industry by exploring important trends and dynamics. By means of an extensive analysis of entrepreneurial methodologies, the study aims to provide Topshop with inventive tactics that foster flexibility, willingness to take chances, and, eventually, achievement in managing the intricate retail environment in India. The literature review, methods, and objectives will be elaborated upon in the ensuing sections to furnish a thorough foundation for this undertaking.</w:t>
      </w:r>
    </w:p>
    <w:bookmarkStart w:id="1" w:name="_Toc150726395"/>
    <w:p>
      <w:pPr>
        <w:pStyle w:val="style1"/>
        <w:rPr>
          <w:rFonts w:ascii="Times New Roman" w:cs="Times New Roman" w:hAnsi="Times New Roman"/>
        </w:rPr>
      </w:pPr>
      <w:r>
        <w:rPr>
          <w:rFonts w:ascii="Times New Roman" w:cs="Times New Roman" w:hAnsi="Times New Roman"/>
        </w:rPr>
        <w:t>2. Aim and Objectives:</w:t>
      </w:r>
      <w:bookmarkEnd w:id="1"/>
    </w:p>
    <w:p>
      <w:pPr>
        <w:pStyle w:val="style0"/>
        <w:rPr>
          <w:rFonts w:ascii="Times New Roman" w:cs="Times New Roman" w:hAnsi="Times New Roman"/>
          <w:b/>
          <w:sz w:val="24"/>
          <w:szCs w:val="24"/>
          <w:u w:val="single"/>
        </w:rPr>
      </w:pPr>
      <w:r>
        <w:rPr>
          <w:rFonts w:ascii="Times New Roman" w:cs="Times New Roman" w:hAnsi="Times New Roman"/>
          <w:b/>
          <w:sz w:val="24"/>
          <w:szCs w:val="24"/>
          <w:u w:val="single"/>
        </w:rPr>
        <w:t>Aim:</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lang w:val="en-GB"/>
        </w:rPr>
        <w:t>The purpose of this study is to offer perceptions and suggestions on how Topshop, a well-known fashion and retail company, might successfully use entrepreneurial strategies to close the gap and make a successful market entry into India's thriving fashion and retail industry.</w:t>
      </w:r>
    </w:p>
    <w:p>
      <w:pPr>
        <w:pStyle w:val="style0"/>
        <w:rPr>
          <w:rFonts w:ascii="Times New Roman" w:cs="Times New Roman" w:hAnsi="Times New Roman"/>
          <w:b/>
          <w:sz w:val="24"/>
          <w:szCs w:val="24"/>
          <w:u w:val="single"/>
        </w:rPr>
      </w:pPr>
      <w:r>
        <w:rPr>
          <w:rFonts w:ascii="Times New Roman" w:cs="Times New Roman" w:hAnsi="Times New Roman"/>
          <w:b/>
          <w:sz w:val="24"/>
          <w:szCs w:val="24"/>
          <w:u w:val="single"/>
        </w:rPr>
        <w:t>Objectives:</w:t>
      </w:r>
    </w:p>
    <w:p>
      <w:pPr>
        <w:pStyle w:val="style179"/>
        <w:numPr>
          <w:ilvl w:val="0"/>
          <w:numId w:val="1"/>
        </w:numPr>
        <w:spacing w:lineRule="auto" w:line="360"/>
        <w:jc w:val="both"/>
        <w:rPr>
          <w:rFonts w:ascii="Times New Roman" w:cs="Times New Roman" w:hAnsi="Times New Roman"/>
          <w:sz w:val="24"/>
          <w:szCs w:val="24"/>
        </w:rPr>
      </w:pPr>
      <w:r>
        <w:rPr>
          <w:rFonts w:ascii="Times New Roman" w:cs="Times New Roman" w:hAnsi="Times New Roman"/>
          <w:sz w:val="24"/>
          <w:szCs w:val="24"/>
        </w:rPr>
        <w:t>Assessing the present status of the fashion and retail sectors in India, with a focus on identifying significant trends and factors that influence multinational co</w:t>
      </w:r>
      <w:r>
        <w:rPr>
          <w:rFonts w:ascii="Times New Roman" w:cs="Times New Roman" w:hAnsi="Times New Roman"/>
          <w:sz w:val="24"/>
          <w:szCs w:val="24"/>
        </w:rPr>
        <w:t>mpanies' market entrance strategies</w:t>
      </w:r>
      <w:r>
        <w:rPr>
          <w:rFonts w:ascii="Times New Roman" w:cs="Times New Roman" w:hAnsi="Times New Roman"/>
          <w:sz w:val="24"/>
          <w:szCs w:val="24"/>
        </w:rPr>
        <w:t>.</w:t>
      </w:r>
    </w:p>
    <w:p>
      <w:pPr>
        <w:pStyle w:val="style179"/>
        <w:numPr>
          <w:ilvl w:val="0"/>
          <w:numId w:val="1"/>
        </w:numPr>
        <w:spacing w:lineRule="auto" w:line="360"/>
        <w:jc w:val="both"/>
        <w:rPr>
          <w:rFonts w:ascii="Times New Roman" w:cs="Times New Roman" w:hAnsi="Times New Roman"/>
          <w:sz w:val="24"/>
          <w:szCs w:val="24"/>
        </w:rPr>
      </w:pPr>
      <w:r>
        <w:rPr>
          <w:rFonts w:ascii="Times New Roman" w:cs="Times New Roman" w:hAnsi="Times New Roman"/>
          <w:sz w:val="24"/>
          <w:szCs w:val="24"/>
        </w:rPr>
        <w:t>To examine the unique obstacles and prospects that Topshop encounters in the Indian market, taking into account cultural, legal, and competitive aspects.</w:t>
      </w:r>
    </w:p>
    <w:bookmarkStart w:id="2" w:name="_Toc150726396"/>
    <w:p>
      <w:pPr>
        <w:pStyle w:val="style1"/>
        <w:rPr>
          <w:rFonts w:ascii="Times New Roman" w:cs="Times New Roman" w:hAnsi="Times New Roman"/>
        </w:rPr>
      </w:pPr>
      <w:r>
        <w:rPr>
          <w:rFonts w:ascii="Times New Roman" w:cs="Times New Roman" w:hAnsi="Times New Roman"/>
        </w:rPr>
        <w:t>3. Literature Review:</w:t>
      </w:r>
      <w:bookmarkEnd w:id="2"/>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In order to effectively enter overseas markets, one must have a thorough awareness of the complex terrain that is currently India's fashion and retail business. The complexity of this industry has been the subject of several studies, which have helped to illuminate important trends and dynamics that have a big impact on global businesses' marketing strategies. It is widely accepted that India's consumer market is heterogeneous, influenced by things like differences in economic status, cultural inclinations, and quickly changing fashion tastes (</w:t>
      </w:r>
      <w:r>
        <w:rPr>
          <w:rFonts w:ascii="Times New Roman" w:cs="Times New Roman" w:eastAsia="SimSun" w:hAnsi="Times New Roman"/>
          <w:sz w:val="24"/>
          <w:szCs w:val="24"/>
          <w:lang w:eastAsia="zh-CN"/>
        </w:rPr>
        <w:t>Sandberg and Hultberg, 2021)</w:t>
      </w:r>
      <w:r>
        <w:rPr>
          <w:rFonts w:ascii="Times New Roman" w:cs="Times New Roman" w:hAnsi="Times New Roman"/>
          <w:sz w:val="24"/>
          <w:szCs w:val="24"/>
        </w:rPr>
        <w:t>. Researchers have emphasized the need of modifying entrance techniques to conform to the distinct features of the Indian market, underscoring the necessity of a comprehensive comprehension of local customer behavior and preferences.</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Numerous pertinent concepts and theories have been investigated in the context of foreign market entrance. With a notable rise in popularity, entrepreneurial ideas highlight the need of creativity, flexibility, and taking calculated risks as essential elements of success. Economists contend that using entrepreneurial strategies is especially relevant when breaking into rapidly evolving industries like the fashion and retail sectors of India (</w:t>
      </w:r>
      <w:r>
        <w:rPr>
          <w:rFonts w:ascii="Times New Roman" w:cs="Times New Roman" w:eastAsia="SimSun" w:hAnsi="Times New Roman"/>
          <w:sz w:val="24"/>
          <w:szCs w:val="24"/>
          <w:lang w:eastAsia="zh-CN"/>
        </w:rPr>
        <w:t xml:space="preserve">Adler </w:t>
      </w:r>
      <w:r>
        <w:rPr>
          <w:rFonts w:ascii="Times New Roman" w:cs="Times New Roman" w:eastAsia="SimSun" w:hAnsi="Times New Roman"/>
          <w:i/>
          <w:iCs/>
          <w:sz w:val="24"/>
          <w:szCs w:val="24"/>
          <w:lang w:eastAsia="zh-CN"/>
        </w:rPr>
        <w:t>et al., 2019)</w:t>
      </w:r>
      <w:r>
        <w:rPr>
          <w:rFonts w:ascii="Times New Roman" w:cs="Times New Roman" w:hAnsi="Times New Roman"/>
          <w:sz w:val="24"/>
          <w:szCs w:val="24"/>
        </w:rPr>
        <w:t>. Global brands may successfully negotiate the market's intricacies and adjust their strategy to meet local expectations by embracing innovation and adaptation.</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The diversity of research methodologies and strategies utilized in the fashion and retail sector is indicative of the industry's complexity. Previous research has employed a blend of qualitative and quantitative methodologies to effectively convey the intricate aspects of consumer behavior, market trends, and competitive dynamics (</w:t>
      </w:r>
      <w:r>
        <w:rPr>
          <w:rFonts w:ascii="Times New Roman" w:cs="Times New Roman" w:eastAsia="SimSun" w:hAnsi="Times New Roman"/>
          <w:sz w:val="24"/>
          <w:szCs w:val="24"/>
          <w:lang w:eastAsia="zh-CN"/>
        </w:rPr>
        <w:t>Carrero et al., 2020)</w:t>
      </w:r>
      <w:r>
        <w:rPr>
          <w:rFonts w:ascii="Times New Roman" w:cs="Times New Roman" w:hAnsi="Times New Roman"/>
          <w:sz w:val="24"/>
          <w:szCs w:val="24"/>
        </w:rPr>
        <w:t>. Investigating cultural quirks and customer preferences has been made possible thanks in large part to qualitative techniques like focus groups and interviews. Conversely, quantitative techniques such as statistical studies and surveys have yielded important insights into market patterns and the efficacy of different market entrance strategies.</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Nonetheless, the scholarly works also disclose specific disputes within the field. A prominent point of disagreement is to the ideal ratio between localized and standardized methods when entering foreign markets (</w:t>
      </w:r>
      <w:r>
        <w:rPr>
          <w:rFonts w:ascii="Times New Roman" w:cs="Times New Roman" w:eastAsia="SimSun" w:hAnsi="Times New Roman"/>
          <w:sz w:val="24"/>
          <w:szCs w:val="24"/>
          <w:lang w:eastAsia="zh-CN"/>
        </w:rPr>
        <w:t>RICH and TRACY,2021)</w:t>
      </w:r>
      <w:r>
        <w:rPr>
          <w:rFonts w:ascii="Times New Roman" w:cs="Times New Roman" w:hAnsi="Times New Roman"/>
          <w:sz w:val="24"/>
          <w:szCs w:val="24"/>
        </w:rPr>
        <w:t xml:space="preserve">. Some contend that a more localized method is preferable in order to better accommodate the wide range of customer tastes found in India's many </w:t>
      </w:r>
      <w:r>
        <w:rPr>
          <w:rFonts w:ascii="Times New Roman" w:cs="Times New Roman" w:hAnsi="Times New Roman"/>
          <w:sz w:val="24"/>
          <w:szCs w:val="24"/>
        </w:rPr>
        <w:t>regions, while others support a standardised approach to guarantee brand consistency. The continuous discussion regarding the best approach for foreign fashion and retail companies to enter the Indian market is highlighted by this issue..</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There have been discrepancies found in the results of several research, especially when it comes to how cultural influences affect consumer behavior. Certain global fashion trends may be able to cross cultural barriers, according to some research, while others highlight the importance of local adaptation in product design and marketing methods (</w:t>
      </w:r>
      <w:r>
        <w:rPr>
          <w:rFonts w:ascii="Times New Roman" w:cs="Times New Roman" w:eastAsia="SimSun" w:hAnsi="Times New Roman"/>
          <w:sz w:val="24"/>
          <w:szCs w:val="24"/>
          <w:lang w:eastAsia="zh-CN"/>
        </w:rPr>
        <w:t>James, 2022)</w:t>
      </w:r>
      <w:r>
        <w:rPr>
          <w:rFonts w:ascii="Times New Roman" w:cs="Times New Roman" w:hAnsi="Times New Roman"/>
          <w:sz w:val="24"/>
          <w:szCs w:val="24"/>
        </w:rPr>
        <w:t>. The aforementioned discrepancies underscore the necessity of employing a sophisticated and situation-specific methodology when devising market entrance tactics for the fashion and retail industries in India. Moreover, there are information gaps that cause unresolved issues in the literature (</w:t>
      </w:r>
      <w:r>
        <w:rPr>
          <w:rFonts w:ascii="Times New Roman" w:cs="Times New Roman" w:eastAsia="SimSun" w:hAnsi="Times New Roman"/>
          <w:sz w:val="24"/>
          <w:szCs w:val="24"/>
          <w:lang w:eastAsia="zh-CN"/>
        </w:rPr>
        <w:t>Ofisi and Lukamba, 2020)</w:t>
      </w:r>
      <w:r>
        <w:rPr>
          <w:rFonts w:ascii="Times New Roman" w:cs="Times New Roman" w:hAnsi="Times New Roman"/>
          <w:sz w:val="24"/>
          <w:szCs w:val="24"/>
        </w:rPr>
        <w:t>. Even with a wealth of data, a deeper examination of the interaction between market entrance tactics and regulatory considerations is still required. Furthermore, given the changing environment, more research is necessary to determine how digital platforms and e-commerce affect consumer behavior and retail market dynamics in India.</w:t>
      </w:r>
    </w:p>
    <w:p>
      <w:pPr>
        <w:pStyle w:val="style0"/>
        <w:spacing w:lineRule="auto" w:line="360"/>
        <w:jc w:val="both"/>
        <w:rPr>
          <w:rFonts w:ascii="Times New Roman" w:cs="Times New Roman" w:hAnsi="Times New Roman"/>
          <w:b/>
          <w:sz w:val="24"/>
          <w:szCs w:val="24"/>
        </w:rPr>
      </w:pPr>
      <w:r>
        <w:rPr>
          <w:rFonts w:ascii="Times New Roman" w:cs="Times New Roman" w:hAnsi="Times New Roman"/>
          <w:b/>
          <w:sz w:val="24"/>
          <w:szCs w:val="24"/>
        </w:rPr>
        <w:t>Important Terms:</w:t>
      </w:r>
    </w:p>
    <w:p>
      <w:pPr>
        <w:pStyle w:val="style0"/>
        <w:numPr>
          <w:ilvl w:val="0"/>
          <w:numId w:val="3"/>
        </w:numPr>
        <w:spacing w:lineRule="auto" w:line="360"/>
        <w:jc w:val="both"/>
        <w:rPr>
          <w:rFonts w:ascii="Times New Roman" w:cs="Times New Roman" w:hAnsi="Times New Roman"/>
          <w:sz w:val="24"/>
          <w:szCs w:val="24"/>
        </w:rPr>
      </w:pPr>
      <w:r>
        <w:rPr>
          <w:rFonts w:ascii="Times New Roman" w:cs="Times New Roman" w:hAnsi="Times New Roman"/>
          <w:b/>
          <w:bCs/>
          <w:sz w:val="24"/>
          <w:szCs w:val="24"/>
        </w:rPr>
        <w:t>Fashion and Retail Sector:</w:t>
      </w:r>
      <w:r>
        <w:rPr>
          <w:rFonts w:ascii="Times New Roman" w:cs="Times New Roman" w:hAnsi="Times New Roman"/>
          <w:sz w:val="24"/>
          <w:szCs w:val="24"/>
        </w:rPr>
        <w:t xml:space="preserve"> The industry encompassing the production, marketing, and sale of clothing, accessories, and consumer goods, involving various stages from design to retail distribution.</w:t>
      </w:r>
    </w:p>
    <w:p>
      <w:pPr>
        <w:pStyle w:val="style0"/>
        <w:numPr>
          <w:ilvl w:val="0"/>
          <w:numId w:val="3"/>
        </w:numPr>
        <w:spacing w:lineRule="auto" w:line="360"/>
        <w:jc w:val="both"/>
        <w:rPr>
          <w:rFonts w:ascii="Times New Roman" w:cs="Times New Roman" w:hAnsi="Times New Roman"/>
          <w:sz w:val="24"/>
          <w:szCs w:val="24"/>
        </w:rPr>
      </w:pPr>
      <w:r>
        <w:rPr>
          <w:rFonts w:ascii="Times New Roman" w:cs="Times New Roman" w:hAnsi="Times New Roman"/>
          <w:b/>
          <w:bCs/>
          <w:sz w:val="24"/>
          <w:szCs w:val="24"/>
        </w:rPr>
        <w:t>Trends:</w:t>
      </w:r>
      <w:r>
        <w:rPr>
          <w:rFonts w:ascii="Times New Roman" w:cs="Times New Roman" w:hAnsi="Times New Roman"/>
          <w:sz w:val="24"/>
          <w:szCs w:val="24"/>
        </w:rPr>
        <w:t xml:space="preserve"> Patterns or shifts in consumer preferences, behaviors, and styles that influence the demand for specific products or aesthetics within the fashion and retail sector.</w:t>
      </w:r>
    </w:p>
    <w:p>
      <w:pPr>
        <w:pStyle w:val="style0"/>
        <w:numPr>
          <w:ilvl w:val="0"/>
          <w:numId w:val="3"/>
        </w:numPr>
        <w:spacing w:lineRule="auto" w:line="360"/>
        <w:jc w:val="both"/>
        <w:rPr>
          <w:rFonts w:ascii="Times New Roman" w:cs="Times New Roman" w:hAnsi="Times New Roman"/>
          <w:sz w:val="24"/>
          <w:szCs w:val="24"/>
        </w:rPr>
      </w:pPr>
      <w:r>
        <w:rPr>
          <w:rFonts w:ascii="Times New Roman" w:cs="Times New Roman" w:hAnsi="Times New Roman"/>
          <w:b/>
          <w:bCs/>
          <w:sz w:val="24"/>
          <w:szCs w:val="24"/>
        </w:rPr>
        <w:t>Multinational:</w:t>
      </w:r>
      <w:r>
        <w:rPr>
          <w:rFonts w:ascii="Times New Roman" w:cs="Times New Roman" w:hAnsi="Times New Roman"/>
          <w:sz w:val="24"/>
          <w:szCs w:val="24"/>
        </w:rPr>
        <w:t xml:space="preserve"> A business or organization operating in multiple countries, often involving diverse markets, cultures, and regulatory environments.</w:t>
      </w:r>
    </w:p>
    <w:p>
      <w:pPr>
        <w:pStyle w:val="style0"/>
        <w:numPr>
          <w:ilvl w:val="0"/>
          <w:numId w:val="3"/>
        </w:numPr>
        <w:spacing w:lineRule="auto" w:line="360"/>
        <w:jc w:val="both"/>
        <w:rPr>
          <w:rFonts w:ascii="Times New Roman" w:cs="Times New Roman" w:hAnsi="Times New Roman"/>
          <w:sz w:val="24"/>
          <w:szCs w:val="24"/>
        </w:rPr>
      </w:pPr>
      <w:r>
        <w:rPr>
          <w:rFonts w:ascii="Times New Roman" w:cs="Times New Roman" w:hAnsi="Times New Roman"/>
          <w:b/>
          <w:bCs/>
          <w:sz w:val="24"/>
          <w:szCs w:val="24"/>
        </w:rPr>
        <w:t>Market Entrance Strategies:</w:t>
      </w:r>
      <w:r>
        <w:rPr>
          <w:rFonts w:ascii="Times New Roman" w:cs="Times New Roman" w:hAnsi="Times New Roman"/>
          <w:sz w:val="24"/>
          <w:szCs w:val="24"/>
        </w:rPr>
        <w:t xml:space="preserve"> Strategic approaches employed by businesses to establish a presence in a new market, including methods for navigating cultural, legal, and competitive challenges.</w:t>
      </w:r>
    </w:p>
    <w:p>
      <w:pPr>
        <w:pStyle w:val="style0"/>
        <w:numPr>
          <w:ilvl w:val="0"/>
          <w:numId w:val="3"/>
        </w:numPr>
        <w:spacing w:lineRule="auto" w:line="360"/>
        <w:jc w:val="both"/>
        <w:rPr>
          <w:rFonts w:ascii="Times New Roman" w:cs="Times New Roman" w:hAnsi="Times New Roman"/>
          <w:sz w:val="24"/>
          <w:szCs w:val="24"/>
        </w:rPr>
      </w:pPr>
      <w:r>
        <w:rPr>
          <w:rFonts w:ascii="Times New Roman" w:cs="Times New Roman" w:hAnsi="Times New Roman"/>
          <w:b/>
          <w:bCs/>
          <w:sz w:val="24"/>
          <w:szCs w:val="24"/>
        </w:rPr>
        <w:t>Obstacles and Prospects:</w:t>
      </w:r>
      <w:r>
        <w:rPr>
          <w:rFonts w:ascii="Times New Roman" w:cs="Times New Roman" w:hAnsi="Times New Roman"/>
          <w:sz w:val="24"/>
          <w:szCs w:val="24"/>
        </w:rPr>
        <w:t xml:space="preserve"> Challenges and opportunities faced by businesses, taking into account various factors such as cultural differences, legal constraints, and competitive dynamics within a specific market.</w:t>
      </w:r>
    </w:p>
    <w:p>
      <w:pPr>
        <w:pStyle w:val="style0"/>
        <w:numPr>
          <w:ilvl w:val="0"/>
          <w:numId w:val="3"/>
        </w:numPr>
        <w:spacing w:lineRule="auto" w:line="360"/>
        <w:jc w:val="both"/>
        <w:rPr>
          <w:rFonts w:ascii="Times New Roman" w:cs="Times New Roman" w:hAnsi="Times New Roman"/>
          <w:sz w:val="24"/>
          <w:szCs w:val="24"/>
        </w:rPr>
      </w:pPr>
      <w:r>
        <w:rPr>
          <w:rFonts w:ascii="Times New Roman" w:cs="Times New Roman" w:hAnsi="Times New Roman"/>
          <w:b/>
          <w:bCs/>
          <w:sz w:val="24"/>
          <w:szCs w:val="24"/>
        </w:rPr>
        <w:t>Cultural Aspects:</w:t>
      </w:r>
      <w:r>
        <w:rPr>
          <w:rFonts w:ascii="Times New Roman" w:cs="Times New Roman" w:hAnsi="Times New Roman"/>
          <w:sz w:val="24"/>
          <w:szCs w:val="24"/>
        </w:rPr>
        <w:t xml:space="preserve"> Elements related to the beliefs, values, customs, and behaviors of a particular society, impacting consumer preferences and business operations.</w:t>
      </w:r>
    </w:p>
    <w:p>
      <w:pPr>
        <w:pStyle w:val="style0"/>
        <w:numPr>
          <w:ilvl w:val="0"/>
          <w:numId w:val="3"/>
        </w:numPr>
        <w:spacing w:lineRule="auto" w:line="360"/>
        <w:jc w:val="both"/>
        <w:rPr>
          <w:rFonts w:ascii="Times New Roman" w:cs="Times New Roman" w:hAnsi="Times New Roman"/>
          <w:sz w:val="24"/>
          <w:szCs w:val="24"/>
        </w:rPr>
      </w:pPr>
      <w:r>
        <w:rPr>
          <w:rFonts w:ascii="Times New Roman" w:cs="Times New Roman" w:hAnsi="Times New Roman"/>
          <w:b/>
          <w:bCs/>
          <w:sz w:val="24"/>
          <w:szCs w:val="24"/>
        </w:rPr>
        <w:t>Legal Aspects:</w:t>
      </w:r>
      <w:r>
        <w:rPr>
          <w:rFonts w:ascii="Times New Roman" w:cs="Times New Roman" w:hAnsi="Times New Roman"/>
          <w:sz w:val="24"/>
          <w:szCs w:val="24"/>
        </w:rPr>
        <w:t xml:space="preserve"> The regulatory and legal considerations relevant to business operations, including compliance with local laws, intellectual property rights, and trade regulations.</w:t>
      </w:r>
    </w:p>
    <w:p>
      <w:pPr>
        <w:pStyle w:val="style0"/>
        <w:numPr>
          <w:ilvl w:val="0"/>
          <w:numId w:val="3"/>
        </w:numPr>
        <w:spacing w:lineRule="auto" w:line="360"/>
        <w:jc w:val="both"/>
        <w:rPr>
          <w:rFonts w:ascii="Times New Roman" w:cs="Times New Roman" w:hAnsi="Times New Roman"/>
          <w:sz w:val="24"/>
          <w:szCs w:val="24"/>
        </w:rPr>
      </w:pPr>
      <w:r>
        <w:rPr>
          <w:rFonts w:ascii="Times New Roman" w:cs="Times New Roman" w:hAnsi="Times New Roman"/>
          <w:b/>
          <w:bCs/>
          <w:sz w:val="24"/>
          <w:szCs w:val="24"/>
        </w:rPr>
        <w:t>Competitive Aspects:</w:t>
      </w:r>
      <w:r>
        <w:rPr>
          <w:rFonts w:ascii="Times New Roman" w:cs="Times New Roman" w:hAnsi="Times New Roman"/>
          <w:sz w:val="24"/>
          <w:szCs w:val="24"/>
        </w:rPr>
        <w:t xml:space="preserve"> Factors related to the competitive landscape within an industry or market, encompassing rival businesses, market share dynamics, and strategic positioning.</w:t>
      </w:r>
    </w:p>
    <w:p>
      <w:pPr>
        <w:pStyle w:val="style0"/>
        <w:spacing w:lineRule="auto" w:line="360"/>
        <w:jc w:val="both"/>
        <w:rPr>
          <w:rFonts w:ascii="Times New Roman" w:cs="Times New Roman" w:hAnsi="Times New Roman"/>
          <w:sz w:val="24"/>
          <w:szCs w:val="24"/>
        </w:rPr>
      </w:pPr>
    </w:p>
    <w:bookmarkStart w:id="3" w:name="_Toc150726397"/>
    <w:p>
      <w:pPr>
        <w:pStyle w:val="style1"/>
        <w:rPr>
          <w:rFonts w:ascii="Times New Roman" w:cs="Times New Roman" w:hAnsi="Times New Roman"/>
        </w:rPr>
      </w:pPr>
      <w:r>
        <w:rPr>
          <w:rFonts w:ascii="Times New Roman" w:cs="Times New Roman" w:hAnsi="Times New Roman"/>
        </w:rPr>
        <w:t>4. Methodology:</w:t>
      </w:r>
      <w:bookmarkEnd w:id="3"/>
    </w:p>
    <w:bookmarkStart w:id="4" w:name="_Toc150726398"/>
    <w:p>
      <w:pPr>
        <w:pStyle w:val="style2"/>
        <w:rPr>
          <w:rFonts w:ascii="Times New Roman" w:cs="Times New Roman" w:hAnsi="Times New Roman"/>
        </w:rPr>
      </w:pPr>
      <w:r>
        <w:rPr>
          <w:rFonts w:ascii="Times New Roman" w:cs="Times New Roman" w:hAnsi="Times New Roman"/>
        </w:rPr>
        <w:t>Qualitative Analysis for In-Depth Insights</w:t>
      </w:r>
      <w:bookmarkEnd w:id="4"/>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To obtain a deep knowledge of the cultural, regulatory, and competitive aspects driving Topshop's entry into the Indian market, qualitative analysis is a critical approach used in this research report. In order to go beyond cursory observations, the study makes use of qualitative research techniques including focus groups, interviews, and content analysis (</w:t>
      </w:r>
      <w:r>
        <w:rPr>
          <w:rFonts w:ascii="Times New Roman" w:cs="Times New Roman" w:eastAsia="SimSun" w:hAnsi="Times New Roman"/>
          <w:sz w:val="24"/>
          <w:szCs w:val="24"/>
          <w:lang w:eastAsia="zh-CN"/>
        </w:rPr>
        <w:t xml:space="preserve">Nkangu </w:t>
      </w:r>
      <w:r>
        <w:rPr>
          <w:rFonts w:ascii="Times New Roman" w:cs="Times New Roman" w:eastAsia="SimSun" w:hAnsi="Times New Roman"/>
          <w:i/>
          <w:iCs/>
          <w:sz w:val="24"/>
          <w:szCs w:val="24"/>
          <w:lang w:eastAsia="zh-CN"/>
        </w:rPr>
        <w:t>et al., 2023)</w:t>
      </w:r>
      <w:r>
        <w:rPr>
          <w:rFonts w:ascii="Times New Roman" w:cs="Times New Roman" w:hAnsi="Times New Roman"/>
          <w:sz w:val="24"/>
          <w:szCs w:val="24"/>
        </w:rPr>
        <w:t>. In-depth understanding of the cultural subtleties influencing customer behavior and preferences may be gained through interviews with important stakeholders and business specialists. A thorough grasp of the possibilities and constraints that Topshop may face may also be obtained by doing a content analysis of pertinent regulatory regimes and competitive environments.</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A market as varied as India is a good fit for this qualitative approach since customer preferences are heavily influenced by regional cultural differences. In order to uncover minute details that may be missed by quantitative approaches alone, the research delves deeply into the qualitative components. Making strategic decisions for Topshop's market launch is made possible by having a comprehensive understanding of the market dynamics through qualitative lenses, which also help to highlight the regulatory framework and competitive pressures.</w:t>
      </w:r>
    </w:p>
    <w:bookmarkStart w:id="5" w:name="_Toc150726399"/>
    <w:p>
      <w:pPr>
        <w:pStyle w:val="style2"/>
        <w:rPr>
          <w:rFonts w:ascii="Times New Roman" w:cs="Times New Roman" w:hAnsi="Times New Roman"/>
        </w:rPr>
      </w:pPr>
      <w:r>
        <w:rPr>
          <w:rFonts w:ascii="Times New Roman" w:cs="Times New Roman" w:hAnsi="Times New Roman"/>
        </w:rPr>
        <w:t>Primary Research Method with Online Survey</w:t>
      </w:r>
      <w:bookmarkEnd w:id="5"/>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In addition to the qualitative analysis, a primary research approach will be used to collect quantitative data from a sample size of thirty people via an online survey. The decision to use an online poll is in accordance with India's current digital environment and will reach a large number </w:t>
      </w:r>
      <w:r>
        <w:rPr>
          <w:rFonts w:ascii="Times New Roman" w:cs="Times New Roman" w:hAnsi="Times New Roman"/>
          <w:sz w:val="24"/>
          <w:szCs w:val="24"/>
        </w:rPr>
        <w:t>of potential customers and business professionals. The poll will be carefully crafted to collect pertinent data on customer preferences, attitudes toward foreign fashion companies, and expectations for Topshop. The selection of a sample size of thirty is intended to strike a compromise between manageability and depth, permitting a thorough examination of each respondent's response while yet remaining feasible given the parameters of the study (</w:t>
      </w:r>
      <w:r>
        <w:rPr>
          <w:rFonts w:ascii="Times New Roman" w:cs="Times New Roman" w:eastAsia="SimSun" w:hAnsi="Times New Roman"/>
          <w:sz w:val="24"/>
          <w:szCs w:val="24"/>
          <w:lang w:eastAsia="zh-CN"/>
        </w:rPr>
        <w:t xml:space="preserve">Marino </w:t>
      </w:r>
      <w:r>
        <w:rPr>
          <w:rFonts w:ascii="Times New Roman" w:cs="Times New Roman" w:eastAsia="SimSun" w:hAnsi="Times New Roman"/>
          <w:i/>
          <w:iCs/>
          <w:sz w:val="24"/>
          <w:szCs w:val="24"/>
          <w:lang w:eastAsia="zh-CN"/>
        </w:rPr>
        <w:t>et al., 2023)</w:t>
      </w:r>
      <w:r>
        <w:rPr>
          <w:rFonts w:ascii="Times New Roman" w:cs="Times New Roman" w:hAnsi="Times New Roman"/>
          <w:sz w:val="24"/>
          <w:szCs w:val="24"/>
        </w:rPr>
        <w:t>. The instrument for the survey will be designed to gather demographic data, buying habits as well as variables affecting brand selection. The research aims to get a thorough understanding of the Indian market by integrating qualitative insights with quantitative data. This approach enables the development of evidence-based suggestions for Topshop's market entrance strategy.</w:t>
      </w:r>
    </w:p>
    <w:bookmarkStart w:id="6" w:name="_Toc150726400"/>
    <w:p>
      <w:pPr>
        <w:pStyle w:val="style1"/>
        <w:rPr>
          <w:rFonts w:ascii="Times New Roman" w:cs="Times New Roman" w:hAnsi="Times New Roman"/>
        </w:rPr>
      </w:pPr>
      <w:r>
        <w:rPr>
          <w:rFonts w:ascii="Times New Roman" w:cs="Times New Roman" w:hAnsi="Times New Roman"/>
        </w:rPr>
        <w:t>5. Limitations:</w:t>
      </w:r>
      <w:bookmarkEnd w:id="6"/>
    </w:p>
    <w:p>
      <w:pPr>
        <w:pStyle w:val="style0"/>
        <w:spacing w:lineRule="auto" w:line="360"/>
        <w:jc w:val="both"/>
        <w:rPr>
          <w:rFonts w:ascii="Times New Roman" w:cs="Times New Roman" w:hAnsi="Times New Roman"/>
          <w:sz w:val="24"/>
          <w:szCs w:val="24"/>
        </w:rPr>
      </w:pPr>
      <w:r>
        <w:rPr>
          <w:rFonts w:ascii="Times New Roman" w:hAnsi="Times New Roman"/>
          <w:sz w:val="24"/>
          <w:szCs w:val="24"/>
        </w:rPr>
        <w:t>It is crucial to recognize and address any inherent limitations while conducting this research as they may have an impact on the study's conclusions. First and foremost, there is the challenge of time constraints, which might impact the extent and quality of data collection and processing</w:t>
      </w:r>
      <w:r>
        <w:rPr>
          <w:rFonts w:ascii="Times New Roman" w:cs="Times New Roman" w:hAnsi="Times New Roman"/>
          <w:sz w:val="24"/>
          <w:szCs w:val="24"/>
        </w:rPr>
        <w:t>. The dynamic nature of the Indian fashion and retail industry necessitates a detailed research, and the time allotted may make it difficult to fully cover all aspects. Second, although the online survey's sample size of 30 was carefully chosen for manageability, it could have limited the findings' applicability to a larger population. It's possible that this sample does not adequately reflect the diversity of India's customer base, thus care should be used when drawing conclusions about groups other than those included in the poll. In order to preserve the integrity and transparency of the research and lay the groundwork for a more nuanced interpretation of the study's findings, it is imperative that these limitations be acknowledged.</w:t>
      </w:r>
    </w:p>
    <w:bookmarkStart w:id="7" w:name="_Toc150726401"/>
    <w:p>
      <w:pPr>
        <w:pStyle w:val="style1"/>
        <w:rPr>
          <w:rFonts w:ascii="Times New Roman" w:cs="Times New Roman" w:hAnsi="Times New Roman"/>
        </w:rPr>
      </w:pPr>
      <w:r>
        <w:rPr>
          <w:rFonts w:ascii="Times New Roman" w:cs="Times New Roman" w:hAnsi="Times New Roman"/>
        </w:rPr>
        <w:t>6. Ethical Considerations:</w:t>
      </w:r>
      <w:bookmarkEnd w:id="7"/>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Ensuring the rights and welfare of study participants is a critical function of ethical concerns. A fundamental component of ethical behavior is obtaining informed permission, which guarantees that subjects volunteer to engage in the study voluntarily and consciously. Respect and trust are fostered via open and honest communication about the processes, goals, and any hazards of the research. Confidentiality must also be upheld in order to protect participants' private information </w:t>
      </w:r>
      <w:r>
        <w:rPr>
          <w:rFonts w:ascii="Times New Roman" w:cs="Times New Roman" w:hAnsi="Times New Roman"/>
          <w:sz w:val="24"/>
          <w:szCs w:val="24"/>
        </w:rPr>
        <w:t>from unwanted access. Respecting privacy promotes candid communication and lays the groundwork for moral integrity (</w:t>
      </w:r>
      <w:r>
        <w:rPr>
          <w:rFonts w:ascii="Times New Roman" w:cs="Times New Roman" w:eastAsia="SimSun" w:hAnsi="Times New Roman"/>
          <w:sz w:val="24"/>
          <w:szCs w:val="24"/>
          <w:lang w:eastAsia="zh-CN"/>
        </w:rPr>
        <w:t>Johnson and Price,2019)</w:t>
      </w:r>
      <w:r>
        <w:rPr>
          <w:rFonts w:ascii="Times New Roman" w:cs="Times New Roman" w:hAnsi="Times New Roman"/>
          <w:sz w:val="24"/>
          <w:szCs w:val="24"/>
        </w:rPr>
        <w:t xml:space="preserve">. </w:t>
      </w:r>
      <w:r>
        <w:rPr>
          <w:rFonts w:ascii="Times New Roman" w:hAnsi="Times New Roman"/>
          <w:sz w:val="24"/>
          <w:szCs w:val="24"/>
        </w:rPr>
        <w:t>In addition to being obligated to the participants, researchers must uphold these ethical standards to preserve the study's validity and credibility.</w:t>
      </w:r>
      <w:r>
        <w:rPr>
          <w:rFonts w:ascii="Times New Roman" w:cs="Times New Roman" w:hAnsi="Times New Roman"/>
          <w:sz w:val="24"/>
          <w:szCs w:val="24"/>
        </w:rPr>
        <w:t xml:space="preserve"> The research upholds ethical norms by placing a high priority on informed consent and confidentiality, strengthening the ethical basis of scientific investigation  as well as protecting the rights and dignity of people participating in the study process.</w:t>
      </w:r>
    </w:p>
    <w:bookmarkStart w:id="8" w:name="_Toc150726402"/>
    <w:p>
      <w:pPr>
        <w:pStyle w:val="style1"/>
        <w:rPr>
          <w:rFonts w:ascii="Times New Roman" w:cs="Times New Roman" w:hAnsi="Times New Roman"/>
        </w:rPr>
      </w:pPr>
      <w:r>
        <w:rPr>
          <w:rFonts w:ascii="Times New Roman" w:cs="Times New Roman" w:hAnsi="Times New Roman"/>
        </w:rPr>
        <w:t>7. Timeframe:</w:t>
      </w:r>
      <w:bookmarkEnd w:id="8"/>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Setting up a reasonable timeline is essential to the methodical advancement of the study. Every stage, ranging from the thorough literature review to the careful gathering of data, the rigorous analysis, and the preparation of the report that follows, will have a realistic deadline allocated to it. Efficiency is ensured by this strategic planning, which makes it possible to conduct a comprehensive literature review, collect data in a methodical manner, analyze the data in-depth, and provide a report that is organized and informative (</w:t>
      </w:r>
      <w:r>
        <w:rPr>
          <w:rFonts w:ascii="Times New Roman" w:cs="Times New Roman" w:eastAsia="SimSun" w:hAnsi="Times New Roman"/>
          <w:sz w:val="24"/>
          <w:szCs w:val="24"/>
          <w:lang w:eastAsia="zh-CN"/>
        </w:rPr>
        <w:t xml:space="preserve">Marino </w:t>
      </w:r>
      <w:r>
        <w:rPr>
          <w:rFonts w:ascii="Times New Roman" w:cs="Times New Roman" w:eastAsia="SimSun" w:hAnsi="Times New Roman"/>
          <w:i/>
          <w:iCs/>
          <w:sz w:val="24"/>
          <w:szCs w:val="24"/>
          <w:lang w:eastAsia="zh-CN"/>
        </w:rPr>
        <w:t>et al., 2023)</w:t>
      </w:r>
      <w:r>
        <w:rPr>
          <w:rFonts w:ascii="Times New Roman" w:cs="Times New Roman" w:hAnsi="Times New Roman"/>
          <w:sz w:val="24"/>
          <w:szCs w:val="24"/>
        </w:rPr>
        <w:t>. Following the prescribed schedule improves the research's structure and makes it easier to make timely and significant contributions to our understanding of Topshop's market debut into India's vibrant fashion and retail industry.</w:t>
      </w:r>
    </w:p>
    <w:bookmarkStart w:id="9" w:name="_Toc150726403"/>
    <w:p>
      <w:pPr>
        <w:pStyle w:val="style2"/>
        <w:rPr>
          <w:rFonts w:ascii="Times New Roman" w:cs="Times New Roman" w:hAnsi="Times New Roman"/>
        </w:rPr>
      </w:pPr>
      <w:r>
        <w:rPr>
          <w:rFonts w:ascii="Times New Roman" w:cs="Times New Roman" w:hAnsi="Times New Roman"/>
        </w:rPr>
        <w:t>Time Frame:</w:t>
      </w:r>
      <w:bookmarkEnd w:id="9"/>
    </w:p>
    <w:tbl>
      <w:tblPr>
        <w:tblW w:w="7111" w:type="dxa"/>
        <w:tblCellSpacing w:w="15"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2079"/>
        <w:gridCol w:w="757"/>
        <w:gridCol w:w="757"/>
        <w:gridCol w:w="757"/>
        <w:gridCol w:w="757"/>
        <w:gridCol w:w="757"/>
        <w:gridCol w:w="757"/>
        <w:gridCol w:w="757"/>
        <w:gridCol w:w="630"/>
        <w:gridCol w:w="630"/>
      </w:tblGrid>
      <w:tr>
        <w:trPr>
          <w:trHeight w:val="357" w:hRule="atLeast"/>
          <w:tblHeader/>
          <w:tblCellSpacing w:w="15" w:type="dxa"/>
        </w:trPr>
        <w:tc>
          <w:tcPr>
            <w:tcW w:w="0" w:type="auto"/>
            <w:tcBorders>
              <w:top w:val="single" w:sz="6" w:space="0" w:color="d9d9e3"/>
              <w:left w:val="single" w:sz="6" w:space="0" w:color="d9d9e3"/>
              <w:bottom w:val="single" w:sz="6" w:space="0" w:color="d9d9e3"/>
              <w:right w:val="single" w:sz="2" w:space="0" w:color="d9d9e3"/>
            </w:tcBorders>
            <w:vAlign w:val="bottom"/>
            <w:hideMark/>
          </w:tcPr>
          <w:p>
            <w:pPr>
              <w:pStyle w:val="style157"/>
              <w:rPr>
                <w:b/>
                <w:sz w:val="24"/>
                <w:szCs w:val="24"/>
              </w:rPr>
            </w:pPr>
            <w:r>
              <w:rPr>
                <w:b/>
                <w:sz w:val="24"/>
                <w:szCs w:val="24"/>
              </w:rPr>
              <w:t>Activities</w:t>
            </w:r>
          </w:p>
        </w:tc>
        <w:tc>
          <w:tcPr>
            <w:tcW w:w="0" w:type="auto"/>
            <w:tcBorders>
              <w:top w:val="single" w:sz="6" w:space="0" w:color="d9d9e3"/>
              <w:left w:val="single" w:sz="6" w:space="0" w:color="d9d9e3"/>
              <w:bottom w:val="single" w:sz="6" w:space="0" w:color="d9d9e3"/>
              <w:right w:val="single" w:sz="2" w:space="0" w:color="d9d9e3"/>
            </w:tcBorders>
            <w:vAlign w:val="bottom"/>
            <w:hideMark/>
          </w:tcPr>
          <w:p>
            <w:pPr>
              <w:pStyle w:val="style157"/>
              <w:rPr>
                <w:b/>
                <w:sz w:val="24"/>
                <w:szCs w:val="24"/>
              </w:rPr>
            </w:pPr>
            <w:r>
              <w:rPr>
                <w:b/>
                <w:sz w:val="24"/>
                <w:szCs w:val="24"/>
              </w:rPr>
              <w:t>Weeks 1-2</w:t>
            </w:r>
          </w:p>
        </w:tc>
        <w:tc>
          <w:tcPr>
            <w:tcW w:w="0" w:type="auto"/>
            <w:tcBorders>
              <w:top w:val="single" w:sz="6" w:space="0" w:color="d9d9e3"/>
              <w:left w:val="single" w:sz="6" w:space="0" w:color="d9d9e3"/>
              <w:bottom w:val="single" w:sz="6" w:space="0" w:color="d9d9e3"/>
              <w:right w:val="single" w:sz="2" w:space="0" w:color="d9d9e3"/>
            </w:tcBorders>
            <w:vAlign w:val="bottom"/>
            <w:hideMark/>
          </w:tcPr>
          <w:p>
            <w:pPr>
              <w:pStyle w:val="style157"/>
              <w:rPr>
                <w:b/>
                <w:sz w:val="24"/>
                <w:szCs w:val="24"/>
              </w:rPr>
            </w:pPr>
            <w:r>
              <w:rPr>
                <w:b/>
                <w:sz w:val="24"/>
                <w:szCs w:val="24"/>
              </w:rPr>
              <w:t>Weeks 3-4</w:t>
            </w:r>
          </w:p>
        </w:tc>
        <w:tc>
          <w:tcPr>
            <w:tcW w:w="0" w:type="auto"/>
            <w:tcBorders>
              <w:top w:val="single" w:sz="6" w:space="0" w:color="d9d9e3"/>
              <w:left w:val="single" w:sz="6" w:space="0" w:color="d9d9e3"/>
              <w:bottom w:val="single" w:sz="6" w:space="0" w:color="d9d9e3"/>
              <w:right w:val="single" w:sz="2" w:space="0" w:color="d9d9e3"/>
            </w:tcBorders>
            <w:vAlign w:val="bottom"/>
            <w:hideMark/>
          </w:tcPr>
          <w:p>
            <w:pPr>
              <w:pStyle w:val="style157"/>
              <w:rPr>
                <w:b/>
                <w:sz w:val="24"/>
                <w:szCs w:val="24"/>
              </w:rPr>
            </w:pPr>
            <w:r>
              <w:rPr>
                <w:b/>
                <w:sz w:val="24"/>
                <w:szCs w:val="24"/>
              </w:rPr>
              <w:t>Weeks 5-6</w:t>
            </w:r>
          </w:p>
        </w:tc>
        <w:tc>
          <w:tcPr>
            <w:tcW w:w="0" w:type="auto"/>
            <w:tcBorders>
              <w:top w:val="single" w:sz="6" w:space="0" w:color="d9d9e3"/>
              <w:left w:val="single" w:sz="6" w:space="0" w:color="d9d9e3"/>
              <w:bottom w:val="single" w:sz="6" w:space="0" w:color="d9d9e3"/>
              <w:right w:val="single" w:sz="2" w:space="0" w:color="d9d9e3"/>
            </w:tcBorders>
            <w:vAlign w:val="bottom"/>
            <w:hideMark/>
          </w:tcPr>
          <w:p>
            <w:pPr>
              <w:pStyle w:val="style157"/>
              <w:rPr>
                <w:b/>
                <w:sz w:val="24"/>
                <w:szCs w:val="24"/>
              </w:rPr>
            </w:pPr>
            <w:r>
              <w:rPr>
                <w:b/>
                <w:sz w:val="24"/>
                <w:szCs w:val="24"/>
              </w:rPr>
              <w:t>Weeks 7-8</w:t>
            </w:r>
          </w:p>
        </w:tc>
        <w:tc>
          <w:tcPr>
            <w:tcW w:w="0" w:type="auto"/>
            <w:tcBorders>
              <w:top w:val="single" w:sz="6" w:space="0" w:color="d9d9e3"/>
              <w:left w:val="single" w:sz="6" w:space="0" w:color="d9d9e3"/>
              <w:bottom w:val="single" w:sz="6" w:space="0" w:color="d9d9e3"/>
              <w:right w:val="single" w:sz="2" w:space="0" w:color="d9d9e3"/>
            </w:tcBorders>
            <w:vAlign w:val="bottom"/>
            <w:hideMark/>
          </w:tcPr>
          <w:p>
            <w:pPr>
              <w:pStyle w:val="style157"/>
              <w:rPr>
                <w:b/>
                <w:sz w:val="24"/>
                <w:szCs w:val="24"/>
              </w:rPr>
            </w:pPr>
            <w:r>
              <w:rPr>
                <w:b/>
                <w:sz w:val="24"/>
                <w:szCs w:val="24"/>
              </w:rPr>
              <w:t>Weeks 9-10</w:t>
            </w:r>
          </w:p>
        </w:tc>
        <w:tc>
          <w:tcPr>
            <w:tcW w:w="0" w:type="auto"/>
            <w:tcBorders>
              <w:top w:val="single" w:sz="6" w:space="0" w:color="d9d9e3"/>
              <w:left w:val="single" w:sz="6" w:space="0" w:color="d9d9e3"/>
              <w:bottom w:val="single" w:sz="6" w:space="0" w:color="d9d9e3"/>
              <w:right w:val="single" w:sz="2" w:space="0" w:color="d9d9e3"/>
            </w:tcBorders>
            <w:vAlign w:val="bottom"/>
            <w:hideMark/>
          </w:tcPr>
          <w:p>
            <w:pPr>
              <w:pStyle w:val="style157"/>
              <w:rPr>
                <w:b/>
                <w:sz w:val="24"/>
                <w:szCs w:val="24"/>
              </w:rPr>
            </w:pPr>
            <w:r>
              <w:rPr>
                <w:b/>
                <w:sz w:val="24"/>
                <w:szCs w:val="24"/>
              </w:rPr>
              <w:t>Weeks 11-12</w:t>
            </w:r>
          </w:p>
        </w:tc>
        <w:tc>
          <w:tcPr>
            <w:tcW w:w="0" w:type="auto"/>
            <w:tcBorders>
              <w:top w:val="single" w:sz="6" w:space="0" w:color="d9d9e3"/>
              <w:left w:val="single" w:sz="6" w:space="0" w:color="d9d9e3"/>
              <w:bottom w:val="single" w:sz="6" w:space="0" w:color="d9d9e3"/>
              <w:right w:val="single" w:sz="2" w:space="0" w:color="d9d9e3"/>
            </w:tcBorders>
            <w:vAlign w:val="bottom"/>
            <w:hideMark/>
          </w:tcPr>
          <w:p>
            <w:pPr>
              <w:pStyle w:val="style157"/>
              <w:rPr>
                <w:b/>
                <w:sz w:val="24"/>
                <w:szCs w:val="24"/>
              </w:rPr>
            </w:pPr>
            <w:r>
              <w:rPr>
                <w:b/>
                <w:sz w:val="24"/>
                <w:szCs w:val="24"/>
              </w:rPr>
              <w:t>Weeks 13-14</w:t>
            </w:r>
          </w:p>
        </w:tc>
        <w:tc>
          <w:tcPr>
            <w:tcW w:w="0" w:type="auto"/>
            <w:tcBorders>
              <w:top w:val="single" w:sz="6" w:space="0" w:color="d9d9e3"/>
              <w:left w:val="single" w:sz="6" w:space="0" w:color="d9d9e3"/>
              <w:bottom w:val="single" w:sz="6" w:space="0" w:color="d9d9e3"/>
              <w:right w:val="single" w:sz="2" w:space="0" w:color="d9d9e3"/>
            </w:tcBorders>
            <w:vAlign w:val="bottom"/>
            <w:hideMark/>
          </w:tcPr>
          <w:p>
            <w:pPr>
              <w:pStyle w:val="style157"/>
              <w:rPr>
                <w:b/>
                <w:sz w:val="24"/>
                <w:szCs w:val="24"/>
              </w:rPr>
            </w:pPr>
            <w:r>
              <w:rPr>
                <w:b/>
                <w:sz w:val="24"/>
                <w:szCs w:val="24"/>
              </w:rPr>
              <w:t>Week 15</w:t>
            </w:r>
          </w:p>
        </w:tc>
        <w:tc>
          <w:tcPr>
            <w:tcW w:w="0" w:type="auto"/>
            <w:tcBorders>
              <w:top w:val="single" w:sz="6" w:space="0" w:color="d9d9e3"/>
              <w:left w:val="single" w:sz="6" w:space="0" w:color="d9d9e3"/>
              <w:bottom w:val="single" w:sz="6" w:space="0" w:color="d9d9e3"/>
              <w:right w:val="single" w:sz="6" w:space="0" w:color="d9d9e3"/>
            </w:tcBorders>
            <w:vAlign w:val="bottom"/>
            <w:hideMark/>
          </w:tcPr>
          <w:p>
            <w:pPr>
              <w:pStyle w:val="style157"/>
              <w:rPr>
                <w:b/>
                <w:sz w:val="24"/>
                <w:szCs w:val="24"/>
              </w:rPr>
            </w:pPr>
            <w:r>
              <w:rPr>
                <w:b/>
                <w:sz w:val="24"/>
                <w:szCs w:val="24"/>
              </w:rPr>
              <w:t>Week 16</w:t>
            </w:r>
          </w:p>
        </w:tc>
      </w:tr>
      <w:tr>
        <w:tblPrEx/>
        <w:trPr>
          <w:trHeight w:val="187" w:hRule="atLeast"/>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pPr>
              <w:pStyle w:val="style157"/>
              <w:rPr>
                <w:b/>
                <w:sz w:val="24"/>
                <w:szCs w:val="24"/>
              </w:rPr>
            </w:pPr>
            <w:r>
              <w:rPr>
                <w:b/>
                <w:sz w:val="24"/>
                <w:szCs w:val="24"/>
              </w:rPr>
              <w:t>Introduction</w:t>
            </w:r>
          </w:p>
        </w:tc>
        <w:tc>
          <w:tcPr>
            <w:tcW w:w="0" w:type="auto"/>
            <w:tcBorders>
              <w:top w:val="single" w:sz="2" w:space="0" w:color="d9d9e3"/>
              <w:left w:val="single" w:sz="6" w:space="0" w:color="d9d9e3"/>
              <w:bottom w:val="single" w:sz="6" w:space="0" w:color="d9d9e3"/>
              <w:right w:val="single" w:sz="2" w:space="0" w:color="d9d9e3"/>
            </w:tcBorders>
            <w:shd w:val="clear" w:color="auto" w:fill="f79646"/>
            <w:vAlign w:val="bottom"/>
            <w:hideMark/>
          </w:tcPr>
          <w:p>
            <w:pPr>
              <w:pStyle w:val="style157"/>
              <w:rPr>
                <w:sz w:val="24"/>
                <w:szCs w:val="24"/>
              </w:rPr>
            </w:pPr>
            <w:r>
              <w:rPr>
                <w:rFonts w:ascii="MS Gothic" w:cs="MS Gothic" w:eastAsia="MS Gothic" w:hAnsi="MS Gothic" w:hint="eastAsia"/>
                <w:sz w:val="24"/>
                <w:szCs w:val="24"/>
              </w:rPr>
              <w:t>✓</w:t>
            </w:r>
          </w:p>
        </w:tc>
        <w:tc>
          <w:tcPr>
            <w:tcW w:w="0" w:type="auto"/>
            <w:tcBorders>
              <w:top w:val="single" w:sz="2" w:space="0" w:color="d9d9e3"/>
              <w:left w:val="single" w:sz="6" w:space="0" w:color="d9d9e3"/>
              <w:bottom w:val="single" w:sz="6" w:space="0" w:color="d9d9e3"/>
              <w:right w:val="single" w:sz="2" w:space="0" w:color="d9d9e3"/>
            </w:tcBorders>
            <w:vAlign w:val="bottom"/>
            <w:hideMark/>
          </w:tcPr>
          <w:p>
            <w:pPr>
              <w:pStyle w:val="style157"/>
              <w:rPr>
                <w:sz w:val="24"/>
                <w:szCs w:val="24"/>
              </w:rPr>
            </w:pPr>
          </w:p>
        </w:tc>
        <w:tc>
          <w:tcPr>
            <w:tcW w:w="0" w:type="auto"/>
            <w:tcBorders>
              <w:top w:val="single" w:sz="2" w:space="0" w:color="d9d9e3"/>
              <w:left w:val="single" w:sz="6" w:space="0" w:color="d9d9e3"/>
              <w:bottom w:val="single" w:sz="6" w:space="0" w:color="d9d9e3"/>
              <w:right w:val="single" w:sz="2" w:space="0" w:color="d9d9e3"/>
            </w:tcBorders>
            <w:vAlign w:val="bottom"/>
            <w:hideMark/>
          </w:tcPr>
          <w:p>
            <w:pPr>
              <w:pStyle w:val="style157"/>
              <w:rPr>
                <w:sz w:val="24"/>
                <w:szCs w:val="24"/>
              </w:rPr>
            </w:pPr>
          </w:p>
        </w:tc>
        <w:tc>
          <w:tcPr>
            <w:tcW w:w="0" w:type="auto"/>
            <w:tcBorders>
              <w:top w:val="single" w:sz="2" w:space="0" w:color="d9d9e3"/>
              <w:left w:val="single" w:sz="6" w:space="0" w:color="d9d9e3"/>
              <w:bottom w:val="single" w:sz="6" w:space="0" w:color="d9d9e3"/>
              <w:right w:val="single" w:sz="2" w:space="0" w:color="d9d9e3"/>
            </w:tcBorders>
            <w:vAlign w:val="bottom"/>
            <w:hideMark/>
          </w:tcPr>
          <w:p>
            <w:pPr>
              <w:pStyle w:val="style157"/>
              <w:rPr>
                <w:sz w:val="24"/>
                <w:szCs w:val="24"/>
              </w:rPr>
            </w:pPr>
          </w:p>
        </w:tc>
        <w:tc>
          <w:tcPr>
            <w:tcW w:w="0" w:type="auto"/>
            <w:tcBorders>
              <w:top w:val="single" w:sz="2" w:space="0" w:color="d9d9e3"/>
              <w:left w:val="single" w:sz="6" w:space="0" w:color="d9d9e3"/>
              <w:bottom w:val="single" w:sz="6" w:space="0" w:color="d9d9e3"/>
              <w:right w:val="single" w:sz="2" w:space="0" w:color="d9d9e3"/>
            </w:tcBorders>
            <w:vAlign w:val="bottom"/>
            <w:hideMark/>
          </w:tcPr>
          <w:p>
            <w:pPr>
              <w:pStyle w:val="style157"/>
              <w:rPr>
                <w:sz w:val="24"/>
                <w:szCs w:val="24"/>
              </w:rPr>
            </w:pPr>
          </w:p>
        </w:tc>
        <w:tc>
          <w:tcPr>
            <w:tcW w:w="0" w:type="auto"/>
            <w:tcBorders>
              <w:top w:val="single" w:sz="2" w:space="0" w:color="d9d9e3"/>
              <w:left w:val="single" w:sz="6" w:space="0" w:color="d9d9e3"/>
              <w:bottom w:val="single" w:sz="6" w:space="0" w:color="d9d9e3"/>
              <w:right w:val="single" w:sz="2" w:space="0" w:color="d9d9e3"/>
            </w:tcBorders>
            <w:vAlign w:val="bottom"/>
            <w:hideMark/>
          </w:tcPr>
          <w:p>
            <w:pPr>
              <w:pStyle w:val="style157"/>
              <w:rPr>
                <w:sz w:val="24"/>
                <w:szCs w:val="24"/>
              </w:rPr>
            </w:pPr>
          </w:p>
        </w:tc>
        <w:tc>
          <w:tcPr>
            <w:tcW w:w="0" w:type="auto"/>
            <w:tcBorders>
              <w:top w:val="single" w:sz="2" w:space="0" w:color="d9d9e3"/>
              <w:left w:val="single" w:sz="6" w:space="0" w:color="d9d9e3"/>
              <w:bottom w:val="single" w:sz="6" w:space="0" w:color="d9d9e3"/>
              <w:right w:val="single" w:sz="2" w:space="0" w:color="d9d9e3"/>
            </w:tcBorders>
            <w:vAlign w:val="bottom"/>
            <w:hideMark/>
          </w:tcPr>
          <w:p>
            <w:pPr>
              <w:pStyle w:val="style157"/>
              <w:rPr>
                <w:sz w:val="24"/>
                <w:szCs w:val="24"/>
              </w:rPr>
            </w:pPr>
          </w:p>
        </w:tc>
        <w:tc>
          <w:tcPr>
            <w:tcW w:w="0" w:type="auto"/>
            <w:tcBorders>
              <w:top w:val="single" w:sz="2" w:space="0" w:color="d9d9e3"/>
              <w:left w:val="single" w:sz="6" w:space="0" w:color="d9d9e3"/>
              <w:bottom w:val="single" w:sz="6" w:space="0" w:color="d9d9e3"/>
              <w:right w:val="single" w:sz="2" w:space="0" w:color="d9d9e3"/>
            </w:tcBorders>
            <w:vAlign w:val="bottom"/>
            <w:hideMark/>
          </w:tcPr>
          <w:p>
            <w:pPr>
              <w:pStyle w:val="style157"/>
              <w:rPr>
                <w:sz w:val="24"/>
                <w:szCs w:val="24"/>
              </w:rPr>
            </w:pPr>
          </w:p>
        </w:tc>
        <w:tc>
          <w:tcPr>
            <w:tcW w:w="0" w:type="auto"/>
            <w:tcBorders>
              <w:top w:val="single" w:sz="2" w:space="0" w:color="d9d9e3"/>
              <w:left w:val="single" w:sz="6" w:space="0" w:color="d9d9e3"/>
              <w:bottom w:val="single" w:sz="6" w:space="0" w:color="d9d9e3"/>
              <w:right w:val="single" w:sz="6" w:space="0" w:color="d9d9e3"/>
            </w:tcBorders>
            <w:vAlign w:val="bottom"/>
            <w:hideMark/>
          </w:tcPr>
          <w:p>
            <w:pPr>
              <w:pStyle w:val="style157"/>
              <w:rPr>
                <w:sz w:val="24"/>
                <w:szCs w:val="24"/>
              </w:rPr>
            </w:pPr>
          </w:p>
        </w:tc>
      </w:tr>
      <w:tr>
        <w:tblPrEx/>
        <w:trPr>
          <w:trHeight w:val="187" w:hRule="atLeast"/>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pPr>
              <w:pStyle w:val="style157"/>
              <w:rPr>
                <w:b/>
                <w:sz w:val="24"/>
                <w:szCs w:val="24"/>
              </w:rPr>
            </w:pPr>
            <w:r>
              <w:rPr>
                <w:b/>
                <w:sz w:val="24"/>
                <w:szCs w:val="24"/>
              </w:rPr>
              <w:t>Literature Review</w:t>
            </w:r>
          </w:p>
        </w:tc>
        <w:tc>
          <w:tcPr>
            <w:tcW w:w="0" w:type="auto"/>
            <w:tcBorders>
              <w:top w:val="single" w:sz="2" w:space="0" w:color="d9d9e3"/>
              <w:left w:val="single" w:sz="6" w:space="0" w:color="d9d9e3"/>
              <w:bottom w:val="single" w:sz="6" w:space="0" w:color="d9d9e3"/>
              <w:right w:val="single" w:sz="2" w:space="0" w:color="d9d9e3"/>
            </w:tcBorders>
            <w:shd w:val="clear" w:color="auto" w:fill="f79646"/>
            <w:vAlign w:val="bottom"/>
            <w:hideMark/>
          </w:tcPr>
          <w:p>
            <w:pPr>
              <w:pStyle w:val="style157"/>
              <w:rPr>
                <w:sz w:val="24"/>
                <w:szCs w:val="24"/>
              </w:rPr>
            </w:pPr>
            <w:r>
              <w:rPr>
                <w:rFonts w:ascii="MS Gothic" w:cs="MS Gothic" w:eastAsia="MS Gothic" w:hAnsi="MS Gothic" w:hint="eastAsia"/>
                <w:sz w:val="24"/>
                <w:szCs w:val="24"/>
              </w:rPr>
              <w:t>✓</w:t>
            </w:r>
          </w:p>
        </w:tc>
        <w:tc>
          <w:tcPr>
            <w:tcW w:w="0" w:type="auto"/>
            <w:tcBorders>
              <w:top w:val="single" w:sz="2" w:space="0" w:color="d9d9e3"/>
              <w:left w:val="single" w:sz="6" w:space="0" w:color="d9d9e3"/>
              <w:bottom w:val="single" w:sz="6" w:space="0" w:color="d9d9e3"/>
              <w:right w:val="single" w:sz="2" w:space="0" w:color="d9d9e3"/>
            </w:tcBorders>
            <w:shd w:val="clear" w:color="auto" w:fill="f79646"/>
            <w:vAlign w:val="bottom"/>
            <w:hideMark/>
          </w:tcPr>
          <w:p>
            <w:pPr>
              <w:pStyle w:val="style157"/>
              <w:rPr>
                <w:sz w:val="24"/>
                <w:szCs w:val="24"/>
              </w:rPr>
            </w:pPr>
            <w:r>
              <w:rPr>
                <w:rFonts w:ascii="MS Gothic" w:cs="MS Gothic" w:eastAsia="MS Gothic" w:hAnsi="MS Gothic" w:hint="eastAsia"/>
                <w:sz w:val="24"/>
                <w:szCs w:val="24"/>
              </w:rPr>
              <w:t>✓</w:t>
            </w:r>
          </w:p>
        </w:tc>
        <w:tc>
          <w:tcPr>
            <w:tcW w:w="0" w:type="auto"/>
            <w:tcBorders>
              <w:top w:val="single" w:sz="2" w:space="0" w:color="d9d9e3"/>
              <w:left w:val="single" w:sz="6" w:space="0" w:color="d9d9e3"/>
              <w:bottom w:val="single" w:sz="6" w:space="0" w:color="d9d9e3"/>
              <w:right w:val="single" w:sz="2" w:space="0" w:color="d9d9e3"/>
            </w:tcBorders>
            <w:vAlign w:val="bottom"/>
            <w:hideMark/>
          </w:tcPr>
          <w:p>
            <w:pPr>
              <w:pStyle w:val="style157"/>
              <w:rPr>
                <w:sz w:val="24"/>
                <w:szCs w:val="24"/>
              </w:rPr>
            </w:pPr>
          </w:p>
        </w:tc>
        <w:tc>
          <w:tcPr>
            <w:tcW w:w="0" w:type="auto"/>
            <w:tcBorders>
              <w:top w:val="single" w:sz="2" w:space="0" w:color="d9d9e3"/>
              <w:left w:val="single" w:sz="6" w:space="0" w:color="d9d9e3"/>
              <w:bottom w:val="single" w:sz="6" w:space="0" w:color="d9d9e3"/>
              <w:right w:val="single" w:sz="2" w:space="0" w:color="d9d9e3"/>
            </w:tcBorders>
            <w:vAlign w:val="bottom"/>
            <w:hideMark/>
          </w:tcPr>
          <w:p>
            <w:pPr>
              <w:pStyle w:val="style157"/>
              <w:rPr>
                <w:sz w:val="24"/>
                <w:szCs w:val="24"/>
              </w:rPr>
            </w:pPr>
          </w:p>
        </w:tc>
        <w:tc>
          <w:tcPr>
            <w:tcW w:w="0" w:type="auto"/>
            <w:tcBorders>
              <w:top w:val="single" w:sz="2" w:space="0" w:color="d9d9e3"/>
              <w:left w:val="single" w:sz="6" w:space="0" w:color="d9d9e3"/>
              <w:bottom w:val="single" w:sz="6" w:space="0" w:color="d9d9e3"/>
              <w:right w:val="single" w:sz="2" w:space="0" w:color="d9d9e3"/>
            </w:tcBorders>
            <w:vAlign w:val="bottom"/>
            <w:hideMark/>
          </w:tcPr>
          <w:p>
            <w:pPr>
              <w:pStyle w:val="style157"/>
              <w:rPr>
                <w:sz w:val="24"/>
                <w:szCs w:val="24"/>
              </w:rPr>
            </w:pPr>
          </w:p>
        </w:tc>
        <w:tc>
          <w:tcPr>
            <w:tcW w:w="0" w:type="auto"/>
            <w:tcBorders>
              <w:top w:val="single" w:sz="2" w:space="0" w:color="d9d9e3"/>
              <w:left w:val="single" w:sz="6" w:space="0" w:color="d9d9e3"/>
              <w:bottom w:val="single" w:sz="6" w:space="0" w:color="d9d9e3"/>
              <w:right w:val="single" w:sz="2" w:space="0" w:color="d9d9e3"/>
            </w:tcBorders>
            <w:vAlign w:val="bottom"/>
            <w:hideMark/>
          </w:tcPr>
          <w:p>
            <w:pPr>
              <w:pStyle w:val="style157"/>
              <w:rPr>
                <w:sz w:val="24"/>
                <w:szCs w:val="24"/>
              </w:rPr>
            </w:pPr>
          </w:p>
        </w:tc>
        <w:tc>
          <w:tcPr>
            <w:tcW w:w="0" w:type="auto"/>
            <w:tcBorders>
              <w:top w:val="single" w:sz="2" w:space="0" w:color="d9d9e3"/>
              <w:left w:val="single" w:sz="6" w:space="0" w:color="d9d9e3"/>
              <w:bottom w:val="single" w:sz="6" w:space="0" w:color="d9d9e3"/>
              <w:right w:val="single" w:sz="2" w:space="0" w:color="d9d9e3"/>
            </w:tcBorders>
            <w:vAlign w:val="bottom"/>
            <w:hideMark/>
          </w:tcPr>
          <w:p>
            <w:pPr>
              <w:pStyle w:val="style157"/>
              <w:rPr>
                <w:sz w:val="24"/>
                <w:szCs w:val="24"/>
              </w:rPr>
            </w:pPr>
          </w:p>
        </w:tc>
        <w:tc>
          <w:tcPr>
            <w:tcW w:w="0" w:type="auto"/>
            <w:tcBorders>
              <w:top w:val="single" w:sz="2" w:space="0" w:color="d9d9e3"/>
              <w:left w:val="single" w:sz="6" w:space="0" w:color="d9d9e3"/>
              <w:bottom w:val="single" w:sz="6" w:space="0" w:color="d9d9e3"/>
              <w:right w:val="single" w:sz="2" w:space="0" w:color="d9d9e3"/>
            </w:tcBorders>
            <w:vAlign w:val="bottom"/>
            <w:hideMark/>
          </w:tcPr>
          <w:p>
            <w:pPr>
              <w:pStyle w:val="style157"/>
              <w:rPr>
                <w:sz w:val="24"/>
                <w:szCs w:val="24"/>
              </w:rPr>
            </w:pPr>
          </w:p>
        </w:tc>
        <w:tc>
          <w:tcPr>
            <w:tcW w:w="0" w:type="auto"/>
            <w:tcBorders>
              <w:top w:val="single" w:sz="2" w:space="0" w:color="d9d9e3"/>
              <w:left w:val="single" w:sz="6" w:space="0" w:color="d9d9e3"/>
              <w:bottom w:val="single" w:sz="6" w:space="0" w:color="d9d9e3"/>
              <w:right w:val="single" w:sz="6" w:space="0" w:color="d9d9e3"/>
            </w:tcBorders>
            <w:vAlign w:val="bottom"/>
            <w:hideMark/>
          </w:tcPr>
          <w:p>
            <w:pPr>
              <w:pStyle w:val="style157"/>
              <w:rPr>
                <w:sz w:val="24"/>
                <w:szCs w:val="24"/>
              </w:rPr>
            </w:pPr>
          </w:p>
        </w:tc>
      </w:tr>
      <w:tr>
        <w:tblPrEx/>
        <w:trPr>
          <w:trHeight w:val="187" w:hRule="atLeast"/>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pPr>
              <w:pStyle w:val="style157"/>
              <w:rPr>
                <w:b/>
                <w:sz w:val="24"/>
                <w:szCs w:val="24"/>
              </w:rPr>
            </w:pPr>
            <w:r>
              <w:rPr>
                <w:b/>
                <w:sz w:val="24"/>
                <w:szCs w:val="24"/>
              </w:rPr>
              <w:t>Research Methodology</w:t>
            </w:r>
          </w:p>
        </w:tc>
        <w:tc>
          <w:tcPr>
            <w:tcW w:w="0" w:type="auto"/>
            <w:tcBorders>
              <w:top w:val="single" w:sz="2" w:space="0" w:color="d9d9e3"/>
              <w:left w:val="single" w:sz="6" w:space="0" w:color="d9d9e3"/>
              <w:bottom w:val="single" w:sz="6" w:space="0" w:color="d9d9e3"/>
              <w:right w:val="single" w:sz="2" w:space="0" w:color="d9d9e3"/>
            </w:tcBorders>
            <w:vAlign w:val="bottom"/>
            <w:hideMark/>
          </w:tcPr>
          <w:p>
            <w:pPr>
              <w:pStyle w:val="style157"/>
              <w:rPr>
                <w:sz w:val="24"/>
                <w:szCs w:val="24"/>
              </w:rPr>
            </w:pPr>
          </w:p>
        </w:tc>
        <w:tc>
          <w:tcPr>
            <w:tcW w:w="0" w:type="auto"/>
            <w:tcBorders>
              <w:top w:val="single" w:sz="2" w:space="0" w:color="d9d9e3"/>
              <w:left w:val="single" w:sz="6" w:space="0" w:color="d9d9e3"/>
              <w:bottom w:val="single" w:sz="6" w:space="0" w:color="d9d9e3"/>
              <w:right w:val="single" w:sz="2" w:space="0" w:color="d9d9e3"/>
            </w:tcBorders>
            <w:shd w:val="clear" w:color="auto" w:fill="f79646"/>
            <w:vAlign w:val="bottom"/>
            <w:hideMark/>
          </w:tcPr>
          <w:p>
            <w:pPr>
              <w:pStyle w:val="style157"/>
              <w:rPr>
                <w:sz w:val="24"/>
                <w:szCs w:val="24"/>
              </w:rPr>
            </w:pPr>
            <w:r>
              <w:rPr>
                <w:rFonts w:ascii="MS Gothic" w:cs="MS Gothic" w:eastAsia="MS Gothic" w:hAnsi="MS Gothic" w:hint="eastAsia"/>
                <w:sz w:val="24"/>
                <w:szCs w:val="24"/>
              </w:rPr>
              <w:t>✓</w:t>
            </w:r>
          </w:p>
        </w:tc>
        <w:tc>
          <w:tcPr>
            <w:tcW w:w="0" w:type="auto"/>
            <w:tcBorders>
              <w:top w:val="single" w:sz="2" w:space="0" w:color="d9d9e3"/>
              <w:left w:val="single" w:sz="6" w:space="0" w:color="d9d9e3"/>
              <w:bottom w:val="single" w:sz="6" w:space="0" w:color="d9d9e3"/>
              <w:right w:val="single" w:sz="2" w:space="0" w:color="d9d9e3"/>
            </w:tcBorders>
            <w:shd w:val="clear" w:color="auto" w:fill="f79646"/>
            <w:vAlign w:val="bottom"/>
            <w:hideMark/>
          </w:tcPr>
          <w:p>
            <w:pPr>
              <w:pStyle w:val="style157"/>
              <w:rPr>
                <w:sz w:val="24"/>
                <w:szCs w:val="24"/>
              </w:rPr>
            </w:pPr>
            <w:r>
              <w:rPr>
                <w:rFonts w:ascii="MS Gothic" w:cs="MS Gothic" w:eastAsia="MS Gothic" w:hAnsi="MS Gothic" w:hint="eastAsia"/>
                <w:sz w:val="24"/>
                <w:szCs w:val="24"/>
              </w:rPr>
              <w:t>✓</w:t>
            </w:r>
          </w:p>
        </w:tc>
        <w:tc>
          <w:tcPr>
            <w:tcW w:w="0" w:type="auto"/>
            <w:tcBorders>
              <w:top w:val="single" w:sz="2" w:space="0" w:color="d9d9e3"/>
              <w:left w:val="single" w:sz="6" w:space="0" w:color="d9d9e3"/>
              <w:bottom w:val="single" w:sz="6" w:space="0" w:color="d9d9e3"/>
              <w:right w:val="single" w:sz="2" w:space="0" w:color="d9d9e3"/>
            </w:tcBorders>
            <w:vAlign w:val="bottom"/>
            <w:hideMark/>
          </w:tcPr>
          <w:p>
            <w:pPr>
              <w:pStyle w:val="style157"/>
              <w:rPr>
                <w:sz w:val="24"/>
                <w:szCs w:val="24"/>
              </w:rPr>
            </w:pPr>
          </w:p>
        </w:tc>
        <w:tc>
          <w:tcPr>
            <w:tcW w:w="0" w:type="auto"/>
            <w:tcBorders>
              <w:top w:val="single" w:sz="2" w:space="0" w:color="d9d9e3"/>
              <w:left w:val="single" w:sz="6" w:space="0" w:color="d9d9e3"/>
              <w:bottom w:val="single" w:sz="6" w:space="0" w:color="d9d9e3"/>
              <w:right w:val="single" w:sz="2" w:space="0" w:color="d9d9e3"/>
            </w:tcBorders>
            <w:vAlign w:val="bottom"/>
            <w:hideMark/>
          </w:tcPr>
          <w:p>
            <w:pPr>
              <w:pStyle w:val="style157"/>
              <w:rPr>
                <w:sz w:val="24"/>
                <w:szCs w:val="24"/>
              </w:rPr>
            </w:pPr>
          </w:p>
        </w:tc>
        <w:tc>
          <w:tcPr>
            <w:tcW w:w="0" w:type="auto"/>
            <w:tcBorders>
              <w:top w:val="single" w:sz="2" w:space="0" w:color="d9d9e3"/>
              <w:left w:val="single" w:sz="6" w:space="0" w:color="d9d9e3"/>
              <w:bottom w:val="single" w:sz="6" w:space="0" w:color="d9d9e3"/>
              <w:right w:val="single" w:sz="2" w:space="0" w:color="d9d9e3"/>
            </w:tcBorders>
            <w:vAlign w:val="bottom"/>
            <w:hideMark/>
          </w:tcPr>
          <w:p>
            <w:pPr>
              <w:pStyle w:val="style157"/>
              <w:rPr>
                <w:sz w:val="24"/>
                <w:szCs w:val="24"/>
              </w:rPr>
            </w:pPr>
          </w:p>
        </w:tc>
        <w:tc>
          <w:tcPr>
            <w:tcW w:w="0" w:type="auto"/>
            <w:tcBorders>
              <w:top w:val="single" w:sz="2" w:space="0" w:color="d9d9e3"/>
              <w:left w:val="single" w:sz="6" w:space="0" w:color="d9d9e3"/>
              <w:bottom w:val="single" w:sz="6" w:space="0" w:color="d9d9e3"/>
              <w:right w:val="single" w:sz="2" w:space="0" w:color="d9d9e3"/>
            </w:tcBorders>
            <w:vAlign w:val="bottom"/>
            <w:hideMark/>
          </w:tcPr>
          <w:p>
            <w:pPr>
              <w:pStyle w:val="style157"/>
              <w:rPr>
                <w:sz w:val="24"/>
                <w:szCs w:val="24"/>
              </w:rPr>
            </w:pPr>
          </w:p>
        </w:tc>
        <w:tc>
          <w:tcPr>
            <w:tcW w:w="0" w:type="auto"/>
            <w:tcBorders>
              <w:top w:val="single" w:sz="2" w:space="0" w:color="d9d9e3"/>
              <w:left w:val="single" w:sz="6" w:space="0" w:color="d9d9e3"/>
              <w:bottom w:val="single" w:sz="6" w:space="0" w:color="d9d9e3"/>
              <w:right w:val="single" w:sz="2" w:space="0" w:color="d9d9e3"/>
            </w:tcBorders>
            <w:vAlign w:val="bottom"/>
            <w:hideMark/>
          </w:tcPr>
          <w:p>
            <w:pPr>
              <w:pStyle w:val="style157"/>
              <w:rPr>
                <w:sz w:val="24"/>
                <w:szCs w:val="24"/>
              </w:rPr>
            </w:pPr>
          </w:p>
        </w:tc>
        <w:tc>
          <w:tcPr>
            <w:tcW w:w="0" w:type="auto"/>
            <w:tcBorders>
              <w:top w:val="single" w:sz="2" w:space="0" w:color="d9d9e3"/>
              <w:left w:val="single" w:sz="6" w:space="0" w:color="d9d9e3"/>
              <w:bottom w:val="single" w:sz="6" w:space="0" w:color="d9d9e3"/>
              <w:right w:val="single" w:sz="6" w:space="0" w:color="d9d9e3"/>
            </w:tcBorders>
            <w:vAlign w:val="bottom"/>
            <w:hideMark/>
          </w:tcPr>
          <w:p>
            <w:pPr>
              <w:pStyle w:val="style157"/>
              <w:rPr>
                <w:sz w:val="24"/>
                <w:szCs w:val="24"/>
              </w:rPr>
            </w:pPr>
          </w:p>
        </w:tc>
      </w:tr>
      <w:tr>
        <w:tblPrEx/>
        <w:trPr>
          <w:trHeight w:val="357" w:hRule="atLeast"/>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pPr>
              <w:pStyle w:val="style157"/>
              <w:rPr>
                <w:b/>
                <w:sz w:val="24"/>
                <w:szCs w:val="24"/>
              </w:rPr>
            </w:pPr>
            <w:r>
              <w:rPr>
                <w:b/>
                <w:sz w:val="24"/>
                <w:szCs w:val="24"/>
              </w:rPr>
              <w:t>Questionnaire Preparation</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pPr>
              <w:pStyle w:val="style157"/>
              <w:rPr>
                <w:sz w:val="24"/>
                <w:szCs w:val="24"/>
              </w:rPr>
            </w:pP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pPr>
              <w:pStyle w:val="style157"/>
              <w:rPr>
                <w:sz w:val="24"/>
                <w:szCs w:val="24"/>
              </w:rPr>
            </w:pPr>
          </w:p>
        </w:tc>
        <w:tc>
          <w:tcPr>
            <w:tcW w:w="0" w:type="auto"/>
            <w:tcBorders>
              <w:top w:val="single" w:sz="2" w:space="0" w:color="d9d9e3"/>
              <w:left w:val="single" w:sz="6" w:space="0" w:color="d9d9e3"/>
              <w:bottom w:val="single" w:sz="6" w:space="0" w:color="d9d9e3"/>
              <w:right w:val="single" w:sz="2" w:space="0" w:color="d9d9e3"/>
            </w:tcBorders>
            <w:shd w:val="clear" w:color="auto" w:fill="f79646"/>
            <w:vAlign w:val="bottom"/>
            <w:hideMark/>
          </w:tcPr>
          <w:p>
            <w:pPr>
              <w:pStyle w:val="style157"/>
              <w:rPr>
                <w:sz w:val="24"/>
                <w:szCs w:val="24"/>
              </w:rPr>
            </w:pPr>
            <w:r>
              <w:rPr>
                <w:rFonts w:ascii="MS Gothic" w:cs="MS Gothic" w:eastAsia="MS Gothic" w:hAnsi="MS Gothic" w:hint="eastAsia"/>
                <w:sz w:val="24"/>
                <w:szCs w:val="24"/>
              </w:rPr>
              <w:t>✓</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pPr>
              <w:pStyle w:val="style157"/>
              <w:rPr>
                <w:sz w:val="24"/>
                <w:szCs w:val="24"/>
              </w:rPr>
            </w:pP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pPr>
              <w:pStyle w:val="style157"/>
              <w:rPr>
                <w:sz w:val="24"/>
                <w:szCs w:val="24"/>
              </w:rPr>
            </w:pP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pPr>
              <w:pStyle w:val="style157"/>
              <w:rPr>
                <w:sz w:val="24"/>
                <w:szCs w:val="24"/>
              </w:rPr>
            </w:pP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pPr>
              <w:pStyle w:val="style157"/>
              <w:rPr>
                <w:sz w:val="24"/>
                <w:szCs w:val="24"/>
              </w:rPr>
            </w:pP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pPr>
              <w:pStyle w:val="style157"/>
              <w:rPr>
                <w:sz w:val="24"/>
                <w:szCs w:val="24"/>
              </w:rPr>
            </w:pPr>
          </w:p>
        </w:tc>
        <w:tc>
          <w:tcPr>
            <w:tcW w:w="0" w:type="auto"/>
            <w:tcBorders>
              <w:top w:val="single" w:sz="2" w:space="0" w:color="d9d9e3"/>
              <w:left w:val="single" w:sz="6" w:space="0" w:color="d9d9e3"/>
              <w:bottom w:val="single" w:sz="6" w:space="0" w:color="d9d9e3"/>
              <w:right w:val="single" w:sz="6" w:space="0" w:color="d9d9e3"/>
            </w:tcBorders>
            <w:shd w:val="clear" w:color="auto" w:fill="auto"/>
            <w:vAlign w:val="bottom"/>
            <w:hideMark/>
          </w:tcPr>
          <w:p>
            <w:pPr>
              <w:pStyle w:val="style157"/>
              <w:rPr>
                <w:sz w:val="24"/>
                <w:szCs w:val="24"/>
              </w:rPr>
            </w:pPr>
          </w:p>
        </w:tc>
      </w:tr>
      <w:tr>
        <w:tblPrEx/>
        <w:trPr>
          <w:trHeight w:val="351" w:hRule="atLeast"/>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pPr>
              <w:pStyle w:val="style157"/>
              <w:rPr>
                <w:b/>
                <w:sz w:val="24"/>
                <w:szCs w:val="24"/>
              </w:rPr>
            </w:pPr>
            <w:r>
              <w:rPr>
                <w:b/>
                <w:sz w:val="24"/>
                <w:szCs w:val="24"/>
              </w:rPr>
              <w:t>Distributing of Questionnaire</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pPr>
              <w:pStyle w:val="style157"/>
              <w:rPr>
                <w:sz w:val="24"/>
                <w:szCs w:val="24"/>
              </w:rPr>
            </w:pP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pPr>
              <w:pStyle w:val="style157"/>
              <w:rPr>
                <w:sz w:val="24"/>
                <w:szCs w:val="24"/>
              </w:rPr>
            </w:pP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pPr>
              <w:pStyle w:val="style157"/>
              <w:rPr>
                <w:sz w:val="24"/>
                <w:szCs w:val="24"/>
              </w:rPr>
            </w:pPr>
          </w:p>
        </w:tc>
        <w:tc>
          <w:tcPr>
            <w:tcW w:w="0" w:type="auto"/>
            <w:tcBorders>
              <w:top w:val="single" w:sz="2" w:space="0" w:color="d9d9e3"/>
              <w:left w:val="single" w:sz="6" w:space="0" w:color="d9d9e3"/>
              <w:bottom w:val="single" w:sz="6" w:space="0" w:color="d9d9e3"/>
              <w:right w:val="single" w:sz="2" w:space="0" w:color="d9d9e3"/>
            </w:tcBorders>
            <w:shd w:val="clear" w:color="auto" w:fill="f79646"/>
            <w:vAlign w:val="bottom"/>
            <w:hideMark/>
          </w:tcPr>
          <w:p>
            <w:pPr>
              <w:pStyle w:val="style157"/>
              <w:rPr>
                <w:sz w:val="24"/>
                <w:szCs w:val="24"/>
              </w:rPr>
            </w:pPr>
            <w:r>
              <w:rPr>
                <w:rFonts w:ascii="MS Gothic" w:cs="MS Gothic" w:eastAsia="MS Gothic" w:hAnsi="MS Gothic" w:hint="eastAsia"/>
                <w:sz w:val="24"/>
                <w:szCs w:val="24"/>
              </w:rPr>
              <w:t>✓</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pPr>
              <w:pStyle w:val="style157"/>
              <w:rPr>
                <w:sz w:val="24"/>
                <w:szCs w:val="24"/>
              </w:rPr>
            </w:pP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pPr>
              <w:pStyle w:val="style157"/>
              <w:rPr>
                <w:sz w:val="24"/>
                <w:szCs w:val="24"/>
              </w:rPr>
            </w:pP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pPr>
              <w:pStyle w:val="style157"/>
              <w:rPr>
                <w:sz w:val="24"/>
                <w:szCs w:val="24"/>
              </w:rPr>
            </w:pP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pPr>
              <w:pStyle w:val="style157"/>
              <w:rPr>
                <w:sz w:val="24"/>
                <w:szCs w:val="24"/>
              </w:rPr>
            </w:pPr>
          </w:p>
        </w:tc>
        <w:tc>
          <w:tcPr>
            <w:tcW w:w="0" w:type="auto"/>
            <w:tcBorders>
              <w:top w:val="single" w:sz="2" w:space="0" w:color="d9d9e3"/>
              <w:left w:val="single" w:sz="6" w:space="0" w:color="d9d9e3"/>
              <w:bottom w:val="single" w:sz="6" w:space="0" w:color="d9d9e3"/>
              <w:right w:val="single" w:sz="6" w:space="0" w:color="d9d9e3"/>
            </w:tcBorders>
            <w:shd w:val="clear" w:color="auto" w:fill="auto"/>
            <w:vAlign w:val="bottom"/>
            <w:hideMark/>
          </w:tcPr>
          <w:p>
            <w:pPr>
              <w:pStyle w:val="style157"/>
              <w:rPr>
                <w:sz w:val="24"/>
                <w:szCs w:val="24"/>
              </w:rPr>
            </w:pPr>
          </w:p>
        </w:tc>
      </w:tr>
      <w:tr>
        <w:tblPrEx/>
        <w:trPr>
          <w:trHeight w:val="187" w:hRule="atLeast"/>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pPr>
              <w:pStyle w:val="style157"/>
              <w:rPr>
                <w:b/>
                <w:sz w:val="24"/>
                <w:szCs w:val="24"/>
              </w:rPr>
            </w:pPr>
            <w:r>
              <w:rPr>
                <w:b/>
                <w:sz w:val="24"/>
                <w:szCs w:val="24"/>
              </w:rPr>
              <w:t>Responses Collection</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pPr>
              <w:pStyle w:val="style157"/>
              <w:rPr>
                <w:sz w:val="24"/>
                <w:szCs w:val="24"/>
              </w:rPr>
            </w:pP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pPr>
              <w:pStyle w:val="style157"/>
              <w:rPr>
                <w:sz w:val="24"/>
                <w:szCs w:val="24"/>
              </w:rPr>
            </w:pP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pPr>
              <w:pStyle w:val="style157"/>
              <w:rPr>
                <w:sz w:val="24"/>
                <w:szCs w:val="24"/>
              </w:rPr>
            </w:pP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pPr>
              <w:pStyle w:val="style157"/>
              <w:rPr>
                <w:sz w:val="24"/>
                <w:szCs w:val="24"/>
              </w:rPr>
            </w:pPr>
          </w:p>
        </w:tc>
        <w:tc>
          <w:tcPr>
            <w:tcW w:w="0" w:type="auto"/>
            <w:tcBorders>
              <w:top w:val="single" w:sz="2" w:space="0" w:color="d9d9e3"/>
              <w:left w:val="single" w:sz="6" w:space="0" w:color="d9d9e3"/>
              <w:bottom w:val="single" w:sz="6" w:space="0" w:color="d9d9e3"/>
              <w:right w:val="single" w:sz="2" w:space="0" w:color="d9d9e3"/>
            </w:tcBorders>
            <w:shd w:val="clear" w:color="auto" w:fill="f79646"/>
            <w:vAlign w:val="bottom"/>
            <w:hideMark/>
          </w:tcPr>
          <w:p>
            <w:pPr>
              <w:pStyle w:val="style157"/>
              <w:rPr>
                <w:sz w:val="24"/>
                <w:szCs w:val="24"/>
              </w:rPr>
            </w:pPr>
            <w:r>
              <w:rPr>
                <w:rFonts w:ascii="MS Gothic" w:cs="MS Gothic" w:eastAsia="MS Gothic" w:hAnsi="MS Gothic" w:hint="eastAsia"/>
                <w:sz w:val="24"/>
                <w:szCs w:val="24"/>
              </w:rPr>
              <w:t>✓</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pPr>
              <w:pStyle w:val="style157"/>
              <w:rPr>
                <w:sz w:val="24"/>
                <w:szCs w:val="24"/>
              </w:rPr>
            </w:pP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pPr>
              <w:pStyle w:val="style157"/>
              <w:rPr>
                <w:sz w:val="24"/>
                <w:szCs w:val="24"/>
              </w:rPr>
            </w:pP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pPr>
              <w:pStyle w:val="style157"/>
              <w:rPr>
                <w:sz w:val="24"/>
                <w:szCs w:val="24"/>
              </w:rPr>
            </w:pPr>
          </w:p>
        </w:tc>
        <w:tc>
          <w:tcPr>
            <w:tcW w:w="0" w:type="auto"/>
            <w:tcBorders>
              <w:top w:val="single" w:sz="2" w:space="0" w:color="d9d9e3"/>
              <w:left w:val="single" w:sz="6" w:space="0" w:color="d9d9e3"/>
              <w:bottom w:val="single" w:sz="6" w:space="0" w:color="d9d9e3"/>
              <w:right w:val="single" w:sz="6" w:space="0" w:color="d9d9e3"/>
            </w:tcBorders>
            <w:shd w:val="clear" w:color="auto" w:fill="auto"/>
            <w:vAlign w:val="bottom"/>
            <w:hideMark/>
          </w:tcPr>
          <w:p>
            <w:pPr>
              <w:pStyle w:val="style157"/>
              <w:rPr>
                <w:sz w:val="24"/>
                <w:szCs w:val="24"/>
              </w:rPr>
            </w:pPr>
          </w:p>
        </w:tc>
      </w:tr>
      <w:tr>
        <w:tblPrEx/>
        <w:trPr>
          <w:trHeight w:val="357" w:hRule="atLeast"/>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pPr>
              <w:pStyle w:val="style157"/>
              <w:rPr>
                <w:b/>
                <w:sz w:val="24"/>
                <w:szCs w:val="24"/>
              </w:rPr>
            </w:pPr>
            <w:r>
              <w:rPr>
                <w:b/>
                <w:sz w:val="24"/>
                <w:szCs w:val="24"/>
              </w:rPr>
              <w:t>Questionnaire Administration</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pPr>
              <w:pStyle w:val="style157"/>
              <w:rPr>
                <w:sz w:val="24"/>
                <w:szCs w:val="24"/>
              </w:rPr>
            </w:pP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pPr>
              <w:pStyle w:val="style157"/>
              <w:rPr>
                <w:sz w:val="24"/>
                <w:szCs w:val="24"/>
              </w:rPr>
            </w:pP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pPr>
              <w:pStyle w:val="style157"/>
              <w:rPr>
                <w:sz w:val="24"/>
                <w:szCs w:val="24"/>
              </w:rPr>
            </w:pP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pPr>
              <w:pStyle w:val="style157"/>
              <w:rPr>
                <w:sz w:val="24"/>
                <w:szCs w:val="24"/>
              </w:rPr>
            </w:pPr>
          </w:p>
        </w:tc>
        <w:tc>
          <w:tcPr>
            <w:tcW w:w="0" w:type="auto"/>
            <w:tcBorders>
              <w:top w:val="single" w:sz="2" w:space="0" w:color="d9d9e3"/>
              <w:left w:val="single" w:sz="6" w:space="0" w:color="d9d9e3"/>
              <w:bottom w:val="single" w:sz="6" w:space="0" w:color="d9d9e3"/>
              <w:right w:val="single" w:sz="2" w:space="0" w:color="d9d9e3"/>
            </w:tcBorders>
            <w:shd w:val="clear" w:color="auto" w:fill="f79646"/>
            <w:vAlign w:val="bottom"/>
            <w:hideMark/>
          </w:tcPr>
          <w:p>
            <w:pPr>
              <w:pStyle w:val="style157"/>
              <w:rPr>
                <w:sz w:val="24"/>
                <w:szCs w:val="24"/>
              </w:rPr>
            </w:pPr>
            <w:r>
              <w:rPr>
                <w:rFonts w:ascii="MS Gothic" w:cs="MS Gothic" w:eastAsia="MS Gothic" w:hAnsi="MS Gothic" w:hint="eastAsia"/>
                <w:sz w:val="24"/>
                <w:szCs w:val="24"/>
              </w:rPr>
              <w:t>✓</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pPr>
              <w:pStyle w:val="style157"/>
              <w:rPr>
                <w:sz w:val="24"/>
                <w:szCs w:val="24"/>
              </w:rPr>
            </w:pP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pPr>
              <w:pStyle w:val="style157"/>
              <w:rPr>
                <w:sz w:val="24"/>
                <w:szCs w:val="24"/>
              </w:rPr>
            </w:pP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pPr>
              <w:pStyle w:val="style157"/>
              <w:rPr>
                <w:sz w:val="24"/>
                <w:szCs w:val="24"/>
              </w:rPr>
            </w:pPr>
          </w:p>
        </w:tc>
        <w:tc>
          <w:tcPr>
            <w:tcW w:w="0" w:type="auto"/>
            <w:tcBorders>
              <w:top w:val="single" w:sz="2" w:space="0" w:color="d9d9e3"/>
              <w:left w:val="single" w:sz="6" w:space="0" w:color="d9d9e3"/>
              <w:bottom w:val="single" w:sz="6" w:space="0" w:color="d9d9e3"/>
              <w:right w:val="single" w:sz="6" w:space="0" w:color="d9d9e3"/>
            </w:tcBorders>
            <w:shd w:val="clear" w:color="auto" w:fill="auto"/>
            <w:vAlign w:val="bottom"/>
            <w:hideMark/>
          </w:tcPr>
          <w:p>
            <w:pPr>
              <w:pStyle w:val="style157"/>
              <w:rPr>
                <w:sz w:val="24"/>
                <w:szCs w:val="24"/>
              </w:rPr>
            </w:pPr>
          </w:p>
        </w:tc>
      </w:tr>
      <w:tr>
        <w:tblPrEx/>
        <w:trPr>
          <w:trHeight w:val="187" w:hRule="atLeast"/>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pPr>
              <w:pStyle w:val="style157"/>
              <w:rPr>
                <w:b/>
                <w:sz w:val="24"/>
                <w:szCs w:val="24"/>
              </w:rPr>
            </w:pPr>
            <w:r>
              <w:rPr>
                <w:b/>
                <w:sz w:val="24"/>
                <w:szCs w:val="24"/>
              </w:rPr>
              <w:t>Analysis of Data</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pPr>
              <w:pStyle w:val="style157"/>
              <w:rPr>
                <w:sz w:val="24"/>
                <w:szCs w:val="24"/>
              </w:rPr>
            </w:pP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pPr>
              <w:pStyle w:val="style157"/>
              <w:rPr>
                <w:sz w:val="24"/>
                <w:szCs w:val="24"/>
              </w:rPr>
            </w:pP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pPr>
              <w:pStyle w:val="style157"/>
              <w:rPr>
                <w:sz w:val="24"/>
                <w:szCs w:val="24"/>
              </w:rPr>
            </w:pP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pPr>
              <w:pStyle w:val="style157"/>
              <w:rPr>
                <w:sz w:val="24"/>
                <w:szCs w:val="24"/>
              </w:rPr>
            </w:pP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pPr>
              <w:pStyle w:val="style157"/>
              <w:rPr>
                <w:sz w:val="24"/>
                <w:szCs w:val="24"/>
              </w:rPr>
            </w:pPr>
          </w:p>
        </w:tc>
        <w:tc>
          <w:tcPr>
            <w:tcW w:w="0" w:type="auto"/>
            <w:tcBorders>
              <w:top w:val="single" w:sz="2" w:space="0" w:color="d9d9e3"/>
              <w:left w:val="single" w:sz="6" w:space="0" w:color="d9d9e3"/>
              <w:bottom w:val="single" w:sz="6" w:space="0" w:color="d9d9e3"/>
              <w:right w:val="single" w:sz="2" w:space="0" w:color="d9d9e3"/>
            </w:tcBorders>
            <w:shd w:val="clear" w:color="auto" w:fill="f79646"/>
            <w:vAlign w:val="bottom"/>
            <w:hideMark/>
          </w:tcPr>
          <w:p>
            <w:pPr>
              <w:pStyle w:val="style157"/>
              <w:rPr>
                <w:sz w:val="24"/>
                <w:szCs w:val="24"/>
              </w:rPr>
            </w:pPr>
            <w:r>
              <w:rPr>
                <w:rFonts w:ascii="MS Gothic" w:cs="MS Gothic" w:eastAsia="MS Gothic" w:hAnsi="MS Gothic" w:hint="eastAsia"/>
                <w:sz w:val="24"/>
                <w:szCs w:val="24"/>
              </w:rPr>
              <w:t>✓</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pPr>
              <w:pStyle w:val="style157"/>
              <w:rPr>
                <w:sz w:val="24"/>
                <w:szCs w:val="24"/>
              </w:rPr>
            </w:pP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pPr>
              <w:pStyle w:val="style157"/>
              <w:rPr>
                <w:sz w:val="24"/>
                <w:szCs w:val="24"/>
              </w:rPr>
            </w:pPr>
          </w:p>
        </w:tc>
        <w:tc>
          <w:tcPr>
            <w:tcW w:w="0" w:type="auto"/>
            <w:tcBorders>
              <w:top w:val="single" w:sz="2" w:space="0" w:color="d9d9e3"/>
              <w:left w:val="single" w:sz="6" w:space="0" w:color="d9d9e3"/>
              <w:bottom w:val="single" w:sz="6" w:space="0" w:color="d9d9e3"/>
              <w:right w:val="single" w:sz="6" w:space="0" w:color="d9d9e3"/>
            </w:tcBorders>
            <w:shd w:val="clear" w:color="auto" w:fill="auto"/>
            <w:vAlign w:val="bottom"/>
            <w:hideMark/>
          </w:tcPr>
          <w:p>
            <w:pPr>
              <w:pStyle w:val="style157"/>
              <w:rPr>
                <w:sz w:val="24"/>
                <w:szCs w:val="24"/>
              </w:rPr>
            </w:pPr>
          </w:p>
        </w:tc>
      </w:tr>
      <w:tr>
        <w:tblPrEx/>
        <w:trPr>
          <w:trHeight w:val="187" w:hRule="atLeast"/>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pPr>
              <w:pStyle w:val="style157"/>
              <w:rPr>
                <w:b/>
                <w:sz w:val="24"/>
                <w:szCs w:val="24"/>
              </w:rPr>
            </w:pPr>
            <w:r>
              <w:rPr>
                <w:b/>
                <w:sz w:val="24"/>
                <w:szCs w:val="24"/>
              </w:rPr>
              <w:t>Findings</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pPr>
              <w:pStyle w:val="style157"/>
              <w:rPr>
                <w:sz w:val="24"/>
                <w:szCs w:val="24"/>
              </w:rPr>
            </w:pP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pPr>
              <w:pStyle w:val="style157"/>
              <w:rPr>
                <w:sz w:val="24"/>
                <w:szCs w:val="24"/>
              </w:rPr>
            </w:pP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pPr>
              <w:pStyle w:val="style157"/>
              <w:rPr>
                <w:sz w:val="24"/>
                <w:szCs w:val="24"/>
              </w:rPr>
            </w:pP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pPr>
              <w:pStyle w:val="style157"/>
              <w:rPr>
                <w:sz w:val="24"/>
                <w:szCs w:val="24"/>
              </w:rPr>
            </w:pP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pPr>
              <w:pStyle w:val="style157"/>
              <w:rPr>
                <w:sz w:val="24"/>
                <w:szCs w:val="24"/>
              </w:rPr>
            </w:pP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pPr>
              <w:pStyle w:val="style157"/>
              <w:rPr>
                <w:sz w:val="24"/>
                <w:szCs w:val="24"/>
              </w:rPr>
            </w:pPr>
          </w:p>
        </w:tc>
        <w:tc>
          <w:tcPr>
            <w:tcW w:w="0" w:type="auto"/>
            <w:tcBorders>
              <w:top w:val="single" w:sz="2" w:space="0" w:color="d9d9e3"/>
              <w:left w:val="single" w:sz="6" w:space="0" w:color="d9d9e3"/>
              <w:bottom w:val="single" w:sz="6" w:space="0" w:color="d9d9e3"/>
              <w:right w:val="single" w:sz="2" w:space="0" w:color="d9d9e3"/>
            </w:tcBorders>
            <w:shd w:val="clear" w:color="auto" w:fill="f79646"/>
            <w:vAlign w:val="bottom"/>
            <w:hideMark/>
          </w:tcPr>
          <w:p>
            <w:pPr>
              <w:pStyle w:val="style157"/>
              <w:rPr>
                <w:sz w:val="24"/>
                <w:szCs w:val="24"/>
              </w:rPr>
            </w:pPr>
            <w:r>
              <w:rPr>
                <w:rFonts w:ascii="MS Gothic" w:cs="MS Gothic" w:eastAsia="MS Gothic" w:hAnsi="MS Gothic" w:hint="eastAsia"/>
                <w:sz w:val="24"/>
                <w:szCs w:val="24"/>
              </w:rPr>
              <w:t>✓</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pPr>
              <w:pStyle w:val="style157"/>
              <w:rPr>
                <w:sz w:val="24"/>
                <w:szCs w:val="24"/>
              </w:rPr>
            </w:pPr>
          </w:p>
        </w:tc>
        <w:tc>
          <w:tcPr>
            <w:tcW w:w="0" w:type="auto"/>
            <w:tcBorders>
              <w:top w:val="single" w:sz="2" w:space="0" w:color="d9d9e3"/>
              <w:left w:val="single" w:sz="6" w:space="0" w:color="d9d9e3"/>
              <w:bottom w:val="single" w:sz="6" w:space="0" w:color="d9d9e3"/>
              <w:right w:val="single" w:sz="6" w:space="0" w:color="d9d9e3"/>
            </w:tcBorders>
            <w:shd w:val="clear" w:color="auto" w:fill="auto"/>
            <w:vAlign w:val="bottom"/>
            <w:hideMark/>
          </w:tcPr>
          <w:p>
            <w:pPr>
              <w:pStyle w:val="style157"/>
              <w:rPr>
                <w:sz w:val="24"/>
                <w:szCs w:val="24"/>
              </w:rPr>
            </w:pPr>
          </w:p>
        </w:tc>
      </w:tr>
      <w:tr>
        <w:tblPrEx/>
        <w:trPr>
          <w:trHeight w:val="369" w:hRule="atLeast"/>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pPr>
              <w:pStyle w:val="style157"/>
              <w:rPr>
                <w:b/>
                <w:sz w:val="24"/>
                <w:szCs w:val="24"/>
              </w:rPr>
            </w:pPr>
            <w:r>
              <w:rPr>
                <w:b/>
                <w:sz w:val="24"/>
                <w:szCs w:val="24"/>
              </w:rPr>
              <w:t>Conclusion and Recommendations</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pPr>
              <w:pStyle w:val="style157"/>
              <w:rPr>
                <w:sz w:val="24"/>
                <w:szCs w:val="24"/>
              </w:rPr>
            </w:pP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pPr>
              <w:pStyle w:val="style157"/>
              <w:rPr>
                <w:sz w:val="24"/>
                <w:szCs w:val="24"/>
              </w:rPr>
            </w:pP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pPr>
              <w:pStyle w:val="style157"/>
              <w:rPr>
                <w:sz w:val="24"/>
                <w:szCs w:val="24"/>
              </w:rPr>
            </w:pP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pPr>
              <w:pStyle w:val="style157"/>
              <w:rPr>
                <w:sz w:val="24"/>
                <w:szCs w:val="24"/>
              </w:rPr>
            </w:pP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pPr>
              <w:pStyle w:val="style157"/>
              <w:rPr>
                <w:sz w:val="24"/>
                <w:szCs w:val="24"/>
              </w:rPr>
            </w:pP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pPr>
              <w:pStyle w:val="style157"/>
              <w:rPr>
                <w:sz w:val="24"/>
                <w:szCs w:val="24"/>
              </w:rPr>
            </w:pP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pPr>
              <w:pStyle w:val="style157"/>
              <w:rPr>
                <w:sz w:val="24"/>
                <w:szCs w:val="24"/>
              </w:rPr>
            </w:pPr>
          </w:p>
        </w:tc>
        <w:tc>
          <w:tcPr>
            <w:tcW w:w="0" w:type="auto"/>
            <w:tcBorders>
              <w:top w:val="single" w:sz="2" w:space="0" w:color="d9d9e3"/>
              <w:left w:val="single" w:sz="6" w:space="0" w:color="d9d9e3"/>
              <w:bottom w:val="single" w:sz="6" w:space="0" w:color="d9d9e3"/>
              <w:right w:val="single" w:sz="2" w:space="0" w:color="d9d9e3"/>
            </w:tcBorders>
            <w:shd w:val="clear" w:color="auto" w:fill="f79646"/>
            <w:vAlign w:val="bottom"/>
            <w:hideMark/>
          </w:tcPr>
          <w:p>
            <w:pPr>
              <w:pStyle w:val="style157"/>
              <w:rPr>
                <w:sz w:val="24"/>
                <w:szCs w:val="24"/>
              </w:rPr>
            </w:pPr>
            <w:r>
              <w:rPr>
                <w:rFonts w:ascii="MS Gothic" w:cs="MS Gothic" w:eastAsia="MS Gothic" w:hAnsi="MS Gothic" w:hint="eastAsia"/>
                <w:sz w:val="24"/>
                <w:szCs w:val="24"/>
              </w:rPr>
              <w:t>✓</w:t>
            </w:r>
            <w:r>
              <w:rPr>
                <w:sz w:val="24"/>
                <w:szCs w:val="24"/>
              </w:rPr>
              <w:br/>
            </w:r>
          </w:p>
        </w:tc>
        <w:tc>
          <w:tcPr>
            <w:tcW w:w="0" w:type="auto"/>
            <w:tcBorders/>
            <w:shd w:val="clear" w:color="auto" w:fill="auto"/>
            <w:vAlign w:val="center"/>
            <w:hideMark/>
          </w:tcPr>
          <w:p>
            <w:pPr>
              <w:pStyle w:val="style157"/>
              <w:rPr>
                <w:sz w:val="24"/>
                <w:szCs w:val="24"/>
              </w:rPr>
            </w:pPr>
          </w:p>
        </w:tc>
      </w:tr>
    </w:tbl>
    <w:p>
      <w:pPr>
        <w:pStyle w:val="style0"/>
        <w:spacing w:lineRule="auto" w:line="360"/>
        <w:jc w:val="both"/>
        <w:rPr>
          <w:rFonts w:ascii="Times New Roman" w:cs="Times New Roman" w:hAnsi="Times New Roman"/>
          <w:sz w:val="24"/>
          <w:szCs w:val="24"/>
        </w:rPr>
      </w:pPr>
    </w:p>
    <w:bookmarkStart w:id="10" w:name="_Toc150726404"/>
    <w:p>
      <w:pPr>
        <w:pStyle w:val="style1"/>
        <w:rPr>
          <w:rFonts w:ascii="Times New Roman" w:cs="Times New Roman" w:hAnsi="Times New Roman"/>
        </w:rPr>
      </w:pPr>
      <w:r>
        <w:rPr>
          <w:rFonts w:ascii="Times New Roman" w:cs="Times New Roman" w:hAnsi="Times New Roman"/>
        </w:rPr>
        <w:t>8. Conclusion:</w:t>
      </w:r>
      <w:bookmarkEnd w:id="10"/>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The research's main findings are summarized in the conclusion, with special emphasis on the vital importance of looking at entrepreneurial strategies for Topshop's successful foray into India's thriving fashion and retail industry. This section highlights the strategic value of entrepreneurial tactics in navigating the complexity of the Indian market by providing a concise summary of the main findings made in the research. This synopsis reaffirms the goal and applicability of the research, laying the groundwork for later research stages that will probe more deeply into comprehension, analysis, and suggestion formulation for Topshop's prosperous debut into this dynamic market.</w:t>
      </w:r>
    </w:p>
    <w:p>
      <w:pPr>
        <w:pStyle w:val="style0"/>
        <w:spacing w:lineRule="auto" w:line="360"/>
        <w:jc w:val="both"/>
        <w:rPr>
          <w:rFonts w:ascii="Times New Roman" w:cs="Times New Roman" w:hAnsi="Times New Roman"/>
          <w:sz w:val="24"/>
          <w:szCs w:val="24"/>
        </w:rPr>
      </w:pPr>
    </w:p>
    <w:p>
      <w:pPr>
        <w:pStyle w:val="style0"/>
        <w:spacing w:lineRule="auto" w:line="360"/>
        <w:jc w:val="both"/>
        <w:rPr>
          <w:rFonts w:ascii="Times New Roman" w:cs="Times New Roman" w:hAnsi="Times New Roman"/>
          <w:sz w:val="24"/>
          <w:szCs w:val="24"/>
        </w:rPr>
      </w:pPr>
    </w:p>
    <w:p>
      <w:pPr>
        <w:pStyle w:val="style0"/>
        <w:spacing w:lineRule="auto" w:line="360"/>
        <w:jc w:val="both"/>
        <w:rPr>
          <w:rFonts w:ascii="Times New Roman" w:cs="Times New Roman" w:hAnsi="Times New Roman"/>
          <w:sz w:val="24"/>
          <w:szCs w:val="24"/>
        </w:rPr>
      </w:pPr>
    </w:p>
    <w:bookmarkStart w:id="11" w:name="_Toc150726405"/>
    <w:p>
      <w:pPr>
        <w:pStyle w:val="style1"/>
        <w:rPr/>
      </w:pPr>
      <w:r>
        <w:t>Reference:</w:t>
      </w:r>
      <w:bookmarkEnd w:id="11"/>
    </w:p>
    <w:p>
      <w:pPr>
        <w:pStyle w:val="style0"/>
        <w:rPr>
          <w:rFonts w:ascii="Times New Roman" w:cs="Times New Roman" w:eastAsia="SimSun" w:hAnsi="Times New Roman"/>
          <w:sz w:val="24"/>
          <w:szCs w:val="24"/>
          <w:lang w:eastAsia="zh-CN"/>
        </w:rPr>
      </w:pPr>
      <w:r>
        <w:rPr>
          <w:rFonts w:ascii="Times New Roman" w:cs="Times New Roman" w:eastAsia="SimSun" w:hAnsi="Times New Roman"/>
          <w:sz w:val="24"/>
          <w:szCs w:val="24"/>
          <w:lang w:eastAsia="zh-CN"/>
        </w:rPr>
        <w:t xml:space="preserve">Stöcker, B., Baier, D. and Brand, B.M. (2021) ‘New insights in online fashion retail returns from a customers’ perspective and their dynamics’, </w:t>
      </w:r>
      <w:r>
        <w:rPr>
          <w:rFonts w:ascii="Times New Roman" w:cs="Times New Roman" w:eastAsia="SimSun" w:hAnsi="Times New Roman"/>
          <w:i/>
          <w:iCs/>
          <w:sz w:val="24"/>
          <w:szCs w:val="24"/>
          <w:lang w:eastAsia="zh-CN"/>
        </w:rPr>
        <w:t>Zeitschrift für Betriebswirtschaft</w:t>
      </w:r>
      <w:r>
        <w:rPr>
          <w:rFonts w:ascii="Times New Roman" w:cs="Times New Roman" w:eastAsia="SimSun" w:hAnsi="Times New Roman"/>
          <w:sz w:val="24"/>
          <w:szCs w:val="24"/>
          <w:lang w:eastAsia="zh-CN"/>
        </w:rPr>
        <w:t xml:space="preserve">, 91(8), pp. 1149–1187. Available at: </w:t>
      </w:r>
      <w:r>
        <w:rPr/>
        <w:fldChar w:fldCharType="begin"/>
      </w:r>
      <w:r>
        <w:instrText xml:space="preserve"> HYPERLINK "https://doi.org/10.1007/s11573-021-01032-1." </w:instrText>
      </w:r>
      <w:r>
        <w:rPr/>
        <w:fldChar w:fldCharType="separate"/>
      </w:r>
      <w:r>
        <w:rPr>
          <w:rStyle w:val="style85"/>
          <w:rFonts w:ascii="Times New Roman" w:cs="Times New Roman" w:eastAsia="SimSun" w:hAnsi="Times New Roman"/>
          <w:sz w:val="24"/>
          <w:szCs w:val="24"/>
          <w:lang w:eastAsia="zh-CN"/>
        </w:rPr>
        <w:t>https://doi.org/10.1007/s11573-021-01032-1.</w:t>
      </w:r>
      <w:r>
        <w:rPr/>
        <w:fldChar w:fldCharType="end"/>
      </w:r>
    </w:p>
    <w:p>
      <w:pPr>
        <w:pStyle w:val="style0"/>
        <w:rPr>
          <w:rFonts w:ascii="Times New Roman" w:cs="Times New Roman" w:eastAsia="SimSun" w:hAnsi="Times New Roman"/>
          <w:sz w:val="24"/>
          <w:szCs w:val="24"/>
          <w:lang w:eastAsia="zh-CN"/>
        </w:rPr>
      </w:pPr>
      <w:r>
        <w:rPr>
          <w:rFonts w:ascii="Times New Roman" w:cs="Times New Roman" w:eastAsia="SimSun" w:hAnsi="Times New Roman"/>
          <w:sz w:val="24"/>
          <w:szCs w:val="24"/>
          <w:lang w:eastAsia="zh-CN"/>
        </w:rPr>
        <w:t xml:space="preserve">Sandberg, E. and Hultberg, E. (2021) ‘Dynamic capabilities for the scaling of circular business model initiatives in the fashion industry’, </w:t>
      </w:r>
      <w:r>
        <w:rPr>
          <w:rFonts w:ascii="Times New Roman" w:cs="Times New Roman" w:eastAsia="SimSun" w:hAnsi="Times New Roman"/>
          <w:i/>
          <w:iCs/>
          <w:sz w:val="24"/>
          <w:szCs w:val="24"/>
          <w:lang w:eastAsia="zh-CN"/>
        </w:rPr>
        <w:t>Journal of cleaner production</w:t>
      </w:r>
      <w:r>
        <w:rPr>
          <w:rFonts w:ascii="Times New Roman" w:cs="Times New Roman" w:eastAsia="SimSun" w:hAnsi="Times New Roman"/>
          <w:sz w:val="24"/>
          <w:szCs w:val="24"/>
          <w:lang w:eastAsia="zh-CN"/>
        </w:rPr>
        <w:t xml:space="preserve">, 320, pp. 128831-. Available at: </w:t>
      </w:r>
      <w:r>
        <w:rPr/>
        <w:fldChar w:fldCharType="begin"/>
      </w:r>
      <w:r>
        <w:instrText xml:space="preserve"> HYPERLINK "https://doi.org/10.1016/j.jclepro.2021.128831." </w:instrText>
      </w:r>
      <w:r>
        <w:rPr/>
        <w:fldChar w:fldCharType="separate"/>
      </w:r>
      <w:r>
        <w:rPr>
          <w:rStyle w:val="style85"/>
          <w:rFonts w:ascii="Times New Roman" w:cs="Times New Roman" w:eastAsia="SimSun" w:hAnsi="Times New Roman"/>
          <w:sz w:val="24"/>
          <w:szCs w:val="24"/>
          <w:lang w:eastAsia="zh-CN"/>
        </w:rPr>
        <w:t>https://doi.org/10.1016/j.jclepro.2021.128831.</w:t>
      </w:r>
      <w:r>
        <w:rPr/>
        <w:fldChar w:fldCharType="end"/>
      </w:r>
    </w:p>
    <w:p>
      <w:pPr>
        <w:pStyle w:val="style0"/>
        <w:rPr>
          <w:rFonts w:ascii="Times New Roman" w:cs="Times New Roman" w:eastAsia="SimSun" w:hAnsi="Times New Roman"/>
          <w:sz w:val="24"/>
          <w:szCs w:val="24"/>
          <w:lang w:eastAsia="zh-CN"/>
        </w:rPr>
      </w:pPr>
      <w:r>
        <w:rPr>
          <w:rFonts w:ascii="Times New Roman" w:cs="Times New Roman" w:eastAsia="SimSun" w:hAnsi="Times New Roman"/>
          <w:sz w:val="24"/>
          <w:szCs w:val="24"/>
          <w:lang w:eastAsia="zh-CN"/>
        </w:rPr>
        <w:t xml:space="preserve">Adler, P. </w:t>
      </w:r>
      <w:r>
        <w:rPr>
          <w:rFonts w:ascii="Times New Roman" w:cs="Times New Roman" w:eastAsia="SimSun" w:hAnsi="Times New Roman"/>
          <w:i/>
          <w:iCs/>
          <w:sz w:val="24"/>
          <w:szCs w:val="24"/>
          <w:lang w:eastAsia="zh-CN"/>
        </w:rPr>
        <w:t>et al.</w:t>
      </w:r>
      <w:r>
        <w:rPr>
          <w:rFonts w:ascii="Times New Roman" w:cs="Times New Roman" w:eastAsia="SimSun" w:hAnsi="Times New Roman"/>
          <w:sz w:val="24"/>
          <w:szCs w:val="24"/>
          <w:lang w:eastAsia="zh-CN"/>
        </w:rPr>
        <w:t xml:space="preserve"> (2019) ‘The city and high-tech startups: The spatial organization of Schumpeterian entrepreneurship’, </w:t>
      </w:r>
      <w:r>
        <w:rPr>
          <w:rFonts w:ascii="Times New Roman" w:cs="Times New Roman" w:eastAsia="SimSun" w:hAnsi="Times New Roman"/>
          <w:i/>
          <w:iCs/>
          <w:sz w:val="24"/>
          <w:szCs w:val="24"/>
          <w:lang w:eastAsia="zh-CN"/>
        </w:rPr>
        <w:t>Cities</w:t>
      </w:r>
      <w:r>
        <w:rPr>
          <w:rFonts w:ascii="Times New Roman" w:cs="Times New Roman" w:eastAsia="SimSun" w:hAnsi="Times New Roman"/>
          <w:sz w:val="24"/>
          <w:szCs w:val="24"/>
          <w:lang w:eastAsia="zh-CN"/>
        </w:rPr>
        <w:t xml:space="preserve">, 87(April), pp. 121–130. Available at: </w:t>
      </w:r>
      <w:r>
        <w:rPr/>
        <w:fldChar w:fldCharType="begin"/>
      </w:r>
      <w:r>
        <w:instrText xml:space="preserve"> HYPERLINK "https://doi.org/10.1016/j.cities.2018.12.013." </w:instrText>
      </w:r>
      <w:r>
        <w:rPr/>
        <w:fldChar w:fldCharType="separate"/>
      </w:r>
      <w:r>
        <w:rPr>
          <w:rStyle w:val="style85"/>
          <w:rFonts w:ascii="Times New Roman" w:cs="Times New Roman" w:eastAsia="SimSun" w:hAnsi="Times New Roman"/>
          <w:sz w:val="24"/>
          <w:szCs w:val="24"/>
          <w:lang w:eastAsia="zh-CN"/>
        </w:rPr>
        <w:t>https://doi.org/10.1016/j.cities.2018.12.013.</w:t>
      </w:r>
      <w:r>
        <w:rPr/>
        <w:fldChar w:fldCharType="end"/>
      </w:r>
    </w:p>
    <w:p>
      <w:pPr>
        <w:pStyle w:val="style0"/>
        <w:rPr>
          <w:rFonts w:ascii="Times New Roman" w:cs="Times New Roman" w:eastAsia="SimSun" w:hAnsi="Times New Roman"/>
          <w:sz w:val="24"/>
          <w:szCs w:val="24"/>
          <w:lang w:eastAsia="zh-CN"/>
        </w:rPr>
      </w:pPr>
      <w:r>
        <w:rPr>
          <w:rFonts w:ascii="Times New Roman" w:cs="Times New Roman" w:eastAsia="SimSun" w:hAnsi="Times New Roman"/>
          <w:sz w:val="24"/>
          <w:szCs w:val="24"/>
          <w:lang w:eastAsia="zh-CN"/>
        </w:rPr>
        <w:t xml:space="preserve">Carrero, I., Valor, C. and Redondo, R. (2020) ‘Do All Dimensions of Sustainable Consumption Lead to Psychological Well-Being? Empirical Evidence from Young Consumers’, </w:t>
      </w:r>
      <w:r>
        <w:rPr>
          <w:rFonts w:ascii="Times New Roman" w:cs="Times New Roman" w:eastAsia="SimSun" w:hAnsi="Times New Roman"/>
          <w:i/>
          <w:iCs/>
          <w:sz w:val="24"/>
          <w:szCs w:val="24"/>
          <w:lang w:eastAsia="zh-CN"/>
        </w:rPr>
        <w:t>Journal of agricultural &amp; environmental ethics</w:t>
      </w:r>
      <w:r>
        <w:rPr>
          <w:rFonts w:ascii="Times New Roman" w:cs="Times New Roman" w:eastAsia="SimSun" w:hAnsi="Times New Roman"/>
          <w:sz w:val="24"/>
          <w:szCs w:val="24"/>
          <w:lang w:eastAsia="zh-CN"/>
        </w:rPr>
        <w:t xml:space="preserve">, 33(1), pp. 145–170. Available at: </w:t>
      </w:r>
      <w:r>
        <w:rPr/>
        <w:fldChar w:fldCharType="begin"/>
      </w:r>
      <w:r>
        <w:instrText xml:space="preserve"> HYPERLINK "https://doi.org/10.1007/s10806-019-09818-8." </w:instrText>
      </w:r>
      <w:r>
        <w:rPr/>
        <w:fldChar w:fldCharType="separate"/>
      </w:r>
      <w:r>
        <w:rPr>
          <w:rStyle w:val="style85"/>
          <w:rFonts w:ascii="Times New Roman" w:cs="Times New Roman" w:eastAsia="SimSun" w:hAnsi="Times New Roman"/>
          <w:sz w:val="24"/>
          <w:szCs w:val="24"/>
          <w:lang w:eastAsia="zh-CN"/>
        </w:rPr>
        <w:t>https://doi.org/10.1007/s10806-019-09818-8.</w:t>
      </w:r>
      <w:r>
        <w:rPr/>
        <w:fldChar w:fldCharType="end"/>
      </w:r>
    </w:p>
    <w:p>
      <w:pPr>
        <w:pStyle w:val="style0"/>
        <w:rPr>
          <w:rFonts w:ascii="Times New Roman" w:cs="Times New Roman" w:eastAsia="SimSun" w:hAnsi="Times New Roman"/>
          <w:sz w:val="24"/>
          <w:szCs w:val="24"/>
          <w:lang w:eastAsia="zh-CN"/>
        </w:rPr>
      </w:pPr>
      <w:r>
        <w:rPr>
          <w:rFonts w:ascii="Times New Roman" w:cs="Times New Roman" w:eastAsia="SimSun" w:hAnsi="Times New Roman"/>
          <w:sz w:val="24"/>
          <w:szCs w:val="24"/>
          <w:lang w:eastAsia="zh-CN"/>
        </w:rPr>
        <w:t xml:space="preserve">RICH, R. and TRACY, J. (2021) ‘A Closer Look at the Behavior of Uncertainty and Disagreement: Micro Evidence from the Euro Area’, </w:t>
      </w:r>
      <w:r>
        <w:rPr>
          <w:rFonts w:ascii="Times New Roman" w:cs="Times New Roman" w:eastAsia="SimSun" w:hAnsi="Times New Roman"/>
          <w:i/>
          <w:iCs/>
          <w:sz w:val="24"/>
          <w:szCs w:val="24"/>
          <w:lang w:eastAsia="zh-CN"/>
        </w:rPr>
        <w:t>Journal of money, credit and banking</w:t>
      </w:r>
      <w:r>
        <w:rPr>
          <w:rFonts w:ascii="Times New Roman" w:cs="Times New Roman" w:eastAsia="SimSun" w:hAnsi="Times New Roman"/>
          <w:sz w:val="24"/>
          <w:szCs w:val="24"/>
          <w:lang w:eastAsia="zh-CN"/>
        </w:rPr>
        <w:t xml:space="preserve">, 53(1), pp. 233–253. Available at: </w:t>
      </w:r>
      <w:r>
        <w:rPr/>
        <w:fldChar w:fldCharType="begin"/>
      </w:r>
      <w:r>
        <w:instrText xml:space="preserve"> HYPERLINK "https://doi.org/10.1111/jmcb.12728." </w:instrText>
      </w:r>
      <w:r>
        <w:rPr/>
        <w:fldChar w:fldCharType="separate"/>
      </w:r>
      <w:r>
        <w:rPr>
          <w:rStyle w:val="style85"/>
          <w:rFonts w:ascii="Times New Roman" w:cs="Times New Roman" w:eastAsia="SimSun" w:hAnsi="Times New Roman"/>
          <w:sz w:val="24"/>
          <w:szCs w:val="24"/>
          <w:lang w:eastAsia="zh-CN"/>
        </w:rPr>
        <w:t>https://doi.org/10.1111/jmcb.12728.</w:t>
      </w:r>
      <w:r>
        <w:rPr/>
        <w:fldChar w:fldCharType="end"/>
      </w:r>
    </w:p>
    <w:p>
      <w:pPr>
        <w:pStyle w:val="style0"/>
        <w:rPr>
          <w:rFonts w:ascii="Times New Roman" w:cs="Times New Roman" w:eastAsia="SimSun" w:hAnsi="Times New Roman"/>
          <w:sz w:val="24"/>
          <w:szCs w:val="24"/>
          <w:lang w:eastAsia="zh-CN"/>
        </w:rPr>
      </w:pPr>
      <w:r>
        <w:rPr>
          <w:rFonts w:ascii="Times New Roman" w:cs="Times New Roman" w:eastAsia="SimSun" w:hAnsi="Times New Roman"/>
          <w:sz w:val="24"/>
          <w:szCs w:val="24"/>
          <w:lang w:eastAsia="zh-CN"/>
        </w:rPr>
        <w:t xml:space="preserve">James, M.A. (2022) ‘Child Labor in Your Closet: Efficacy of Disclosure legislation and a new way Forward to fight child labor in fast fashion Supply Chains’, </w:t>
      </w:r>
      <w:r>
        <w:rPr>
          <w:rFonts w:ascii="Times New Roman" w:cs="Times New Roman" w:eastAsia="SimSun" w:hAnsi="Times New Roman"/>
          <w:i/>
          <w:iCs/>
          <w:sz w:val="24"/>
          <w:szCs w:val="24"/>
          <w:lang w:eastAsia="zh-CN"/>
        </w:rPr>
        <w:t>The journal of gender, race, and justice</w:t>
      </w:r>
      <w:r>
        <w:rPr>
          <w:rFonts w:ascii="Times New Roman" w:cs="Times New Roman" w:eastAsia="SimSun" w:hAnsi="Times New Roman"/>
          <w:sz w:val="24"/>
          <w:szCs w:val="24"/>
          <w:lang w:eastAsia="zh-CN"/>
        </w:rPr>
        <w:t>, 25(1), pp. 245-.</w:t>
      </w:r>
    </w:p>
    <w:p>
      <w:pPr>
        <w:pStyle w:val="style0"/>
        <w:rPr>
          <w:rFonts w:ascii="Times New Roman" w:cs="Times New Roman" w:eastAsia="SimSun" w:hAnsi="Times New Roman"/>
          <w:sz w:val="24"/>
          <w:szCs w:val="24"/>
          <w:lang w:eastAsia="zh-CN"/>
        </w:rPr>
      </w:pPr>
      <w:r>
        <w:rPr>
          <w:rFonts w:ascii="Times New Roman" w:cs="Times New Roman" w:eastAsia="SimSun" w:hAnsi="Times New Roman"/>
          <w:sz w:val="24"/>
          <w:szCs w:val="24"/>
          <w:lang w:eastAsia="zh-CN"/>
        </w:rPr>
        <w:t xml:space="preserve">Ofisi, M. and Lukamba, M.T. (2020) ‘CLOSING THE GENDER GAP THROUGH ICT IN SMALL SCALE FARMING: TOWARDS ACHIEVING SUSTAINABLE DEVELOPMENT GOALS’, </w:t>
      </w:r>
      <w:r>
        <w:rPr>
          <w:rFonts w:ascii="Times New Roman" w:cs="Times New Roman" w:eastAsia="SimSun" w:hAnsi="Times New Roman"/>
          <w:i/>
          <w:iCs/>
          <w:sz w:val="24"/>
          <w:szCs w:val="24"/>
          <w:lang w:eastAsia="zh-CN"/>
        </w:rPr>
        <w:t>Gender &amp; behaviour</w:t>
      </w:r>
      <w:r>
        <w:rPr>
          <w:rFonts w:ascii="Times New Roman" w:cs="Times New Roman" w:eastAsia="SimSun" w:hAnsi="Times New Roman"/>
          <w:sz w:val="24"/>
          <w:szCs w:val="24"/>
          <w:lang w:eastAsia="zh-CN"/>
        </w:rPr>
        <w:t>, 18(4), pp. 16687–16697.</w:t>
      </w:r>
    </w:p>
    <w:p>
      <w:pPr>
        <w:pStyle w:val="style0"/>
        <w:rPr>
          <w:rFonts w:ascii="Times New Roman" w:cs="Times New Roman" w:eastAsia="SimSun" w:hAnsi="Times New Roman"/>
          <w:sz w:val="24"/>
          <w:szCs w:val="24"/>
          <w:lang w:eastAsia="zh-CN"/>
        </w:rPr>
      </w:pPr>
      <w:r>
        <w:rPr>
          <w:rFonts w:ascii="Times New Roman" w:cs="Times New Roman" w:eastAsia="SimSun" w:hAnsi="Times New Roman"/>
          <w:sz w:val="24"/>
          <w:szCs w:val="24"/>
          <w:lang w:eastAsia="zh-CN"/>
        </w:rPr>
        <w:t xml:space="preserve">Nkangu, M. </w:t>
      </w:r>
      <w:r>
        <w:rPr>
          <w:rFonts w:ascii="Times New Roman" w:cs="Times New Roman" w:eastAsia="SimSun" w:hAnsi="Times New Roman"/>
          <w:i/>
          <w:iCs/>
          <w:sz w:val="24"/>
          <w:szCs w:val="24"/>
          <w:lang w:eastAsia="zh-CN"/>
        </w:rPr>
        <w:t>et al.</w:t>
      </w:r>
      <w:r>
        <w:rPr>
          <w:rFonts w:ascii="Times New Roman" w:cs="Times New Roman" w:eastAsia="SimSun" w:hAnsi="Times New Roman"/>
          <w:sz w:val="24"/>
          <w:szCs w:val="24"/>
          <w:lang w:eastAsia="zh-CN"/>
        </w:rPr>
        <w:t xml:space="preserve"> (2023) ‘An in-depth qualitative study of health care providers’ experiences of performance-based financing program as a nation-wide adopted policy in Cameroon: A principal-agent perspective’, </w:t>
      </w:r>
      <w:r>
        <w:rPr>
          <w:rFonts w:ascii="Times New Roman" w:cs="Times New Roman" w:eastAsia="SimSun" w:hAnsi="Times New Roman"/>
          <w:i/>
          <w:iCs/>
          <w:sz w:val="24"/>
          <w:szCs w:val="24"/>
          <w:lang w:eastAsia="zh-CN"/>
        </w:rPr>
        <w:t>PloS one</w:t>
      </w:r>
      <w:r>
        <w:rPr>
          <w:rFonts w:ascii="Times New Roman" w:cs="Times New Roman" w:eastAsia="SimSun" w:hAnsi="Times New Roman"/>
          <w:sz w:val="24"/>
          <w:szCs w:val="24"/>
          <w:lang w:eastAsia="zh-CN"/>
        </w:rPr>
        <w:t xml:space="preserve">, 18(7), pp. e0288767–e0288767. Available at: </w:t>
      </w:r>
      <w:r>
        <w:rPr/>
        <w:fldChar w:fldCharType="begin"/>
      </w:r>
      <w:r>
        <w:instrText xml:space="preserve"> HYPERLINK "https://doi.org/10.1371/journal.pone.0288767." </w:instrText>
      </w:r>
      <w:r>
        <w:rPr/>
        <w:fldChar w:fldCharType="separate"/>
      </w:r>
      <w:r>
        <w:rPr>
          <w:rStyle w:val="style85"/>
          <w:rFonts w:ascii="Times New Roman" w:cs="Times New Roman" w:eastAsia="SimSun" w:hAnsi="Times New Roman"/>
          <w:sz w:val="24"/>
          <w:szCs w:val="24"/>
          <w:lang w:eastAsia="zh-CN"/>
        </w:rPr>
        <w:t>https://doi.org/10.1371/journal.pone.0288767.</w:t>
      </w:r>
      <w:r>
        <w:rPr/>
        <w:fldChar w:fldCharType="end"/>
      </w:r>
    </w:p>
    <w:p>
      <w:pPr>
        <w:pStyle w:val="style0"/>
        <w:rPr>
          <w:rFonts w:ascii="Times New Roman" w:cs="Times New Roman" w:eastAsia="SimSun" w:hAnsi="Times New Roman"/>
          <w:sz w:val="24"/>
          <w:szCs w:val="24"/>
          <w:lang w:eastAsia="zh-CN"/>
        </w:rPr>
      </w:pPr>
      <w:r>
        <w:rPr>
          <w:rFonts w:ascii="Times New Roman" w:cs="Times New Roman" w:eastAsia="SimSun" w:hAnsi="Times New Roman"/>
          <w:sz w:val="24"/>
          <w:szCs w:val="24"/>
          <w:lang w:eastAsia="zh-CN"/>
        </w:rPr>
        <w:t xml:space="preserve">Marino, C. </w:t>
      </w:r>
      <w:r>
        <w:rPr>
          <w:rFonts w:ascii="Times New Roman" w:cs="Times New Roman" w:eastAsia="SimSun" w:hAnsi="Times New Roman"/>
          <w:i/>
          <w:iCs/>
          <w:sz w:val="24"/>
          <w:szCs w:val="24"/>
          <w:lang w:eastAsia="zh-CN"/>
        </w:rPr>
        <w:t>et al.</w:t>
      </w:r>
      <w:r>
        <w:rPr>
          <w:rFonts w:ascii="Times New Roman" w:cs="Times New Roman" w:eastAsia="SimSun" w:hAnsi="Times New Roman"/>
          <w:sz w:val="24"/>
          <w:szCs w:val="24"/>
          <w:lang w:eastAsia="zh-CN"/>
        </w:rPr>
        <w:t xml:space="preserve"> (2023) ‘Patients’ experience of accessing support for tics from primary care in the UK: an online mixed-methods survey’, </w:t>
      </w:r>
      <w:r>
        <w:rPr>
          <w:rFonts w:ascii="Times New Roman" w:cs="Times New Roman" w:eastAsia="SimSun" w:hAnsi="Times New Roman"/>
          <w:i/>
          <w:iCs/>
          <w:sz w:val="24"/>
          <w:szCs w:val="24"/>
          <w:lang w:eastAsia="zh-CN"/>
        </w:rPr>
        <w:t>BMC health services research</w:t>
      </w:r>
      <w:r>
        <w:rPr>
          <w:rFonts w:ascii="Times New Roman" w:cs="Times New Roman" w:eastAsia="SimSun" w:hAnsi="Times New Roman"/>
          <w:sz w:val="24"/>
          <w:szCs w:val="24"/>
          <w:lang w:eastAsia="zh-CN"/>
        </w:rPr>
        <w:t xml:space="preserve">, 23(1), pp. 788–788. Available at: </w:t>
      </w:r>
      <w:r>
        <w:rPr/>
        <w:fldChar w:fldCharType="begin"/>
      </w:r>
      <w:r>
        <w:instrText xml:space="preserve"> HYPERLINK "https://doi.org/10.1186/s12913-023-09753-5." </w:instrText>
      </w:r>
      <w:r>
        <w:rPr/>
        <w:fldChar w:fldCharType="separate"/>
      </w:r>
      <w:r>
        <w:rPr>
          <w:rStyle w:val="style85"/>
          <w:rFonts w:ascii="Times New Roman" w:cs="Times New Roman" w:eastAsia="SimSun" w:hAnsi="Times New Roman"/>
          <w:sz w:val="24"/>
          <w:szCs w:val="24"/>
          <w:lang w:eastAsia="zh-CN"/>
        </w:rPr>
        <w:t>https://doi.org/10.1186/s12913-023-09753-5.</w:t>
      </w:r>
      <w:r>
        <w:rPr/>
        <w:fldChar w:fldCharType="end"/>
      </w:r>
    </w:p>
    <w:p>
      <w:pPr>
        <w:pStyle w:val="style0"/>
        <w:rPr>
          <w:rFonts w:ascii="Times New Roman" w:cs="Times New Roman" w:eastAsia="SimSun" w:hAnsi="Times New Roman"/>
          <w:sz w:val="24"/>
          <w:szCs w:val="24"/>
          <w:lang w:eastAsia="zh-CN"/>
        </w:rPr>
      </w:pPr>
      <w:r>
        <w:rPr>
          <w:rFonts w:ascii="Times New Roman" w:cs="Times New Roman" w:eastAsia="SimSun" w:hAnsi="Times New Roman"/>
          <w:sz w:val="24"/>
          <w:szCs w:val="24"/>
          <w:lang w:eastAsia="zh-CN"/>
        </w:rPr>
        <w:t xml:space="preserve">Johnson, D.T. and Price, J.E. (2019) </w:t>
      </w:r>
      <w:r>
        <w:rPr>
          <w:rFonts w:ascii="Times New Roman" w:cs="Times New Roman" w:eastAsia="SimSun" w:hAnsi="Times New Roman"/>
          <w:i/>
          <w:iCs/>
          <w:sz w:val="24"/>
          <w:szCs w:val="24"/>
          <w:lang w:eastAsia="zh-CN"/>
        </w:rPr>
        <w:t>Will this be on the test? : what your professors really want you to know about succeeding in college</w:t>
      </w:r>
      <w:r>
        <w:rPr>
          <w:rFonts w:ascii="Times New Roman" w:cs="Times New Roman" w:eastAsia="SimSun" w:hAnsi="Times New Roman"/>
          <w:sz w:val="24"/>
          <w:szCs w:val="24"/>
          <w:lang w:eastAsia="zh-CN"/>
        </w:rPr>
        <w:t xml:space="preserve">. Princeton, NJ: Princeton University Press. Available at: </w:t>
      </w:r>
      <w:r>
        <w:rPr/>
        <w:fldChar w:fldCharType="begin"/>
      </w:r>
      <w:r>
        <w:instrText xml:space="preserve"> HYPERLINK "https://doi.org/10.1515/9780691189451." </w:instrText>
      </w:r>
      <w:r>
        <w:rPr/>
        <w:fldChar w:fldCharType="separate"/>
      </w:r>
      <w:r>
        <w:rPr>
          <w:rStyle w:val="style85"/>
          <w:rFonts w:ascii="Times New Roman" w:cs="Times New Roman" w:eastAsia="SimSun" w:hAnsi="Times New Roman"/>
          <w:sz w:val="24"/>
          <w:szCs w:val="24"/>
          <w:lang w:eastAsia="zh-CN"/>
        </w:rPr>
        <w:t>https://doi.org/10.1515/9780691189451.</w:t>
      </w:r>
      <w:r>
        <w:rPr/>
        <w:fldChar w:fldCharType="end"/>
      </w:r>
    </w:p>
    <w:sectPr>
      <w:pgSz w:w="12240" w:h="15840" w:orient="portrait"/>
      <w:pgMar w:top="1440" w:right="1440" w:bottom="1440" w:left="1440" w:header="720" w:footer="720" w:gutter="0"/>
      <w:pgBorders w:zOrder="front" w:display="allPages" w:offsetFrom="page">
        <w:top w:val="thickThinSmallGap" w:sz="24" w:space="24" w:color="auto"/>
        <w:left w:val="thickThinSmallGap" w:sz="24" w:space="24" w:color="auto"/>
        <w:bottom w:val="thinThickSmallGap" w:sz="24" w:space="24" w:color="auto"/>
        <w:right w:val="thinThickSmallGap" w:sz="24" w:space="24" w:color="auto"/>
      </w:pgBorders>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
    <w:panose1 w:val="05050102010007020507"/>
    <w:charset w:val="02"/>
    <w:family w:val="roman"/>
    <w:pitch w:val="variable"/>
    <w:sig w:usb0="00000000" w:usb1="10000000" w:usb2="00000000" w:usb3="00000000" w:csb0="80000000" w:csb1="00000000"/>
  </w:font>
  <w:font w:name="Times New Roman">
    <w:altName w:val="Times New Roman"/>
    <w:panose1 w:val="02020603050004020304"/>
    <w:charset w:val="00"/>
    <w:family w:val="roman"/>
    <w:pitch w:val="variable"/>
    <w:sig w:usb0="E0002EFF" w:usb1="C000785B" w:usb2="00000009" w:usb3="00000000" w:csb0="000001FF" w:csb1="00000000"/>
  </w:font>
  <w:font w:name="Courier New">
    <w:altName w:val="Courier New"/>
    <w:panose1 w:val="02070309020002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alibri">
    <w:altName w:val="Calibri"/>
    <w:panose1 w:val="020f0502020002030204"/>
    <w:charset w:val="00"/>
    <w:family w:val="swiss"/>
    <w:pitch w:val="variable"/>
    <w:sig w:usb0="E4002EFF" w:usb1="C000247B" w:usb2="00000009" w:usb3="00000000" w:csb0="000001FF" w:csb1="00000000"/>
  </w:font>
  <w:font w:name="Arial">
    <w:altName w:val="Arial"/>
    <w:panose1 w:val="020b0604020002020204"/>
    <w:charset w:val="00"/>
    <w:family w:val="swiss"/>
    <w:pitch w:val="variable"/>
    <w:sig w:usb0="E0002EFF" w:usb1="C000785B" w:usb2="00000009" w:usb3="00000000" w:csb0="000001FF" w:csb1="00000000"/>
  </w:font>
  <w:font w:name="SimSun">
    <w:altName w:val="宋体"/>
    <w:panose1 w:val="02010600030001010101"/>
    <w:charset w:val="86"/>
    <w:family w:val="auto"/>
    <w:pitch w:val="variable"/>
    <w:sig w:usb0="00000203" w:usb1="288F0000" w:usb2="00000016" w:usb3="00000000" w:csb0="00040001" w:csb1="00000000"/>
  </w:font>
  <w:font w:name="Tahoma">
    <w:altName w:val="Tahoma"/>
    <w:panose1 w:val="020b0604030005040204"/>
    <w:charset w:val="00"/>
    <w:family w:val="swiss"/>
    <w:pitch w:val="variable"/>
    <w:sig w:usb0="E1002EFF" w:usb1="C000605B" w:usb2="00000029" w:usb3="00000000" w:csb0="000101FF" w:csb1="00000000"/>
  </w:font>
  <w:font w:name="Cambria">
    <w:altName w:val="Cambria"/>
    <w:panose1 w:val="02040503050004030204"/>
    <w:charset w:val="00"/>
    <w:family w:val="roman"/>
    <w:pitch w:val="variable"/>
    <w:sig w:usb0="E00006FF" w:usb1="420024FF" w:usb2="02000000" w:usb3="00000000" w:csb0="0000019F" w:csb1="00000000"/>
  </w:font>
  <w:font w:name="MS Gothic">
    <w:altName w:val="ＭＳ ゴシック"/>
    <w:panose1 w:val="020b0609070002080204"/>
    <w:charset w:val="80"/>
    <w:family w:val="modern"/>
    <w:pitch w:val="fixed"/>
    <w:sig w:usb0="E00002FF" w:usb1="6AC7FDFB" w:usb2="08000012" w:usb3="00000000" w:csb0="0002009F" w:csb1="00000000"/>
  </w:font>
  <w:font w:name="宋体">
    <w:altName w:val=""/>
    <w:panose1 w:val="00000000000000000000"/>
    <w:charset w:val="00"/>
    <w:family w:val="auto"/>
    <w:pitch w:val="default"/>
    <w:sig w:usb0="E0002AFF" w:usb1="C0007841"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singleLevel"/>
    <w:tmpl w:val="457CEC1C"/>
    <w:lvl w:ilvl="0">
      <w:start w:val="9"/>
      <w:numFmt w:val="decimal"/>
      <w:suff w:val="space"/>
      <w:lvlText w:val="%1."/>
      <w:lvlJc w:val="left"/>
      <w:pPr/>
    </w:lvl>
  </w:abstractNum>
  <w:abstractNum w:abstractNumId="1">
    <w:nsid w:val="00000001"/>
    <w:multiLevelType w:val="multilevel"/>
    <w:tmpl w:val="47DC2A54"/>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2">
    <w:nsid w:val="00000002"/>
    <w:multiLevelType w:val="multilevel"/>
    <w:tmpl w:val="7535524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cs="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cs="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cs="Courier New" w:hAnsi="Courier New" w:hint="default"/>
      </w:rPr>
    </w:lvl>
    <w:lvl w:ilvl="8">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US" w:bidi="ar-SA" w:eastAsia="zh-CN"/>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Arial" w:eastAsia="Calibri" w:hAnsi="Calibri"/>
        <w:lang w:val="en-US" w:bidi="ar-SA" w:eastAsia="en-US"/>
      </w:rPr>
    </w:rPrDefault>
    <w:pPrDefault>
      <w:pPr/>
    </w:pPrDefault>
  </w:docDefaults>
  <w:style w:type="paragraph" w:default="1" w:styleId="style0">
    <w:name w:val="Normal"/>
    <w:next w:val="style0"/>
    <w:qFormat/>
    <w:pPr>
      <w:spacing w:after="200" w:lineRule="auto" w:line="276"/>
    </w:pPr>
    <w:rPr>
      <w:sz w:val="22"/>
      <w:szCs w:val="22"/>
    </w:rPr>
  </w:style>
  <w:style w:type="paragraph" w:styleId="style1">
    <w:name w:val="heading 1"/>
    <w:basedOn w:val="style0"/>
    <w:next w:val="style0"/>
    <w:link w:val="style4097"/>
    <w:qFormat/>
    <w:uiPriority w:val="9"/>
    <w:pPr>
      <w:keepNext/>
      <w:keepLines/>
      <w:spacing w:before="480" w:after="240"/>
      <w:outlineLvl w:val="0"/>
    </w:pPr>
    <w:rPr>
      <w:rFonts w:ascii="Times New Roman" w:cs="Times New Roman" w:eastAsia="宋体" w:hAnsi="Times New Roman"/>
      <w:b/>
      <w:color w:val="000000"/>
      <w:sz w:val="28"/>
      <w:szCs w:val="32"/>
      <w:u w:val="single"/>
    </w:rPr>
  </w:style>
  <w:style w:type="paragraph" w:styleId="style2">
    <w:name w:val="heading 2"/>
    <w:basedOn w:val="style0"/>
    <w:next w:val="style0"/>
    <w:link w:val="style4098"/>
    <w:qFormat/>
    <w:uiPriority w:val="9"/>
    <w:pPr>
      <w:keepNext/>
      <w:keepLines/>
      <w:spacing w:before="160" w:after="120"/>
      <w:outlineLvl w:val="1"/>
    </w:pPr>
    <w:rPr>
      <w:rFonts w:ascii="Times New Roman" w:cs="Times New Roman" w:eastAsia="宋体" w:hAnsi="Times New Roman"/>
      <w:b/>
      <w:i/>
      <w:color w:val="000000"/>
      <w:sz w:val="24"/>
      <w:szCs w:val="26"/>
      <w:u w:val="single"/>
    </w:rPr>
  </w:style>
  <w:style w:type="paragraph" w:styleId="style3">
    <w:name w:val="heading 3"/>
    <w:basedOn w:val="style0"/>
    <w:next w:val="style0"/>
    <w:link w:val="style4099"/>
    <w:qFormat/>
    <w:uiPriority w:val="9"/>
    <w:pPr>
      <w:keepNext/>
      <w:keepLines/>
      <w:spacing w:before="280" w:beforeAutospacing="true" w:after="240" w:lineRule="auto" w:line="273"/>
      <w:outlineLvl w:val="2"/>
    </w:pPr>
    <w:rPr>
      <w:rFonts w:ascii="Times New Roman" w:cs="Times New Roman" w:eastAsia="宋体" w:hAnsi="Times New Roman"/>
      <w:b/>
      <w:color w:val="000000"/>
      <w:sz w:val="28"/>
      <w:szCs w:val="24"/>
      <w:u w:val="single"/>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paragraph" w:styleId="style153">
    <w:name w:val="Balloon Text"/>
    <w:basedOn w:val="style0"/>
    <w:next w:val="style153"/>
    <w:link w:val="style4101"/>
    <w:uiPriority w:val="99"/>
    <w:pPr>
      <w:spacing w:after="0" w:lineRule="auto" w:line="240"/>
    </w:pPr>
    <w:rPr>
      <w:rFonts w:ascii="Tahoma" w:cs="Tahoma" w:hAnsi="Tahoma"/>
      <w:sz w:val="16"/>
      <w:szCs w:val="16"/>
    </w:rPr>
  </w:style>
  <w:style w:type="character" w:styleId="style85">
    <w:name w:val="Hyperlink"/>
    <w:basedOn w:val="style65"/>
    <w:next w:val="style85"/>
    <w:uiPriority w:val="99"/>
    <w:rPr>
      <w:color w:val="0000ff"/>
      <w:u w:val="single"/>
    </w:rPr>
  </w:style>
  <w:style w:type="character" w:customStyle="1" w:styleId="style4097">
    <w:name w:val="Heading 1 Char_c8ee0017-cfb1-44a7-a695-dca2136d3159"/>
    <w:basedOn w:val="style65"/>
    <w:next w:val="style4097"/>
    <w:link w:val="style1"/>
    <w:uiPriority w:val="9"/>
    <w:rPr>
      <w:rFonts w:ascii="Times New Roman" w:cs="Times New Roman" w:eastAsia="宋体" w:hAnsi="Times New Roman"/>
      <w:b/>
      <w:color w:val="000000"/>
      <w:sz w:val="28"/>
      <w:szCs w:val="32"/>
      <w:u w:val="single"/>
    </w:rPr>
  </w:style>
  <w:style w:type="character" w:customStyle="1" w:styleId="style4098">
    <w:name w:val="Heading 2 Char_24370534-54b2-46e7-a083-8529ebe6df68"/>
    <w:basedOn w:val="style65"/>
    <w:next w:val="style4098"/>
    <w:link w:val="style2"/>
    <w:qFormat/>
    <w:uiPriority w:val="9"/>
    <w:rPr>
      <w:rFonts w:ascii="Times New Roman" w:cs="Times New Roman" w:eastAsia="宋体" w:hAnsi="Times New Roman"/>
      <w:b/>
      <w:i/>
      <w:color w:val="000000"/>
      <w:sz w:val="24"/>
      <w:szCs w:val="26"/>
      <w:u w:val="single"/>
    </w:rPr>
  </w:style>
  <w:style w:type="character" w:customStyle="1" w:styleId="style4099">
    <w:name w:val="Heading 3 Char_30cb568c-3676-44a5-aa67-dc5181d0a81f"/>
    <w:basedOn w:val="style65"/>
    <w:next w:val="style4099"/>
    <w:link w:val="style3"/>
    <w:qFormat/>
    <w:uiPriority w:val="9"/>
    <w:rPr>
      <w:rFonts w:ascii="Times New Roman" w:cs="Times New Roman" w:eastAsia="宋体" w:hAnsi="Times New Roman"/>
      <w:b/>
      <w:color w:val="000000"/>
      <w:sz w:val="28"/>
      <w:szCs w:val="24"/>
      <w:u w:val="single"/>
    </w:rPr>
  </w:style>
  <w:style w:type="paragraph" w:styleId="style179">
    <w:name w:val="List Paragraph"/>
    <w:basedOn w:val="style0"/>
    <w:next w:val="style179"/>
    <w:qFormat/>
    <w:uiPriority w:val="34"/>
    <w:pPr>
      <w:spacing w:after="160" w:lineRule="auto" w:line="259"/>
      <w:ind w:left="720"/>
      <w:contextualSpacing/>
    </w:pPr>
    <w:rPr>
      <w:lang w:val="en-GB"/>
      <w14:ligatures xmlns:w14="http://schemas.microsoft.com/office/word/2010/wordml" w14:val="standardContextual"/>
    </w:rPr>
  </w:style>
  <w:style w:type="paragraph" w:styleId="style157">
    <w:name w:val="No Spacing"/>
    <w:next w:val="style157"/>
    <w:link w:val="style4100"/>
    <w:qFormat/>
    <w:uiPriority w:val="1"/>
    <w:pPr/>
    <w:rPr>
      <w:rFonts w:eastAsia="宋体"/>
      <w:sz w:val="22"/>
      <w:szCs w:val="22"/>
      <w:lang w:eastAsia="ja-JP"/>
    </w:rPr>
  </w:style>
  <w:style w:type="character" w:customStyle="1" w:styleId="style4100">
    <w:name w:val="No Spacing Char"/>
    <w:basedOn w:val="style65"/>
    <w:next w:val="style4100"/>
    <w:link w:val="style157"/>
    <w:uiPriority w:val="1"/>
    <w:rPr>
      <w:rFonts w:eastAsia="宋体"/>
      <w:lang w:eastAsia="ja-JP"/>
    </w:rPr>
  </w:style>
  <w:style w:type="character" w:customStyle="1" w:styleId="style4101">
    <w:name w:val="Balloon Text Char"/>
    <w:basedOn w:val="style65"/>
    <w:next w:val="style4101"/>
    <w:link w:val="style153"/>
    <w:qFormat/>
    <w:uiPriority w:val="99"/>
    <w:rPr>
      <w:rFonts w:ascii="Tahoma" w:cs="Tahoma" w:hAnsi="Tahoma"/>
      <w:sz w:val="16"/>
      <w:szCs w:val="16"/>
    </w:rPr>
  </w:style>
  <w:style w:type="paragraph" w:styleId="style19">
    <w:name w:val="toc 1"/>
    <w:basedOn w:val="style0"/>
    <w:next w:val="style0"/>
    <w:uiPriority w:val="39"/>
    <w:pPr>
      <w:spacing w:before="120" w:after="120"/>
    </w:pPr>
    <w:rPr>
      <w:rFonts w:cs="Calibri"/>
      <w:b/>
      <w:bCs/>
      <w:caps/>
      <w:sz w:val="20"/>
      <w:szCs w:val="20"/>
    </w:rPr>
  </w:style>
  <w:style w:type="paragraph" w:styleId="style20">
    <w:name w:val="toc 2"/>
    <w:basedOn w:val="style0"/>
    <w:next w:val="style0"/>
    <w:uiPriority w:val="39"/>
    <w:pPr>
      <w:spacing w:after="0"/>
      <w:ind w:left="220"/>
    </w:pPr>
    <w:rPr>
      <w:rFonts w:cs="Calibri"/>
      <w:smallCaps/>
      <w:sz w:val="20"/>
      <w:szCs w:val="20"/>
    </w:rPr>
  </w:style>
  <w:style w:type="paragraph" w:styleId="style21">
    <w:name w:val="toc 3"/>
    <w:basedOn w:val="style0"/>
    <w:next w:val="style0"/>
    <w:uiPriority w:val="39"/>
    <w:pPr>
      <w:spacing w:after="0"/>
      <w:ind w:left="440"/>
    </w:pPr>
    <w:rPr>
      <w:rFonts w:cs="Calibri"/>
      <w:i/>
      <w:iCs/>
      <w:sz w:val="20"/>
      <w:szCs w:val="20"/>
    </w:rPr>
  </w:style>
  <w:style w:type="paragraph" w:styleId="style22">
    <w:name w:val="toc 4"/>
    <w:basedOn w:val="style0"/>
    <w:next w:val="style0"/>
    <w:uiPriority w:val="39"/>
    <w:pPr>
      <w:spacing w:after="0"/>
      <w:ind w:left="660"/>
    </w:pPr>
    <w:rPr>
      <w:rFonts w:cs="Calibri"/>
      <w:sz w:val="18"/>
      <w:szCs w:val="18"/>
    </w:rPr>
  </w:style>
  <w:style w:type="paragraph" w:styleId="style23">
    <w:name w:val="toc 5"/>
    <w:basedOn w:val="style0"/>
    <w:next w:val="style0"/>
    <w:uiPriority w:val="39"/>
    <w:pPr>
      <w:spacing w:after="0"/>
      <w:ind w:left="880"/>
    </w:pPr>
    <w:rPr>
      <w:rFonts w:cs="Calibri"/>
      <w:sz w:val="18"/>
      <w:szCs w:val="18"/>
    </w:rPr>
  </w:style>
  <w:style w:type="paragraph" w:styleId="style24">
    <w:name w:val="toc 6"/>
    <w:basedOn w:val="style0"/>
    <w:next w:val="style0"/>
    <w:uiPriority w:val="39"/>
    <w:pPr>
      <w:spacing w:after="0"/>
      <w:ind w:left="1100"/>
    </w:pPr>
    <w:rPr>
      <w:rFonts w:cs="Calibri"/>
      <w:sz w:val="18"/>
      <w:szCs w:val="18"/>
    </w:rPr>
  </w:style>
  <w:style w:type="paragraph" w:styleId="style25">
    <w:name w:val="toc 7"/>
    <w:basedOn w:val="style0"/>
    <w:next w:val="style0"/>
    <w:uiPriority w:val="39"/>
    <w:pPr>
      <w:spacing w:after="0"/>
      <w:ind w:left="1320"/>
    </w:pPr>
    <w:rPr>
      <w:rFonts w:cs="Calibri"/>
      <w:sz w:val="18"/>
      <w:szCs w:val="18"/>
    </w:rPr>
  </w:style>
  <w:style w:type="paragraph" w:styleId="style26">
    <w:name w:val="toc 8"/>
    <w:basedOn w:val="style0"/>
    <w:next w:val="style0"/>
    <w:uiPriority w:val="39"/>
    <w:pPr>
      <w:spacing w:after="0"/>
      <w:ind w:left="1540"/>
    </w:pPr>
    <w:rPr>
      <w:rFonts w:cs="Calibri"/>
      <w:sz w:val="18"/>
      <w:szCs w:val="18"/>
    </w:rPr>
  </w:style>
  <w:style w:type="paragraph" w:styleId="style27">
    <w:name w:val="toc 9"/>
    <w:basedOn w:val="style0"/>
    <w:next w:val="style0"/>
    <w:uiPriority w:val="39"/>
    <w:pPr>
      <w:spacing w:after="0"/>
      <w:ind w:left="1760"/>
    </w:pPr>
    <w:rPr>
      <w:rFonts w:cs="Calibri"/>
      <w:sz w:val="18"/>
      <w:szCs w:val="18"/>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Relationship Id="rId7"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_rels/item2.xml.rels><?xml version="1.0" encoding="UTF-8"?>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2251C90-A218-493F-A5CA-23335764A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Words>2342</Words>
  <Pages>10</Pages>
  <Characters>14204</Characters>
  <Application>WPS Office</Application>
  <DocSecurity>0</DocSecurity>
  <Paragraphs>213</Paragraphs>
  <ScaleCrop>false</ScaleCrop>
  <LinksUpToDate>false</LinksUpToDate>
  <CharactersWithSpaces>16460</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2023-11-16T13:33:00Z</dcterms:created>
  <dc:creator>M.S TRADERS</dc:creator>
  <lastModifiedBy>LE2101</lastModifiedBy>
  <dcterms:modified xsi:type="dcterms:W3CDTF">2023-11-16T23:45:51Z</dcterms:modified>
  <revision>4</revision>
  <dc:title>Bridging the Gap: Investigating Entrepreneurial Approaches for Top shop International Market Entry into India's Dynamic Fashion and Retail Sector</dc:title>
</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1033-12.2.0.13266</vt:lpwstr>
  </property>
  <property fmtid="{D5CDD505-2E9C-101B-9397-08002B2CF9AE}" pid="3" name="ICV">
    <vt:lpwstr>A6BCEB992D474BD8B33FCA4D7037437E_13</vt:lpwstr>
  </property>
  <property fmtid="{D5CDD505-2E9C-101B-9397-08002B2CF9AE}" pid="4" name="GrammarlyDocumentId">
    <vt:lpwstr>7fc1cef61fe9a90c60ad9c1d84c0895b49cc7095c8b978a0ed0dda8c9048db37</vt:lpwstr>
  </property>
</Properties>
</file>