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t xml:space="preserve">Community Engagement Assessment  2</w:t>
      </w:r>
    </w:p>
    <w:p w:rsidR="00000000" w:rsidDel="00000000" w:rsidP="00000000" w:rsidRDefault="00000000" w:rsidRPr="00000000" w14:paraId="00000008">
      <w:pPr>
        <w:pStyle w:val="Title"/>
        <w:rPr>
          <w:b w:val="0"/>
          <w:sz w:val="24"/>
          <w:szCs w:val="24"/>
        </w:rPr>
      </w:pPr>
      <w:r w:rsidDel="00000000" w:rsidR="00000000" w:rsidRPr="00000000">
        <w:rPr>
          <w:b w:val="0"/>
          <w:sz w:val="24"/>
          <w:szCs w:val="24"/>
          <w:rtl w:val="0"/>
        </w:rPr>
        <w:t xml:space="preserve">Valentin Daniel Susanu 2019937</w:t>
      </w:r>
    </w:p>
    <w:p w:rsidR="00000000" w:rsidDel="00000000" w:rsidP="00000000" w:rsidRDefault="00000000" w:rsidRPr="00000000" w14:paraId="00000009">
      <w:pPr>
        <w:pStyle w:val="Title"/>
        <w:rPr>
          <w:b w:val="0"/>
        </w:rPr>
      </w:pPr>
      <w:r w:rsidDel="00000000" w:rsidR="00000000" w:rsidRPr="00000000">
        <w:rPr>
          <w:b w:val="0"/>
          <w:sz w:val="24"/>
          <w:szCs w:val="24"/>
          <w:rtl w:val="0"/>
        </w:rPr>
        <w:t xml:space="preserve">Module LCBB4002</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tabs>
              <w:tab w:val="right" w:pos="9360"/>
            </w:tabs>
            <w:spacing w:before="8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company/project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jc6v6civn5u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 of differences between the projects, comparison, analysis and evaluation of practices.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_heading=h.jc6v6civn5uu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Approaches of “Health professional engagement facilitator project” on community engagement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Approaches of “Macmillan Cancer Connections project” on community engagement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 of how effective communication, stakeholder participation and inclusion cause a difference in community engagement.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360"/>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Conduction of research in projects, community mapping, social media engagement, analysis of impact, evaluation and justification of the best practices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360"/>
            </w:tabs>
            <w:spacing w:before="200" w:line="240" w:lineRule="auto"/>
            <w:ind w:left="0" w:firstLine="0"/>
            <w:rPr/>
          </w:pPr>
          <w:hyperlink w:anchor="_heading=h.ijyq1aysp9l6">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_heading=h.ijyq1aysp9l6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360"/>
            </w:tabs>
            <w:spacing w:after="80" w:before="200" w:line="240" w:lineRule="auto"/>
            <w:ind w:left="0" w:firstLine="0"/>
            <w:rPr/>
          </w:pPr>
          <w:hyperlink w:anchor="_heading=h.lf9biys74wt7">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_heading=h.lf9biys74wt7 \h </w:instrText>
            <w:fldChar w:fldCharType="separate"/>
          </w:r>
          <w:r w:rsidDel="00000000" w:rsidR="00000000" w:rsidRPr="00000000">
            <w:rPr>
              <w:b w:val="1"/>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6">
      <w:pPr>
        <w:pStyle w:val="Heading1"/>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engagement of communities in a process of working in harmony by staying connected in the parameters of interests in the location is important for relevant collaborations. This eliminates issues that are addressed for suiting human well being.  Many issues remain highlighted in terms of crime, environmental changes, health advisories and thereby enhancing the overall community health (Barnes and Shmitz, 2016). Public communities should be constructively related to the government organizations that form and fund various programs that benefit human lives while improving standards of living for citizens. The report would present a comparative analysis between the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Health professional engagement facilitator project</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the newly formed “New Macmillan Cancer </w:t>
      </w:r>
      <w:r w:rsidDel="00000000" w:rsidR="00000000" w:rsidRPr="00000000">
        <w:rPr>
          <w:rFonts w:ascii="Times New Roman" w:cs="Times New Roman" w:eastAsia="Times New Roman" w:hAnsi="Times New Roman"/>
          <w:sz w:val="24"/>
          <w:szCs w:val="24"/>
          <w:rtl w:val="0"/>
        </w:rPr>
        <w:t xml:space="preserve">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onnections project”.</w:t>
      </w:r>
    </w:p>
    <w:p w:rsidR="00000000" w:rsidDel="00000000" w:rsidP="00000000" w:rsidRDefault="00000000" w:rsidRPr="00000000" w14:paraId="00000019">
      <w:pPr>
        <w:pStyle w:val="Heading1"/>
        <w:rPr/>
      </w:pPr>
      <w:bookmarkStart w:colFirst="0" w:colLast="0" w:name="_heading=h.1fob9te" w:id="2"/>
      <w:bookmarkEnd w:id="2"/>
      <w:r w:rsidDel="00000000" w:rsidR="00000000" w:rsidRPr="00000000">
        <w:rPr>
          <w:rtl w:val="0"/>
        </w:rPr>
        <w:t xml:space="preserve">Overview of the company/project</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Macmillan Cancer Connections project has been a new endeavour of community engagement partnering with Macmillan </w:t>
      </w:r>
      <w:r w:rsidDel="00000000" w:rsidR="00000000" w:rsidRPr="00000000">
        <w:rPr>
          <w:rFonts w:ascii="Times New Roman" w:cs="Times New Roman" w:eastAsia="Times New Roman" w:hAnsi="Times New Roman"/>
          <w:sz w:val="24"/>
          <w:szCs w:val="24"/>
          <w:rtl w:val="0"/>
        </w:rPr>
        <w:t xml:space="preserve">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ancer support. Macmillan has become one of the leading sources of cancer support in the UK which helps people find ways in recovering from cancer and live their lives to their full potential. It aims at understanding the impact of rural isolation on experiences and outcomes for people who fight cancer in the area of Wiltshire.</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project is led by Alex Neale as an experienced organizer of community in her responsibility of being the lead coordinator of community development (Community First, 2021). In the project, she works with other partner organizations and different local communities for developing, delivering and coordinating broad ranges of initiatives based on community which address the wellbeing and needs of people who are affected by the disease throughout the country.</w:t>
      </w:r>
    </w:p>
    <w:p w:rsidR="00000000" w:rsidDel="00000000" w:rsidP="00000000" w:rsidRDefault="00000000" w:rsidRPr="00000000" w14:paraId="0000001C">
      <w:pPr>
        <w:pStyle w:val="Heading1"/>
        <w:rPr/>
      </w:pPr>
      <w:bookmarkStart w:colFirst="0" w:colLast="0" w:name="_heading=h.3znysh7" w:id="3"/>
      <w:bookmarkEnd w:id="3"/>
      <w:r w:rsidDel="00000000" w:rsidR="00000000" w:rsidRPr="00000000">
        <w:rPr>
          <w:rtl w:val="0"/>
        </w:rPr>
      </w:r>
    </w:p>
    <w:p w:rsidR="00000000" w:rsidDel="00000000" w:rsidP="00000000" w:rsidRDefault="00000000" w:rsidRPr="00000000" w14:paraId="0000001D">
      <w:pPr>
        <w:pStyle w:val="Heading1"/>
        <w:rPr/>
      </w:pPr>
      <w:bookmarkStart w:colFirst="0" w:colLast="0" w:name="_heading=h.jc6v6civn5uu" w:id="4"/>
      <w:bookmarkEnd w:id="4"/>
      <w:r w:rsidDel="00000000" w:rsidR="00000000" w:rsidRPr="00000000">
        <w:rPr>
          <w:rtl w:val="0"/>
        </w:rPr>
        <w:t xml:space="preserve">Description of differences between the projects, comparison, analysis and evaluation of practices.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Comparative Aspects</w:t>
            </w:r>
          </w:p>
        </w:tc>
        <w:tc>
          <w:tcPr>
            <w:shd w:fill="auto" w:val="clear"/>
            <w:tcMar>
              <w:top w:w="100.0" w:type="dxa"/>
              <w:left w:w="100.0" w:type="dxa"/>
              <w:bottom w:w="100.0" w:type="dxa"/>
              <w:right w:w="100.0" w:type="dxa"/>
            </w:tcMar>
          </w:tcPr>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“Health professional engagement facilitator project”</w:t>
            </w:r>
          </w:p>
        </w:tc>
        <w:tc>
          <w:tcPr>
            <w:shd w:fill="auto" w:val="clear"/>
            <w:tcMar>
              <w:top w:w="100.0" w:type="dxa"/>
              <w:left w:w="100.0" w:type="dxa"/>
              <w:bottom w:w="100.0" w:type="dxa"/>
              <w:right w:w="100.0" w:type="dxa"/>
            </w:tcMar>
          </w:tcPr>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“Macmillan Cancer Connections project”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Launch Date</w:t>
            </w:r>
          </w:p>
        </w:tc>
        <w:tc>
          <w:tcPr>
            <w:shd w:fill="auto" w:val="clear"/>
            <w:tcMar>
              <w:top w:w="100.0" w:type="dxa"/>
              <w:left w:w="100.0" w:type="dxa"/>
              <w:bottom w:w="100.0" w:type="dxa"/>
              <w:right w:w="100.0" w:type="dxa"/>
            </w:tcMar>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project was launched in late 2012 humbly in London and Merseyside and now aims at expansion all across the UK.</w:t>
            </w:r>
          </w:p>
        </w:tc>
        <w:tc>
          <w:tcPr>
            <w:shd w:fill="auto" w:val="clear"/>
            <w:tcMar>
              <w:top w:w="100.0" w:type="dxa"/>
              <w:left w:w="100.0" w:type="dxa"/>
              <w:bottom w:w="100.0" w:type="dxa"/>
              <w:right w:w="100.0" w:type="dxa"/>
            </w:tcMar>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partnership between Macmillan cancer support and community first was embarked in October 2018.</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Objective</w:t>
            </w:r>
          </w:p>
        </w:tc>
        <w:tc>
          <w:tcPr>
            <w:shd w:fill="auto" w:val="clear"/>
            <w:tcMar>
              <w:top w:w="100.0" w:type="dxa"/>
              <w:left w:w="100.0" w:type="dxa"/>
              <w:bottom w:w="100.0" w:type="dxa"/>
              <w:right w:w="100.0" w:type="dxa"/>
            </w:tcMar>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Prevention and early diagnosis of cancer, practices of support, training given on cancer related issues, increasing awareness, and making local level changes.</w:t>
            </w:r>
          </w:p>
        </w:tc>
        <w:tc>
          <w:tcPr>
            <w:shd w:fill="auto" w:val="clear"/>
            <w:tcMar>
              <w:top w:w="100.0" w:type="dxa"/>
              <w:left w:w="100.0" w:type="dxa"/>
              <w:bottom w:w="100.0" w:type="dxa"/>
              <w:right w:w="100.0" w:type="dxa"/>
            </w:tcMar>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aims at understanding how rurally isolated areas like Wiltshire face dire consequences of cancer and the relevant impacts of the location on outcomes associated with cancer.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Agenda</w:t>
            </w:r>
          </w:p>
        </w:tc>
        <w:tc>
          <w:tcPr>
            <w:shd w:fill="auto" w:val="clear"/>
            <w:tcMar>
              <w:top w:w="100.0" w:type="dxa"/>
              <w:left w:w="100.0" w:type="dxa"/>
              <w:bottom w:w="100.0" w:type="dxa"/>
              <w:right w:w="100.0" w:type="dxa"/>
            </w:tcMar>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Responsibilities are taken for leading the delivery of the care engagement facilitator program in the concerned regions while managing training and developing an effective team of facilitators. General practices need to be visited in designated areas within the network for encouraging usage of GP practice data and further encourage GP</w:t>
            </w:r>
            <w:r w:rsidDel="00000000" w:rsidR="00000000" w:rsidRPr="00000000">
              <w:rPr>
                <w:rFonts w:ascii="Times New Roman" w:cs="Times New Roman" w:eastAsia="Times New Roman" w:hAnsi="Times New Roman"/>
                <w:sz w:val="24"/>
                <w:szCs w:val="24"/>
                <w:rtl w:val="0"/>
              </w:rPr>
              <w:t xml:space="preser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practice teams for undertaking interventions supporting the early diagnosis of cancer.</w:t>
            </w:r>
          </w:p>
        </w:tc>
        <w:tc>
          <w:tcPr>
            <w:shd w:fill="auto" w:val="clear"/>
            <w:tcMar>
              <w:top w:w="100.0" w:type="dxa"/>
              <w:left w:w="100.0" w:type="dxa"/>
              <w:bottom w:w="100.0" w:type="dxa"/>
              <w:right w:w="100.0" w:type="dxa"/>
            </w:tcMar>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Cancer charities like Macmillan support healthcare teams and organizations for supporting people who are affected by cancer in a rurally isolated country like Wilshire. More research is to be conducted to identify the factors leading to apparent disconnect between clinical outcomes and treatment times for people living in the rural sectors of the UK (Zollman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2017).</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Lead</w:t>
            </w:r>
          </w:p>
        </w:tc>
        <w:tc>
          <w:tcPr>
            <w:shd w:fill="auto" w:val="clear"/>
            <w:tcMar>
              <w:top w:w="100.0" w:type="dxa"/>
              <w:left w:w="100.0" w:type="dxa"/>
              <w:bottom w:w="100.0" w:type="dxa"/>
              <w:right w:w="100.0" w:type="dxa"/>
            </w:tcMar>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Chief executive- Sir Harpal Kumar, chair in the independent national cancer advisory group</w:t>
            </w:r>
          </w:p>
        </w:tc>
        <w:tc>
          <w:tcPr>
            <w:shd w:fill="auto" w:val="clear"/>
            <w:tcMar>
              <w:top w:w="100.0" w:type="dxa"/>
              <w:left w:w="100.0" w:type="dxa"/>
              <w:bottom w:w="100.0" w:type="dxa"/>
              <w:right w:w="100.0" w:type="dxa"/>
            </w:tcMar>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Macmillan community development coordinator- Alex Neale</w:t>
            </w:r>
          </w:p>
        </w:tc>
      </w:tr>
    </w:tbl>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pStyle w:val="Heading1"/>
        <w:rPr/>
      </w:pPr>
      <w:bookmarkStart w:colFirst="0" w:colLast="0" w:name="_heading=h.2et92p0" w:id="5"/>
      <w:bookmarkEnd w:id="5"/>
      <w:r w:rsidDel="00000000" w:rsidR="00000000" w:rsidRPr="00000000">
        <w:rPr>
          <w:rtl w:val="0"/>
        </w:rPr>
        <w:t xml:space="preserve">Approaches of “Health professional engagement facilitator project” on community engagement</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reputed organization Cancer </w:t>
      </w:r>
      <w:r w:rsidDel="00000000" w:rsidR="00000000" w:rsidRPr="00000000">
        <w:rPr>
          <w:rFonts w:ascii="Times New Roman" w:cs="Times New Roman" w:eastAsia="Times New Roman" w:hAnsi="Times New Roman"/>
          <w:sz w:val="24"/>
          <w:szCs w:val="24"/>
          <w:rtl w:val="0"/>
        </w:rPr>
        <w:t xml:space="preserv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esearch UK are working towards dispelling cancer and using innovation and uniting with general public to educate them about the treatment and prevention of cancer and they aim at making the world a better place through volunteered involvement of the scientific community and informing government and the media about their ways of bringing forth meaningful change. Their program of professional engagement working alongside NHS, involves provision of support practices to the care staff primarily, giving announced training on cancer related issues focusing on early diagnosis and making general changes locally (Harden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2016). The facilitators work quite closely with care teams, public health and stakeholders working in cancer. Practical support is provided by educational sessions concerning cancer prevention, recognition, screening and referral. The team for the project has been built with committed and engaged people who encourage building community relationships and working with healthcare professionals to drive various improvements in outcomes related to cancer.</w:t>
      </w:r>
    </w:p>
    <w:p w:rsidR="00000000" w:rsidDel="00000000" w:rsidP="00000000" w:rsidRDefault="00000000" w:rsidRPr="00000000" w14:paraId="00000032">
      <w:pPr>
        <w:pStyle w:val="Heading1"/>
        <w:rPr/>
      </w:pPr>
      <w:bookmarkStart w:colFirst="0" w:colLast="0" w:name="_heading=h.tyjcwt" w:id="6"/>
      <w:bookmarkEnd w:id="6"/>
      <w:r w:rsidDel="00000000" w:rsidR="00000000" w:rsidRPr="00000000">
        <w:rPr>
          <w:rtl w:val="0"/>
        </w:rPr>
        <w:t xml:space="preserve">Approaches of “Macmillan Cancer Connections project” on community engagement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Macmillan Cancer connections have brought together around 30 people through meetups conducted on digital platforms. The Wiltshire widely accepted group have been currently coming together online to see people that were not recognized through earlier meetings. Meetings have been facilitated for the community of Swindon organizers and steering group meetings have been hosted for various local groups across the country. The Wiltshire wide group has been presented to be a great platform for people to share tips for supporting people during this time. Tips, feelings, photos and projects have been shared and the coordinator Alex has watched people celebrate the progress and having better lives through the implementation of procedures in their project. The immediate aim of the project involves training sessions to be allowed in groups who are tested. There has been a new 3.9m pounds program which has been confirmed to assist people in Wiltshire and Swindon to move towards effective training and development. The rural community councils in both places have successfully led partnerships which have secured a funding of this amount to help people face large challenges in training and skill development. The press release and press information from ‘community first’ launched the building bridges program to make education accessible to all regarding similar aspects.</w:t>
      </w:r>
    </w:p>
    <w:p w:rsidR="00000000" w:rsidDel="00000000" w:rsidP="00000000" w:rsidRDefault="00000000" w:rsidRPr="00000000" w14:paraId="00000034">
      <w:pPr>
        <w:pStyle w:val="Heading1"/>
        <w:rPr/>
      </w:pPr>
      <w:bookmarkStart w:colFirst="0" w:colLast="0" w:name="_heading=h.3dy6vkm" w:id="7"/>
      <w:bookmarkEnd w:id="7"/>
      <w:r w:rsidDel="00000000" w:rsidR="00000000" w:rsidRPr="00000000">
        <w:rPr>
          <w:rtl w:val="0"/>
        </w:rPr>
        <w:t xml:space="preserve">Description of how effective communication, stakeholder participation and inclusion cause a difference in community engagement.</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include all sections of a society for accessing infrastructure and related benefits, the role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stakeholders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in people, communities or groups should be understood as they remain at risk of being excluded. The barriers and opportunities imposed by their inclusion should be studied. Proactive engagement along with the provision of effective platforms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communication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stakeholders to access information and express their opinions freely is important. It empowers people while helping them to understand plans of infrastructure to have positive influences on the design of services affecting them (Renn, 2015). Approaching engagement of stakeholders with a given sense of inclusivity would increase the project credibility, as that of the developers and owners.  When all societal members are considered, project acceptance is increased. It helps in the creation of a binding and shared mission. When everyone is opportune to understand benefits of the development, it provides for a sense of belonging, responsibility and ownership contributing to long term project sustainability. Stakeholders recognize impacts of the project on the society and further on the economy, going way beyond outcomes on an individual level. If vulnerable stakeholders or the ones who represent needs of relatively vulnerable groups influence the final composition of the project, the project is bound to respond to needs and fruitfully engage more public. Developers would need to implement measures addressing those needs to receive more support. Long term behavioural changes are also prompted while influencing the perception of people. The increased engagement would improve awareness and thereby demonstrate greater social responsibility, also reducing risks and project costs (Hub, 2021).</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Weaker aspects of stakeholder engagement from both the projects which are a large infrastructure decreases the relevant likelihood of social endorsement, also known as a social licence for proceeding with tasks, which increase risks, lead to delays and overrunning of cost.</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projects have robust stakeholder communication and engagement plans which provide a framework that is applied through the entire lifecycle while starting from the stage of planning. The plan is developed for favouring a targeted, proactive and direct engagement with various groups that are at the risk of being excluded in manners that are sensitive to the requirements. Following practices of international acclaim where groups that remain at the risk of being excluded or underserved can have information access and creates transparency of content and intentions.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pStyle w:val="Heading1"/>
        <w:rPr/>
      </w:pPr>
      <w:bookmarkStart w:colFirst="0" w:colLast="0" w:name="_heading=h.1t3h5sf" w:id="8"/>
      <w:bookmarkEnd w:id="8"/>
      <w:r w:rsidDel="00000000" w:rsidR="00000000" w:rsidRPr="00000000">
        <w:rPr>
          <w:rtl w:val="0"/>
        </w:rPr>
        <w:t xml:space="preserve">Conduction of research in projects, community mapping, social media engagement, analysis of impact, evaluation and justification of the best practices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“Macmillan Cancer Connections project”</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the point of attracting donors with potential, data management is crucial and the project realizes that. Target audiences are understood better and it also helps in measuring the results of the concerned campaigns. It is thereby allowed to test, adjust and optimize activities generated constantly. Retaining various customers is equally important to attracting new ones. Social media provides the chance to showcase personalities and create a feel of a community which gives the supporters a sense of being a part of a big endeavour. Social media encourages them to spread messages regionally and increases awareness, while having more credibility. Adopting tests and learning approaches for building innovative cultures and causing collaborations to bring people together through working with agencies and corporate partners is brought about (First, 2021). </w:t>
      </w:r>
      <w:r w:rsidDel="00000000" w:rsidR="00000000" w:rsidRPr="00000000">
        <w:rPr>
          <w:rFonts w:ascii="Times New Roman" w:cs="Times New Roman" w:eastAsia="Times New Roman" w:hAnsi="Times New Roman"/>
          <w:sz w:val="24"/>
          <w:szCs w:val="24"/>
          <w:rtl w:val="0"/>
        </w:rPr>
        <w:t xml:space="preserve">Facebook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most widely used as it provides for a good way of sharing stories and networking people by allowing deeper engagement with followers. People are also allowed to raise their fundraising by motivational sharing and linkages to online fundraising pages for collection of money. Instagram works well on visual approaches and strategically attracts people through posters and pictures of various ordeals. The impact of social media on the endeavour has been quite positive.</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Concerns that are highlighted by social care and healthcare professionals are patient confidentiality and personal privacy. This is in light of various disciplinary actions taken against medical professionals which result out of conduct on social media. Guidelines are set by the professional bodies which cover the codes of conduct according to the health and professional care council. Privacy stands out to be an issue for sharing different content online regardless of the involved professions. Contact with seemingly vulnerable patients can only complicate issues. Sensible approaches involve using </w:t>
      </w:r>
      <w:r w:rsidDel="00000000" w:rsidR="00000000" w:rsidRPr="00000000">
        <w:rPr>
          <w:rFonts w:ascii="Times New Roman" w:cs="Times New Roman" w:eastAsia="Times New Roman" w:hAnsi="Times New Roman"/>
          <w:sz w:val="24"/>
          <w:szCs w:val="24"/>
          <w:rtl w:val="0"/>
        </w:rPr>
        <w:t xml:space="preserve">Facebook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content that is private and </w:t>
      </w: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witter for interactions with the public. </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“Health professional engagement facilitator project”</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Cancer </w:t>
      </w:r>
      <w:r w:rsidDel="00000000" w:rsidR="00000000" w:rsidRPr="00000000">
        <w:rPr>
          <w:rFonts w:ascii="Times New Roman" w:cs="Times New Roman" w:eastAsia="Times New Roman" w:hAnsi="Times New Roman"/>
          <w:sz w:val="24"/>
          <w:szCs w:val="24"/>
          <w:rtl w:val="0"/>
        </w:rPr>
        <w:t xml:space="preserv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esearch UK has launched campaigns across TV and social media for encouraging people to go forward with charity as gifts in wills. It aims at increasing awareness of the legacy importance to charity work. Leaving gifts in their wills would fund the charity’s work for preventing, diagnosing and treating cancer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Cancer Research UK,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Campaign videos were released across social media, for instance, YouTube, featuring rafts of people who leave money for the charity in their will. The workers in charity involved in research and support and the ones surviving cancer are also well featured. They try to create a future where nobody would fear cancer, and their adverts feature real individuals who contribute invariably to the cause. Everything is unscripted and the words used in adverts are original.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have launched integrated creative platforms for bringing a singular approach to all campaigns. People affected by the disease would continue to be creative, but wide collective efforts would also be highlighted. Regular donors, volunteers, runners and researchers would have various roles in demonstrating how everyone plays parts in supporting research that saves lives and how it makes impactful differences. The statistics showing 1 out of 2 people being diagnosed with the disease would be included to explain the scale and urgency of the problems faced while highlighting how funding aids research. Depending on the campaign, different calls of action are aimed to be utilized that include signing for fundraiser events, pledging gifts in wills, volunteering and donating (Fundraising, 2021).</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60’ and 30’ TV ads on cancer filmed in hospitals or fundraising events, laboratories and cancer research shops, shows minimal impacts that these adverts can make in portraying the message of beating cancer.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pStyle w:val="Heading1"/>
        <w:rPr/>
      </w:pPr>
      <w:bookmarkStart w:colFirst="0" w:colLast="0" w:name="_heading=h.iozjap4ulf1i" w:id="9"/>
      <w:bookmarkEnd w:id="9"/>
      <w:r w:rsidDel="00000000" w:rsidR="00000000" w:rsidRPr="00000000">
        <w:rPr>
          <w:rtl w:val="0"/>
        </w:rPr>
      </w:r>
    </w:p>
    <w:p w:rsidR="00000000" w:rsidDel="00000000" w:rsidP="00000000" w:rsidRDefault="00000000" w:rsidRPr="00000000" w14:paraId="00000049">
      <w:pPr>
        <w:pStyle w:val="Heading1"/>
        <w:rPr/>
      </w:pPr>
      <w:bookmarkStart w:colFirst="0" w:colLast="0" w:name="_heading=h.ijyq1aysp9l6" w:id="10"/>
      <w:bookmarkEnd w:id="10"/>
      <w:r w:rsidDel="00000000" w:rsidR="00000000" w:rsidRPr="00000000">
        <w:rPr>
          <w:rtl w:val="0"/>
        </w:rPr>
        <w:t xml:space="preserve">Conclusion</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engagement can only be successful if parties collaborate for strategic application of approaches and various principles. The participation of a community in regards to awareness programs can be fruitful to engage preferred audiences and increase relevant reach. The community awareness around cancer has been a prevailing issue for time immemorial and the report has successfully shed light on the comparative study of two projects based around the diagnosis of cancer, in the urban and rural sectors of the UK. The data on research along with fundamental resources paves a way to understanding how the projects use the success and efficiency rates to make the common objective of human welfare implemented. Community engagement through the creative incorporation of studying events has led to understanding the positive effects of its recognition and practice.</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A">
      <w:pPr>
        <w:pStyle w:val="Heading1"/>
        <w:rPr/>
      </w:pPr>
      <w:bookmarkStart w:colFirst="0" w:colLast="0" w:name="_heading=h.lf9biys74wt7" w:id="11"/>
      <w:bookmarkEnd w:id="11"/>
      <w:r w:rsidDel="00000000" w:rsidR="00000000" w:rsidRPr="00000000">
        <w:rPr>
          <w:rtl w:val="0"/>
        </w:rPr>
        <w:t xml:space="preserve">References</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Barnes, M. and Schmitz, P., 2016. Community engagement matters (now more than ever). Stanford Social Innovation Review, 14(2), pp.32-39.</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Cancer Research UK. 2021. </w:t>
      </w:r>
      <w:r w:rsidDel="00000000" w:rsidR="00000000" w:rsidRPr="00000000">
        <w:rPr>
          <w:rFonts w:ascii="Times New Roman" w:cs="Times New Roman" w:eastAsia="Times New Roman" w:hAnsi="Times New Roman"/>
          <w:i w:val="1"/>
          <w:sz w:val="24"/>
          <w:szCs w:val="24"/>
          <w:highlight w:val="white"/>
          <w:rtl w:val="0"/>
        </w:rPr>
        <w:t xml:space="preserve">Be part of our Health Professional Engagement Programme</w:t>
      </w:r>
      <w:r w:rsidDel="00000000" w:rsidR="00000000" w:rsidRPr="00000000">
        <w:rPr>
          <w:rFonts w:ascii="Times New Roman" w:cs="Times New Roman" w:eastAsia="Times New Roman" w:hAnsi="Times New Roman"/>
          <w:sz w:val="24"/>
          <w:szCs w:val="24"/>
          <w:highlight w:val="white"/>
          <w:rtl w:val="0"/>
        </w:rPr>
        <w:t xml:space="preserve">. [online] Available at: &lt;https://www.cancerresearchuk.org/about-us/health-professional-engagement-programme&gt; [Accessed 28 August 2021].</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Community First. 2021. </w:t>
      </w:r>
      <w:r w:rsidDel="00000000" w:rsidR="00000000" w:rsidRPr="00000000">
        <w:rPr>
          <w:rFonts w:ascii="Times New Roman" w:cs="Times New Roman" w:eastAsia="Times New Roman" w:hAnsi="Times New Roman"/>
          <w:i w:val="1"/>
          <w:sz w:val="24"/>
          <w:szCs w:val="24"/>
          <w:highlight w:val="white"/>
          <w:rtl w:val="0"/>
        </w:rPr>
        <w:t xml:space="preserve">Macmillan Cancer Connections - Community First</w:t>
      </w:r>
      <w:r w:rsidDel="00000000" w:rsidR="00000000" w:rsidRPr="00000000">
        <w:rPr>
          <w:rFonts w:ascii="Times New Roman" w:cs="Times New Roman" w:eastAsia="Times New Roman" w:hAnsi="Times New Roman"/>
          <w:sz w:val="24"/>
          <w:szCs w:val="24"/>
          <w:highlight w:val="white"/>
          <w:rtl w:val="0"/>
        </w:rPr>
        <w:t xml:space="preserve">. [online] Available at: &lt;https://www.communityfirst.org.uk/macmillan/&gt; [Accessed 28 August 2021].</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First, C., 2021. </w:t>
      </w:r>
      <w:r w:rsidDel="00000000" w:rsidR="00000000" w:rsidRPr="00000000">
        <w:rPr>
          <w:rFonts w:ascii="Times New Roman" w:cs="Times New Roman" w:eastAsia="Times New Roman" w:hAnsi="Times New Roman"/>
          <w:i w:val="1"/>
          <w:sz w:val="24"/>
          <w:szCs w:val="24"/>
          <w:highlight w:val="white"/>
          <w:rtl w:val="0"/>
        </w:rPr>
        <w:t xml:space="preserve">New Macmillan Cancer Connections Project - Community First</w:t>
      </w:r>
      <w:r w:rsidDel="00000000" w:rsidR="00000000" w:rsidRPr="00000000">
        <w:rPr>
          <w:rFonts w:ascii="Times New Roman" w:cs="Times New Roman" w:eastAsia="Times New Roman" w:hAnsi="Times New Roman"/>
          <w:sz w:val="24"/>
          <w:szCs w:val="24"/>
          <w:highlight w:val="white"/>
          <w:rtl w:val="0"/>
        </w:rPr>
        <w:t xml:space="preserve">. [online] Community First. Available at: &lt;https://www.communityfirst.org.uk/news/new-macmillan-cancer-connections-project/&gt; [Accessed 29 August 2021].</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Harden, A., Sheridan, K., McKeown, A., Dan-Ogosi, I. and Bagnall, A.M., 2016. Review 5: Evidence review of barriers to, and facilitators of, community engagement approaches and practices in the UK.</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Hub, G., 2021. </w:t>
      </w:r>
      <w:r w:rsidDel="00000000" w:rsidR="00000000" w:rsidRPr="00000000">
        <w:rPr>
          <w:rFonts w:ascii="Times New Roman" w:cs="Times New Roman" w:eastAsia="Times New Roman" w:hAnsi="Times New Roman"/>
          <w:i w:val="1"/>
          <w:sz w:val="24"/>
          <w:szCs w:val="24"/>
          <w:highlight w:val="white"/>
          <w:rtl w:val="0"/>
        </w:rPr>
        <w:t xml:space="preserve">Stakeholder Identification, Engagement and Empowerment</w:t>
      </w:r>
      <w:r w:rsidDel="00000000" w:rsidR="00000000" w:rsidRPr="00000000">
        <w:rPr>
          <w:rFonts w:ascii="Times New Roman" w:cs="Times New Roman" w:eastAsia="Times New Roman" w:hAnsi="Times New Roman"/>
          <w:sz w:val="24"/>
          <w:szCs w:val="24"/>
          <w:highlight w:val="white"/>
          <w:rtl w:val="0"/>
        </w:rPr>
        <w:t xml:space="preserve">. [online] Inclusiveinfra.gihub.org. Available at: &lt;https://inclusiveinfra.gihub.org/action-areas/stakeholder-identification-engagement-and-empowerment/&gt; [Accessed 25 August 2021].</w:t>
      </w:r>
    </w:p>
    <w:p w:rsidR="00000000" w:rsidDel="00000000" w:rsidP="00000000" w:rsidRDefault="00000000" w:rsidRPr="00000000" w14:paraId="0000006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Renn, O., 2015. Stakeholder and public involvement in risk governance.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Disaster Risk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pp.8-20.</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UK Fundraising. 2021. </w:t>
      </w:r>
      <w:r w:rsidDel="00000000" w:rsidR="00000000" w:rsidRPr="00000000">
        <w:rPr>
          <w:rFonts w:ascii="Times New Roman" w:cs="Times New Roman" w:eastAsia="Times New Roman" w:hAnsi="Times New Roman"/>
          <w:i w:val="1"/>
          <w:sz w:val="24"/>
          <w:szCs w:val="24"/>
          <w:highlight w:val="white"/>
          <w:rtl w:val="0"/>
        </w:rPr>
        <w:t xml:space="preserve">Cancer Research UK launches integrated creative platform to bring single approach to all campaigns</w:t>
      </w:r>
      <w:r w:rsidDel="00000000" w:rsidR="00000000" w:rsidRPr="00000000">
        <w:rPr>
          <w:rFonts w:ascii="Times New Roman" w:cs="Times New Roman" w:eastAsia="Times New Roman" w:hAnsi="Times New Roman"/>
          <w:sz w:val="24"/>
          <w:szCs w:val="24"/>
          <w:highlight w:val="white"/>
          <w:rtl w:val="0"/>
        </w:rPr>
        <w:t xml:space="preserve">. [online] Available at: &lt;https://fundraising.co.uk/2021/06/01/cancer-research-uk-launches-integrated-creative-platform-to-bring-single-approach-to-all-campaigns/&gt; [Accessed 24 August 2021].</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Zollman, C., Walther, A., Seers, H.E., Jolliffe, R.C. and Polley, M.J., 2017. Integrative whole-person oncology care in the UK. Journal of the National Cancer Institute Monographs, 2017(52), p.lgx002.</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center"/>
    </w:pPr>
    <w:rPr>
      <w:rFonts w:ascii="Times New Roman" w:cs="Times New Roman" w:eastAsia="Times New Roman" w:hAnsi="Times New Roman"/>
      <w:b w:val="1"/>
      <w:i w:val="0"/>
      <w:smallCaps w:val="0"/>
      <w:strike w:val="0"/>
      <w:color w:val="000000"/>
      <w:sz w:val="32"/>
      <w:szCs w:val="32"/>
      <w:u w:val="none"/>
      <w:shd w:fill="auto" w:val="clear"/>
      <w:vertAlign w:val="baseline"/>
    </w:rPr>
  </w:style>
  <w:style w:type="paragraph" w:styleId="Normal" w:default="1">
    <w:name w:val="Normal"/>
    <w:qFormat w:val="1"/>
  </w:style>
  <w:style w:type="paragraph" w:styleId="Heading1">
    <w:name w:val="heading 1"/>
    <w:basedOn w:val="normal0"/>
    <w:next w:val="normal0"/>
    <w:rsid w:val="00D53F94"/>
    <w:pPr>
      <w:keepNext w:val="1"/>
      <w:keepLines w:val="1"/>
      <w:spacing w:after="120" w:before="400"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0"/>
    <w:next w:val="normal0"/>
    <w:rsid w:val="00D53F94"/>
    <w:pPr>
      <w:keepNext w:val="1"/>
      <w:keepLines w:val="1"/>
      <w:spacing w:after="120" w:before="360"/>
      <w:outlineLvl w:val="1"/>
    </w:pPr>
    <w:rPr>
      <w:sz w:val="32"/>
      <w:szCs w:val="32"/>
    </w:rPr>
  </w:style>
  <w:style w:type="paragraph" w:styleId="Heading3">
    <w:name w:val="heading 3"/>
    <w:basedOn w:val="normal0"/>
    <w:next w:val="normal0"/>
    <w:rsid w:val="00D53F94"/>
    <w:pPr>
      <w:keepNext w:val="1"/>
      <w:keepLines w:val="1"/>
      <w:spacing w:after="80" w:before="320"/>
      <w:outlineLvl w:val="2"/>
    </w:pPr>
    <w:rPr>
      <w:color w:val="434343"/>
      <w:sz w:val="28"/>
      <w:szCs w:val="28"/>
    </w:rPr>
  </w:style>
  <w:style w:type="paragraph" w:styleId="Heading4">
    <w:name w:val="heading 4"/>
    <w:basedOn w:val="normal0"/>
    <w:next w:val="normal0"/>
    <w:rsid w:val="00D53F94"/>
    <w:pPr>
      <w:keepNext w:val="1"/>
      <w:keepLines w:val="1"/>
      <w:spacing w:after="80" w:before="280"/>
      <w:outlineLvl w:val="3"/>
    </w:pPr>
    <w:rPr>
      <w:color w:val="666666"/>
      <w:sz w:val="24"/>
      <w:szCs w:val="24"/>
    </w:rPr>
  </w:style>
  <w:style w:type="paragraph" w:styleId="Heading5">
    <w:name w:val="heading 5"/>
    <w:basedOn w:val="normal0"/>
    <w:next w:val="normal0"/>
    <w:rsid w:val="00D53F94"/>
    <w:pPr>
      <w:keepNext w:val="1"/>
      <w:keepLines w:val="1"/>
      <w:spacing w:after="80" w:before="240"/>
      <w:outlineLvl w:val="4"/>
    </w:pPr>
    <w:rPr>
      <w:color w:val="666666"/>
    </w:rPr>
  </w:style>
  <w:style w:type="paragraph" w:styleId="Heading6">
    <w:name w:val="heading 6"/>
    <w:basedOn w:val="normal0"/>
    <w:next w:val="normal0"/>
    <w:rsid w:val="00D53F94"/>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D53F94"/>
  </w:style>
  <w:style w:type="paragraph" w:styleId="Title">
    <w:name w:val="Title"/>
    <w:basedOn w:val="normal0"/>
    <w:next w:val="normal0"/>
    <w:rsid w:val="00B24130"/>
    <w:pPr>
      <w:keepNext w:val="1"/>
      <w:keepLines w:val="1"/>
      <w:spacing w:after="60" w:line="360" w:lineRule="auto"/>
      <w:jc w:val="center"/>
    </w:pPr>
    <w:rPr>
      <w:rFonts w:ascii="Times New Roman" w:hAnsi="Times New Roman"/>
      <w:b w:val="1"/>
      <w:sz w:val="32"/>
      <w:szCs w:val="52"/>
    </w:rPr>
  </w:style>
  <w:style w:type="paragraph" w:styleId="Subtitle">
    <w:name w:val="Subtitle"/>
    <w:basedOn w:val="normal0"/>
    <w:next w:val="normal0"/>
    <w:rsid w:val="00D53F94"/>
    <w:pPr>
      <w:keepNext w:val="1"/>
      <w:keepLines w:val="1"/>
      <w:spacing w:after="320"/>
    </w:pPr>
    <w:rPr>
      <w:color w:val="666666"/>
      <w:sz w:val="30"/>
      <w:szCs w:val="30"/>
    </w:rPr>
  </w:style>
  <w:style w:type="table" w:styleId="a" w:customStyle="1">
    <w:basedOn w:val="TableNormal"/>
    <w:rsid w:val="00D53F94"/>
    <w:tblPr>
      <w:tblStyleRowBandSize w:val="1"/>
      <w:tblStyleColBandSize w:val="1"/>
      <w:tblInd w:w="0.0" w:type="dxa"/>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B24130"/>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B24130"/>
    <w:rPr>
      <w:rFonts w:ascii="Tahoma" w:cs="Tahoma" w:hAnsi="Tahoma"/>
      <w:sz w:val="16"/>
      <w:szCs w:val="16"/>
    </w:rPr>
  </w:style>
  <w:style w:type="paragraph" w:styleId="Header">
    <w:name w:val="header"/>
    <w:basedOn w:val="Normal"/>
    <w:link w:val="HeaderChar"/>
    <w:uiPriority w:val="99"/>
    <w:semiHidden w:val="1"/>
    <w:unhideWhenUsed w:val="1"/>
    <w:rsid w:val="00B24130"/>
    <w:pPr>
      <w:tabs>
        <w:tab w:val="center" w:pos="4513"/>
        <w:tab w:val="right" w:pos="9026"/>
      </w:tabs>
      <w:spacing w:line="240" w:lineRule="auto"/>
    </w:pPr>
  </w:style>
  <w:style w:type="character" w:styleId="HeaderChar" w:customStyle="1">
    <w:name w:val="Header Char"/>
    <w:basedOn w:val="DefaultParagraphFont"/>
    <w:link w:val="Header"/>
    <w:uiPriority w:val="99"/>
    <w:semiHidden w:val="1"/>
    <w:rsid w:val="00B24130"/>
  </w:style>
  <w:style w:type="paragraph" w:styleId="Footer">
    <w:name w:val="footer"/>
    <w:basedOn w:val="Normal"/>
    <w:link w:val="FooterChar"/>
    <w:uiPriority w:val="99"/>
    <w:unhideWhenUsed w:val="1"/>
    <w:rsid w:val="00B24130"/>
    <w:pPr>
      <w:tabs>
        <w:tab w:val="center" w:pos="4513"/>
        <w:tab w:val="right" w:pos="9026"/>
      </w:tabs>
      <w:spacing w:line="240" w:lineRule="auto"/>
    </w:pPr>
  </w:style>
  <w:style w:type="character" w:styleId="FooterChar" w:customStyle="1">
    <w:name w:val="Footer Char"/>
    <w:basedOn w:val="DefaultParagraphFont"/>
    <w:link w:val="Footer"/>
    <w:uiPriority w:val="99"/>
    <w:rsid w:val="00B24130"/>
  </w:style>
  <w:style w:type="paragraph" w:styleId="TOC1">
    <w:name w:val="toc 1"/>
    <w:basedOn w:val="Normal"/>
    <w:next w:val="Normal"/>
    <w:autoRedefine w:val="1"/>
    <w:uiPriority w:val="39"/>
    <w:unhideWhenUsed w:val="1"/>
    <w:rsid w:val="00B24130"/>
    <w:pPr>
      <w:spacing w:after="100"/>
    </w:pPr>
  </w:style>
  <w:style w:type="character" w:styleId="Hyperlink">
    <w:name w:val="Hyperlink"/>
    <w:basedOn w:val="DefaultParagraphFont"/>
    <w:uiPriority w:val="99"/>
    <w:unhideWhenUsed w:val="1"/>
    <w:rsid w:val="00B24130"/>
    <w:rPr>
      <w:color w:val="0000ff" w:themeColor="hyperlink"/>
      <w:u w:val="single"/>
    </w:rPr>
  </w:style>
  <w:style w:type="paragraph" w:styleId="TOCHeading">
    <w:name w:val="TOC Heading"/>
    <w:basedOn w:val="Heading1"/>
    <w:next w:val="Normal"/>
    <w:uiPriority w:val="39"/>
    <w:semiHidden w:val="1"/>
    <w:unhideWhenUsed w:val="1"/>
    <w:qFormat w:val="1"/>
    <w:rsid w:val="00444328"/>
    <w:pPr>
      <w:spacing w:after="0" w:before="480" w:line="276" w:lineRule="auto"/>
      <w:jc w:val="left"/>
      <w:outlineLvl w:val="9"/>
    </w:pPr>
    <w:rPr>
      <w:rFonts w:asciiTheme="majorHAnsi" w:cstheme="majorBidi" w:eastAsiaTheme="majorEastAsia" w:hAnsiTheme="majorHAnsi"/>
      <w:bCs w:val="1"/>
      <w:color w:val="365f91" w:themeColor="accent1" w:themeShade="0000BF"/>
      <w:sz w:val="28"/>
      <w:szCs w:val="28"/>
      <w:lang w:eastAsia="en-US" w:val="en-US"/>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VNZ1l1W1iEQKE6fWwKyz8bJtQoQ==">AMUW2mXTEOTYr+yuACv6u75yBW74ENab9EVRVwYdpGdlr0FCBknkV3o9BtCrDtsKJdIjM2uH97E4BYJ2XefUtGrpYXxuLFyfXTrmOLpdQ1f+NjoG3ifnTzuzKh/bSX3IlIfmQd/qaVTJ2261hTV80GAiI18z1nTtJDRdfDA6nn083nL3ZGTjkG4BHOlnkHz0rwe0/0Tw1eBx3awsNckwT+rhBvEATN/hhqigDhQxyZSZi2RdEFg8kiXaOET115JM4PmOF8bWFuiHcvD5cS9quE/yyFFfje0+vvquqD7ACCpq70bA4XIqVRHIkiyUxsDAmgszaCtHqdW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2021-07-22T16:33:00Z</dcterms:created>
  <dc:creator>admin</dc:creator>
</cp:coreProperties>
</file>