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pageBreakBefore w:val="0"/>
        <w:pBdr>
          <w:top w:space="0" w:sz="0" w:val="nil"/>
          <w:left w:space="0" w:sz="0" w:val="nil"/>
          <w:bottom w:space="0" w:sz="0" w:val="nil"/>
          <w:right w:space="0" w:sz="0" w:val="nil"/>
          <w:between w:space="0" w:sz="0" w:val="nil"/>
        </w:pBdr>
        <w:shd w:fill="auto" w:val="clear"/>
        <w:rPr/>
      </w:pPr>
      <w:bookmarkStart w:colFirst="0" w:colLast="0" w:name="_aczyuw2yex2w" w:id="0"/>
      <w:bookmarkEnd w:id="0"/>
      <w:r w:rsidDel="00000000" w:rsidR="00000000" w:rsidRPr="00000000">
        <w:rPr>
          <w:rtl w:val="0"/>
        </w:rPr>
        <w:t xml:space="preserve">Terrorism and public service responses.</w:t>
      </w:r>
    </w:p>
    <w:p w:rsidR="00000000" w:rsidDel="00000000" w:rsidP="00000000" w:rsidRDefault="00000000" w:rsidRPr="00000000" w14:paraId="00000002">
      <w:pPr>
        <w:pStyle w:val="Title"/>
        <w:pageBreakBefore w:val="0"/>
        <w:pBdr>
          <w:top w:space="0" w:sz="0" w:val="nil"/>
          <w:left w:space="0" w:sz="0" w:val="nil"/>
          <w:bottom w:space="0" w:sz="0" w:val="nil"/>
          <w:right w:space="0" w:sz="0" w:val="nil"/>
          <w:between w:space="0" w:sz="0" w:val="nil"/>
        </w:pBdr>
        <w:shd w:fill="auto" w:val="clear"/>
        <w:rPr>
          <w:rFonts w:ascii="Proxima Nova" w:cs="Proxima Nova" w:eastAsia="Proxima Nova" w:hAnsi="Proxima Nova"/>
          <w:sz w:val="72"/>
          <w:szCs w:val="72"/>
        </w:rPr>
      </w:pPr>
      <w:bookmarkStart w:colFirst="0" w:colLast="0" w:name="_v7ey1wbcinqk" w:id="1"/>
      <w:bookmarkEnd w:id="1"/>
      <w:r w:rsidDel="00000000" w:rsidR="00000000" w:rsidRPr="00000000">
        <w:rPr>
          <w:sz w:val="74"/>
          <w:szCs w:val="74"/>
          <w:rtl w:val="0"/>
        </w:rPr>
        <w:t xml:space="preserve">Analyse the public service responses, collaborative partnerships and emergency services deployed in response to terrorism</w:t>
      </w:r>
      <w:r w:rsidDel="00000000" w:rsidR="00000000" w:rsidRPr="00000000">
        <w:rPr>
          <w:rFonts w:ascii="Proxima Nova" w:cs="Proxima Nova" w:eastAsia="Proxima Nova" w:hAnsi="Proxima Nova"/>
          <w:b w:val="1"/>
          <w:color w:val="404040"/>
          <w:sz w:val="96"/>
          <w:szCs w:val="96"/>
          <w:rtl w:val="0"/>
        </w:rPr>
        <w:br w:type="textWrapping"/>
      </w: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6" name="image3.png"/>
            <a:graphic>
              <a:graphicData uri="http://schemas.openxmlformats.org/drawingml/2006/picture">
                <pic:pic>
                  <pic:nvPicPr>
                    <pic:cNvPr descr="short line" id="0" name="image3.png"/>
                    <pic:cNvPicPr preferRelativeResize="0"/>
                  </pic:nvPicPr>
                  <pic:blipFill>
                    <a:blip r:embed="rId6"/>
                    <a:srcRect b="0" l="0" r="0" t="0"/>
                    <a:stretch>
                      <a:fillRect/>
                    </a:stretch>
                  </pic:blipFill>
                  <pic:spPr>
                    <a:xfrm>
                      <a:off x="0" y="0"/>
                      <a:ext cx="447675" cy="571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rPr>
          <w:color w:val="666666"/>
          <w:sz w:val="32"/>
          <w:szCs w:val="32"/>
        </w:rPr>
      </w:pPr>
      <w:r w:rsidDel="00000000" w:rsidR="00000000" w:rsidRPr="00000000">
        <w:rPr>
          <w:sz w:val="32"/>
          <w:szCs w:val="32"/>
          <w:rtl w:val="0"/>
        </w:rPr>
        <w:t xml:space="preserve">Luci Montgomery</w:t>
      </w:r>
      <w:r w:rsidDel="00000000" w:rsidR="00000000" w:rsidRPr="00000000">
        <w:rPr>
          <w:sz w:val="32"/>
          <w:szCs w:val="32"/>
          <w:rtl w:val="0"/>
        </w:rPr>
        <w:br w:type="textWrapping"/>
      </w:r>
      <w:r w:rsidDel="00000000" w:rsidR="00000000" w:rsidRPr="00000000">
        <w:rPr>
          <w:color w:val="666666"/>
          <w:sz w:val="32"/>
          <w:szCs w:val="32"/>
          <w:rtl w:val="0"/>
        </w:rPr>
        <w:t xml:space="preserve">12th January,2214470</w:t>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before="200" w:line="30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before="200" w:line="300" w:lineRule="auto"/>
        <w:rPr>
          <w:rFonts w:ascii="Proxima Nova" w:cs="Proxima Nova" w:eastAsia="Proxima Nova" w:hAnsi="Proxima Nova"/>
        </w:rPr>
      </w:pPr>
      <w:r w:rsidDel="00000000" w:rsidR="00000000" w:rsidRPr="00000000">
        <w:br w:type="page"/>
      </w:r>
      <w:r w:rsidDel="00000000" w:rsidR="00000000" w:rsidRPr="00000000">
        <w:rPr>
          <w:rtl w:val="0"/>
        </w:rPr>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Fonts w:ascii="Arial" w:cs="Arial" w:eastAsia="Arial" w:hAnsi="Arial"/>
          <w:sz w:val="24"/>
          <w:szCs w:val="24"/>
          <w:rtl w:val="0"/>
        </w:rPr>
        <w:t xml:space="preserve">As stated by Lacquer(2017),terrorism is the most publicised version of  violence against the public.Following an act of terrorism,comes the public services response to the attack and analysing these we can discuss the partnerships and the different emergency services deployed.Looking specifically at the Manchester arena attack,an attack  committed by Salman Abedi on 22nd May 2017,within the set of emergency services called for on the day wa the fire and rescue services,that unlike the other services have many different skills such as hazardous materials and dealing with many pieces of equipment.Salman Abedi for some time was on the watch list for the MI5.(You,2017)</w:t>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8">
      <w:pPr>
        <w:spacing w:before="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9">
      <w:pPr>
        <w:spacing w:before="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Fire services respond differently to the rest of the services initiated in an emergency response.Albores and Shaw(2008) discuss the preparation the fire service put into their plan in the event of a terrorist attack,traditionally,the fire and rescue services has been viewed as a critical element in dealing with catastrophic incidents .Firstly,because they can mobilise  very quickly and in large quantities and secondly,they have many different roles such as firefighting,search and rescue,providing assistance during floods and can also respond to incidents involving hazardous materials,they also operate many different pieces of equipment and machinery than the other emergency services.The document discusses two separate situations they prepared for,the release of hazardous substances and the event of multiple attacks,these models were produced to gain better knowledge of the process that needs to take place and gain the experience that is needed to be able to deal with these such events.This practice of how they should operate following an attack allows for the planning of the roles and allowing for mistakes to be corrected in preparedness for the real life situations.</w:t>
      </w:r>
    </w:p>
    <w:p w:rsidR="00000000" w:rsidDel="00000000" w:rsidP="00000000" w:rsidRDefault="00000000" w:rsidRPr="00000000" w14:paraId="0000000A">
      <w:pPr>
        <w:spacing w:before="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B">
      <w:pPr>
        <w:spacing w:before="0"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Specifically regarding the Manchester arena bombing,and the fire and rescue services responses to that, the first three fire engines arrived at approximately  12.37,2 hrs and 4 mins after the first call made to greater Manchester police from inside the arena.At the time of the Greater Manchester Fire and Rescue Services had approximately 1,400 uniformed employees,that evening,64 of these employees were on site following the attack,6 of the Greater manchester fire stations were within 4km of the arena.(Gov.UK,2022)The greater manchester fire and rescue received only three calls following the attack,one from greater manchester police,one from the ambulance service and one from a member of the public.The fire engine rendezvous point was manchester cathedral car park,close to the site of the attack,however this area was feared by the fire liaisons officer to not be able to provide enough protection for the firefighters and the area was then moved to the phillips park fire station.More than two hours after the attack,fire engines arrived at victoria station entrance,which later entailed further delays to their arrival at the scene.(Lowe,2020)</w:t>
      </w:r>
    </w:p>
    <w:p w:rsidR="00000000" w:rsidDel="00000000" w:rsidP="00000000" w:rsidRDefault="00000000" w:rsidRPr="00000000" w14:paraId="0000000C">
      <w:pPr>
        <w:spacing w:before="0" w:line="276"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0D">
      <w:pPr>
        <w:spacing w:before="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reactions of the fire and rescue service  imply on the miscommunication between the various services and the fire services lack of contact with both police and ambulance services,th has to rely on the different interpretations.Specifically with the manchester arena attack,this lack of communication,The Kerslake report (Jesip,2022)puts this into play.Carried out by a  former head of the  civil service and president of the local government association,Lord Kerslake and a team of qualified panel members,they analyse the manchester arena bombing forming this independent review.Throughout the review,many ideas were recommended such as the relationships between health and social care coordinators,family liaisons and support,community resilience,the media and mental health support.They focused on the responses of the fire and response services capabilities of communication and abilities to enhance the situational awareness of how it is best to deal with the attacks.(Lowe,2020)</w:t>
      </w:r>
    </w:p>
    <w:p w:rsidR="00000000" w:rsidDel="00000000" w:rsidP="00000000" w:rsidRDefault="00000000" w:rsidRPr="00000000" w14:paraId="0000000E">
      <w:pPr>
        <w:spacing w:before="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spacing w:before="0" w:line="276" w:lineRule="auto"/>
        <w:rPr>
          <w:rFonts w:ascii="Arial" w:cs="Arial" w:eastAsia="Arial" w:hAnsi="Arial"/>
          <w:color w:val="141414"/>
          <w:sz w:val="24"/>
          <w:szCs w:val="24"/>
          <w:highlight w:val="white"/>
        </w:rPr>
      </w:pPr>
      <w:r w:rsidDel="00000000" w:rsidR="00000000" w:rsidRPr="00000000">
        <w:rPr>
          <w:rFonts w:ascii="Arial" w:cs="Arial" w:eastAsia="Arial" w:hAnsi="Arial"/>
          <w:sz w:val="24"/>
          <w:szCs w:val="24"/>
          <w:rtl w:val="0"/>
        </w:rPr>
        <w:t xml:space="preserve">At the time of the act,Salman Abedi was a closed subject of interest within the MI5s watch list,meaning that he had at some point been a cause of concern but was not under investigation at this time.He was first looked at as a subject of interest in 2014,however,the investigation ended with his lack of engagement with others of interest ended.One year later,MI5 found a phone owned by Abedi with contacts of Al-Qaeda and aiding others travelling to syria.Abedi was believed to have been radicalised abroad and committed this offence in retaliation to his beliefs,he</w:t>
      </w:r>
      <w:r w:rsidDel="00000000" w:rsidR="00000000" w:rsidRPr="00000000">
        <w:rPr>
          <w:rFonts w:ascii="Arial" w:cs="Arial" w:eastAsia="Arial" w:hAnsi="Arial"/>
          <w:color w:val="141414"/>
          <w:sz w:val="24"/>
          <w:szCs w:val="24"/>
          <w:highlight w:val="white"/>
          <w:rtl w:val="0"/>
        </w:rPr>
        <w:t xml:space="preserve"> is believed to have fought against the Gaddafi regime with his father Ramadan during the school holidays.This threat of violence was missed in the initial response of his threat levels in the UK,when the subject of interest file was dropped.( Yosi et al,2023)</w:t>
      </w:r>
    </w:p>
    <w:p w:rsidR="00000000" w:rsidDel="00000000" w:rsidP="00000000" w:rsidRDefault="00000000" w:rsidRPr="00000000" w14:paraId="00000010">
      <w:pPr>
        <w:spacing w:before="0" w:line="276" w:lineRule="auto"/>
        <w:rPr>
          <w:rFonts w:ascii="Arial" w:cs="Arial" w:eastAsia="Arial" w:hAnsi="Arial"/>
          <w:color w:val="141414"/>
          <w:sz w:val="24"/>
          <w:szCs w:val="24"/>
          <w:highlight w:val="white"/>
        </w:rPr>
      </w:pPr>
      <w:r w:rsidDel="00000000" w:rsidR="00000000" w:rsidRPr="00000000">
        <w:rPr>
          <w:rtl w:val="0"/>
        </w:rPr>
      </w:r>
    </w:p>
    <w:p w:rsidR="00000000" w:rsidDel="00000000" w:rsidP="00000000" w:rsidRDefault="00000000" w:rsidRPr="00000000" w14:paraId="00000011">
      <w:pPr>
        <w:spacing w:before="0" w:line="276" w:lineRule="auto"/>
        <w:rPr>
          <w:rFonts w:ascii="Arial" w:cs="Arial" w:eastAsia="Arial" w:hAnsi="Arial"/>
          <w:sz w:val="24"/>
          <w:szCs w:val="24"/>
        </w:rPr>
      </w:pPr>
      <w:r w:rsidDel="00000000" w:rsidR="00000000" w:rsidRPr="00000000">
        <w:rPr>
          <w:rFonts w:ascii="Arial" w:cs="Arial" w:eastAsia="Arial" w:hAnsi="Arial"/>
          <w:color w:val="141414"/>
          <w:sz w:val="24"/>
          <w:szCs w:val="24"/>
          <w:highlight w:val="white"/>
          <w:rtl w:val="0"/>
        </w:rPr>
        <w:t xml:space="preserve">Before the attack Abedi would have used what's known as hostile reconnaissance,</w:t>
      </w:r>
      <w:r w:rsidDel="00000000" w:rsidR="00000000" w:rsidRPr="00000000">
        <w:rPr>
          <w:rFonts w:ascii="Arial" w:cs="Arial" w:eastAsia="Arial" w:hAnsi="Arial"/>
          <w:color w:val="111111"/>
          <w:sz w:val="24"/>
          <w:szCs w:val="24"/>
          <w:highlight w:val="white"/>
          <w:rtl w:val="0"/>
        </w:rPr>
        <w:t xml:space="preserve"> the term given to the information-gathering phase conducted by those individuals or groups with malicious intent. It is a vital component of the terrorist attack planning process.Abedi made three scouting trips before detonating the device,</w:t>
      </w:r>
      <w:r w:rsidDel="00000000" w:rsidR="00000000" w:rsidRPr="00000000">
        <w:rPr>
          <w:rFonts w:ascii="Arial" w:cs="Arial" w:eastAsia="Arial" w:hAnsi="Arial"/>
          <w:color w:val="141414"/>
          <w:sz w:val="24"/>
          <w:szCs w:val="24"/>
          <w:highlight w:val="white"/>
          <w:rtl w:val="0"/>
        </w:rPr>
        <w:t xml:space="preserve">Salman Abedi's first reconnaissance was before a Take That concert on 18 May, the day he landed in the UK from Libya where his parents lived.Security experts believe he used this initial reconnaissance to identify entrance and exit routes from the arena, check CCTV locations and may have noticed a CCTV blind spot. (Russell and Orellana,2020)</w:t>
      </w:r>
      <w:r w:rsidDel="00000000" w:rsidR="00000000" w:rsidRPr="00000000">
        <w:rPr>
          <w:rtl w:val="0"/>
        </w:rPr>
      </w:r>
    </w:p>
    <w:p w:rsidR="00000000" w:rsidDel="00000000" w:rsidP="00000000" w:rsidRDefault="00000000" w:rsidRPr="00000000" w14:paraId="00000012">
      <w:pPr>
        <w:spacing w:before="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3">
      <w:pPr>
        <w:spacing w:before="0" w:line="276"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Fonts w:ascii="Arial" w:cs="Arial" w:eastAsia="Arial" w:hAnsi="Arial"/>
          <w:sz w:val="24"/>
          <w:szCs w:val="24"/>
          <w:rtl w:val="0"/>
        </w:rPr>
        <w:t xml:space="preserve">Therefore to conclude,the fire and rescue services play a major role in helping following a terrorist attack.Their role includes solving many different situations that other services are not prepared for and helping communication within the collaboration to make sure that the response is as effective and efficient as possible.Salman Abedi was before the attack,on the MI5 watchlist for potential threats and should have stayed on  the list,specifically when all of the evidence about who he communicates with and his actions was found out.</w:t>
      </w:r>
      <w:r w:rsidDel="00000000" w:rsidR="00000000" w:rsidRPr="00000000">
        <w:rPr>
          <w:rtl w:val="0"/>
        </w:rPr>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9">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2">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3">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5">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Fonts w:ascii="Arial" w:cs="Arial" w:eastAsia="Arial" w:hAnsi="Arial"/>
          <w:sz w:val="24"/>
          <w:szCs w:val="24"/>
          <w:rtl w:val="0"/>
        </w:rPr>
        <w:t xml:space="preserve">Reference lists </w:t>
      </w:r>
    </w:p>
    <w:p w:rsidR="00000000" w:rsidDel="00000000" w:rsidP="00000000" w:rsidRDefault="00000000" w:rsidRPr="00000000" w14:paraId="00000028">
      <w:pPr>
        <w:spacing w:after="240" w:before="240" w:line="276" w:lineRule="auto"/>
        <w:ind w:left="580" w:hanging="20"/>
        <w:rPr>
          <w:rFonts w:ascii="Arial" w:cs="Arial" w:eastAsia="Arial" w:hAnsi="Arial"/>
        </w:rPr>
      </w:pPr>
      <w:r w:rsidDel="00000000" w:rsidR="00000000" w:rsidRPr="00000000">
        <w:rPr>
          <w:rFonts w:ascii="Arial" w:cs="Arial" w:eastAsia="Arial" w:hAnsi="Arial"/>
          <w:rtl w:val="0"/>
        </w:rPr>
        <w:t xml:space="preserve">Albores, P. and Shaw, D. (2008) ‘Government preparedness: Using simulation to prepare for a terrorist attack’, </w:t>
      </w:r>
      <w:r w:rsidDel="00000000" w:rsidR="00000000" w:rsidRPr="00000000">
        <w:rPr>
          <w:rFonts w:ascii="Arial" w:cs="Arial" w:eastAsia="Arial" w:hAnsi="Arial"/>
          <w:i w:val="1"/>
          <w:rtl w:val="0"/>
        </w:rPr>
        <w:t xml:space="preserve">Computers &amp;amp; Operations Research</w:t>
      </w:r>
      <w:r w:rsidDel="00000000" w:rsidR="00000000" w:rsidRPr="00000000">
        <w:rPr>
          <w:rFonts w:ascii="Arial" w:cs="Arial" w:eastAsia="Arial" w:hAnsi="Arial"/>
          <w:rtl w:val="0"/>
        </w:rPr>
        <w:t xml:space="preserve">, 35(6), pp. 1924–1943. doi:10.1016/j.cor.2006.09.021. </w:t>
      </w:r>
    </w:p>
    <w:p w:rsidR="00000000" w:rsidDel="00000000" w:rsidP="00000000" w:rsidRDefault="00000000" w:rsidRPr="00000000" w14:paraId="00000029">
      <w:pPr>
        <w:spacing w:after="240" w:before="240" w:line="276" w:lineRule="auto"/>
        <w:ind w:left="580" w:hanging="20"/>
        <w:rPr>
          <w:rFonts w:ascii="Arial" w:cs="Arial" w:eastAsia="Arial" w:hAnsi="Arial"/>
        </w:rPr>
      </w:pPr>
      <w:r w:rsidDel="00000000" w:rsidR="00000000" w:rsidRPr="00000000">
        <w:rPr>
          <w:rFonts w:ascii="Arial" w:cs="Arial" w:eastAsia="Arial" w:hAnsi="Arial"/>
          <w:rtl w:val="0"/>
        </w:rPr>
        <w:t xml:space="preserve">Gov.uk (2023) </w:t>
      </w:r>
      <w:r w:rsidDel="00000000" w:rsidR="00000000" w:rsidRPr="00000000">
        <w:rPr>
          <w:rFonts w:ascii="Arial" w:cs="Arial" w:eastAsia="Arial" w:hAnsi="Arial"/>
          <w:i w:val="1"/>
          <w:rtl w:val="0"/>
        </w:rPr>
        <w:t xml:space="preserve">Manchester Arena Inquiry Volume 2: Emergency response</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GOV.UK</w:t>
      </w:r>
      <w:r w:rsidDel="00000000" w:rsidR="00000000" w:rsidRPr="00000000">
        <w:rPr>
          <w:rFonts w:ascii="Arial" w:cs="Arial" w:eastAsia="Arial" w:hAnsi="Arial"/>
          <w:rtl w:val="0"/>
        </w:rPr>
        <w:t xml:space="preserve">. Available at: https://www.gov.uk/government/publications/manchester-arena-inquiry-volume-2-emergency-response (Accessed: 19 December 2023). </w:t>
      </w:r>
    </w:p>
    <w:p w:rsidR="00000000" w:rsidDel="00000000" w:rsidP="00000000" w:rsidRDefault="00000000" w:rsidRPr="00000000" w14:paraId="0000002A">
      <w:pPr>
        <w:spacing w:after="240" w:before="240" w:line="276" w:lineRule="auto"/>
        <w:ind w:left="580" w:hanging="20"/>
        <w:rPr>
          <w:rFonts w:ascii="Arial" w:cs="Arial" w:eastAsia="Arial" w:hAnsi="Arial"/>
        </w:rPr>
      </w:pPr>
      <w:r w:rsidDel="00000000" w:rsidR="00000000" w:rsidRPr="00000000">
        <w:rPr>
          <w:rFonts w:ascii="Arial" w:cs="Arial" w:eastAsia="Arial" w:hAnsi="Arial"/>
          <w:rtl w:val="0"/>
        </w:rPr>
        <w:t xml:space="preserve">Laquer, W. (2017) </w:t>
      </w:r>
      <w:r w:rsidDel="00000000" w:rsidR="00000000" w:rsidRPr="00000000">
        <w:rPr>
          <w:rFonts w:ascii="Arial" w:cs="Arial" w:eastAsia="Arial" w:hAnsi="Arial"/>
          <w:i w:val="1"/>
          <w:rtl w:val="0"/>
        </w:rPr>
        <w:t xml:space="preserve">A history of terrorism: Walter Laqueur: Taylor &amp; Francis Ebooks, ref</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Taylor &amp; Francis</w:t>
      </w:r>
      <w:r w:rsidDel="00000000" w:rsidR="00000000" w:rsidRPr="00000000">
        <w:rPr>
          <w:rFonts w:ascii="Arial" w:cs="Arial" w:eastAsia="Arial" w:hAnsi="Arial"/>
          <w:rtl w:val="0"/>
        </w:rPr>
        <w:t xml:space="preserve">. Available at: https://www.taylorfrancis.com/books/mono/10.4324/9781315083483/history-terrorism-walter-laqueur (Accessed: 19 December 2023). </w:t>
      </w:r>
    </w:p>
    <w:p w:rsidR="00000000" w:rsidDel="00000000" w:rsidP="00000000" w:rsidRDefault="00000000" w:rsidRPr="00000000" w14:paraId="0000002B">
      <w:pPr>
        <w:spacing w:after="240" w:before="240" w:line="276" w:lineRule="auto"/>
        <w:ind w:left="580" w:hanging="20"/>
        <w:rPr>
          <w:rFonts w:ascii="Arial" w:cs="Arial" w:eastAsia="Arial" w:hAnsi="Arial"/>
        </w:rPr>
      </w:pPr>
      <w:r w:rsidDel="00000000" w:rsidR="00000000" w:rsidRPr="00000000">
        <w:rPr>
          <w:rtl w:val="0"/>
        </w:rPr>
      </w:r>
    </w:p>
    <w:p w:rsidR="00000000" w:rsidDel="00000000" w:rsidP="00000000" w:rsidRDefault="00000000" w:rsidRPr="00000000" w14:paraId="0000002C">
      <w:pPr>
        <w:spacing w:after="240" w:before="240" w:line="276" w:lineRule="auto"/>
        <w:ind w:left="580" w:hanging="20"/>
        <w:rPr>
          <w:rFonts w:ascii="Arial" w:cs="Arial" w:eastAsia="Arial" w:hAnsi="Arial"/>
        </w:rPr>
      </w:pPr>
      <w:r w:rsidDel="00000000" w:rsidR="00000000" w:rsidRPr="00000000">
        <w:rPr>
          <w:rFonts w:ascii="Arial" w:cs="Arial" w:eastAsia="Arial" w:hAnsi="Arial"/>
          <w:rtl w:val="0"/>
        </w:rPr>
        <w:t xml:space="preserve">Lowe,D(2020) Manchester Arena Bombings:main lessons that have been learnt counter IED Report.Available at;https://eprints.leedsbeckett.ac.uk/id.eprint/7450(Accessed:23 November 2023)</w:t>
      </w:r>
    </w:p>
    <w:p w:rsidR="00000000" w:rsidDel="00000000" w:rsidP="00000000" w:rsidRDefault="00000000" w:rsidRPr="00000000" w14:paraId="0000002D">
      <w:pPr>
        <w:spacing w:after="240" w:before="240" w:line="276" w:lineRule="auto"/>
        <w:ind w:left="580" w:hanging="20"/>
        <w:rPr>
          <w:rFonts w:ascii="Arial" w:cs="Arial" w:eastAsia="Arial" w:hAnsi="Arial"/>
        </w:rPr>
      </w:pPr>
      <w:r w:rsidDel="00000000" w:rsidR="00000000" w:rsidRPr="00000000">
        <w:rPr>
          <w:rFonts w:ascii="Arial" w:cs="Arial" w:eastAsia="Arial" w:hAnsi="Arial"/>
          <w:rtl w:val="0"/>
        </w:rPr>
        <w:t xml:space="preserve">Russell, J.S. and de Orellana, P. (2020) ‘Public communications leadership: #CrisisComms and the Manchester Arena Attack’, </w:t>
      </w:r>
      <w:r w:rsidDel="00000000" w:rsidR="00000000" w:rsidRPr="00000000">
        <w:rPr>
          <w:rFonts w:ascii="Arial" w:cs="Arial" w:eastAsia="Arial" w:hAnsi="Arial"/>
          <w:i w:val="1"/>
          <w:rtl w:val="0"/>
        </w:rPr>
        <w:t xml:space="preserve">The RUSI Journal</w:t>
      </w:r>
      <w:r w:rsidDel="00000000" w:rsidR="00000000" w:rsidRPr="00000000">
        <w:rPr>
          <w:rFonts w:ascii="Arial" w:cs="Arial" w:eastAsia="Arial" w:hAnsi="Arial"/>
          <w:rtl w:val="0"/>
        </w:rPr>
        <w:t xml:space="preserve">, 165(5–6), pp. 22–35. doi:10.1080/03071847.2020.1845099. </w:t>
      </w:r>
    </w:p>
    <w:p w:rsidR="00000000" w:rsidDel="00000000" w:rsidP="00000000" w:rsidRDefault="00000000" w:rsidRPr="00000000" w14:paraId="0000002E">
      <w:pPr>
        <w:spacing w:after="240" w:before="240" w:line="276" w:lineRule="auto"/>
        <w:ind w:left="580" w:hanging="20"/>
        <w:rPr>
          <w:rFonts w:ascii="Arial" w:cs="Arial" w:eastAsia="Arial" w:hAnsi="Arial"/>
        </w:rPr>
      </w:pPr>
      <w:r w:rsidDel="00000000" w:rsidR="00000000" w:rsidRPr="00000000">
        <w:rPr>
          <w:rFonts w:ascii="Arial" w:cs="Arial" w:eastAsia="Arial" w:hAnsi="Arial"/>
          <w:rtl w:val="0"/>
        </w:rPr>
        <w:t xml:space="preserve">Yosi Pof, A., Woo, G. and Komendantova, N. (2023) </w:t>
      </w:r>
      <w:r w:rsidDel="00000000" w:rsidR="00000000" w:rsidRPr="00000000">
        <w:rPr>
          <w:rFonts w:ascii="Arial" w:cs="Arial" w:eastAsia="Arial" w:hAnsi="Arial"/>
          <w:i w:val="1"/>
          <w:rtl w:val="0"/>
        </w:rPr>
        <w:t xml:space="preserve">Persistence of risk awareness: Manchester area bombing on 22 May 2017</w:t>
      </w:r>
      <w:r w:rsidDel="00000000" w:rsidR="00000000" w:rsidRPr="00000000">
        <w:rPr>
          <w:rFonts w:ascii="Arial" w:cs="Arial" w:eastAsia="Arial" w:hAnsi="Arial"/>
          <w:rtl w:val="0"/>
        </w:rPr>
        <w:t xml:space="preserve"> [Preprint]. doi:10.2139/ssrn.4393992. </w:t>
      </w:r>
    </w:p>
    <w:p w:rsidR="00000000" w:rsidDel="00000000" w:rsidP="00000000" w:rsidRDefault="00000000" w:rsidRPr="00000000" w14:paraId="0000002F">
      <w:pPr>
        <w:spacing w:after="240" w:before="240" w:line="276" w:lineRule="auto"/>
        <w:ind w:left="580" w:hanging="20"/>
        <w:rPr>
          <w:rFonts w:ascii="Arial" w:cs="Arial" w:eastAsia="Arial" w:hAnsi="Arial"/>
        </w:rPr>
      </w:pPr>
      <w:r w:rsidDel="00000000" w:rsidR="00000000" w:rsidRPr="00000000">
        <w:rPr>
          <w:rtl w:val="0"/>
        </w:rPr>
      </w:r>
    </w:p>
    <w:p w:rsidR="00000000" w:rsidDel="00000000" w:rsidP="00000000" w:rsidRDefault="00000000" w:rsidRPr="00000000" w14:paraId="00000030">
      <w:pPr>
        <w:spacing w:after="240" w:before="240" w:line="276" w:lineRule="auto"/>
        <w:ind w:left="580" w:hanging="20"/>
        <w:rPr>
          <w:rFonts w:ascii="Arial" w:cs="Arial" w:eastAsia="Arial" w:hAnsi="Arial"/>
          <w:sz w:val="24"/>
          <w:szCs w:val="24"/>
        </w:rPr>
      </w:pPr>
      <w:r w:rsidDel="00000000" w:rsidR="00000000" w:rsidRPr="00000000">
        <w:rPr>
          <w:rFonts w:ascii="Arial" w:cs="Arial" w:eastAsia="Arial" w:hAnsi="Arial"/>
          <w:rtl w:val="0"/>
        </w:rPr>
        <w:t xml:space="preserve">You, W. (2017) </w:t>
      </w:r>
      <w:r w:rsidDel="00000000" w:rsidR="00000000" w:rsidRPr="00000000">
        <w:rPr>
          <w:rFonts w:ascii="Arial" w:cs="Arial" w:eastAsia="Arial" w:hAnsi="Arial"/>
          <w:i w:val="1"/>
          <w:rtl w:val="0"/>
        </w:rPr>
        <w:t xml:space="preserve">Objective relevant August 2017 volume 10, issue 7</w:t>
      </w:r>
      <w:r w:rsidDel="00000000" w:rsidR="00000000" w:rsidRPr="00000000">
        <w:rPr>
          <w:rFonts w:ascii="Arial" w:cs="Arial" w:eastAsia="Arial" w:hAnsi="Arial"/>
          <w:rtl w:val="0"/>
        </w:rPr>
        <w:t xml:space="preserve">. Available at: https://ctc.westpoint.edu/wp-content/uploads/2017/08/CTC-Sentinel_Vol10Iss7-7.pdf (Accessed: 19 December 2023). </w:t>
      </w:r>
      <w:r w:rsidDel="00000000" w:rsidR="00000000" w:rsidRPr="00000000">
        <w:rPr>
          <w:rtl w:val="0"/>
        </w:rPr>
      </w:r>
    </w:p>
    <w:sectPr>
      <w:headerReference r:id="rId7" w:type="default"/>
      <w:headerReference r:id="rId8" w:type="first"/>
      <w:footerReference r:id="rId9" w:type="default"/>
      <w:footerReference r:id="rId10" w:type="first"/>
      <w:pgSz w:h="15840" w:w="12240" w:orient="portrait"/>
      <w:pgMar w:bottom="1440" w:top="144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4">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2" name="image1.png"/>
          <a:graphic>
            <a:graphicData uri="http://schemas.openxmlformats.org/drawingml/2006/picture">
              <pic:pic>
                <pic:nvPicPr>
                  <pic:cNvPr descr="footer" id="0" name="image1.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5">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3" name="image1.png"/>
          <a:graphic>
            <a:graphicData uri="http://schemas.openxmlformats.org/drawingml/2006/picture">
              <pic:pic>
                <pic:nvPicPr>
                  <pic:cNvPr descr="footer" id="0" name="image1.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1">
    <w:pPr>
      <w:pageBreakBefore w:val="0"/>
      <w:pBdr>
        <w:top w:space="0" w:sz="0" w:val="nil"/>
        <w:left w:space="0" w:sz="0" w:val="nil"/>
        <w:bottom w:space="0" w:sz="0" w:val="nil"/>
        <w:right w:space="0" w:sz="0" w:val="nil"/>
        <w:between w:space="0" w:sz="0" w:val="nil"/>
      </w:pBdr>
      <w:shd w:fill="auto" w:val="clear"/>
      <w:spacing w:before="640" w:line="300" w:lineRule="auto"/>
      <w:rPr>
        <w:rFonts w:ascii="Proxima Nova" w:cs="Proxima Nova" w:eastAsia="Proxima Nova" w:hAnsi="Proxima Nova"/>
        <w:color w:val="666666"/>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-66674</wp:posOffset>
          </wp:positionV>
          <wp:extent cx="7781925" cy="95250"/>
          <wp:effectExtent b="0" l="0" r="0" t="0"/>
          <wp:wrapTopAndBottom distB="0" distT="0"/>
          <wp:docPr descr="horizontal line" id="1"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7"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p>
  <w:p w:rsidR="00000000" w:rsidDel="00000000" w:rsidP="00000000" w:rsidRDefault="00000000" w:rsidRPr="00000000" w14:paraId="00000032">
    <w:pPr>
      <w:pageBreakBefore w:val="0"/>
      <w:pBdr>
        <w:top w:space="0" w:sz="0" w:val="nil"/>
        <w:left w:space="0" w:sz="0" w:val="nil"/>
        <w:bottom w:space="0" w:sz="0" w:val="nil"/>
        <w:right w:space="0" w:sz="0" w:val="nil"/>
        <w:between w:space="0" w:sz="0" w:val="nil"/>
      </w:pBdr>
      <w:shd w:fill="auto" w:val="clear"/>
      <w:spacing w:line="300" w:lineRule="auto"/>
      <w:rPr>
        <w:rFonts w:ascii="Proxima Nova" w:cs="Proxima Nova" w:eastAsia="Proxima Nova" w:hAnsi="Proxima Nova"/>
        <w:color w:val="666666"/>
        <w:sz w:val="20"/>
        <w:szCs w:val="20"/>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5" name="image2.png"/>
          <a:graphic>
            <a:graphicData uri="http://schemas.openxmlformats.org/drawingml/2006/picture">
              <pic:pic>
                <pic:nvPicPr>
                  <pic:cNvPr descr="short line" id="0" name="image2.png"/>
                  <pic:cNvPicPr preferRelativeResize="0"/>
                </pic:nvPicPr>
                <pic:blipFill>
                  <a:blip r:embed="rId2"/>
                  <a:srcRect b="0" l="0" r="0" t="0"/>
                  <a:stretch>
                    <a:fillRect/>
                  </a:stretch>
                </pic:blipFill>
                <pic:spPr>
                  <a:xfrm>
                    <a:off x="0" y="0"/>
                    <a:ext cx="447675" cy="571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3">
    <w:pPr>
      <w:pageBreakBefore w:val="0"/>
      <w:pBdr>
        <w:top w:space="0" w:sz="0" w:val="nil"/>
        <w:left w:space="0" w:sz="0" w:val="nil"/>
        <w:bottom w:space="0" w:sz="0" w:val="nil"/>
        <w:right w:space="0" w:sz="0" w:val="nil"/>
        <w:between w:space="0" w:sz="0" w:val="nil"/>
      </w:pBdr>
      <w:shd w:fill="auto" w:val="clear"/>
      <w:spacing w:before="64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4"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