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22804D" w14:textId="77777777" w:rsidR="004F59F3" w:rsidRDefault="004F59F3" w:rsidP="004F59F3">
      <w:pPr>
        <w:spacing w:after="220"/>
        <w:ind w:right="1438"/>
        <w:jc w:val="right"/>
      </w:pPr>
      <w:r>
        <w:rPr>
          <w:noProof/>
          <w:lang w:bidi="ar-SA"/>
        </w:rPr>
        <w:drawing>
          <wp:inline distT="0" distB="0" distL="0" distR="0" wp14:anchorId="08ADF061" wp14:editId="13EB709D">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7"/>
                    <a:stretch>
                      <a:fillRect/>
                    </a:stretch>
                  </pic:blipFill>
                  <pic:spPr>
                    <a:xfrm>
                      <a:off x="0" y="0"/>
                      <a:ext cx="4674497" cy="1762515"/>
                    </a:xfrm>
                    <a:prstGeom prst="rect">
                      <a:avLst/>
                    </a:prstGeom>
                  </pic:spPr>
                </pic:pic>
              </a:graphicData>
            </a:graphic>
          </wp:inline>
        </w:drawing>
      </w:r>
    </w:p>
    <w:p w14:paraId="04A0DD72" w14:textId="77777777" w:rsidR="004F59F3" w:rsidRDefault="004F59F3" w:rsidP="004F59F3">
      <w:pPr>
        <w:spacing w:after="273"/>
        <w:ind w:right="5"/>
        <w:jc w:val="center"/>
      </w:pPr>
    </w:p>
    <w:p w14:paraId="2A5C1F3B" w14:textId="77777777" w:rsidR="004F59F3" w:rsidRDefault="004F59F3" w:rsidP="004F59F3">
      <w:pPr>
        <w:spacing w:after="274"/>
      </w:pPr>
    </w:p>
    <w:p w14:paraId="2B26D27B" w14:textId="77777777" w:rsidR="004F59F3" w:rsidRDefault="004F59F3" w:rsidP="004F59F3">
      <w:pPr>
        <w:spacing w:after="276"/>
        <w:jc w:val="center"/>
      </w:pPr>
    </w:p>
    <w:p w14:paraId="0B658D6E" w14:textId="77777777" w:rsidR="004F59F3" w:rsidRPr="002A2E98" w:rsidRDefault="004F59F3" w:rsidP="004F59F3">
      <w:pPr>
        <w:spacing w:after="274"/>
        <w:ind w:left="2716" w:firstLine="93"/>
        <w:rPr>
          <w:rFonts w:ascii="Arial" w:hAnsi="Arial" w:cs="Arial"/>
          <w:sz w:val="24"/>
          <w:szCs w:val="24"/>
        </w:rPr>
      </w:pPr>
      <w:proofErr w:type="spellStart"/>
      <w:r w:rsidRPr="002A2E98">
        <w:rPr>
          <w:rFonts w:ascii="Arial" w:eastAsia="Times New Roman" w:hAnsi="Arial" w:cs="Arial"/>
          <w:b/>
          <w:sz w:val="24"/>
          <w:szCs w:val="24"/>
        </w:rPr>
        <w:t>Programme</w:t>
      </w:r>
      <w:proofErr w:type="spellEnd"/>
      <w:r w:rsidRPr="002A2E98">
        <w:rPr>
          <w:rFonts w:ascii="Arial" w:eastAsia="Times New Roman" w:hAnsi="Arial" w:cs="Arial"/>
          <w:b/>
          <w:sz w:val="24"/>
          <w:szCs w:val="24"/>
        </w:rPr>
        <w:t>: Master of Business Administration</w:t>
      </w:r>
    </w:p>
    <w:p w14:paraId="51EF7925" w14:textId="4F9C2A1F" w:rsidR="004F59F3" w:rsidRPr="002A2E98" w:rsidRDefault="004F59F3" w:rsidP="004F59F3">
      <w:pPr>
        <w:spacing w:after="274"/>
        <w:ind w:left="2809"/>
        <w:rPr>
          <w:rFonts w:ascii="Arial" w:hAnsi="Arial" w:cs="Arial"/>
          <w:sz w:val="24"/>
          <w:szCs w:val="24"/>
        </w:rPr>
      </w:pPr>
      <w:r w:rsidRPr="002A2E98">
        <w:rPr>
          <w:rFonts w:ascii="Arial" w:eastAsia="Times New Roman" w:hAnsi="Arial" w:cs="Arial"/>
          <w:b/>
          <w:sz w:val="24"/>
          <w:szCs w:val="24"/>
        </w:rPr>
        <w:t>Module:</w:t>
      </w:r>
      <w:r w:rsidR="00CB2DFF">
        <w:rPr>
          <w:rFonts w:ascii="Arial" w:eastAsia="Times New Roman" w:hAnsi="Arial" w:cs="Arial"/>
          <w:b/>
          <w:sz w:val="24"/>
          <w:szCs w:val="24"/>
        </w:rPr>
        <w:t xml:space="preserve"> Strategic Management</w:t>
      </w:r>
    </w:p>
    <w:p w14:paraId="15CE7A6F" w14:textId="5EBCE0B2" w:rsidR="004F59F3" w:rsidRPr="00CB2DFF" w:rsidRDefault="004F59F3" w:rsidP="00CB2DFF">
      <w:pPr>
        <w:spacing w:after="274"/>
        <w:ind w:left="2099" w:right="66" w:firstLine="710"/>
        <w:rPr>
          <w:rFonts w:ascii="Arial" w:hAnsi="Arial" w:cs="Arial"/>
          <w:sz w:val="24"/>
          <w:szCs w:val="24"/>
        </w:rPr>
      </w:pPr>
      <w:r w:rsidRPr="002A2E98">
        <w:rPr>
          <w:rFonts w:ascii="Arial" w:eastAsia="Times New Roman" w:hAnsi="Arial" w:cs="Arial"/>
          <w:b/>
          <w:sz w:val="24"/>
          <w:szCs w:val="24"/>
        </w:rPr>
        <w:t xml:space="preserve">Module code: </w:t>
      </w:r>
      <w:r w:rsidRPr="000F1EFB">
        <w:rPr>
          <w:rFonts w:ascii="Arial" w:hAnsi="Arial" w:cs="Arial"/>
          <w:b/>
          <w:bCs/>
          <w:sz w:val="24"/>
          <w:szCs w:val="24"/>
        </w:rPr>
        <w:t>LCMB70</w:t>
      </w:r>
      <w:r>
        <w:rPr>
          <w:rFonts w:ascii="Arial" w:hAnsi="Arial" w:cs="Arial"/>
          <w:b/>
          <w:bCs/>
          <w:sz w:val="24"/>
          <w:szCs w:val="24"/>
        </w:rPr>
        <w:t>03</w:t>
      </w:r>
    </w:p>
    <w:p w14:paraId="2D3BA302" w14:textId="77777777" w:rsidR="004F59F3" w:rsidRPr="002A2E98" w:rsidRDefault="004F59F3" w:rsidP="004F59F3">
      <w:pPr>
        <w:spacing w:after="274"/>
        <w:ind w:left="2089" w:right="62" w:firstLine="720"/>
        <w:rPr>
          <w:rFonts w:ascii="Arial" w:hAnsi="Arial" w:cs="Arial"/>
          <w:sz w:val="24"/>
          <w:szCs w:val="24"/>
        </w:rPr>
      </w:pPr>
      <w:r w:rsidRPr="002A2E98">
        <w:rPr>
          <w:rFonts w:ascii="Arial" w:eastAsia="Times New Roman" w:hAnsi="Arial" w:cs="Arial"/>
          <w:b/>
          <w:sz w:val="24"/>
          <w:szCs w:val="24"/>
        </w:rPr>
        <w:t xml:space="preserve">Word count: </w:t>
      </w:r>
      <w:r w:rsidR="008F7392">
        <w:rPr>
          <w:rFonts w:ascii="Arial" w:eastAsia="Times New Roman" w:hAnsi="Arial" w:cs="Arial"/>
          <w:b/>
          <w:sz w:val="24"/>
          <w:szCs w:val="24"/>
        </w:rPr>
        <w:t>5379</w:t>
      </w:r>
    </w:p>
    <w:p w14:paraId="63E93D6B" w14:textId="228A335D" w:rsidR="004F59F3" w:rsidRPr="002A2E98" w:rsidRDefault="004F59F3" w:rsidP="004F59F3">
      <w:pPr>
        <w:spacing w:after="165" w:line="352" w:lineRule="auto"/>
        <w:ind w:left="2835" w:right="2836"/>
        <w:rPr>
          <w:rFonts w:ascii="Arial" w:eastAsia="Arial" w:hAnsi="Arial" w:cs="Arial"/>
          <w:b/>
          <w:sz w:val="24"/>
          <w:szCs w:val="24"/>
        </w:rPr>
      </w:pPr>
      <w:proofErr w:type="gramStart"/>
      <w:r w:rsidRPr="002A2E98">
        <w:rPr>
          <w:rFonts w:ascii="Arial" w:eastAsia="Arial" w:hAnsi="Arial" w:cs="Arial"/>
          <w:b/>
          <w:sz w:val="24"/>
          <w:szCs w:val="24"/>
        </w:rPr>
        <w:t>Lecturer :</w:t>
      </w:r>
      <w:proofErr w:type="gramEnd"/>
      <w:r w:rsidR="00CB2DFF">
        <w:rPr>
          <w:rFonts w:ascii="Arial" w:eastAsia="Arial" w:hAnsi="Arial" w:cs="Arial"/>
          <w:b/>
          <w:sz w:val="24"/>
          <w:szCs w:val="24"/>
        </w:rPr>
        <w:t xml:space="preserve"> Dr Zulfiqar Khan</w:t>
      </w:r>
    </w:p>
    <w:p w14:paraId="05E62CD5" w14:textId="0A2AB90B" w:rsidR="004F59F3" w:rsidRPr="002A2E98" w:rsidRDefault="004F59F3" w:rsidP="004F59F3">
      <w:pPr>
        <w:spacing w:after="165" w:line="352" w:lineRule="auto"/>
        <w:ind w:left="2835" w:right="2836"/>
        <w:rPr>
          <w:rFonts w:ascii="Arial" w:hAnsi="Arial" w:cs="Arial"/>
          <w:sz w:val="24"/>
          <w:szCs w:val="24"/>
        </w:rPr>
      </w:pPr>
      <w:r w:rsidRPr="002A2E98">
        <w:rPr>
          <w:rFonts w:ascii="Arial" w:eastAsia="Times New Roman" w:hAnsi="Arial" w:cs="Arial"/>
          <w:b/>
          <w:sz w:val="24"/>
          <w:szCs w:val="24"/>
        </w:rPr>
        <w:t xml:space="preserve">Student </w:t>
      </w:r>
      <w:proofErr w:type="gramStart"/>
      <w:r w:rsidRPr="002A2E98">
        <w:rPr>
          <w:rFonts w:ascii="Arial" w:eastAsia="Times New Roman" w:hAnsi="Arial" w:cs="Arial"/>
          <w:b/>
          <w:sz w:val="24"/>
          <w:szCs w:val="24"/>
        </w:rPr>
        <w:t>Name :</w:t>
      </w:r>
      <w:proofErr w:type="gramEnd"/>
      <w:r w:rsidR="00CB2DFF">
        <w:rPr>
          <w:rFonts w:ascii="Arial" w:eastAsia="Times New Roman" w:hAnsi="Arial" w:cs="Arial"/>
          <w:b/>
          <w:sz w:val="24"/>
          <w:szCs w:val="24"/>
        </w:rPr>
        <w:t xml:space="preserve"> Sifat Al Galib</w:t>
      </w:r>
    </w:p>
    <w:p w14:paraId="6A529DA0" w14:textId="3B8E8D91" w:rsidR="004F59F3" w:rsidRPr="002A2E98" w:rsidRDefault="004F59F3" w:rsidP="004F59F3">
      <w:pPr>
        <w:spacing w:after="274"/>
        <w:ind w:left="2125" w:right="62" w:firstLine="710"/>
        <w:rPr>
          <w:rFonts w:ascii="Arial" w:hAnsi="Arial" w:cs="Arial"/>
          <w:sz w:val="24"/>
          <w:szCs w:val="24"/>
        </w:rPr>
      </w:pPr>
      <w:r w:rsidRPr="002A2E98">
        <w:rPr>
          <w:rFonts w:ascii="Arial" w:eastAsia="Times New Roman" w:hAnsi="Arial" w:cs="Arial"/>
          <w:b/>
          <w:sz w:val="24"/>
          <w:szCs w:val="24"/>
        </w:rPr>
        <w:t>Student ID:</w:t>
      </w:r>
      <w:r w:rsidR="00CB2DFF">
        <w:rPr>
          <w:rFonts w:ascii="Arial" w:eastAsia="Times New Roman" w:hAnsi="Arial" w:cs="Arial"/>
          <w:b/>
          <w:sz w:val="24"/>
          <w:szCs w:val="24"/>
        </w:rPr>
        <w:t xml:space="preserve"> 2438313</w:t>
      </w:r>
    </w:p>
    <w:p w14:paraId="7E75F071" w14:textId="7AD673DC" w:rsidR="004F59F3" w:rsidRPr="002A2E98" w:rsidRDefault="004F59F3" w:rsidP="004F59F3">
      <w:pPr>
        <w:spacing w:after="274"/>
        <w:ind w:left="2125" w:right="62" w:firstLine="710"/>
        <w:rPr>
          <w:rFonts w:ascii="Arial" w:hAnsi="Arial" w:cs="Arial"/>
          <w:sz w:val="24"/>
          <w:szCs w:val="24"/>
        </w:rPr>
      </w:pPr>
      <w:r w:rsidRPr="002A2E98">
        <w:rPr>
          <w:rFonts w:ascii="Arial" w:eastAsia="Times New Roman" w:hAnsi="Arial" w:cs="Arial"/>
          <w:b/>
          <w:sz w:val="24"/>
          <w:szCs w:val="24"/>
        </w:rPr>
        <w:t>Submission Date-</w:t>
      </w:r>
      <w:r w:rsidR="00CB2DFF">
        <w:rPr>
          <w:rFonts w:ascii="Arial" w:eastAsia="Times New Roman" w:hAnsi="Arial" w:cs="Arial"/>
          <w:b/>
          <w:sz w:val="24"/>
          <w:szCs w:val="24"/>
        </w:rPr>
        <w:t xml:space="preserve"> 01/04/2026</w:t>
      </w:r>
    </w:p>
    <w:p w14:paraId="0D961FC8" w14:textId="77777777" w:rsidR="00B148D4" w:rsidRDefault="00B148D4">
      <w:pPr>
        <w:rPr>
          <w:rFonts w:ascii="Arial" w:hAnsi="Arial" w:cs="Arial"/>
          <w:b/>
          <w:bCs/>
          <w:sz w:val="24"/>
          <w:szCs w:val="24"/>
        </w:rPr>
      </w:pPr>
      <w:r>
        <w:rPr>
          <w:rFonts w:ascii="Arial" w:hAnsi="Arial" w:cs="Arial"/>
          <w:b/>
          <w:bCs/>
          <w:sz w:val="24"/>
          <w:szCs w:val="24"/>
        </w:rPr>
        <w:br w:type="page"/>
      </w:r>
    </w:p>
    <w:p w14:paraId="534DF187" w14:textId="77777777" w:rsidR="00B148D4" w:rsidRPr="00B148D4" w:rsidRDefault="00B148D4" w:rsidP="00B148D4">
      <w:pPr>
        <w:jc w:val="center"/>
        <w:rPr>
          <w:rFonts w:ascii="Arial" w:hAnsi="Arial" w:cs="Arial"/>
          <w:b/>
          <w:bCs/>
          <w:sz w:val="28"/>
        </w:rPr>
      </w:pPr>
      <w:r w:rsidRPr="00B148D4">
        <w:rPr>
          <w:rFonts w:ascii="Arial" w:hAnsi="Arial" w:cs="Arial"/>
          <w:b/>
          <w:bCs/>
          <w:sz w:val="28"/>
        </w:rPr>
        <w:lastRenderedPageBreak/>
        <w:t>Table of Contents</w:t>
      </w:r>
    </w:p>
    <w:p w14:paraId="7037B8E2" w14:textId="77777777" w:rsidR="00B148D4" w:rsidRPr="00B148D4" w:rsidRDefault="00B148D4" w:rsidP="00B148D4">
      <w:pPr>
        <w:rPr>
          <w:rFonts w:ascii="Arial" w:hAnsi="Arial" w:cs="Arial"/>
          <w:b/>
          <w:bCs/>
          <w:sz w:val="24"/>
          <w:szCs w:val="24"/>
        </w:rPr>
      </w:pPr>
    </w:p>
    <w:p w14:paraId="24BCA513" w14:textId="77777777" w:rsidR="00B148D4" w:rsidRPr="00B148D4" w:rsidRDefault="00B148D4" w:rsidP="00B148D4">
      <w:pPr>
        <w:rPr>
          <w:rFonts w:ascii="Arial" w:hAnsi="Arial" w:cs="Arial"/>
          <w:b/>
          <w:bCs/>
          <w:sz w:val="24"/>
          <w:szCs w:val="24"/>
        </w:rPr>
      </w:pPr>
      <w:r w:rsidRPr="00B148D4">
        <w:rPr>
          <w:rFonts w:ascii="Arial" w:hAnsi="Arial" w:cs="Arial"/>
          <w:b/>
          <w:bCs/>
          <w:sz w:val="24"/>
          <w:szCs w:val="24"/>
        </w:rPr>
        <w:t>SECTION 1: Strategic Management Analysis</w:t>
      </w:r>
    </w:p>
    <w:p w14:paraId="74157DD3" w14:textId="77777777" w:rsidR="00B148D4" w:rsidRPr="00B148D4" w:rsidRDefault="00B148D4" w:rsidP="00B148D4">
      <w:pPr>
        <w:rPr>
          <w:rFonts w:ascii="Arial" w:hAnsi="Arial" w:cs="Arial"/>
          <w:sz w:val="24"/>
          <w:szCs w:val="24"/>
        </w:rPr>
      </w:pPr>
      <w:r w:rsidRPr="00B148D4">
        <w:rPr>
          <w:rFonts w:ascii="Arial" w:hAnsi="Arial" w:cs="Arial"/>
          <w:sz w:val="24"/>
          <w:szCs w:val="24"/>
        </w:rPr>
        <w:t xml:space="preserve">1.0 The Context and Overview of the </w:t>
      </w:r>
      <w:proofErr w:type="spellStart"/>
      <w:r w:rsidRPr="00B148D4">
        <w:rPr>
          <w:rFonts w:ascii="Arial" w:hAnsi="Arial" w:cs="Arial"/>
          <w:sz w:val="24"/>
          <w:szCs w:val="24"/>
        </w:rPr>
        <w:t>Organisation</w:t>
      </w:r>
      <w:proofErr w:type="spellEnd"/>
      <w:r>
        <w:rPr>
          <w:rFonts w:ascii="Arial" w:hAnsi="Arial" w:cs="Arial"/>
          <w:sz w:val="24"/>
          <w:szCs w:val="24"/>
        </w:rPr>
        <w:t>…………………………</w:t>
      </w:r>
      <w:proofErr w:type="gramStart"/>
      <w:r>
        <w:rPr>
          <w:rFonts w:ascii="Arial" w:hAnsi="Arial" w:cs="Arial"/>
          <w:sz w:val="24"/>
          <w:szCs w:val="24"/>
        </w:rPr>
        <w:t>…..</w:t>
      </w:r>
      <w:proofErr w:type="gramEnd"/>
      <w:r w:rsidR="000A18CD">
        <w:rPr>
          <w:rFonts w:ascii="Arial" w:hAnsi="Arial" w:cs="Arial"/>
          <w:sz w:val="24"/>
          <w:szCs w:val="24"/>
        </w:rPr>
        <w:t xml:space="preserve"> 3</w:t>
      </w:r>
    </w:p>
    <w:p w14:paraId="77890322" w14:textId="77777777" w:rsidR="00B148D4" w:rsidRPr="00B148D4" w:rsidRDefault="00B148D4" w:rsidP="00B148D4">
      <w:pPr>
        <w:rPr>
          <w:rFonts w:ascii="Arial" w:hAnsi="Arial" w:cs="Arial"/>
          <w:sz w:val="24"/>
          <w:szCs w:val="24"/>
        </w:rPr>
      </w:pPr>
      <w:r w:rsidRPr="00B148D4">
        <w:rPr>
          <w:rFonts w:ascii="Arial" w:hAnsi="Arial" w:cs="Arial"/>
          <w:sz w:val="24"/>
          <w:szCs w:val="24"/>
        </w:rPr>
        <w:t>2.0 External and Internal Environment Analysis</w:t>
      </w:r>
      <w:r>
        <w:rPr>
          <w:rFonts w:ascii="Arial" w:hAnsi="Arial" w:cs="Arial"/>
          <w:sz w:val="24"/>
          <w:szCs w:val="24"/>
        </w:rPr>
        <w:t>…………………………………</w:t>
      </w:r>
      <w:r w:rsidR="00B273B4">
        <w:rPr>
          <w:rFonts w:ascii="Arial" w:hAnsi="Arial" w:cs="Arial"/>
          <w:sz w:val="24"/>
          <w:szCs w:val="24"/>
        </w:rPr>
        <w:t xml:space="preserve"> 4-10</w:t>
      </w:r>
    </w:p>
    <w:p w14:paraId="5E4A1660" w14:textId="77777777" w:rsidR="00B148D4" w:rsidRPr="00B148D4" w:rsidRDefault="00B148D4" w:rsidP="00B148D4">
      <w:pPr>
        <w:rPr>
          <w:rFonts w:ascii="Arial" w:hAnsi="Arial" w:cs="Arial"/>
          <w:sz w:val="24"/>
          <w:szCs w:val="24"/>
        </w:rPr>
      </w:pPr>
      <w:r w:rsidRPr="00B148D4">
        <w:rPr>
          <w:rFonts w:ascii="Arial" w:hAnsi="Arial" w:cs="Arial"/>
          <w:sz w:val="24"/>
          <w:szCs w:val="24"/>
        </w:rPr>
        <w:t>3.0 Corporate Social Responsibility (CSR) and Sustainability Objectives</w:t>
      </w:r>
      <w:r>
        <w:rPr>
          <w:rFonts w:ascii="Arial" w:hAnsi="Arial" w:cs="Arial"/>
          <w:sz w:val="24"/>
          <w:szCs w:val="24"/>
        </w:rPr>
        <w:t>……………………………………………………………………………</w:t>
      </w:r>
      <w:r w:rsidR="000A18CD">
        <w:rPr>
          <w:rFonts w:ascii="Arial" w:hAnsi="Arial" w:cs="Arial"/>
          <w:sz w:val="24"/>
          <w:szCs w:val="24"/>
        </w:rPr>
        <w:t xml:space="preserve"> 9-10</w:t>
      </w:r>
    </w:p>
    <w:p w14:paraId="5B4957C9" w14:textId="77777777" w:rsidR="00B148D4" w:rsidRPr="00B148D4" w:rsidRDefault="00B148D4" w:rsidP="00B148D4">
      <w:pPr>
        <w:rPr>
          <w:rFonts w:ascii="Arial" w:hAnsi="Arial" w:cs="Arial"/>
          <w:sz w:val="24"/>
          <w:szCs w:val="24"/>
        </w:rPr>
      </w:pPr>
      <w:r w:rsidRPr="00B148D4">
        <w:rPr>
          <w:rFonts w:ascii="Arial" w:hAnsi="Arial" w:cs="Arial"/>
          <w:sz w:val="24"/>
          <w:szCs w:val="24"/>
        </w:rPr>
        <w:t>4.0 Integrated and Global Perspective: Balanced Scorecard Framework</w:t>
      </w:r>
      <w:r>
        <w:rPr>
          <w:rFonts w:ascii="Arial" w:hAnsi="Arial" w:cs="Arial"/>
          <w:sz w:val="24"/>
          <w:szCs w:val="24"/>
        </w:rPr>
        <w:t>………………………………………………………………………</w:t>
      </w:r>
      <w:proofErr w:type="gramStart"/>
      <w:r>
        <w:rPr>
          <w:rFonts w:ascii="Arial" w:hAnsi="Arial" w:cs="Arial"/>
          <w:sz w:val="24"/>
          <w:szCs w:val="24"/>
        </w:rPr>
        <w:t>…..</w:t>
      </w:r>
      <w:proofErr w:type="gramEnd"/>
      <w:r w:rsidR="00B273B4">
        <w:rPr>
          <w:rFonts w:ascii="Arial" w:hAnsi="Arial" w:cs="Arial"/>
          <w:sz w:val="24"/>
          <w:szCs w:val="24"/>
        </w:rPr>
        <w:t xml:space="preserve"> 11-14</w:t>
      </w:r>
    </w:p>
    <w:p w14:paraId="27B99DFA" w14:textId="77777777" w:rsidR="00B148D4" w:rsidRPr="00B148D4" w:rsidRDefault="00B148D4" w:rsidP="00B148D4">
      <w:pPr>
        <w:rPr>
          <w:rFonts w:ascii="Arial" w:hAnsi="Arial" w:cs="Arial"/>
          <w:sz w:val="24"/>
          <w:szCs w:val="24"/>
        </w:rPr>
      </w:pPr>
      <w:r w:rsidRPr="00B148D4">
        <w:rPr>
          <w:rFonts w:ascii="Arial" w:hAnsi="Arial" w:cs="Arial"/>
          <w:sz w:val="24"/>
          <w:szCs w:val="24"/>
        </w:rPr>
        <w:t>5.0 Strategic Choices and Implementation</w:t>
      </w:r>
      <w:r>
        <w:rPr>
          <w:rFonts w:ascii="Arial" w:hAnsi="Arial" w:cs="Arial"/>
          <w:sz w:val="24"/>
          <w:szCs w:val="24"/>
        </w:rPr>
        <w:t>………………………………………</w:t>
      </w:r>
      <w:r w:rsidR="00B273B4">
        <w:rPr>
          <w:rFonts w:ascii="Arial" w:hAnsi="Arial" w:cs="Arial"/>
          <w:sz w:val="24"/>
          <w:szCs w:val="24"/>
        </w:rPr>
        <w:t xml:space="preserve"> 15-17</w:t>
      </w:r>
    </w:p>
    <w:p w14:paraId="16EE3F23" w14:textId="77777777" w:rsidR="00B148D4" w:rsidRPr="00B148D4" w:rsidRDefault="00B148D4" w:rsidP="00B148D4">
      <w:pPr>
        <w:rPr>
          <w:rFonts w:ascii="Arial" w:hAnsi="Arial" w:cs="Arial"/>
          <w:b/>
          <w:bCs/>
          <w:sz w:val="24"/>
          <w:szCs w:val="24"/>
        </w:rPr>
      </w:pPr>
      <w:r w:rsidRPr="00B148D4">
        <w:rPr>
          <w:rFonts w:ascii="Arial" w:hAnsi="Arial" w:cs="Arial"/>
          <w:sz w:val="24"/>
          <w:szCs w:val="24"/>
        </w:rPr>
        <w:t>6.0 Strategic Analysis and Recommendations</w:t>
      </w:r>
      <w:r>
        <w:rPr>
          <w:rFonts w:ascii="Arial" w:hAnsi="Arial" w:cs="Arial"/>
          <w:sz w:val="24"/>
          <w:szCs w:val="24"/>
        </w:rPr>
        <w:t>………………………………….</w:t>
      </w:r>
      <w:r w:rsidR="00B273B4">
        <w:rPr>
          <w:rFonts w:ascii="Arial" w:hAnsi="Arial" w:cs="Arial"/>
          <w:sz w:val="24"/>
          <w:szCs w:val="24"/>
        </w:rPr>
        <w:t xml:space="preserve">  17</w:t>
      </w:r>
      <w:r w:rsidR="000A18CD">
        <w:rPr>
          <w:rFonts w:ascii="Arial" w:hAnsi="Arial" w:cs="Arial"/>
          <w:sz w:val="24"/>
          <w:szCs w:val="24"/>
        </w:rPr>
        <w:t>-</w:t>
      </w:r>
      <w:r w:rsidR="00B273B4">
        <w:rPr>
          <w:rFonts w:ascii="Arial" w:hAnsi="Arial" w:cs="Arial"/>
          <w:sz w:val="24"/>
          <w:szCs w:val="24"/>
        </w:rPr>
        <w:t>20</w:t>
      </w:r>
      <w:r w:rsidRPr="00B148D4">
        <w:rPr>
          <w:rFonts w:ascii="Arial" w:hAnsi="Arial" w:cs="Arial"/>
          <w:b/>
          <w:bCs/>
          <w:sz w:val="24"/>
          <w:szCs w:val="24"/>
        </w:rPr>
        <w:br/>
      </w:r>
    </w:p>
    <w:p w14:paraId="4CF8E7D9" w14:textId="77777777" w:rsidR="00B148D4" w:rsidRPr="00B148D4" w:rsidRDefault="00B148D4" w:rsidP="00B148D4">
      <w:pPr>
        <w:rPr>
          <w:rFonts w:ascii="Arial" w:hAnsi="Arial" w:cs="Arial"/>
          <w:b/>
          <w:bCs/>
          <w:sz w:val="24"/>
          <w:szCs w:val="24"/>
        </w:rPr>
      </w:pPr>
      <w:r w:rsidRPr="00B148D4">
        <w:rPr>
          <w:rFonts w:ascii="Arial" w:hAnsi="Arial" w:cs="Arial"/>
          <w:b/>
          <w:bCs/>
          <w:sz w:val="24"/>
          <w:szCs w:val="24"/>
        </w:rPr>
        <w:t>SECTION 2: Reflective Account</w:t>
      </w:r>
    </w:p>
    <w:p w14:paraId="03E34A46" w14:textId="77777777" w:rsidR="00B148D4" w:rsidRPr="00B148D4" w:rsidRDefault="00B148D4" w:rsidP="00B148D4">
      <w:pPr>
        <w:rPr>
          <w:rFonts w:ascii="Arial" w:hAnsi="Arial" w:cs="Arial"/>
          <w:sz w:val="24"/>
          <w:szCs w:val="24"/>
        </w:rPr>
      </w:pPr>
      <w:r w:rsidRPr="00B148D4">
        <w:rPr>
          <w:rFonts w:ascii="Arial" w:hAnsi="Arial" w:cs="Arial"/>
          <w:sz w:val="24"/>
          <w:szCs w:val="24"/>
        </w:rPr>
        <w:t>7.0 Application of Gibbs’ Reflective Cycle</w:t>
      </w:r>
      <w:r>
        <w:rPr>
          <w:rFonts w:ascii="Arial" w:hAnsi="Arial" w:cs="Arial"/>
          <w:sz w:val="24"/>
          <w:szCs w:val="24"/>
        </w:rPr>
        <w:t>……………………………………….</w:t>
      </w:r>
      <w:r w:rsidR="00B273B4">
        <w:rPr>
          <w:rFonts w:ascii="Arial" w:hAnsi="Arial" w:cs="Arial"/>
          <w:sz w:val="24"/>
          <w:szCs w:val="24"/>
        </w:rPr>
        <w:t>21-24</w:t>
      </w:r>
    </w:p>
    <w:p w14:paraId="41A51C1F" w14:textId="77777777" w:rsidR="00B148D4" w:rsidRPr="00B148D4" w:rsidRDefault="00B148D4" w:rsidP="00B148D4">
      <w:pPr>
        <w:rPr>
          <w:rFonts w:ascii="Arial" w:hAnsi="Arial" w:cs="Arial"/>
          <w:sz w:val="24"/>
          <w:szCs w:val="24"/>
        </w:rPr>
      </w:pPr>
      <w:r w:rsidRPr="00B148D4">
        <w:rPr>
          <w:rFonts w:ascii="Arial" w:hAnsi="Arial" w:cs="Arial"/>
          <w:sz w:val="24"/>
          <w:szCs w:val="24"/>
        </w:rPr>
        <w:t>Reference List</w:t>
      </w:r>
      <w:r>
        <w:rPr>
          <w:rFonts w:ascii="Arial" w:hAnsi="Arial" w:cs="Arial"/>
          <w:sz w:val="24"/>
          <w:szCs w:val="24"/>
        </w:rPr>
        <w:t>………………………………………………………………………</w:t>
      </w:r>
      <w:r w:rsidR="00B273B4">
        <w:rPr>
          <w:rFonts w:ascii="Arial" w:hAnsi="Arial" w:cs="Arial"/>
          <w:sz w:val="24"/>
          <w:szCs w:val="24"/>
        </w:rPr>
        <w:t xml:space="preserve"> 25-29</w:t>
      </w:r>
    </w:p>
    <w:p w14:paraId="7634B00B" w14:textId="77777777" w:rsidR="00B148D4" w:rsidRDefault="00B148D4">
      <w:pPr>
        <w:rPr>
          <w:rFonts w:ascii="Arial" w:hAnsi="Arial" w:cs="Arial"/>
          <w:b/>
          <w:bCs/>
          <w:sz w:val="24"/>
          <w:szCs w:val="24"/>
        </w:rPr>
      </w:pPr>
      <w:r>
        <w:rPr>
          <w:rFonts w:ascii="Arial" w:hAnsi="Arial" w:cs="Arial"/>
          <w:b/>
          <w:bCs/>
          <w:sz w:val="24"/>
          <w:szCs w:val="24"/>
        </w:rPr>
        <w:br w:type="page"/>
      </w:r>
    </w:p>
    <w:p w14:paraId="5E528D95" w14:textId="77777777" w:rsidR="00AA4761" w:rsidRPr="00AA4761" w:rsidRDefault="00AA4761" w:rsidP="00AA4761">
      <w:pPr>
        <w:spacing w:line="360" w:lineRule="auto"/>
        <w:rPr>
          <w:rFonts w:ascii="Arial" w:hAnsi="Arial" w:cs="Arial"/>
          <w:b/>
          <w:bCs/>
          <w:sz w:val="24"/>
          <w:szCs w:val="24"/>
        </w:rPr>
      </w:pPr>
      <w:r w:rsidRPr="00AA4761">
        <w:rPr>
          <w:rFonts w:ascii="Arial" w:hAnsi="Arial" w:cs="Arial"/>
          <w:b/>
          <w:bCs/>
          <w:sz w:val="24"/>
          <w:szCs w:val="24"/>
        </w:rPr>
        <w:lastRenderedPageBreak/>
        <w:t>SECTION 1</w:t>
      </w:r>
    </w:p>
    <w:p w14:paraId="200E6313" w14:textId="77777777" w:rsidR="0092569C" w:rsidRPr="0092569C" w:rsidRDefault="000A4AEE" w:rsidP="0092569C">
      <w:pPr>
        <w:spacing w:line="360" w:lineRule="auto"/>
        <w:rPr>
          <w:rFonts w:ascii="Arial" w:hAnsi="Arial" w:cs="Arial"/>
          <w:b/>
          <w:bCs/>
          <w:sz w:val="24"/>
          <w:szCs w:val="24"/>
        </w:rPr>
      </w:pPr>
      <w:r>
        <w:rPr>
          <w:rFonts w:ascii="Arial" w:hAnsi="Arial" w:cs="Arial"/>
          <w:b/>
          <w:bCs/>
          <w:sz w:val="24"/>
          <w:szCs w:val="24"/>
        </w:rPr>
        <w:t xml:space="preserve">1.0 </w:t>
      </w:r>
      <w:r w:rsidR="0092569C" w:rsidRPr="0092569C">
        <w:rPr>
          <w:rFonts w:ascii="Arial" w:hAnsi="Arial" w:cs="Arial"/>
          <w:b/>
          <w:bCs/>
          <w:sz w:val="24"/>
          <w:szCs w:val="24"/>
        </w:rPr>
        <w:t xml:space="preserve">The context and overview of the </w:t>
      </w:r>
      <w:proofErr w:type="spellStart"/>
      <w:r w:rsidR="0092569C" w:rsidRPr="0092569C">
        <w:rPr>
          <w:rFonts w:ascii="Arial" w:hAnsi="Arial" w:cs="Arial"/>
          <w:b/>
          <w:bCs/>
          <w:sz w:val="24"/>
          <w:szCs w:val="24"/>
        </w:rPr>
        <w:t>organisation</w:t>
      </w:r>
      <w:proofErr w:type="spellEnd"/>
      <w:r w:rsidR="0092569C" w:rsidRPr="0092569C">
        <w:rPr>
          <w:rFonts w:ascii="Arial" w:hAnsi="Arial" w:cs="Arial"/>
          <w:b/>
          <w:bCs/>
          <w:sz w:val="24"/>
          <w:szCs w:val="24"/>
        </w:rPr>
        <w:t xml:space="preserve"> </w:t>
      </w:r>
    </w:p>
    <w:p w14:paraId="62FB907D" w14:textId="77777777" w:rsidR="0092569C" w:rsidRPr="000A4AEE" w:rsidRDefault="0092569C" w:rsidP="0092569C">
      <w:pPr>
        <w:spacing w:line="360" w:lineRule="auto"/>
        <w:rPr>
          <w:rFonts w:ascii="Arial" w:hAnsi="Arial" w:cs="Arial"/>
          <w:sz w:val="24"/>
          <w:szCs w:val="24"/>
        </w:rPr>
      </w:pPr>
      <w:r w:rsidRPr="000A4AEE">
        <w:rPr>
          <w:rFonts w:ascii="Arial" w:hAnsi="Arial" w:cs="Arial"/>
          <w:sz w:val="24"/>
          <w:szCs w:val="24"/>
        </w:rPr>
        <w:t xml:space="preserve">Tesla, Inc. is a multinational company that produces electric vehicles (EVs), energy storage systems, and works with the generation of solar energy (Vance, 2015). The </w:t>
      </w:r>
      <w:proofErr w:type="spellStart"/>
      <w:r w:rsidRPr="000A4AEE">
        <w:rPr>
          <w:rFonts w:ascii="Arial" w:hAnsi="Arial" w:cs="Arial"/>
          <w:sz w:val="24"/>
          <w:szCs w:val="24"/>
        </w:rPr>
        <w:t>organisation</w:t>
      </w:r>
      <w:proofErr w:type="spellEnd"/>
      <w:r w:rsidRPr="000A4AEE">
        <w:rPr>
          <w:rFonts w:ascii="Arial" w:hAnsi="Arial" w:cs="Arial"/>
          <w:sz w:val="24"/>
          <w:szCs w:val="24"/>
        </w:rPr>
        <w:t xml:space="preserve"> was established in 2003 by Martin Eberhard and Marc Tarpenning but it was the strategic leadership of Elon Musk, who joined in 2004 as a chairman and subsequently became Chief Executive Officer in 2004 (Mangram, 2012). The company is called after Nikola Tesla as an indication of a high level of electrification and technical innovation.</w:t>
      </w:r>
    </w:p>
    <w:p w14:paraId="67E2FB47" w14:textId="77777777" w:rsidR="0092569C" w:rsidRPr="000A4AEE" w:rsidRDefault="0092569C" w:rsidP="0092569C">
      <w:pPr>
        <w:spacing w:line="360" w:lineRule="auto"/>
        <w:rPr>
          <w:rFonts w:ascii="Arial" w:hAnsi="Arial" w:cs="Arial"/>
          <w:sz w:val="24"/>
          <w:szCs w:val="24"/>
        </w:rPr>
      </w:pPr>
      <w:r w:rsidRPr="000A4AEE">
        <w:rPr>
          <w:rFonts w:ascii="Arial" w:hAnsi="Arial" w:cs="Arial"/>
          <w:sz w:val="24"/>
          <w:szCs w:val="24"/>
        </w:rPr>
        <w:t>The mission of Tesla is to hasten the process of the world going green (Tesla, 2023a). Its strategic vision is not limited to manufacturing automobiles but it includes building an overall sustainable energy system, which includes electric mobility and battery storage as well as renewable power generation. Such a mission-oriented orientation is what sets Tesla apart among conventional automotive producers whose electrification initiatives have progressed, in general, gradually (Teece, 2018).</w:t>
      </w:r>
    </w:p>
    <w:p w14:paraId="09CEB3E7" w14:textId="77777777" w:rsidR="0092569C" w:rsidRPr="000A4AEE" w:rsidRDefault="0092569C" w:rsidP="0092569C">
      <w:pPr>
        <w:spacing w:line="360" w:lineRule="auto"/>
        <w:rPr>
          <w:rFonts w:ascii="Arial" w:hAnsi="Arial" w:cs="Arial"/>
          <w:sz w:val="24"/>
          <w:szCs w:val="24"/>
        </w:rPr>
      </w:pPr>
      <w:r w:rsidRPr="000A4AEE">
        <w:rPr>
          <w:rFonts w:ascii="Arial" w:hAnsi="Arial" w:cs="Arial"/>
          <w:sz w:val="24"/>
          <w:szCs w:val="24"/>
        </w:rPr>
        <w:t>The company has a disruptive business model that is vertically integrated. Tesla uses a direct-to-consumer model of sales through its company-owned retail outlets and online platforms, as opposed to the conventional automaker, which relies on a franchise dealership network (Rothaermel, 2024). It is also further strengthened through competitive differentiation that includes proprietary Supercharger network, over-the-air software updates, and Gigafactory manufacturing approach, which allow the economies of scale in battery manufacturing (Nieuwenhuis and Wells, 2015). The sources of revenues are automotive sales, regulatory credit sales, products of energy generation and storage, and related services (Tesla, 2023b).</w:t>
      </w:r>
    </w:p>
    <w:p w14:paraId="59D867FA" w14:textId="77777777" w:rsidR="0092569C" w:rsidRPr="000A4AEE" w:rsidRDefault="0092569C" w:rsidP="0092569C">
      <w:pPr>
        <w:spacing w:line="360" w:lineRule="auto"/>
        <w:rPr>
          <w:rFonts w:ascii="Arial" w:hAnsi="Arial" w:cs="Arial"/>
          <w:sz w:val="24"/>
          <w:szCs w:val="24"/>
        </w:rPr>
      </w:pPr>
      <w:r w:rsidRPr="000A4AEE">
        <w:rPr>
          <w:rFonts w:ascii="Arial" w:hAnsi="Arial" w:cs="Arial"/>
          <w:sz w:val="24"/>
          <w:szCs w:val="24"/>
        </w:rPr>
        <w:t>Lying in the field of the world automotive and clean energy market, Tesla competes with the increasing rivalry of other companies, including BYD and Volkswagen Group (</w:t>
      </w:r>
      <w:proofErr w:type="spellStart"/>
      <w:r w:rsidRPr="000A4AEE">
        <w:rPr>
          <w:rFonts w:ascii="Arial" w:hAnsi="Arial" w:cs="Arial"/>
          <w:sz w:val="24"/>
          <w:szCs w:val="24"/>
        </w:rPr>
        <w:t>BloombergNEF</w:t>
      </w:r>
      <w:proofErr w:type="spellEnd"/>
      <w:r w:rsidRPr="000A4AEE">
        <w:rPr>
          <w:rFonts w:ascii="Arial" w:hAnsi="Arial" w:cs="Arial"/>
          <w:sz w:val="24"/>
          <w:szCs w:val="24"/>
        </w:rPr>
        <w:t>, 2023). By 2023, Tesla's market share in the global EV industry had declined to about 19 percent, compared to more than 23 percent in 2022, and in part because of the fast growth of BYD (Statista, 2024). However, it leads in the high-end EV market in North America and Europe.</w:t>
      </w:r>
    </w:p>
    <w:p w14:paraId="5E19D176" w14:textId="77777777" w:rsidR="0092569C" w:rsidRPr="0092569C" w:rsidRDefault="0092569C" w:rsidP="0092569C">
      <w:pPr>
        <w:spacing w:line="360" w:lineRule="auto"/>
        <w:rPr>
          <w:rFonts w:ascii="Arial" w:hAnsi="Arial" w:cs="Arial"/>
          <w:b/>
          <w:bCs/>
          <w:sz w:val="24"/>
          <w:szCs w:val="24"/>
        </w:rPr>
      </w:pPr>
    </w:p>
    <w:p w14:paraId="1F858E6F" w14:textId="77777777" w:rsidR="0092569C" w:rsidRPr="0092569C" w:rsidRDefault="0092569C" w:rsidP="0092569C">
      <w:pPr>
        <w:spacing w:line="360" w:lineRule="auto"/>
        <w:rPr>
          <w:rFonts w:ascii="Arial" w:hAnsi="Arial" w:cs="Arial"/>
          <w:b/>
          <w:bCs/>
          <w:sz w:val="24"/>
          <w:szCs w:val="24"/>
        </w:rPr>
      </w:pPr>
      <w:r w:rsidRPr="0092569C">
        <w:rPr>
          <w:rFonts w:ascii="Arial" w:hAnsi="Arial" w:cs="Arial"/>
          <w:b/>
          <w:bCs/>
          <w:sz w:val="24"/>
          <w:szCs w:val="24"/>
        </w:rPr>
        <w:lastRenderedPageBreak/>
        <w:t>2.0 External and internal Environment Analysis.</w:t>
      </w:r>
    </w:p>
    <w:p w14:paraId="61B607BF" w14:textId="77777777" w:rsidR="0092569C" w:rsidRDefault="0092569C" w:rsidP="0092569C">
      <w:pPr>
        <w:spacing w:line="360" w:lineRule="auto"/>
        <w:rPr>
          <w:rFonts w:ascii="Arial" w:hAnsi="Arial" w:cs="Arial"/>
          <w:b/>
          <w:bCs/>
          <w:sz w:val="24"/>
          <w:szCs w:val="24"/>
        </w:rPr>
      </w:pPr>
      <w:r w:rsidRPr="0092569C">
        <w:rPr>
          <w:rFonts w:ascii="Arial" w:hAnsi="Arial" w:cs="Arial"/>
          <w:b/>
          <w:bCs/>
          <w:sz w:val="24"/>
          <w:szCs w:val="24"/>
        </w:rPr>
        <w:t>2.1 External Environment: PESTEL Analysis.</w:t>
      </w:r>
    </w:p>
    <w:tbl>
      <w:tblPr>
        <w:tblStyle w:val="TableGrid"/>
        <w:tblW w:w="9360" w:type="dxa"/>
        <w:tblLook w:val="04A0" w:firstRow="1" w:lastRow="0" w:firstColumn="1" w:lastColumn="0" w:noHBand="0" w:noVBand="1"/>
      </w:tblPr>
      <w:tblGrid>
        <w:gridCol w:w="1559"/>
        <w:gridCol w:w="4258"/>
        <w:gridCol w:w="3543"/>
      </w:tblGrid>
      <w:tr w:rsidR="00360F21" w14:paraId="583318C5" w14:textId="77777777" w:rsidTr="00360F21">
        <w:tc>
          <w:tcPr>
            <w:tcW w:w="0" w:type="auto"/>
            <w:noWrap/>
            <w:hideMark/>
          </w:tcPr>
          <w:p w14:paraId="1F5418E9" w14:textId="77777777" w:rsidR="00360F21" w:rsidRDefault="00360F21">
            <w:pPr>
              <w:spacing w:before="480" w:after="480"/>
              <w:jc w:val="center"/>
              <w:rPr>
                <w:b/>
                <w:bCs/>
                <w:sz w:val="21"/>
                <w:szCs w:val="21"/>
              </w:rPr>
            </w:pPr>
            <w:r>
              <w:rPr>
                <w:b/>
                <w:bCs/>
                <w:sz w:val="21"/>
                <w:szCs w:val="21"/>
              </w:rPr>
              <w:t>Factor</w:t>
            </w:r>
          </w:p>
        </w:tc>
        <w:tc>
          <w:tcPr>
            <w:tcW w:w="0" w:type="auto"/>
            <w:noWrap/>
            <w:hideMark/>
          </w:tcPr>
          <w:p w14:paraId="784C530C" w14:textId="77777777" w:rsidR="00360F21" w:rsidRDefault="00360F21">
            <w:pPr>
              <w:spacing w:before="480" w:after="480"/>
              <w:jc w:val="center"/>
              <w:rPr>
                <w:b/>
                <w:bCs/>
                <w:sz w:val="21"/>
                <w:szCs w:val="21"/>
              </w:rPr>
            </w:pPr>
            <w:r>
              <w:rPr>
                <w:b/>
                <w:bCs/>
                <w:sz w:val="21"/>
                <w:szCs w:val="21"/>
              </w:rPr>
              <w:t>Key Issues Affecting Tesla</w:t>
            </w:r>
          </w:p>
        </w:tc>
        <w:tc>
          <w:tcPr>
            <w:tcW w:w="0" w:type="auto"/>
            <w:noWrap/>
            <w:hideMark/>
          </w:tcPr>
          <w:p w14:paraId="231ADA3D" w14:textId="77777777" w:rsidR="00360F21" w:rsidRDefault="00360F21">
            <w:pPr>
              <w:spacing w:before="480" w:after="480"/>
              <w:jc w:val="center"/>
              <w:rPr>
                <w:b/>
                <w:bCs/>
                <w:sz w:val="21"/>
                <w:szCs w:val="21"/>
              </w:rPr>
            </w:pPr>
            <w:r>
              <w:rPr>
                <w:b/>
                <w:bCs/>
                <w:sz w:val="21"/>
                <w:szCs w:val="21"/>
              </w:rPr>
              <w:t>Strategic Implications</w:t>
            </w:r>
          </w:p>
        </w:tc>
      </w:tr>
      <w:tr w:rsidR="00360F21" w14:paraId="33A9B24F" w14:textId="77777777" w:rsidTr="00360F21">
        <w:tc>
          <w:tcPr>
            <w:tcW w:w="0" w:type="auto"/>
            <w:hideMark/>
          </w:tcPr>
          <w:p w14:paraId="3B4A29C3" w14:textId="77777777" w:rsidR="00360F21" w:rsidRDefault="00360F21">
            <w:pPr>
              <w:spacing w:before="480" w:after="480"/>
              <w:rPr>
                <w:sz w:val="21"/>
                <w:szCs w:val="21"/>
              </w:rPr>
            </w:pPr>
            <w:r>
              <w:rPr>
                <w:sz w:val="21"/>
                <w:szCs w:val="21"/>
              </w:rPr>
              <w:t>Political</w:t>
            </w:r>
          </w:p>
        </w:tc>
        <w:tc>
          <w:tcPr>
            <w:tcW w:w="0" w:type="auto"/>
            <w:hideMark/>
          </w:tcPr>
          <w:p w14:paraId="273102C5" w14:textId="77777777" w:rsidR="00360F21" w:rsidRDefault="00360F21">
            <w:pPr>
              <w:spacing w:before="480" w:after="480"/>
              <w:rPr>
                <w:sz w:val="21"/>
                <w:szCs w:val="21"/>
              </w:rPr>
            </w:pPr>
            <w:r>
              <w:rPr>
                <w:sz w:val="21"/>
                <w:szCs w:val="21"/>
              </w:rPr>
              <w:t>EV subsidies, tax credits, ZEV mandates, US Inflation Reduction Act, US–China trade tensions</w:t>
            </w:r>
          </w:p>
        </w:tc>
        <w:tc>
          <w:tcPr>
            <w:tcW w:w="0" w:type="auto"/>
            <w:hideMark/>
          </w:tcPr>
          <w:p w14:paraId="1E440CBF" w14:textId="77777777" w:rsidR="00360F21" w:rsidRDefault="00360F21">
            <w:pPr>
              <w:spacing w:before="480" w:after="480"/>
              <w:rPr>
                <w:sz w:val="21"/>
                <w:szCs w:val="21"/>
              </w:rPr>
            </w:pPr>
            <w:r>
              <w:rPr>
                <w:sz w:val="21"/>
                <w:szCs w:val="21"/>
              </w:rPr>
              <w:t>Supports EV demand and domestic production, but creates geopolitical and supply chain risk</w:t>
            </w:r>
          </w:p>
        </w:tc>
      </w:tr>
      <w:tr w:rsidR="00360F21" w14:paraId="463DAF19" w14:textId="77777777" w:rsidTr="00360F21">
        <w:tc>
          <w:tcPr>
            <w:tcW w:w="0" w:type="auto"/>
            <w:hideMark/>
          </w:tcPr>
          <w:p w14:paraId="102A6003" w14:textId="77777777" w:rsidR="00360F21" w:rsidRDefault="00360F21">
            <w:pPr>
              <w:spacing w:before="480" w:after="480"/>
              <w:rPr>
                <w:sz w:val="21"/>
                <w:szCs w:val="21"/>
              </w:rPr>
            </w:pPr>
            <w:r>
              <w:rPr>
                <w:sz w:val="21"/>
                <w:szCs w:val="21"/>
              </w:rPr>
              <w:t>Economic</w:t>
            </w:r>
          </w:p>
        </w:tc>
        <w:tc>
          <w:tcPr>
            <w:tcW w:w="0" w:type="auto"/>
            <w:hideMark/>
          </w:tcPr>
          <w:p w14:paraId="44B2085D" w14:textId="77777777" w:rsidR="00360F21" w:rsidRDefault="00360F21">
            <w:pPr>
              <w:spacing w:before="480" w:after="480"/>
              <w:rPr>
                <w:sz w:val="21"/>
                <w:szCs w:val="21"/>
              </w:rPr>
            </w:pPr>
            <w:r>
              <w:rPr>
                <w:sz w:val="21"/>
                <w:szCs w:val="21"/>
              </w:rPr>
              <w:t>High interest rates, exchange-rate volatility, raw material price fluctuations, Tesla price cuts</w:t>
            </w:r>
          </w:p>
        </w:tc>
        <w:tc>
          <w:tcPr>
            <w:tcW w:w="0" w:type="auto"/>
            <w:hideMark/>
          </w:tcPr>
          <w:p w14:paraId="7CF7B73E" w14:textId="77777777" w:rsidR="00360F21" w:rsidRDefault="00360F21">
            <w:pPr>
              <w:spacing w:before="480" w:after="480"/>
              <w:rPr>
                <w:sz w:val="21"/>
                <w:szCs w:val="21"/>
              </w:rPr>
            </w:pPr>
            <w:r>
              <w:rPr>
                <w:sz w:val="21"/>
                <w:szCs w:val="21"/>
              </w:rPr>
              <w:t>Reduces affordability, compresses margins, and increases cost pressure</w:t>
            </w:r>
          </w:p>
        </w:tc>
      </w:tr>
      <w:tr w:rsidR="00360F21" w14:paraId="091ED052" w14:textId="77777777" w:rsidTr="00360F21">
        <w:tc>
          <w:tcPr>
            <w:tcW w:w="0" w:type="auto"/>
            <w:hideMark/>
          </w:tcPr>
          <w:p w14:paraId="47732960" w14:textId="77777777" w:rsidR="00360F21" w:rsidRDefault="00360F21">
            <w:pPr>
              <w:spacing w:before="480" w:after="480"/>
              <w:rPr>
                <w:sz w:val="21"/>
                <w:szCs w:val="21"/>
              </w:rPr>
            </w:pPr>
            <w:r>
              <w:rPr>
                <w:sz w:val="21"/>
                <w:szCs w:val="21"/>
              </w:rPr>
              <w:t>Social</w:t>
            </w:r>
          </w:p>
        </w:tc>
        <w:tc>
          <w:tcPr>
            <w:tcW w:w="0" w:type="auto"/>
            <w:hideMark/>
          </w:tcPr>
          <w:p w14:paraId="280712CE" w14:textId="77777777" w:rsidR="00360F21" w:rsidRDefault="00360F21">
            <w:pPr>
              <w:spacing w:before="480" w:after="480"/>
              <w:rPr>
                <w:sz w:val="21"/>
                <w:szCs w:val="21"/>
              </w:rPr>
            </w:pPr>
            <w:r>
              <w:rPr>
                <w:sz w:val="21"/>
                <w:szCs w:val="21"/>
              </w:rPr>
              <w:t>Rising environmental awareness, demand for sustainable products, ethical sourcing concerns, leadership image issues</w:t>
            </w:r>
          </w:p>
        </w:tc>
        <w:tc>
          <w:tcPr>
            <w:tcW w:w="0" w:type="auto"/>
            <w:hideMark/>
          </w:tcPr>
          <w:p w14:paraId="326934E4" w14:textId="77777777" w:rsidR="00360F21" w:rsidRDefault="00360F21">
            <w:pPr>
              <w:spacing w:before="480" w:after="480"/>
              <w:rPr>
                <w:sz w:val="21"/>
                <w:szCs w:val="21"/>
              </w:rPr>
            </w:pPr>
            <w:r>
              <w:rPr>
                <w:sz w:val="21"/>
                <w:szCs w:val="21"/>
              </w:rPr>
              <w:t>Strengthens Tesla’s brand appeal, but raises reputational and employee-retention risks</w:t>
            </w:r>
          </w:p>
        </w:tc>
      </w:tr>
      <w:tr w:rsidR="00360F21" w14:paraId="0ADBA462" w14:textId="77777777" w:rsidTr="00360F21">
        <w:tc>
          <w:tcPr>
            <w:tcW w:w="0" w:type="auto"/>
            <w:hideMark/>
          </w:tcPr>
          <w:p w14:paraId="7E2A83D2" w14:textId="77777777" w:rsidR="00360F21" w:rsidRDefault="00360F21">
            <w:pPr>
              <w:spacing w:before="480" w:after="480"/>
              <w:rPr>
                <w:sz w:val="21"/>
                <w:szCs w:val="21"/>
              </w:rPr>
            </w:pPr>
            <w:r>
              <w:rPr>
                <w:sz w:val="21"/>
                <w:szCs w:val="21"/>
              </w:rPr>
              <w:t>Technological</w:t>
            </w:r>
          </w:p>
        </w:tc>
        <w:tc>
          <w:tcPr>
            <w:tcW w:w="0" w:type="auto"/>
            <w:hideMark/>
          </w:tcPr>
          <w:p w14:paraId="40100BAC" w14:textId="77777777" w:rsidR="00360F21" w:rsidRDefault="00360F21">
            <w:pPr>
              <w:spacing w:before="480" w:after="480"/>
              <w:rPr>
                <w:sz w:val="21"/>
                <w:szCs w:val="21"/>
              </w:rPr>
            </w:pPr>
            <w:r>
              <w:rPr>
                <w:sz w:val="21"/>
                <w:szCs w:val="21"/>
              </w:rPr>
              <w:t>Battery innovation, AI, autonomous driving, software updates, cybersecurity threats, solid-state battery competition</w:t>
            </w:r>
          </w:p>
        </w:tc>
        <w:tc>
          <w:tcPr>
            <w:tcW w:w="0" w:type="auto"/>
            <w:hideMark/>
          </w:tcPr>
          <w:p w14:paraId="429C8D0B" w14:textId="77777777" w:rsidR="00360F21" w:rsidRDefault="00360F21">
            <w:pPr>
              <w:spacing w:before="480" w:after="480"/>
              <w:rPr>
                <w:sz w:val="21"/>
                <w:szCs w:val="21"/>
              </w:rPr>
            </w:pPr>
            <w:r>
              <w:rPr>
                <w:sz w:val="21"/>
                <w:szCs w:val="21"/>
              </w:rPr>
              <w:t>Creates strong differentiation, but requires continuous R&amp;D and rapid innovation</w:t>
            </w:r>
          </w:p>
        </w:tc>
      </w:tr>
      <w:tr w:rsidR="00360F21" w14:paraId="694EA3AC" w14:textId="77777777" w:rsidTr="00360F21">
        <w:tc>
          <w:tcPr>
            <w:tcW w:w="0" w:type="auto"/>
            <w:hideMark/>
          </w:tcPr>
          <w:p w14:paraId="273DFEB9" w14:textId="77777777" w:rsidR="00360F21" w:rsidRDefault="00360F21">
            <w:pPr>
              <w:spacing w:before="480" w:after="480"/>
              <w:rPr>
                <w:sz w:val="21"/>
                <w:szCs w:val="21"/>
              </w:rPr>
            </w:pPr>
            <w:r>
              <w:rPr>
                <w:sz w:val="21"/>
                <w:szCs w:val="21"/>
              </w:rPr>
              <w:t>Environmental</w:t>
            </w:r>
          </w:p>
        </w:tc>
        <w:tc>
          <w:tcPr>
            <w:tcW w:w="0" w:type="auto"/>
            <w:hideMark/>
          </w:tcPr>
          <w:p w14:paraId="1061BEC0" w14:textId="77777777" w:rsidR="00360F21" w:rsidRDefault="00360F21">
            <w:pPr>
              <w:spacing w:before="480" w:after="480"/>
              <w:rPr>
                <w:sz w:val="21"/>
                <w:szCs w:val="21"/>
              </w:rPr>
            </w:pPr>
            <w:r>
              <w:rPr>
                <w:sz w:val="21"/>
                <w:szCs w:val="21"/>
              </w:rPr>
              <w:t xml:space="preserve">Global </w:t>
            </w:r>
            <w:proofErr w:type="spellStart"/>
            <w:r>
              <w:rPr>
                <w:sz w:val="21"/>
                <w:szCs w:val="21"/>
              </w:rPr>
              <w:t>decarbonisation</w:t>
            </w:r>
            <w:proofErr w:type="spellEnd"/>
            <w:r>
              <w:rPr>
                <w:sz w:val="21"/>
                <w:szCs w:val="21"/>
              </w:rPr>
              <w:t xml:space="preserve"> policies, EU 2035 ICE ban, emissions concerns in battery production</w:t>
            </w:r>
          </w:p>
        </w:tc>
        <w:tc>
          <w:tcPr>
            <w:tcW w:w="0" w:type="auto"/>
            <w:hideMark/>
          </w:tcPr>
          <w:p w14:paraId="10DF806E" w14:textId="77777777" w:rsidR="00360F21" w:rsidRDefault="00360F21">
            <w:pPr>
              <w:spacing w:before="480" w:after="480"/>
              <w:rPr>
                <w:sz w:val="21"/>
                <w:szCs w:val="21"/>
              </w:rPr>
            </w:pPr>
            <w:r>
              <w:rPr>
                <w:sz w:val="21"/>
                <w:szCs w:val="21"/>
              </w:rPr>
              <w:t>Increases long-term EV demand, but puts pressure on Tesla to improve supply chain sustainability</w:t>
            </w:r>
          </w:p>
        </w:tc>
      </w:tr>
      <w:tr w:rsidR="00360F21" w14:paraId="57838434" w14:textId="77777777" w:rsidTr="00360F21">
        <w:tc>
          <w:tcPr>
            <w:tcW w:w="0" w:type="auto"/>
            <w:hideMark/>
          </w:tcPr>
          <w:p w14:paraId="08E9E1AB" w14:textId="77777777" w:rsidR="00360F21" w:rsidRDefault="00360F21">
            <w:pPr>
              <w:spacing w:before="480" w:after="480"/>
              <w:rPr>
                <w:sz w:val="21"/>
                <w:szCs w:val="21"/>
              </w:rPr>
            </w:pPr>
            <w:r>
              <w:rPr>
                <w:sz w:val="21"/>
                <w:szCs w:val="21"/>
              </w:rPr>
              <w:t>Legal</w:t>
            </w:r>
          </w:p>
        </w:tc>
        <w:tc>
          <w:tcPr>
            <w:tcW w:w="0" w:type="auto"/>
            <w:hideMark/>
          </w:tcPr>
          <w:p w14:paraId="0F830AFB" w14:textId="77777777" w:rsidR="00360F21" w:rsidRDefault="00360F21">
            <w:pPr>
              <w:spacing w:before="480" w:after="480"/>
              <w:rPr>
                <w:sz w:val="21"/>
                <w:szCs w:val="21"/>
              </w:rPr>
            </w:pPr>
            <w:r>
              <w:rPr>
                <w:sz w:val="21"/>
                <w:szCs w:val="21"/>
              </w:rPr>
              <w:t>Vehicle safety regulations, data protection, Autopilot investigations, recalls, IP issues</w:t>
            </w:r>
          </w:p>
        </w:tc>
        <w:tc>
          <w:tcPr>
            <w:tcW w:w="0" w:type="auto"/>
            <w:hideMark/>
          </w:tcPr>
          <w:p w14:paraId="3148F8F4" w14:textId="77777777" w:rsidR="00360F21" w:rsidRDefault="00360F21">
            <w:pPr>
              <w:spacing w:before="480" w:after="480"/>
              <w:rPr>
                <w:sz w:val="21"/>
                <w:szCs w:val="21"/>
              </w:rPr>
            </w:pPr>
            <w:r>
              <w:rPr>
                <w:sz w:val="21"/>
                <w:szCs w:val="21"/>
              </w:rPr>
              <w:t>Increases compliance costs and legal exposure, especially in autonomous driving</w:t>
            </w:r>
          </w:p>
        </w:tc>
      </w:tr>
    </w:tbl>
    <w:p w14:paraId="6B739761" w14:textId="77777777" w:rsidR="00360F21" w:rsidRPr="00360F21" w:rsidRDefault="00360F21" w:rsidP="00360F21">
      <w:pPr>
        <w:spacing w:line="360" w:lineRule="auto"/>
        <w:ind w:left="1440" w:firstLine="720"/>
        <w:rPr>
          <w:rFonts w:ascii="Arial" w:hAnsi="Arial" w:cs="Arial"/>
          <w:b/>
          <w:bCs/>
          <w:sz w:val="24"/>
          <w:szCs w:val="24"/>
        </w:rPr>
      </w:pPr>
      <w:r w:rsidRPr="00360F21">
        <w:rPr>
          <w:rFonts w:ascii="Arial" w:hAnsi="Arial" w:cs="Arial"/>
          <w:b/>
          <w:bCs/>
          <w:sz w:val="24"/>
          <w:szCs w:val="24"/>
        </w:rPr>
        <w:t>Table 1: PESTEL Analysis of Tesla, Inc.</w:t>
      </w:r>
    </w:p>
    <w:p w14:paraId="4C8351EF" w14:textId="77777777" w:rsidR="00360F21" w:rsidRPr="0092569C" w:rsidRDefault="00360F21" w:rsidP="0092569C">
      <w:pPr>
        <w:spacing w:line="360" w:lineRule="auto"/>
        <w:rPr>
          <w:rFonts w:ascii="Arial" w:hAnsi="Arial" w:cs="Arial"/>
          <w:b/>
          <w:bCs/>
          <w:sz w:val="24"/>
          <w:szCs w:val="24"/>
        </w:rPr>
      </w:pPr>
    </w:p>
    <w:p w14:paraId="64EB14AA" w14:textId="77777777" w:rsidR="0092569C" w:rsidRPr="000A4AEE" w:rsidRDefault="0092569C" w:rsidP="0092569C">
      <w:pPr>
        <w:spacing w:line="360" w:lineRule="auto"/>
        <w:rPr>
          <w:rFonts w:ascii="Arial" w:hAnsi="Arial" w:cs="Arial"/>
          <w:sz w:val="24"/>
          <w:szCs w:val="24"/>
        </w:rPr>
      </w:pPr>
      <w:r w:rsidRPr="000A4AEE">
        <w:rPr>
          <w:rFonts w:ascii="Arial" w:hAnsi="Arial" w:cs="Arial"/>
          <w:sz w:val="24"/>
          <w:szCs w:val="24"/>
        </w:rPr>
        <w:lastRenderedPageBreak/>
        <w:t xml:space="preserve">PESTEL analysis provides an </w:t>
      </w:r>
      <w:proofErr w:type="spellStart"/>
      <w:r w:rsidRPr="000A4AEE">
        <w:rPr>
          <w:rFonts w:ascii="Arial" w:hAnsi="Arial" w:cs="Arial"/>
          <w:sz w:val="24"/>
          <w:szCs w:val="24"/>
        </w:rPr>
        <w:t>organised</w:t>
      </w:r>
      <w:proofErr w:type="spellEnd"/>
      <w:r w:rsidRPr="000A4AEE">
        <w:rPr>
          <w:rFonts w:ascii="Arial" w:hAnsi="Arial" w:cs="Arial"/>
          <w:sz w:val="24"/>
          <w:szCs w:val="24"/>
        </w:rPr>
        <w:t xml:space="preserve"> framework of assessing the macro-environmental forces on </w:t>
      </w:r>
      <w:proofErr w:type="spellStart"/>
      <w:r w:rsidRPr="000A4AEE">
        <w:rPr>
          <w:rFonts w:ascii="Arial" w:hAnsi="Arial" w:cs="Arial"/>
          <w:sz w:val="24"/>
          <w:szCs w:val="24"/>
        </w:rPr>
        <w:t>organisational</w:t>
      </w:r>
      <w:proofErr w:type="spellEnd"/>
      <w:r w:rsidRPr="000A4AEE">
        <w:rPr>
          <w:rFonts w:ascii="Arial" w:hAnsi="Arial" w:cs="Arial"/>
          <w:sz w:val="24"/>
          <w:szCs w:val="24"/>
        </w:rPr>
        <w:t xml:space="preserve"> strategy (Johnson, Whittington and Scholes, 2017). In case of Tesla, Inc., these forces create enormous growth opportunities as well as strategic weakness in its global operations.</w:t>
      </w:r>
    </w:p>
    <w:p w14:paraId="2984AB9B" w14:textId="77777777" w:rsidR="0092569C" w:rsidRPr="000A4AEE" w:rsidRDefault="0092569C" w:rsidP="0092569C">
      <w:pPr>
        <w:spacing w:line="360" w:lineRule="auto"/>
        <w:rPr>
          <w:rFonts w:ascii="Arial" w:hAnsi="Arial" w:cs="Arial"/>
          <w:b/>
          <w:bCs/>
          <w:sz w:val="24"/>
          <w:szCs w:val="24"/>
        </w:rPr>
      </w:pPr>
      <w:r w:rsidRPr="000A4AEE">
        <w:rPr>
          <w:rFonts w:ascii="Arial" w:hAnsi="Arial" w:cs="Arial"/>
          <w:b/>
          <w:bCs/>
          <w:sz w:val="24"/>
          <w:szCs w:val="24"/>
        </w:rPr>
        <w:t>Political Factors</w:t>
      </w:r>
    </w:p>
    <w:p w14:paraId="61B817B9" w14:textId="77777777" w:rsidR="0092569C" w:rsidRPr="000A18CD" w:rsidRDefault="0092569C" w:rsidP="0092569C">
      <w:pPr>
        <w:spacing w:line="360" w:lineRule="auto"/>
        <w:rPr>
          <w:rFonts w:ascii="Arial" w:hAnsi="Arial" w:cs="Arial"/>
          <w:sz w:val="24"/>
          <w:szCs w:val="24"/>
        </w:rPr>
      </w:pPr>
      <w:r w:rsidRPr="000A4AEE">
        <w:rPr>
          <w:rFonts w:ascii="Arial" w:hAnsi="Arial" w:cs="Arial"/>
          <w:sz w:val="24"/>
          <w:szCs w:val="24"/>
        </w:rPr>
        <w:t>One of the key factors of EV industry growth is a public policy. The EV adoption has been boosted by subsidies, tax breaks, and zero-emission vehicle (ZEV) requirements in the United States, European Union, and China (Sperling, 2018). With a maximum tax credit of up to 7500, the US Inflation Reduction Act (2022) offers tax credits on qualifying domestically manufactured EVs directly benefiting Tesla production plants in the US (US Department of Energy, 2023). On the other hand, the existence of geopolitical tensions in terms of the US-China trade has posed a supply chain and operational risk, especially to the Shanghai Gigafactory of Tesla (</w:t>
      </w:r>
      <w:proofErr w:type="spellStart"/>
      <w:r w:rsidRPr="000A4AEE">
        <w:rPr>
          <w:rFonts w:ascii="Arial" w:hAnsi="Arial" w:cs="Arial"/>
          <w:sz w:val="24"/>
          <w:szCs w:val="24"/>
        </w:rPr>
        <w:t>Evenett</w:t>
      </w:r>
      <w:proofErr w:type="spellEnd"/>
      <w:r w:rsidRPr="000A4AEE">
        <w:rPr>
          <w:rFonts w:ascii="Arial" w:hAnsi="Arial" w:cs="Arial"/>
          <w:sz w:val="24"/>
          <w:szCs w:val="24"/>
        </w:rPr>
        <w:t xml:space="preserve"> and Fritz, 2021). The challenge of political instability and regulatory uncertainty in the emerging markets also create further reasons why risk management should be taken proactively.</w:t>
      </w:r>
    </w:p>
    <w:p w14:paraId="6E72F9CF" w14:textId="77777777" w:rsidR="0092569C" w:rsidRPr="0092569C" w:rsidRDefault="0092569C" w:rsidP="0092569C">
      <w:pPr>
        <w:spacing w:line="360" w:lineRule="auto"/>
        <w:rPr>
          <w:rFonts w:ascii="Arial" w:hAnsi="Arial" w:cs="Arial"/>
          <w:b/>
          <w:bCs/>
          <w:sz w:val="24"/>
          <w:szCs w:val="24"/>
        </w:rPr>
      </w:pPr>
      <w:r w:rsidRPr="0092569C">
        <w:rPr>
          <w:rFonts w:ascii="Arial" w:hAnsi="Arial" w:cs="Arial"/>
          <w:b/>
          <w:bCs/>
          <w:sz w:val="24"/>
          <w:szCs w:val="24"/>
        </w:rPr>
        <w:t>Economic Factors</w:t>
      </w:r>
    </w:p>
    <w:p w14:paraId="4BE65FBA" w14:textId="77777777" w:rsidR="0092569C" w:rsidRPr="000A4AEE" w:rsidRDefault="0092569C" w:rsidP="0092569C">
      <w:pPr>
        <w:spacing w:line="360" w:lineRule="auto"/>
        <w:rPr>
          <w:rFonts w:ascii="Arial" w:hAnsi="Arial" w:cs="Arial"/>
          <w:sz w:val="24"/>
          <w:szCs w:val="24"/>
        </w:rPr>
      </w:pPr>
      <w:r w:rsidRPr="000A4AEE">
        <w:rPr>
          <w:rFonts w:ascii="Arial" w:hAnsi="Arial" w:cs="Arial"/>
          <w:sz w:val="24"/>
          <w:szCs w:val="24"/>
        </w:rPr>
        <w:t>The automotive demand is heavily influenced by the macroeconomic conditions. The elevated costs of vehicle financing in 2022-2024 due to increasing rates in global interest rates may reduce the demand of Tesla vehicles with premium prices (IMF, 2023). Tesla in turn responded with extreme price cuts in 2023 to maintain volume growth at the cost of reduced margins and casting doubt on long-term pricing power (Bloomberg, 2023). The issue of exchange-rate volatility also impacts the profitability because Tesla has a geographically diversified manufacturing presence (Hill, 2022). Also, the costs of raw materials especially lithium and cobalt vary, straining cost structures.</w:t>
      </w:r>
    </w:p>
    <w:p w14:paraId="5FF34134" w14:textId="77777777" w:rsidR="0092569C" w:rsidRPr="0092569C" w:rsidRDefault="0092569C" w:rsidP="0092569C">
      <w:pPr>
        <w:spacing w:line="360" w:lineRule="auto"/>
        <w:rPr>
          <w:rFonts w:ascii="Arial" w:hAnsi="Arial" w:cs="Arial"/>
          <w:b/>
          <w:bCs/>
          <w:sz w:val="24"/>
          <w:szCs w:val="24"/>
        </w:rPr>
      </w:pPr>
      <w:r w:rsidRPr="0092569C">
        <w:rPr>
          <w:rFonts w:ascii="Arial" w:hAnsi="Arial" w:cs="Arial"/>
          <w:b/>
          <w:bCs/>
          <w:sz w:val="24"/>
          <w:szCs w:val="24"/>
        </w:rPr>
        <w:t>Social Factors</w:t>
      </w:r>
    </w:p>
    <w:p w14:paraId="1219518B" w14:textId="77777777" w:rsidR="0092569C" w:rsidRPr="000A4AEE" w:rsidRDefault="0092569C" w:rsidP="0092569C">
      <w:pPr>
        <w:spacing w:line="360" w:lineRule="auto"/>
        <w:rPr>
          <w:rFonts w:ascii="Arial" w:hAnsi="Arial" w:cs="Arial"/>
          <w:sz w:val="24"/>
          <w:szCs w:val="24"/>
        </w:rPr>
      </w:pPr>
      <w:r w:rsidRPr="000A4AEE">
        <w:rPr>
          <w:rFonts w:ascii="Arial" w:hAnsi="Arial" w:cs="Arial"/>
          <w:sz w:val="24"/>
          <w:szCs w:val="24"/>
        </w:rPr>
        <w:t xml:space="preserve">The growing consumer demand towards sustainability and ethical consumption reinforces the demand of EV (Kotler and Keller, 2022). The increased consideration of the ecological environment, especially the younger population, is correlated with the Tesla brand image of a sustainable technological developer. Nevertheless, </w:t>
      </w:r>
      <w:r w:rsidRPr="000A4AEE">
        <w:rPr>
          <w:rFonts w:ascii="Arial" w:hAnsi="Arial" w:cs="Arial"/>
          <w:sz w:val="24"/>
          <w:szCs w:val="24"/>
        </w:rPr>
        <w:lastRenderedPageBreak/>
        <w:t xml:space="preserve">reputational risks still exist. The issue of ethical sourcing of cobalt and lithium, </w:t>
      </w:r>
      <w:proofErr w:type="spellStart"/>
      <w:r w:rsidRPr="000A4AEE">
        <w:rPr>
          <w:rFonts w:ascii="Arial" w:hAnsi="Arial" w:cs="Arial"/>
          <w:sz w:val="24"/>
          <w:szCs w:val="24"/>
        </w:rPr>
        <w:t>labour</w:t>
      </w:r>
      <w:proofErr w:type="spellEnd"/>
      <w:r w:rsidRPr="000A4AEE">
        <w:rPr>
          <w:rFonts w:ascii="Arial" w:hAnsi="Arial" w:cs="Arial"/>
          <w:sz w:val="24"/>
          <w:szCs w:val="24"/>
        </w:rPr>
        <w:t>, and battery disposal impacts raise questions about sustainability narratives (Amnesty International, 2016). Moreover, Elon Musk might have an impact on consumer perception and employee retention as a result of the publicity of the practices and the leadership culture in the workplace (Wong, 2022).</w:t>
      </w:r>
    </w:p>
    <w:p w14:paraId="7059F951" w14:textId="77777777" w:rsidR="0092569C" w:rsidRPr="0092569C" w:rsidRDefault="0092569C" w:rsidP="0092569C">
      <w:pPr>
        <w:spacing w:line="360" w:lineRule="auto"/>
        <w:rPr>
          <w:rFonts w:ascii="Arial" w:hAnsi="Arial" w:cs="Arial"/>
          <w:b/>
          <w:bCs/>
          <w:sz w:val="24"/>
          <w:szCs w:val="24"/>
        </w:rPr>
      </w:pPr>
      <w:r w:rsidRPr="0092569C">
        <w:rPr>
          <w:rFonts w:ascii="Arial" w:hAnsi="Arial" w:cs="Arial"/>
          <w:b/>
          <w:bCs/>
          <w:sz w:val="24"/>
          <w:szCs w:val="24"/>
        </w:rPr>
        <w:t>Technological Factors</w:t>
      </w:r>
    </w:p>
    <w:p w14:paraId="46BE7EA1" w14:textId="77777777" w:rsidR="0092569C" w:rsidRPr="000A4AEE" w:rsidRDefault="0092569C" w:rsidP="0092569C">
      <w:pPr>
        <w:spacing w:line="360" w:lineRule="auto"/>
        <w:rPr>
          <w:rFonts w:ascii="Arial" w:hAnsi="Arial" w:cs="Arial"/>
          <w:sz w:val="24"/>
          <w:szCs w:val="24"/>
        </w:rPr>
      </w:pPr>
      <w:r w:rsidRPr="000A4AEE">
        <w:rPr>
          <w:rFonts w:ascii="Arial" w:hAnsi="Arial" w:cs="Arial"/>
          <w:sz w:val="24"/>
          <w:szCs w:val="24"/>
        </w:rPr>
        <w:t xml:space="preserve">The competitive advantage of Tesla is based on technological innovation. Lithium-ion battery </w:t>
      </w:r>
      <w:proofErr w:type="spellStart"/>
      <w:r w:rsidRPr="000A4AEE">
        <w:rPr>
          <w:rFonts w:ascii="Arial" w:hAnsi="Arial" w:cs="Arial"/>
          <w:sz w:val="24"/>
          <w:szCs w:val="24"/>
        </w:rPr>
        <w:t>optimisation</w:t>
      </w:r>
      <w:proofErr w:type="spellEnd"/>
      <w:r w:rsidRPr="000A4AEE">
        <w:rPr>
          <w:rFonts w:ascii="Arial" w:hAnsi="Arial" w:cs="Arial"/>
          <w:sz w:val="24"/>
          <w:szCs w:val="24"/>
        </w:rPr>
        <w:t xml:space="preserve">, autonomous driving software (Full Self-Driving), artificial intelligence, and manufacturing automation are some of the important strategic assets (Teece, 2018). Nevertheless, the rivalry in technology is increasing. Companies like Toyota Motor Corporation and </w:t>
      </w:r>
      <w:proofErr w:type="spellStart"/>
      <w:r w:rsidRPr="000A4AEE">
        <w:rPr>
          <w:rFonts w:ascii="Arial" w:hAnsi="Arial" w:cs="Arial"/>
          <w:sz w:val="24"/>
          <w:szCs w:val="24"/>
        </w:rPr>
        <w:t>QuantumScape</w:t>
      </w:r>
      <w:proofErr w:type="spellEnd"/>
      <w:r w:rsidRPr="000A4AEE">
        <w:rPr>
          <w:rFonts w:ascii="Arial" w:hAnsi="Arial" w:cs="Arial"/>
          <w:sz w:val="24"/>
          <w:szCs w:val="24"/>
        </w:rPr>
        <w:t xml:space="preserve"> are developing solid-state battery technology that has the potential to exceed the current lithium-ion technology (Jaffe, 2023). Also, the connected and autonomous vehicles cybersecurity vulnerabilities are the new threats (Lee and Shin, 2020).</w:t>
      </w:r>
    </w:p>
    <w:p w14:paraId="150CB70A" w14:textId="77777777" w:rsidR="0092569C" w:rsidRPr="0092569C" w:rsidRDefault="0092569C" w:rsidP="0092569C">
      <w:pPr>
        <w:spacing w:line="360" w:lineRule="auto"/>
        <w:rPr>
          <w:rFonts w:ascii="Arial" w:hAnsi="Arial" w:cs="Arial"/>
          <w:b/>
          <w:bCs/>
          <w:sz w:val="24"/>
          <w:szCs w:val="24"/>
        </w:rPr>
      </w:pPr>
      <w:r w:rsidRPr="0092569C">
        <w:rPr>
          <w:rFonts w:ascii="Arial" w:hAnsi="Arial" w:cs="Arial"/>
          <w:b/>
          <w:bCs/>
          <w:sz w:val="24"/>
          <w:szCs w:val="24"/>
        </w:rPr>
        <w:t>Environmental Factors</w:t>
      </w:r>
    </w:p>
    <w:p w14:paraId="23D6B83A" w14:textId="77777777" w:rsidR="0092569C" w:rsidRPr="000A4AEE" w:rsidRDefault="0092569C" w:rsidP="0092569C">
      <w:pPr>
        <w:spacing w:line="360" w:lineRule="auto"/>
        <w:rPr>
          <w:rFonts w:ascii="Arial" w:hAnsi="Arial" w:cs="Arial"/>
          <w:sz w:val="24"/>
          <w:szCs w:val="24"/>
        </w:rPr>
      </w:pPr>
      <w:r w:rsidRPr="000A4AEE">
        <w:rPr>
          <w:rFonts w:ascii="Arial" w:hAnsi="Arial" w:cs="Arial"/>
          <w:sz w:val="24"/>
          <w:szCs w:val="24"/>
        </w:rPr>
        <w:t xml:space="preserve">The policies on the </w:t>
      </w:r>
      <w:proofErr w:type="spellStart"/>
      <w:r w:rsidRPr="000A4AEE">
        <w:rPr>
          <w:rFonts w:ascii="Arial" w:hAnsi="Arial" w:cs="Arial"/>
          <w:sz w:val="24"/>
          <w:szCs w:val="24"/>
        </w:rPr>
        <w:t>decarbonisation</w:t>
      </w:r>
      <w:proofErr w:type="spellEnd"/>
      <w:r w:rsidRPr="000A4AEE">
        <w:rPr>
          <w:rFonts w:ascii="Arial" w:hAnsi="Arial" w:cs="Arial"/>
          <w:sz w:val="24"/>
          <w:szCs w:val="24"/>
        </w:rPr>
        <w:t xml:space="preserve"> of the world offer structural tailwinds. The 2035 ban on new internal combustion engine (ICE) vehicle sales by the European Union contributes to the demand of EVs in the long run (European Commission, 2023). </w:t>
      </w:r>
      <w:r w:rsidR="009809D0" w:rsidRPr="000A4AEE">
        <w:rPr>
          <w:rFonts w:ascii="Arial" w:hAnsi="Arial" w:cs="Arial"/>
          <w:sz w:val="24"/>
          <w:szCs w:val="24"/>
        </w:rPr>
        <w:t xml:space="preserve">Climate-related issues advocated by the Intergovernmental Panel on climate change (IPCC, 2023) back the strategic applicability of electrification. </w:t>
      </w:r>
      <w:r w:rsidRPr="000A4AEE">
        <w:rPr>
          <w:rFonts w:ascii="Arial" w:hAnsi="Arial" w:cs="Arial"/>
          <w:sz w:val="24"/>
          <w:szCs w:val="24"/>
        </w:rPr>
        <w:t>However, Tesla will have to focus on battery production emissions as well as supply chain sustainability (</w:t>
      </w:r>
      <w:proofErr w:type="spellStart"/>
      <w:r w:rsidRPr="000A4AEE">
        <w:rPr>
          <w:rFonts w:ascii="Arial" w:hAnsi="Arial" w:cs="Arial"/>
          <w:sz w:val="24"/>
          <w:szCs w:val="24"/>
        </w:rPr>
        <w:t>Sovacool</w:t>
      </w:r>
      <w:proofErr w:type="spellEnd"/>
      <w:r w:rsidRPr="000A4AEE">
        <w:rPr>
          <w:rFonts w:ascii="Arial" w:hAnsi="Arial" w:cs="Arial"/>
          <w:sz w:val="24"/>
          <w:szCs w:val="24"/>
        </w:rPr>
        <w:t xml:space="preserve"> et al., 2020).</w:t>
      </w:r>
    </w:p>
    <w:p w14:paraId="7F664862" w14:textId="77777777" w:rsidR="0092569C" w:rsidRPr="0092569C" w:rsidRDefault="0092569C" w:rsidP="0092569C">
      <w:pPr>
        <w:spacing w:line="360" w:lineRule="auto"/>
        <w:rPr>
          <w:rFonts w:ascii="Arial" w:hAnsi="Arial" w:cs="Arial"/>
          <w:b/>
          <w:bCs/>
          <w:sz w:val="24"/>
          <w:szCs w:val="24"/>
        </w:rPr>
      </w:pPr>
      <w:r w:rsidRPr="0092569C">
        <w:rPr>
          <w:rFonts w:ascii="Arial" w:hAnsi="Arial" w:cs="Arial"/>
          <w:b/>
          <w:bCs/>
          <w:sz w:val="24"/>
          <w:szCs w:val="24"/>
        </w:rPr>
        <w:t>Legal Factors</w:t>
      </w:r>
    </w:p>
    <w:p w14:paraId="11F3C41A" w14:textId="77777777" w:rsidR="0092569C" w:rsidRPr="000A4AEE" w:rsidRDefault="0092569C" w:rsidP="0092569C">
      <w:pPr>
        <w:spacing w:line="360" w:lineRule="auto"/>
        <w:rPr>
          <w:rFonts w:ascii="Arial" w:hAnsi="Arial" w:cs="Arial"/>
          <w:sz w:val="24"/>
          <w:szCs w:val="24"/>
        </w:rPr>
      </w:pPr>
      <w:r w:rsidRPr="000A4AEE">
        <w:rPr>
          <w:rFonts w:ascii="Arial" w:hAnsi="Arial" w:cs="Arial"/>
          <w:sz w:val="24"/>
          <w:szCs w:val="24"/>
        </w:rPr>
        <w:t>The company is subjected to complicated regulatory environments in terms of safety, data protection, environmental regulations, and consumer regulations (Rothaermel, 2024). Regulatory exposure is identified by investigations and recalls involving its Autopilot system by the National Highway Traffic Safety Administration (NHTSA, 2023). The issue of intellectual property strategy will not go away, even though Tesla opened patents in 2014 to facilitate the use of EVs by the industry in general (Musk, 2014).</w:t>
      </w:r>
    </w:p>
    <w:p w14:paraId="4FB6CD85" w14:textId="77777777" w:rsidR="0092569C" w:rsidRPr="0092569C" w:rsidRDefault="0092569C" w:rsidP="0092569C">
      <w:pPr>
        <w:spacing w:line="360" w:lineRule="auto"/>
        <w:rPr>
          <w:rFonts w:ascii="Arial" w:hAnsi="Arial" w:cs="Arial"/>
          <w:b/>
          <w:bCs/>
          <w:sz w:val="24"/>
          <w:szCs w:val="24"/>
        </w:rPr>
      </w:pPr>
      <w:r w:rsidRPr="0092569C">
        <w:rPr>
          <w:rFonts w:ascii="Arial" w:hAnsi="Arial" w:cs="Arial"/>
          <w:b/>
          <w:bCs/>
          <w:sz w:val="24"/>
          <w:szCs w:val="24"/>
        </w:rPr>
        <w:t>Strategic Challenges and Critical Success Factors.</w:t>
      </w:r>
    </w:p>
    <w:p w14:paraId="32F74A5F" w14:textId="77777777" w:rsidR="0092569C" w:rsidRPr="000A4AEE" w:rsidRDefault="0092569C" w:rsidP="0092569C">
      <w:pPr>
        <w:spacing w:line="360" w:lineRule="auto"/>
        <w:rPr>
          <w:rFonts w:ascii="Arial" w:hAnsi="Arial" w:cs="Arial"/>
          <w:sz w:val="24"/>
          <w:szCs w:val="24"/>
        </w:rPr>
      </w:pPr>
      <w:r w:rsidRPr="000A4AEE">
        <w:rPr>
          <w:rFonts w:ascii="Arial" w:hAnsi="Arial" w:cs="Arial"/>
          <w:sz w:val="24"/>
          <w:szCs w:val="24"/>
        </w:rPr>
        <w:lastRenderedPageBreak/>
        <w:t>The essential critical success factors are scalable production efficiency, constant technological innovation, regulatory adaptability, and brand differentiation sustainability (Grant, 2021). The strategic issues include the geopolitical risk, compression of margins due to competition on prices, ethical supply chain management, and reliance on changing subsidy regimes.</w:t>
      </w:r>
    </w:p>
    <w:p w14:paraId="53ECFD4C" w14:textId="77777777" w:rsidR="0092569C" w:rsidRPr="0092569C" w:rsidRDefault="0092569C" w:rsidP="0092569C">
      <w:pPr>
        <w:spacing w:line="360" w:lineRule="auto"/>
        <w:rPr>
          <w:rFonts w:ascii="Arial" w:hAnsi="Arial" w:cs="Arial"/>
          <w:b/>
          <w:bCs/>
          <w:sz w:val="24"/>
          <w:szCs w:val="24"/>
        </w:rPr>
      </w:pPr>
      <w:r w:rsidRPr="0092569C">
        <w:rPr>
          <w:rFonts w:ascii="Arial" w:hAnsi="Arial" w:cs="Arial"/>
          <w:b/>
          <w:bCs/>
          <w:sz w:val="24"/>
          <w:szCs w:val="24"/>
        </w:rPr>
        <w:t>As internal environment analysis, the following is included:</w:t>
      </w:r>
    </w:p>
    <w:p w14:paraId="45BE1DD5" w14:textId="77777777" w:rsidR="00CF53F3" w:rsidRPr="000A4AEE" w:rsidRDefault="0092569C" w:rsidP="0092569C">
      <w:pPr>
        <w:spacing w:line="360" w:lineRule="auto"/>
        <w:rPr>
          <w:rFonts w:ascii="Arial" w:hAnsi="Arial" w:cs="Arial"/>
          <w:sz w:val="24"/>
          <w:szCs w:val="24"/>
        </w:rPr>
      </w:pPr>
      <w:r w:rsidRPr="000A4AEE">
        <w:rPr>
          <w:rFonts w:ascii="Arial" w:hAnsi="Arial" w:cs="Arial"/>
          <w:sz w:val="24"/>
          <w:szCs w:val="24"/>
        </w:rPr>
        <w:t>When it comes to the Tesla, Inc. internal environment analysis, it is necessary to analyze the resources, capabilities, and core competencies in a systematized way (Barney, 1991). Resource-Based View (RBV) holds that competitive advantage is sustainable because of value, rare, inimitable and well-</w:t>
      </w:r>
      <w:proofErr w:type="spellStart"/>
      <w:r w:rsidRPr="000A4AEE">
        <w:rPr>
          <w:rFonts w:ascii="Arial" w:hAnsi="Arial" w:cs="Arial"/>
          <w:sz w:val="24"/>
          <w:szCs w:val="24"/>
        </w:rPr>
        <w:t>organised</w:t>
      </w:r>
      <w:proofErr w:type="spellEnd"/>
      <w:r w:rsidRPr="000A4AEE">
        <w:rPr>
          <w:rFonts w:ascii="Arial" w:hAnsi="Arial" w:cs="Arial"/>
          <w:sz w:val="24"/>
          <w:szCs w:val="24"/>
        </w:rPr>
        <w:t xml:space="preserve"> resources-as-captured-in-the-VRIO-framework-resources (Barney and Hesterly, 2019).</w:t>
      </w:r>
    </w:p>
    <w:p w14:paraId="298B4A53" w14:textId="77777777" w:rsidR="009809D0" w:rsidRPr="009809D0" w:rsidRDefault="009809D0" w:rsidP="009809D0">
      <w:pPr>
        <w:spacing w:line="360" w:lineRule="auto"/>
        <w:rPr>
          <w:rFonts w:ascii="Arial" w:hAnsi="Arial" w:cs="Arial"/>
          <w:b/>
          <w:bCs/>
          <w:sz w:val="24"/>
          <w:szCs w:val="24"/>
        </w:rPr>
      </w:pPr>
      <w:r w:rsidRPr="009809D0">
        <w:rPr>
          <w:rFonts w:ascii="Arial" w:hAnsi="Arial" w:cs="Arial"/>
          <w:b/>
          <w:bCs/>
          <w:sz w:val="24"/>
          <w:szCs w:val="24"/>
        </w:rPr>
        <w:t>Key Resources</w:t>
      </w:r>
    </w:p>
    <w:p w14:paraId="5FAF12BD" w14:textId="77777777" w:rsidR="009809D0" w:rsidRPr="000A4AEE" w:rsidRDefault="009809D0" w:rsidP="009809D0">
      <w:pPr>
        <w:spacing w:line="360" w:lineRule="auto"/>
        <w:rPr>
          <w:rFonts w:ascii="Arial" w:hAnsi="Arial" w:cs="Arial"/>
          <w:sz w:val="24"/>
          <w:szCs w:val="24"/>
        </w:rPr>
      </w:pPr>
      <w:r w:rsidRPr="000A4AEE">
        <w:rPr>
          <w:rFonts w:ascii="Arial" w:hAnsi="Arial" w:cs="Arial"/>
          <w:sz w:val="24"/>
          <w:szCs w:val="24"/>
        </w:rPr>
        <w:t xml:space="preserve">Tesla has an array of both tangible and intangible strategic resources. Some of its physical assets include its global </w:t>
      </w:r>
      <w:proofErr w:type="spellStart"/>
      <w:r w:rsidRPr="000A4AEE">
        <w:rPr>
          <w:rFonts w:ascii="Arial" w:hAnsi="Arial" w:cs="Arial"/>
          <w:sz w:val="24"/>
          <w:szCs w:val="24"/>
        </w:rPr>
        <w:t>Gigafactories</w:t>
      </w:r>
      <w:proofErr w:type="spellEnd"/>
      <w:r w:rsidRPr="000A4AEE">
        <w:rPr>
          <w:rFonts w:ascii="Arial" w:hAnsi="Arial" w:cs="Arial"/>
          <w:sz w:val="24"/>
          <w:szCs w:val="24"/>
        </w:rPr>
        <w:t>, which offer high volume production and allows Tesla to achieve economy in battery and vehicle production (Tesla, 2023b). Such facilities support the economies of scale and vertical coordination benefits. Moreover, supercharger network, the proprietary charging network of Tesla, which exceeds 50,000 connectors globally, is also a critical piece of charging infrastructure that makes the customers more convenient and reduces the range anxiety (Tesla, 2023a).</w:t>
      </w:r>
    </w:p>
    <w:p w14:paraId="5A6ECC87" w14:textId="77777777" w:rsidR="009809D0" w:rsidRPr="000A4AEE" w:rsidRDefault="009809D0" w:rsidP="009809D0">
      <w:pPr>
        <w:spacing w:line="360" w:lineRule="auto"/>
        <w:rPr>
          <w:rFonts w:ascii="Arial" w:hAnsi="Arial" w:cs="Arial"/>
          <w:sz w:val="24"/>
          <w:szCs w:val="24"/>
        </w:rPr>
      </w:pPr>
      <w:r w:rsidRPr="000A4AEE">
        <w:rPr>
          <w:rFonts w:ascii="Arial" w:hAnsi="Arial" w:cs="Arial"/>
          <w:sz w:val="24"/>
          <w:szCs w:val="24"/>
        </w:rPr>
        <w:t>Intangible resources are also important. Innovation, sustainability, and technological dominance are closely linked with Tesla brand and support premium positioning and customer loyalty. Additionally, the firm has amassed a large real-life driving history of its linked cars. These data resources can be strategically important in the optimization of autonomous driving software and reinforcement of artificial intelligence (Teece, 2018).</w:t>
      </w:r>
    </w:p>
    <w:p w14:paraId="67A93826" w14:textId="77777777" w:rsidR="009809D0" w:rsidRPr="009809D0" w:rsidRDefault="009809D0" w:rsidP="009809D0">
      <w:pPr>
        <w:spacing w:line="360" w:lineRule="auto"/>
        <w:rPr>
          <w:rFonts w:ascii="Arial" w:hAnsi="Arial" w:cs="Arial"/>
          <w:b/>
          <w:bCs/>
          <w:sz w:val="24"/>
          <w:szCs w:val="24"/>
        </w:rPr>
      </w:pPr>
      <w:r w:rsidRPr="009809D0">
        <w:rPr>
          <w:rFonts w:ascii="Arial" w:hAnsi="Arial" w:cs="Arial"/>
          <w:b/>
          <w:bCs/>
          <w:sz w:val="24"/>
          <w:szCs w:val="24"/>
        </w:rPr>
        <w:t>Capabilities and Core Competencies.</w:t>
      </w:r>
    </w:p>
    <w:p w14:paraId="61DBF33A" w14:textId="77777777" w:rsidR="009809D0" w:rsidRPr="000A4AEE" w:rsidRDefault="009809D0" w:rsidP="009809D0">
      <w:pPr>
        <w:spacing w:line="360" w:lineRule="auto"/>
        <w:rPr>
          <w:rFonts w:ascii="Arial" w:hAnsi="Arial" w:cs="Arial"/>
          <w:sz w:val="24"/>
          <w:szCs w:val="24"/>
        </w:rPr>
      </w:pPr>
      <w:r w:rsidRPr="000A4AEE">
        <w:rPr>
          <w:rFonts w:ascii="Arial" w:hAnsi="Arial" w:cs="Arial"/>
          <w:sz w:val="24"/>
          <w:szCs w:val="24"/>
        </w:rPr>
        <w:t xml:space="preserve">The competitive advantage of Tesla is closely knit </w:t>
      </w:r>
      <w:proofErr w:type="spellStart"/>
      <w:r w:rsidRPr="000A4AEE">
        <w:rPr>
          <w:rFonts w:ascii="Arial" w:hAnsi="Arial" w:cs="Arial"/>
          <w:sz w:val="24"/>
          <w:szCs w:val="24"/>
        </w:rPr>
        <w:t>organisation</w:t>
      </w:r>
      <w:proofErr w:type="spellEnd"/>
      <w:r w:rsidRPr="000A4AEE">
        <w:rPr>
          <w:rFonts w:ascii="Arial" w:hAnsi="Arial" w:cs="Arial"/>
          <w:sz w:val="24"/>
          <w:szCs w:val="24"/>
        </w:rPr>
        <w:t xml:space="preserve"> capabilities. Its vertical integration approach covers the manufacturing of battery cells, assembling of vehicles, software development and direct-to-consumer sales. Such arrangement increases the level of cost control, speed of innovation, and coordination of supply </w:t>
      </w:r>
      <w:r w:rsidRPr="000A4AEE">
        <w:rPr>
          <w:rFonts w:ascii="Arial" w:hAnsi="Arial" w:cs="Arial"/>
          <w:sz w:val="24"/>
          <w:szCs w:val="24"/>
        </w:rPr>
        <w:lastRenderedPageBreak/>
        <w:t>chains compared to the traditional automakers (</w:t>
      </w:r>
      <w:proofErr w:type="spellStart"/>
      <w:r w:rsidRPr="000A4AEE">
        <w:rPr>
          <w:rFonts w:ascii="Arial" w:hAnsi="Arial" w:cs="Arial"/>
          <w:sz w:val="24"/>
          <w:szCs w:val="24"/>
        </w:rPr>
        <w:t>Jacobides</w:t>
      </w:r>
      <w:proofErr w:type="spellEnd"/>
      <w:r w:rsidRPr="000A4AEE">
        <w:rPr>
          <w:rFonts w:ascii="Arial" w:hAnsi="Arial" w:cs="Arial"/>
          <w:sz w:val="24"/>
          <w:szCs w:val="24"/>
        </w:rPr>
        <w:t>, MacDuffie and Tae, 2016).</w:t>
      </w:r>
    </w:p>
    <w:p w14:paraId="4E0EE7B7" w14:textId="77777777" w:rsidR="009809D0" w:rsidRPr="000A4AEE" w:rsidRDefault="009809D0" w:rsidP="009809D0">
      <w:pPr>
        <w:spacing w:line="360" w:lineRule="auto"/>
        <w:rPr>
          <w:rFonts w:ascii="Arial" w:hAnsi="Arial" w:cs="Arial"/>
          <w:sz w:val="24"/>
          <w:szCs w:val="24"/>
        </w:rPr>
      </w:pPr>
      <w:r w:rsidRPr="000A4AEE">
        <w:rPr>
          <w:rFonts w:ascii="Arial" w:hAnsi="Arial" w:cs="Arial"/>
          <w:sz w:val="24"/>
          <w:szCs w:val="24"/>
        </w:rPr>
        <w:t>One of its unique competences is the software engineering at Tesla. Cars constitute software-based platforms, which are regularly updated over the air, adding more features to them after selling them, a strategy that legacy manufacturers have had an extremely difficult time imitating (Hoppmann et al., 2014). This feature will convert the vehicle lifecycle into a continuous improvement scheme other than a fixed product sale.</w:t>
      </w:r>
    </w:p>
    <w:p w14:paraId="2CDC23AF" w14:textId="77777777" w:rsidR="00AA4761" w:rsidRPr="000A4AEE" w:rsidRDefault="009809D0" w:rsidP="009809D0">
      <w:pPr>
        <w:spacing w:line="360" w:lineRule="auto"/>
        <w:rPr>
          <w:rFonts w:ascii="Arial" w:hAnsi="Arial" w:cs="Arial"/>
          <w:sz w:val="24"/>
          <w:szCs w:val="24"/>
        </w:rPr>
      </w:pPr>
      <w:r w:rsidRPr="000A4AEE">
        <w:rPr>
          <w:rFonts w:ascii="Arial" w:hAnsi="Arial" w:cs="Arial"/>
          <w:sz w:val="24"/>
          <w:szCs w:val="24"/>
        </w:rPr>
        <w:t>The culture of innovation within Tesla is another factor that helped the company to develop products rather fast and tolerate calculated risk-taking (Schilling, 2020). Nevertheless, this leadership focused model presents governance and succession risks.</w:t>
      </w:r>
    </w:p>
    <w:tbl>
      <w:tblPr>
        <w:tblStyle w:val="TableGrid"/>
        <w:tblpPr w:leftFromText="180" w:rightFromText="180" w:vertAnchor="text" w:horzAnchor="margin" w:tblpXSpec="center" w:tblpY="62"/>
        <w:tblW w:w="10615" w:type="dxa"/>
        <w:tblLook w:val="04A0" w:firstRow="1" w:lastRow="0" w:firstColumn="1" w:lastColumn="0" w:noHBand="0" w:noVBand="1"/>
      </w:tblPr>
      <w:tblGrid>
        <w:gridCol w:w="2524"/>
        <w:gridCol w:w="1204"/>
        <w:gridCol w:w="1070"/>
        <w:gridCol w:w="2083"/>
        <w:gridCol w:w="1403"/>
        <w:gridCol w:w="2331"/>
      </w:tblGrid>
      <w:tr w:rsidR="00AA4761" w:rsidRPr="00AA4761" w14:paraId="69139733" w14:textId="77777777" w:rsidTr="000A18CD">
        <w:trPr>
          <w:trHeight w:val="710"/>
        </w:trPr>
        <w:tc>
          <w:tcPr>
            <w:tcW w:w="2524" w:type="dxa"/>
            <w:noWrap/>
            <w:hideMark/>
          </w:tcPr>
          <w:p w14:paraId="1451C000" w14:textId="77777777" w:rsidR="00AA4761" w:rsidRPr="00AA4761" w:rsidRDefault="00AA4761" w:rsidP="00AA4761">
            <w:pPr>
              <w:spacing w:after="160" w:line="360" w:lineRule="auto"/>
              <w:rPr>
                <w:rFonts w:ascii="Arial" w:hAnsi="Arial" w:cs="Arial"/>
                <w:b/>
                <w:bCs/>
                <w:sz w:val="24"/>
                <w:szCs w:val="24"/>
              </w:rPr>
            </w:pPr>
            <w:r w:rsidRPr="00AA4761">
              <w:rPr>
                <w:rFonts w:ascii="Arial" w:hAnsi="Arial" w:cs="Arial"/>
                <w:b/>
                <w:bCs/>
                <w:sz w:val="24"/>
                <w:szCs w:val="24"/>
              </w:rPr>
              <w:t>Resource/Capability</w:t>
            </w:r>
          </w:p>
        </w:tc>
        <w:tc>
          <w:tcPr>
            <w:tcW w:w="0" w:type="auto"/>
            <w:noWrap/>
            <w:hideMark/>
          </w:tcPr>
          <w:p w14:paraId="1F3F8829" w14:textId="77777777" w:rsidR="00AA4761" w:rsidRPr="00AA4761" w:rsidRDefault="00AA4761" w:rsidP="00AA4761">
            <w:pPr>
              <w:spacing w:after="160" w:line="360" w:lineRule="auto"/>
              <w:rPr>
                <w:rFonts w:ascii="Arial" w:hAnsi="Arial" w:cs="Arial"/>
                <w:b/>
                <w:bCs/>
                <w:sz w:val="24"/>
                <w:szCs w:val="24"/>
              </w:rPr>
            </w:pPr>
            <w:r w:rsidRPr="00AA4761">
              <w:rPr>
                <w:rFonts w:ascii="Arial" w:hAnsi="Arial" w:cs="Arial"/>
                <w:b/>
                <w:bCs/>
                <w:sz w:val="24"/>
                <w:szCs w:val="24"/>
              </w:rPr>
              <w:t>Valuable</w:t>
            </w:r>
          </w:p>
        </w:tc>
        <w:tc>
          <w:tcPr>
            <w:tcW w:w="0" w:type="auto"/>
            <w:noWrap/>
            <w:hideMark/>
          </w:tcPr>
          <w:p w14:paraId="63573D4C" w14:textId="77777777" w:rsidR="00AA4761" w:rsidRPr="00AA4761" w:rsidRDefault="00AA4761" w:rsidP="00AA4761">
            <w:pPr>
              <w:spacing w:after="160" w:line="360" w:lineRule="auto"/>
              <w:rPr>
                <w:rFonts w:ascii="Arial" w:hAnsi="Arial" w:cs="Arial"/>
                <w:b/>
                <w:bCs/>
                <w:sz w:val="24"/>
                <w:szCs w:val="24"/>
              </w:rPr>
            </w:pPr>
            <w:r w:rsidRPr="00AA4761">
              <w:rPr>
                <w:rFonts w:ascii="Arial" w:hAnsi="Arial" w:cs="Arial"/>
                <w:b/>
                <w:bCs/>
                <w:sz w:val="24"/>
                <w:szCs w:val="24"/>
              </w:rPr>
              <w:t>Rare</w:t>
            </w:r>
          </w:p>
        </w:tc>
        <w:tc>
          <w:tcPr>
            <w:tcW w:w="0" w:type="auto"/>
            <w:noWrap/>
            <w:hideMark/>
          </w:tcPr>
          <w:p w14:paraId="24D7737D" w14:textId="77777777" w:rsidR="00AA4761" w:rsidRPr="00AA4761" w:rsidRDefault="00AA4761" w:rsidP="00AA4761">
            <w:pPr>
              <w:spacing w:after="160" w:line="360" w:lineRule="auto"/>
              <w:rPr>
                <w:rFonts w:ascii="Arial" w:hAnsi="Arial" w:cs="Arial"/>
                <w:b/>
                <w:bCs/>
                <w:sz w:val="24"/>
                <w:szCs w:val="24"/>
              </w:rPr>
            </w:pPr>
            <w:r w:rsidRPr="00AA4761">
              <w:rPr>
                <w:rFonts w:ascii="Arial" w:hAnsi="Arial" w:cs="Arial"/>
                <w:b/>
                <w:bCs/>
                <w:sz w:val="24"/>
                <w:szCs w:val="24"/>
              </w:rPr>
              <w:t>Costly to Imitate</w:t>
            </w:r>
          </w:p>
        </w:tc>
        <w:tc>
          <w:tcPr>
            <w:tcW w:w="0" w:type="auto"/>
            <w:noWrap/>
            <w:hideMark/>
          </w:tcPr>
          <w:p w14:paraId="787644F2" w14:textId="77777777" w:rsidR="00AA4761" w:rsidRPr="00AA4761" w:rsidRDefault="00AA4761" w:rsidP="00AA4761">
            <w:pPr>
              <w:spacing w:after="160" w:line="360" w:lineRule="auto"/>
              <w:rPr>
                <w:rFonts w:ascii="Arial" w:hAnsi="Arial" w:cs="Arial"/>
                <w:b/>
                <w:bCs/>
                <w:sz w:val="24"/>
                <w:szCs w:val="24"/>
              </w:rPr>
            </w:pPr>
            <w:proofErr w:type="spellStart"/>
            <w:r w:rsidRPr="00AA4761">
              <w:rPr>
                <w:rFonts w:ascii="Arial" w:hAnsi="Arial" w:cs="Arial"/>
                <w:b/>
                <w:bCs/>
                <w:sz w:val="24"/>
                <w:szCs w:val="24"/>
              </w:rPr>
              <w:t>Organised</w:t>
            </w:r>
            <w:proofErr w:type="spellEnd"/>
          </w:p>
        </w:tc>
        <w:tc>
          <w:tcPr>
            <w:tcW w:w="2331" w:type="dxa"/>
            <w:noWrap/>
            <w:hideMark/>
          </w:tcPr>
          <w:p w14:paraId="6C3FDD24" w14:textId="77777777" w:rsidR="00AA4761" w:rsidRPr="00AA4761" w:rsidRDefault="00AA4761" w:rsidP="00AA4761">
            <w:pPr>
              <w:spacing w:after="160" w:line="360" w:lineRule="auto"/>
              <w:rPr>
                <w:rFonts w:ascii="Arial" w:hAnsi="Arial" w:cs="Arial"/>
                <w:b/>
                <w:bCs/>
                <w:sz w:val="24"/>
                <w:szCs w:val="24"/>
              </w:rPr>
            </w:pPr>
            <w:r w:rsidRPr="00AA4761">
              <w:rPr>
                <w:rFonts w:ascii="Arial" w:hAnsi="Arial" w:cs="Arial"/>
                <w:b/>
                <w:bCs/>
                <w:sz w:val="24"/>
                <w:szCs w:val="24"/>
              </w:rPr>
              <w:t>Competitive Implication</w:t>
            </w:r>
          </w:p>
        </w:tc>
      </w:tr>
      <w:tr w:rsidR="00AA4761" w:rsidRPr="00AA4761" w14:paraId="638E6526" w14:textId="77777777" w:rsidTr="000A18CD">
        <w:trPr>
          <w:trHeight w:val="1214"/>
        </w:trPr>
        <w:tc>
          <w:tcPr>
            <w:tcW w:w="2524" w:type="dxa"/>
            <w:hideMark/>
          </w:tcPr>
          <w:p w14:paraId="2F9C79BD"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Brand and Reputation</w:t>
            </w:r>
          </w:p>
        </w:tc>
        <w:tc>
          <w:tcPr>
            <w:tcW w:w="0" w:type="auto"/>
            <w:hideMark/>
          </w:tcPr>
          <w:p w14:paraId="20F704F4"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Yes</w:t>
            </w:r>
          </w:p>
        </w:tc>
        <w:tc>
          <w:tcPr>
            <w:tcW w:w="0" w:type="auto"/>
            <w:hideMark/>
          </w:tcPr>
          <w:p w14:paraId="3F85CE72"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Yes</w:t>
            </w:r>
          </w:p>
        </w:tc>
        <w:tc>
          <w:tcPr>
            <w:tcW w:w="0" w:type="auto"/>
            <w:hideMark/>
          </w:tcPr>
          <w:p w14:paraId="0B4DC209"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Yes</w:t>
            </w:r>
          </w:p>
        </w:tc>
        <w:tc>
          <w:tcPr>
            <w:tcW w:w="0" w:type="auto"/>
            <w:hideMark/>
          </w:tcPr>
          <w:p w14:paraId="411985D9"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Yes</w:t>
            </w:r>
          </w:p>
        </w:tc>
        <w:tc>
          <w:tcPr>
            <w:tcW w:w="2331" w:type="dxa"/>
            <w:hideMark/>
          </w:tcPr>
          <w:p w14:paraId="0B30A09D"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Sustained Competitive Advantage</w:t>
            </w:r>
          </w:p>
        </w:tc>
      </w:tr>
      <w:tr w:rsidR="00AA4761" w:rsidRPr="00AA4761" w14:paraId="51BDF23B" w14:textId="77777777" w:rsidTr="000A18CD">
        <w:trPr>
          <w:trHeight w:val="1214"/>
        </w:trPr>
        <w:tc>
          <w:tcPr>
            <w:tcW w:w="2524" w:type="dxa"/>
            <w:hideMark/>
          </w:tcPr>
          <w:p w14:paraId="68CB52E5"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Supercharger Network</w:t>
            </w:r>
          </w:p>
        </w:tc>
        <w:tc>
          <w:tcPr>
            <w:tcW w:w="0" w:type="auto"/>
            <w:hideMark/>
          </w:tcPr>
          <w:p w14:paraId="5B381134"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Yes</w:t>
            </w:r>
          </w:p>
        </w:tc>
        <w:tc>
          <w:tcPr>
            <w:tcW w:w="0" w:type="auto"/>
            <w:hideMark/>
          </w:tcPr>
          <w:p w14:paraId="10F8D4F4"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Yes</w:t>
            </w:r>
          </w:p>
        </w:tc>
        <w:tc>
          <w:tcPr>
            <w:tcW w:w="0" w:type="auto"/>
            <w:hideMark/>
          </w:tcPr>
          <w:p w14:paraId="350E5F0C"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Yes</w:t>
            </w:r>
          </w:p>
        </w:tc>
        <w:tc>
          <w:tcPr>
            <w:tcW w:w="0" w:type="auto"/>
            <w:hideMark/>
          </w:tcPr>
          <w:p w14:paraId="03611100"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Yes</w:t>
            </w:r>
          </w:p>
        </w:tc>
        <w:tc>
          <w:tcPr>
            <w:tcW w:w="2331" w:type="dxa"/>
            <w:hideMark/>
          </w:tcPr>
          <w:p w14:paraId="3DD5E4F9"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Sustained Competitive Advantage</w:t>
            </w:r>
          </w:p>
        </w:tc>
      </w:tr>
      <w:tr w:rsidR="00AA4761" w:rsidRPr="00AA4761" w14:paraId="29B090CE" w14:textId="77777777" w:rsidTr="000A18CD">
        <w:trPr>
          <w:trHeight w:val="1214"/>
        </w:trPr>
        <w:tc>
          <w:tcPr>
            <w:tcW w:w="2524" w:type="dxa"/>
            <w:hideMark/>
          </w:tcPr>
          <w:p w14:paraId="7F02B019"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 xml:space="preserve">Battery Technology and </w:t>
            </w:r>
            <w:proofErr w:type="spellStart"/>
            <w:r w:rsidRPr="00AA4761">
              <w:rPr>
                <w:rFonts w:ascii="Arial" w:hAnsi="Arial" w:cs="Arial"/>
                <w:sz w:val="24"/>
                <w:szCs w:val="24"/>
              </w:rPr>
              <w:t>Gigafactories</w:t>
            </w:r>
            <w:proofErr w:type="spellEnd"/>
          </w:p>
        </w:tc>
        <w:tc>
          <w:tcPr>
            <w:tcW w:w="0" w:type="auto"/>
            <w:hideMark/>
          </w:tcPr>
          <w:p w14:paraId="252ABA27"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Yes</w:t>
            </w:r>
          </w:p>
        </w:tc>
        <w:tc>
          <w:tcPr>
            <w:tcW w:w="0" w:type="auto"/>
            <w:hideMark/>
          </w:tcPr>
          <w:p w14:paraId="73342270"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Yes</w:t>
            </w:r>
          </w:p>
        </w:tc>
        <w:tc>
          <w:tcPr>
            <w:tcW w:w="0" w:type="auto"/>
            <w:hideMark/>
          </w:tcPr>
          <w:p w14:paraId="321A0C56"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Partially</w:t>
            </w:r>
          </w:p>
        </w:tc>
        <w:tc>
          <w:tcPr>
            <w:tcW w:w="0" w:type="auto"/>
            <w:hideMark/>
          </w:tcPr>
          <w:p w14:paraId="2C581D94"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Yes</w:t>
            </w:r>
          </w:p>
        </w:tc>
        <w:tc>
          <w:tcPr>
            <w:tcW w:w="2331" w:type="dxa"/>
            <w:hideMark/>
          </w:tcPr>
          <w:p w14:paraId="4B73848A"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Temporary to Sustained Advantage</w:t>
            </w:r>
          </w:p>
        </w:tc>
      </w:tr>
      <w:tr w:rsidR="00AA4761" w:rsidRPr="00AA4761" w14:paraId="146589EB" w14:textId="77777777" w:rsidTr="000A18CD">
        <w:trPr>
          <w:trHeight w:val="1214"/>
        </w:trPr>
        <w:tc>
          <w:tcPr>
            <w:tcW w:w="2524" w:type="dxa"/>
            <w:hideMark/>
          </w:tcPr>
          <w:p w14:paraId="75AFED2C"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Autonomous Driving Data/AI</w:t>
            </w:r>
          </w:p>
        </w:tc>
        <w:tc>
          <w:tcPr>
            <w:tcW w:w="0" w:type="auto"/>
            <w:hideMark/>
          </w:tcPr>
          <w:p w14:paraId="792AB5FB"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Yes</w:t>
            </w:r>
          </w:p>
        </w:tc>
        <w:tc>
          <w:tcPr>
            <w:tcW w:w="0" w:type="auto"/>
            <w:hideMark/>
          </w:tcPr>
          <w:p w14:paraId="769447E8"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Yes</w:t>
            </w:r>
          </w:p>
        </w:tc>
        <w:tc>
          <w:tcPr>
            <w:tcW w:w="0" w:type="auto"/>
            <w:hideMark/>
          </w:tcPr>
          <w:p w14:paraId="31977483"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Yes</w:t>
            </w:r>
          </w:p>
        </w:tc>
        <w:tc>
          <w:tcPr>
            <w:tcW w:w="0" w:type="auto"/>
            <w:hideMark/>
          </w:tcPr>
          <w:p w14:paraId="1A5D885B"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Partially</w:t>
            </w:r>
          </w:p>
        </w:tc>
        <w:tc>
          <w:tcPr>
            <w:tcW w:w="2331" w:type="dxa"/>
            <w:hideMark/>
          </w:tcPr>
          <w:p w14:paraId="1144B878"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Temporary Competitive Advantage</w:t>
            </w:r>
          </w:p>
        </w:tc>
      </w:tr>
      <w:tr w:rsidR="00AA4761" w:rsidRPr="00AA4761" w14:paraId="6A467B08" w14:textId="77777777" w:rsidTr="000A18CD">
        <w:trPr>
          <w:trHeight w:val="1214"/>
        </w:trPr>
        <w:tc>
          <w:tcPr>
            <w:tcW w:w="2524" w:type="dxa"/>
            <w:hideMark/>
          </w:tcPr>
          <w:p w14:paraId="1668CA4D"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Direct-to-Consumer Sales Model</w:t>
            </w:r>
          </w:p>
        </w:tc>
        <w:tc>
          <w:tcPr>
            <w:tcW w:w="0" w:type="auto"/>
            <w:hideMark/>
          </w:tcPr>
          <w:p w14:paraId="4D259BDA"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Yes</w:t>
            </w:r>
          </w:p>
        </w:tc>
        <w:tc>
          <w:tcPr>
            <w:tcW w:w="0" w:type="auto"/>
            <w:hideMark/>
          </w:tcPr>
          <w:p w14:paraId="36D8D6A8"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Partially</w:t>
            </w:r>
          </w:p>
        </w:tc>
        <w:tc>
          <w:tcPr>
            <w:tcW w:w="0" w:type="auto"/>
            <w:hideMark/>
          </w:tcPr>
          <w:p w14:paraId="37AFCA6A"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Partially</w:t>
            </w:r>
          </w:p>
        </w:tc>
        <w:tc>
          <w:tcPr>
            <w:tcW w:w="0" w:type="auto"/>
            <w:hideMark/>
          </w:tcPr>
          <w:p w14:paraId="6DF5271C"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Yes</w:t>
            </w:r>
          </w:p>
        </w:tc>
        <w:tc>
          <w:tcPr>
            <w:tcW w:w="2331" w:type="dxa"/>
            <w:hideMark/>
          </w:tcPr>
          <w:p w14:paraId="70EA5EDF"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Temporary Competitive Advantage</w:t>
            </w:r>
          </w:p>
        </w:tc>
      </w:tr>
      <w:tr w:rsidR="00AA4761" w:rsidRPr="00AA4761" w14:paraId="73FEDED5" w14:textId="77777777" w:rsidTr="000A18CD">
        <w:trPr>
          <w:trHeight w:val="1214"/>
        </w:trPr>
        <w:tc>
          <w:tcPr>
            <w:tcW w:w="2524" w:type="dxa"/>
            <w:hideMark/>
          </w:tcPr>
          <w:p w14:paraId="2CEAE302"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lastRenderedPageBreak/>
              <w:t>Vertical Integration</w:t>
            </w:r>
          </w:p>
        </w:tc>
        <w:tc>
          <w:tcPr>
            <w:tcW w:w="0" w:type="auto"/>
            <w:hideMark/>
          </w:tcPr>
          <w:p w14:paraId="4A139C4B"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Yes</w:t>
            </w:r>
          </w:p>
        </w:tc>
        <w:tc>
          <w:tcPr>
            <w:tcW w:w="0" w:type="auto"/>
            <w:hideMark/>
          </w:tcPr>
          <w:p w14:paraId="6D5FB78B"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Partially</w:t>
            </w:r>
          </w:p>
        </w:tc>
        <w:tc>
          <w:tcPr>
            <w:tcW w:w="0" w:type="auto"/>
            <w:hideMark/>
          </w:tcPr>
          <w:p w14:paraId="0C114895"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Partially</w:t>
            </w:r>
          </w:p>
        </w:tc>
        <w:tc>
          <w:tcPr>
            <w:tcW w:w="0" w:type="auto"/>
            <w:hideMark/>
          </w:tcPr>
          <w:p w14:paraId="0E1A43FD"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Yes</w:t>
            </w:r>
          </w:p>
        </w:tc>
        <w:tc>
          <w:tcPr>
            <w:tcW w:w="2331" w:type="dxa"/>
            <w:hideMark/>
          </w:tcPr>
          <w:p w14:paraId="20AEFBCE" w14:textId="77777777" w:rsidR="00AA4761" w:rsidRPr="00AA4761" w:rsidRDefault="00AA4761" w:rsidP="00AA4761">
            <w:pPr>
              <w:spacing w:after="160" w:line="360" w:lineRule="auto"/>
              <w:rPr>
                <w:rFonts w:ascii="Arial" w:hAnsi="Arial" w:cs="Arial"/>
                <w:sz w:val="24"/>
                <w:szCs w:val="24"/>
              </w:rPr>
            </w:pPr>
            <w:r w:rsidRPr="00AA4761">
              <w:rPr>
                <w:rFonts w:ascii="Arial" w:hAnsi="Arial" w:cs="Arial"/>
                <w:sz w:val="24"/>
                <w:szCs w:val="24"/>
              </w:rPr>
              <w:t>Temporary Competitive Advantage</w:t>
            </w:r>
          </w:p>
        </w:tc>
      </w:tr>
    </w:tbl>
    <w:p w14:paraId="13B778C8" w14:textId="77777777" w:rsidR="00360F21" w:rsidRPr="00360F21" w:rsidRDefault="00360F21" w:rsidP="00360F21">
      <w:pPr>
        <w:spacing w:line="360" w:lineRule="auto"/>
        <w:ind w:firstLine="720"/>
        <w:rPr>
          <w:rFonts w:ascii="Arial" w:hAnsi="Arial" w:cs="Arial"/>
          <w:b/>
          <w:bCs/>
          <w:sz w:val="24"/>
          <w:szCs w:val="24"/>
        </w:rPr>
      </w:pPr>
      <w:r w:rsidRPr="00360F21">
        <w:rPr>
          <w:rFonts w:ascii="Arial" w:hAnsi="Arial" w:cs="Arial"/>
          <w:b/>
          <w:bCs/>
          <w:sz w:val="24"/>
          <w:szCs w:val="24"/>
        </w:rPr>
        <w:t>Table 2: VRIO Analysis of Tesla’s Key Resources and Capabilities</w:t>
      </w:r>
    </w:p>
    <w:p w14:paraId="00A15D9D" w14:textId="77777777" w:rsidR="00790B67" w:rsidRDefault="00790B67" w:rsidP="00AA4761">
      <w:pPr>
        <w:spacing w:line="360" w:lineRule="auto"/>
        <w:rPr>
          <w:rFonts w:ascii="Arial" w:hAnsi="Arial" w:cs="Arial"/>
          <w:b/>
          <w:bCs/>
          <w:sz w:val="24"/>
          <w:szCs w:val="24"/>
        </w:rPr>
      </w:pPr>
    </w:p>
    <w:p w14:paraId="4990F20D" w14:textId="77777777" w:rsidR="000A18CD" w:rsidRDefault="000A18CD" w:rsidP="00907F4A">
      <w:pPr>
        <w:spacing w:line="360" w:lineRule="auto"/>
        <w:rPr>
          <w:rFonts w:ascii="Arial" w:hAnsi="Arial" w:cs="Arial"/>
          <w:b/>
          <w:bCs/>
          <w:sz w:val="24"/>
          <w:szCs w:val="24"/>
        </w:rPr>
      </w:pPr>
    </w:p>
    <w:p w14:paraId="58A2C865" w14:textId="77777777" w:rsidR="00907F4A" w:rsidRPr="00907F4A" w:rsidRDefault="00907F4A" w:rsidP="00907F4A">
      <w:pPr>
        <w:spacing w:line="360" w:lineRule="auto"/>
        <w:rPr>
          <w:rFonts w:ascii="Arial" w:hAnsi="Arial" w:cs="Arial"/>
          <w:b/>
          <w:bCs/>
          <w:sz w:val="24"/>
          <w:szCs w:val="24"/>
        </w:rPr>
      </w:pPr>
      <w:r w:rsidRPr="00907F4A">
        <w:rPr>
          <w:rFonts w:ascii="Arial" w:hAnsi="Arial" w:cs="Arial"/>
          <w:b/>
          <w:bCs/>
          <w:sz w:val="24"/>
          <w:szCs w:val="24"/>
        </w:rPr>
        <w:t>VRIO Analysis</w:t>
      </w:r>
    </w:p>
    <w:p w14:paraId="77EEB0AA" w14:textId="77777777" w:rsidR="00907F4A" w:rsidRPr="000A4AEE" w:rsidRDefault="00907F4A" w:rsidP="00907F4A">
      <w:pPr>
        <w:spacing w:line="360" w:lineRule="auto"/>
        <w:rPr>
          <w:rFonts w:ascii="Arial" w:hAnsi="Arial" w:cs="Arial"/>
          <w:sz w:val="24"/>
          <w:szCs w:val="24"/>
        </w:rPr>
      </w:pPr>
      <w:r w:rsidRPr="000A4AEE">
        <w:rPr>
          <w:rFonts w:ascii="Arial" w:hAnsi="Arial" w:cs="Arial"/>
          <w:sz w:val="24"/>
          <w:szCs w:val="24"/>
        </w:rPr>
        <w:t xml:space="preserve">The use of VRIO framework indicates that the brand equity and Supercharger network are elements of sustained competitive advantage in Tesla. Both of them are assets that are valuable, rare, hard to copy because of path dependency and capital intensity, and part of the </w:t>
      </w:r>
      <w:proofErr w:type="spellStart"/>
      <w:r w:rsidRPr="000A4AEE">
        <w:rPr>
          <w:rFonts w:ascii="Arial" w:hAnsi="Arial" w:cs="Arial"/>
          <w:sz w:val="24"/>
          <w:szCs w:val="24"/>
        </w:rPr>
        <w:t>organisational</w:t>
      </w:r>
      <w:proofErr w:type="spellEnd"/>
      <w:r w:rsidRPr="000A4AEE">
        <w:rPr>
          <w:rFonts w:ascii="Arial" w:hAnsi="Arial" w:cs="Arial"/>
          <w:sz w:val="24"/>
          <w:szCs w:val="24"/>
        </w:rPr>
        <w:t xml:space="preserve"> strategy (Barney and Hesterly, 2019). Emotional appeal and cultural implications of the brand are not limited to the traditional automotive marketing, providing the additional strength to differentiation (Keller, 2013).</w:t>
      </w:r>
    </w:p>
    <w:p w14:paraId="1AFC7221" w14:textId="77777777" w:rsidR="00907F4A" w:rsidRPr="000A4AEE" w:rsidRDefault="00907F4A" w:rsidP="00907F4A">
      <w:pPr>
        <w:spacing w:line="360" w:lineRule="auto"/>
        <w:rPr>
          <w:rFonts w:ascii="Arial" w:hAnsi="Arial" w:cs="Arial"/>
          <w:sz w:val="24"/>
          <w:szCs w:val="24"/>
        </w:rPr>
      </w:pPr>
      <w:r w:rsidRPr="000A4AEE">
        <w:rPr>
          <w:rFonts w:ascii="Arial" w:hAnsi="Arial" w:cs="Arial"/>
          <w:sz w:val="24"/>
          <w:szCs w:val="24"/>
        </w:rPr>
        <w:t xml:space="preserve">Battery technology and manufacturing scale is a good and already differentiated but under the rising imitation. Others like BYD, with its Blade Battery, and Volkswagen Group, with its </w:t>
      </w:r>
      <w:proofErr w:type="spellStart"/>
      <w:r w:rsidRPr="000A4AEE">
        <w:rPr>
          <w:rFonts w:ascii="Arial" w:hAnsi="Arial" w:cs="Arial"/>
          <w:sz w:val="24"/>
          <w:szCs w:val="24"/>
        </w:rPr>
        <w:t>PowerCo</w:t>
      </w:r>
      <w:proofErr w:type="spellEnd"/>
      <w:r w:rsidRPr="000A4AEE">
        <w:rPr>
          <w:rFonts w:ascii="Arial" w:hAnsi="Arial" w:cs="Arial"/>
          <w:sz w:val="24"/>
          <w:szCs w:val="24"/>
        </w:rPr>
        <w:t xml:space="preserve"> project, are putting large sums of money in such capacities (</w:t>
      </w:r>
      <w:proofErr w:type="spellStart"/>
      <w:r w:rsidRPr="000A4AEE">
        <w:rPr>
          <w:rFonts w:ascii="Arial" w:hAnsi="Arial" w:cs="Arial"/>
          <w:sz w:val="24"/>
          <w:szCs w:val="24"/>
        </w:rPr>
        <w:t>BloombergNEF</w:t>
      </w:r>
      <w:proofErr w:type="spellEnd"/>
      <w:r w:rsidRPr="000A4AEE">
        <w:rPr>
          <w:rFonts w:ascii="Arial" w:hAnsi="Arial" w:cs="Arial"/>
          <w:sz w:val="24"/>
          <w:szCs w:val="24"/>
        </w:rPr>
        <w:t>, 2023).</w:t>
      </w:r>
    </w:p>
    <w:p w14:paraId="61B325F1" w14:textId="77777777" w:rsidR="00907F4A" w:rsidRPr="000A4AEE" w:rsidRDefault="00907F4A" w:rsidP="00907F4A">
      <w:pPr>
        <w:spacing w:line="360" w:lineRule="auto"/>
        <w:rPr>
          <w:rFonts w:ascii="Arial" w:hAnsi="Arial" w:cs="Arial"/>
          <w:sz w:val="24"/>
          <w:szCs w:val="24"/>
        </w:rPr>
      </w:pPr>
      <w:r w:rsidRPr="000A4AEE">
        <w:rPr>
          <w:rFonts w:ascii="Arial" w:hAnsi="Arial" w:cs="Arial"/>
          <w:sz w:val="24"/>
          <w:szCs w:val="24"/>
        </w:rPr>
        <w:t>The data of autonomous driving is a strategically valuable asset to Tesla, but at the same time, it only gives a temporary benefit at present. Although the company owns valuable and rare assets, it has not yet completely structured them into a commercially viable Level 4/5 autonomous product. Waymo, in the meantime, is also seeking other avenues in technology (</w:t>
      </w:r>
      <w:proofErr w:type="spellStart"/>
      <w:r w:rsidRPr="000A4AEE">
        <w:rPr>
          <w:rFonts w:ascii="Arial" w:hAnsi="Arial" w:cs="Arial"/>
          <w:sz w:val="24"/>
          <w:szCs w:val="24"/>
        </w:rPr>
        <w:t>Stilgoe</w:t>
      </w:r>
      <w:proofErr w:type="spellEnd"/>
      <w:r w:rsidRPr="000A4AEE">
        <w:rPr>
          <w:rFonts w:ascii="Arial" w:hAnsi="Arial" w:cs="Arial"/>
          <w:sz w:val="24"/>
          <w:szCs w:val="24"/>
        </w:rPr>
        <w:t xml:space="preserve">, 2018). The competitive potential of this resource is thus restrained by regulatory and technical constraints and would not be </w:t>
      </w:r>
      <w:proofErr w:type="spellStart"/>
      <w:r w:rsidRPr="000A4AEE">
        <w:rPr>
          <w:rFonts w:ascii="Arial" w:hAnsi="Arial" w:cs="Arial"/>
          <w:sz w:val="24"/>
          <w:szCs w:val="24"/>
        </w:rPr>
        <w:t>realised</w:t>
      </w:r>
      <w:proofErr w:type="spellEnd"/>
      <w:r w:rsidRPr="000A4AEE">
        <w:rPr>
          <w:rFonts w:ascii="Arial" w:hAnsi="Arial" w:cs="Arial"/>
          <w:sz w:val="24"/>
          <w:szCs w:val="24"/>
        </w:rPr>
        <w:t xml:space="preserve"> completely.</w:t>
      </w:r>
    </w:p>
    <w:p w14:paraId="30C3731B" w14:textId="77777777" w:rsidR="00907F4A" w:rsidRPr="00907F4A" w:rsidRDefault="00907F4A" w:rsidP="00907F4A">
      <w:pPr>
        <w:spacing w:line="360" w:lineRule="auto"/>
        <w:rPr>
          <w:rFonts w:ascii="Arial" w:hAnsi="Arial" w:cs="Arial"/>
          <w:b/>
          <w:bCs/>
          <w:sz w:val="24"/>
          <w:szCs w:val="24"/>
        </w:rPr>
      </w:pPr>
      <w:r w:rsidRPr="00907F4A">
        <w:rPr>
          <w:rFonts w:ascii="Arial" w:hAnsi="Arial" w:cs="Arial"/>
          <w:b/>
          <w:bCs/>
          <w:sz w:val="24"/>
          <w:szCs w:val="24"/>
        </w:rPr>
        <w:t>Strategic Implications and Strengths within the company.</w:t>
      </w:r>
    </w:p>
    <w:p w14:paraId="5523A381" w14:textId="77777777" w:rsidR="00907F4A" w:rsidRPr="000A4AEE" w:rsidRDefault="00907F4A" w:rsidP="00907F4A">
      <w:pPr>
        <w:spacing w:line="360" w:lineRule="auto"/>
        <w:rPr>
          <w:rFonts w:ascii="Arial" w:hAnsi="Arial" w:cs="Arial"/>
          <w:sz w:val="24"/>
          <w:szCs w:val="24"/>
        </w:rPr>
      </w:pPr>
      <w:r w:rsidRPr="000A4AEE">
        <w:rPr>
          <w:rFonts w:ascii="Arial" w:hAnsi="Arial" w:cs="Arial"/>
          <w:sz w:val="24"/>
          <w:szCs w:val="24"/>
        </w:rPr>
        <w:t xml:space="preserve">A combination of hardware, software, and manufacturing capabilities that Tesla has created offers a differentiated value proposition that is hard to imitate (Teece, 2018). Good cash flow of operations--8.9 billion in free cash flow in 2022 (Tesla, 2023b) will enable a continued investment in R&amp;D and extension of its capacity globally. Strong </w:t>
      </w:r>
      <w:proofErr w:type="spellStart"/>
      <w:r w:rsidRPr="000A4AEE">
        <w:rPr>
          <w:rFonts w:ascii="Arial" w:hAnsi="Arial" w:cs="Arial"/>
          <w:sz w:val="24"/>
          <w:szCs w:val="24"/>
        </w:rPr>
        <w:lastRenderedPageBreak/>
        <w:t>organisational</w:t>
      </w:r>
      <w:proofErr w:type="spellEnd"/>
      <w:r w:rsidRPr="000A4AEE">
        <w:rPr>
          <w:rFonts w:ascii="Arial" w:hAnsi="Arial" w:cs="Arial"/>
          <w:sz w:val="24"/>
          <w:szCs w:val="24"/>
        </w:rPr>
        <w:t xml:space="preserve"> agility, which has lean hierarchies and fast decision-making, increases its flexibility in uncertain markets (Mintzberg, Ahlstrand and Lampel, 2020). However, reliance on the Musk leadership presents key-person risk that can lead to long-term strategic sustainability (Damodaran, 2021).</w:t>
      </w:r>
    </w:p>
    <w:p w14:paraId="53447DC1" w14:textId="77777777" w:rsidR="00907F4A" w:rsidRPr="000A18CD" w:rsidRDefault="00907F4A" w:rsidP="00907F4A">
      <w:pPr>
        <w:spacing w:line="360" w:lineRule="auto"/>
        <w:rPr>
          <w:rFonts w:ascii="Arial" w:hAnsi="Arial" w:cs="Arial"/>
          <w:b/>
          <w:bCs/>
          <w:sz w:val="24"/>
          <w:szCs w:val="24"/>
        </w:rPr>
      </w:pPr>
      <w:r w:rsidRPr="000A18CD">
        <w:rPr>
          <w:rFonts w:ascii="Arial" w:hAnsi="Arial" w:cs="Arial"/>
          <w:b/>
          <w:bCs/>
          <w:sz w:val="24"/>
          <w:szCs w:val="24"/>
        </w:rPr>
        <w:t>3.0 CSR and Sustainability Objectives.</w:t>
      </w:r>
    </w:p>
    <w:p w14:paraId="0599328E" w14:textId="77777777" w:rsidR="00907F4A" w:rsidRPr="000A4AEE" w:rsidRDefault="00907F4A" w:rsidP="00907F4A">
      <w:pPr>
        <w:spacing w:line="360" w:lineRule="auto"/>
        <w:rPr>
          <w:rFonts w:ascii="Arial" w:hAnsi="Arial" w:cs="Arial"/>
          <w:sz w:val="24"/>
          <w:szCs w:val="24"/>
        </w:rPr>
      </w:pPr>
      <w:r w:rsidRPr="000A4AEE">
        <w:rPr>
          <w:rFonts w:ascii="Arial" w:hAnsi="Arial" w:cs="Arial"/>
          <w:sz w:val="24"/>
          <w:szCs w:val="24"/>
        </w:rPr>
        <w:t>The focus of the modern strategic management is on corporate Social Responsibility (CSR) and sustainability as a reaction to the increased demands of the stakeholders and the regulatory requirements (Carroll and Shabana, 2010). In the case of Tesla, Inc., CSR is part and parcel of its business model. Its efforts to ensure the world goes green are putting environmental stewardship as a strategic value proposition and also an ethical must (Elkington, 2018).</w:t>
      </w:r>
    </w:p>
    <w:p w14:paraId="6135121A" w14:textId="77777777" w:rsidR="00907F4A" w:rsidRPr="000A4AEE" w:rsidRDefault="00907F4A" w:rsidP="00907F4A">
      <w:pPr>
        <w:spacing w:line="360" w:lineRule="auto"/>
        <w:rPr>
          <w:rFonts w:ascii="Arial" w:hAnsi="Arial" w:cs="Arial"/>
          <w:sz w:val="24"/>
          <w:szCs w:val="24"/>
        </w:rPr>
      </w:pPr>
      <w:r w:rsidRPr="000A4AEE">
        <w:rPr>
          <w:rFonts w:ascii="Arial" w:hAnsi="Arial" w:cs="Arial"/>
          <w:sz w:val="24"/>
          <w:szCs w:val="24"/>
        </w:rPr>
        <w:t xml:space="preserve">The environmental commitments of Tesla are reported in its annual Impact Report, which provides the performance in the following areas carbon emissions reduction, water stewardship, waste management, and supply chain sustainability (Tesla, 2023c). The company notes that its cars have avoided more than 20 million metric </w:t>
      </w:r>
      <w:proofErr w:type="spellStart"/>
      <w:r w:rsidRPr="000A4AEE">
        <w:rPr>
          <w:rFonts w:ascii="Arial" w:hAnsi="Arial" w:cs="Arial"/>
          <w:sz w:val="24"/>
          <w:szCs w:val="24"/>
        </w:rPr>
        <w:t>tonnes</w:t>
      </w:r>
      <w:proofErr w:type="spellEnd"/>
      <w:r w:rsidRPr="000A4AEE">
        <w:rPr>
          <w:rFonts w:ascii="Arial" w:hAnsi="Arial" w:cs="Arial"/>
          <w:sz w:val="24"/>
          <w:szCs w:val="24"/>
        </w:rPr>
        <w:t xml:space="preserve"> of emission of carbon dioxide and that its products, including Powerwall, Megapack, and Solar Roof, are helping to </w:t>
      </w:r>
      <w:proofErr w:type="spellStart"/>
      <w:r w:rsidRPr="000A4AEE">
        <w:rPr>
          <w:rFonts w:ascii="Arial" w:hAnsi="Arial" w:cs="Arial"/>
          <w:sz w:val="24"/>
          <w:szCs w:val="24"/>
        </w:rPr>
        <w:t>decarbonise</w:t>
      </w:r>
      <w:proofErr w:type="spellEnd"/>
      <w:r w:rsidRPr="000A4AEE">
        <w:rPr>
          <w:rFonts w:ascii="Arial" w:hAnsi="Arial" w:cs="Arial"/>
          <w:sz w:val="24"/>
          <w:szCs w:val="24"/>
        </w:rPr>
        <w:t xml:space="preserve"> the electricity grids (Tesla, 2023c). Such efforts are in line with the United Nations Sustainable Development Goals especially SDG 7 (Affordable and Clean Energy), SDG 9 (Industry, Innovation and Infrastructure), and SDG 13 (Climate Action) (United Nations, 2015).</w:t>
      </w:r>
    </w:p>
    <w:p w14:paraId="4C046934" w14:textId="77777777" w:rsidR="00907F4A" w:rsidRPr="000A4AEE" w:rsidRDefault="00907F4A" w:rsidP="00907F4A">
      <w:pPr>
        <w:spacing w:line="360" w:lineRule="auto"/>
        <w:rPr>
          <w:rFonts w:ascii="Arial" w:hAnsi="Arial" w:cs="Arial"/>
          <w:sz w:val="24"/>
          <w:szCs w:val="24"/>
        </w:rPr>
      </w:pPr>
      <w:r w:rsidRPr="000A4AEE">
        <w:rPr>
          <w:rFonts w:ascii="Arial" w:hAnsi="Arial" w:cs="Arial"/>
          <w:sz w:val="24"/>
          <w:szCs w:val="24"/>
        </w:rPr>
        <w:t>In spite of these contributions, the profile of CSR of Tesla has been questionable. In 2022, the company was dropped in the S&amp;P 500 ESG Index because of the issues with racial discrimination allegations, work environment conditions in its Fremont plant, and the lack of proper governance (S&amp;P Global, 2022). The trend presents a structural conflict in that as Tesla products are made more sustainable, its social and governance conduct has been in the limelight of criticism (Crane et al., 2019).</w:t>
      </w:r>
    </w:p>
    <w:p w14:paraId="6044D019" w14:textId="77777777" w:rsidR="00907F4A" w:rsidRPr="000A4AEE" w:rsidRDefault="00907F4A" w:rsidP="00907F4A">
      <w:pPr>
        <w:spacing w:line="360" w:lineRule="auto"/>
        <w:rPr>
          <w:rFonts w:ascii="Arial" w:hAnsi="Arial" w:cs="Arial"/>
          <w:sz w:val="24"/>
          <w:szCs w:val="24"/>
        </w:rPr>
      </w:pPr>
      <w:r w:rsidRPr="000A4AEE">
        <w:rPr>
          <w:rFonts w:ascii="Arial" w:hAnsi="Arial" w:cs="Arial"/>
          <w:sz w:val="24"/>
          <w:szCs w:val="24"/>
        </w:rPr>
        <w:t>Porter and Kramer (2011) believe that successful CSR should generate shared value to the society and the firm. To enhance the long-term resilience, Tesla needs to further focus on the triple bottom line people, planet and profit, making sure that the operational activities are aligned with the environmental ambitions of the company (Elkington, 2018).</w:t>
      </w:r>
    </w:p>
    <w:p w14:paraId="4AF0319D" w14:textId="77777777" w:rsidR="00907F4A" w:rsidRDefault="00907F4A" w:rsidP="00907F4A">
      <w:pPr>
        <w:spacing w:line="360" w:lineRule="auto"/>
        <w:rPr>
          <w:rFonts w:ascii="Arial" w:hAnsi="Arial" w:cs="Arial"/>
          <w:b/>
          <w:sz w:val="24"/>
          <w:szCs w:val="24"/>
        </w:rPr>
      </w:pPr>
      <w:r w:rsidRPr="00907F4A">
        <w:rPr>
          <w:rFonts w:ascii="Arial" w:hAnsi="Arial" w:cs="Arial"/>
          <w:b/>
          <w:bCs/>
          <w:sz w:val="24"/>
          <w:szCs w:val="24"/>
        </w:rPr>
        <w:lastRenderedPageBreak/>
        <w:t xml:space="preserve">4.0 Integrated and Globalist Perspective of the </w:t>
      </w:r>
      <w:proofErr w:type="spellStart"/>
      <w:r w:rsidRPr="00907F4A">
        <w:rPr>
          <w:rFonts w:ascii="Arial" w:hAnsi="Arial" w:cs="Arial"/>
          <w:b/>
          <w:bCs/>
          <w:sz w:val="24"/>
          <w:szCs w:val="24"/>
        </w:rPr>
        <w:t>Organisation</w:t>
      </w:r>
      <w:proofErr w:type="spellEnd"/>
      <w:r w:rsidRPr="00907F4A">
        <w:rPr>
          <w:rFonts w:ascii="Arial" w:hAnsi="Arial" w:cs="Arial"/>
          <w:b/>
          <w:bCs/>
          <w:sz w:val="24"/>
          <w:szCs w:val="24"/>
        </w:rPr>
        <w:t xml:space="preserve">: The Balanced </w:t>
      </w:r>
      <w:r w:rsidRPr="00B273B4">
        <w:rPr>
          <w:rFonts w:ascii="Arial" w:hAnsi="Arial" w:cs="Arial"/>
          <w:b/>
          <w:sz w:val="24"/>
          <w:szCs w:val="24"/>
        </w:rPr>
        <w:t>Scorecard.</w:t>
      </w:r>
    </w:p>
    <w:p w14:paraId="7BAC2867" w14:textId="77777777" w:rsidR="00B273B4" w:rsidRPr="00B273B4" w:rsidRDefault="00B273B4" w:rsidP="00B273B4">
      <w:pPr>
        <w:spacing w:line="360" w:lineRule="auto"/>
        <w:rPr>
          <w:rFonts w:ascii="Arial" w:hAnsi="Arial" w:cs="Arial"/>
          <w:b/>
          <w:bCs/>
          <w:sz w:val="24"/>
          <w:szCs w:val="24"/>
        </w:rPr>
      </w:pPr>
      <w:r w:rsidRPr="00B273B4">
        <w:rPr>
          <w:rFonts w:ascii="Arial" w:hAnsi="Arial" w:cs="Arial"/>
          <w:b/>
          <w:bCs/>
          <w:sz w:val="24"/>
          <w:szCs w:val="24"/>
        </w:rPr>
        <w:t>Table 3: Balanced Scorecard Framework for Tesla, Inc.</w:t>
      </w:r>
    </w:p>
    <w:tbl>
      <w:tblPr>
        <w:tblStyle w:val="TableGrid"/>
        <w:tblW w:w="9360" w:type="dxa"/>
        <w:tblLook w:val="04A0" w:firstRow="1" w:lastRow="0" w:firstColumn="1" w:lastColumn="0" w:noHBand="0" w:noVBand="1"/>
      </w:tblPr>
      <w:tblGrid>
        <w:gridCol w:w="1564"/>
        <w:gridCol w:w="2391"/>
        <w:gridCol w:w="1684"/>
        <w:gridCol w:w="1524"/>
        <w:gridCol w:w="2284"/>
      </w:tblGrid>
      <w:tr w:rsidR="00B273B4" w:rsidRPr="00B273B4" w14:paraId="67FF8F36" w14:textId="77777777" w:rsidTr="00B273B4">
        <w:tc>
          <w:tcPr>
            <w:tcW w:w="0" w:type="auto"/>
            <w:noWrap/>
            <w:hideMark/>
          </w:tcPr>
          <w:p w14:paraId="1696E57E" w14:textId="77777777" w:rsidR="00B273B4" w:rsidRPr="00B273B4" w:rsidRDefault="00B273B4" w:rsidP="00B273B4">
            <w:pPr>
              <w:spacing w:after="160" w:line="360" w:lineRule="auto"/>
              <w:rPr>
                <w:rFonts w:ascii="Arial" w:hAnsi="Arial" w:cs="Arial"/>
                <w:b/>
                <w:bCs/>
                <w:sz w:val="24"/>
                <w:szCs w:val="24"/>
              </w:rPr>
            </w:pPr>
            <w:r w:rsidRPr="00B273B4">
              <w:rPr>
                <w:rFonts w:ascii="Arial" w:hAnsi="Arial" w:cs="Arial"/>
                <w:b/>
                <w:bCs/>
                <w:sz w:val="24"/>
                <w:szCs w:val="24"/>
              </w:rPr>
              <w:t>Perspective</w:t>
            </w:r>
          </w:p>
        </w:tc>
        <w:tc>
          <w:tcPr>
            <w:tcW w:w="0" w:type="auto"/>
            <w:noWrap/>
            <w:hideMark/>
          </w:tcPr>
          <w:p w14:paraId="35EEBFCE" w14:textId="77777777" w:rsidR="00B273B4" w:rsidRPr="00B273B4" w:rsidRDefault="00B273B4" w:rsidP="00B273B4">
            <w:pPr>
              <w:spacing w:after="160" w:line="360" w:lineRule="auto"/>
              <w:rPr>
                <w:rFonts w:ascii="Arial" w:hAnsi="Arial" w:cs="Arial"/>
                <w:b/>
                <w:bCs/>
                <w:sz w:val="24"/>
                <w:szCs w:val="24"/>
              </w:rPr>
            </w:pPr>
            <w:r w:rsidRPr="00B273B4">
              <w:rPr>
                <w:rFonts w:ascii="Arial" w:hAnsi="Arial" w:cs="Arial"/>
                <w:b/>
                <w:bCs/>
                <w:sz w:val="24"/>
                <w:szCs w:val="24"/>
              </w:rPr>
              <w:t>Strategic Objective</w:t>
            </w:r>
          </w:p>
        </w:tc>
        <w:tc>
          <w:tcPr>
            <w:tcW w:w="0" w:type="auto"/>
            <w:noWrap/>
            <w:hideMark/>
          </w:tcPr>
          <w:p w14:paraId="2341220C" w14:textId="77777777" w:rsidR="00B273B4" w:rsidRPr="00B273B4" w:rsidRDefault="00B273B4" w:rsidP="00B273B4">
            <w:pPr>
              <w:spacing w:after="160" w:line="360" w:lineRule="auto"/>
              <w:rPr>
                <w:rFonts w:ascii="Arial" w:hAnsi="Arial" w:cs="Arial"/>
                <w:b/>
                <w:bCs/>
                <w:sz w:val="24"/>
                <w:szCs w:val="24"/>
              </w:rPr>
            </w:pPr>
            <w:r w:rsidRPr="00B273B4">
              <w:rPr>
                <w:rFonts w:ascii="Arial" w:hAnsi="Arial" w:cs="Arial"/>
                <w:b/>
                <w:bCs/>
                <w:sz w:val="24"/>
                <w:szCs w:val="24"/>
              </w:rPr>
              <w:t>KPI</w:t>
            </w:r>
          </w:p>
        </w:tc>
        <w:tc>
          <w:tcPr>
            <w:tcW w:w="0" w:type="auto"/>
            <w:noWrap/>
            <w:hideMark/>
          </w:tcPr>
          <w:p w14:paraId="14C3E288" w14:textId="77777777" w:rsidR="00B273B4" w:rsidRPr="00B273B4" w:rsidRDefault="00B273B4" w:rsidP="00B273B4">
            <w:pPr>
              <w:spacing w:after="160" w:line="360" w:lineRule="auto"/>
              <w:rPr>
                <w:rFonts w:ascii="Arial" w:hAnsi="Arial" w:cs="Arial"/>
                <w:b/>
                <w:bCs/>
                <w:sz w:val="24"/>
                <w:szCs w:val="24"/>
              </w:rPr>
            </w:pPr>
            <w:r w:rsidRPr="00B273B4">
              <w:rPr>
                <w:rFonts w:ascii="Arial" w:hAnsi="Arial" w:cs="Arial"/>
                <w:b/>
                <w:bCs/>
                <w:sz w:val="24"/>
                <w:szCs w:val="24"/>
              </w:rPr>
              <w:t>Target</w:t>
            </w:r>
          </w:p>
        </w:tc>
        <w:tc>
          <w:tcPr>
            <w:tcW w:w="0" w:type="auto"/>
            <w:noWrap/>
            <w:hideMark/>
          </w:tcPr>
          <w:p w14:paraId="39D6296A" w14:textId="77777777" w:rsidR="00B273B4" w:rsidRPr="00B273B4" w:rsidRDefault="00B273B4" w:rsidP="00B273B4">
            <w:pPr>
              <w:spacing w:after="160" w:line="360" w:lineRule="auto"/>
              <w:rPr>
                <w:rFonts w:ascii="Arial" w:hAnsi="Arial" w:cs="Arial"/>
                <w:b/>
                <w:bCs/>
                <w:sz w:val="24"/>
                <w:szCs w:val="24"/>
              </w:rPr>
            </w:pPr>
            <w:r w:rsidRPr="00B273B4">
              <w:rPr>
                <w:rFonts w:ascii="Arial" w:hAnsi="Arial" w:cs="Arial"/>
                <w:b/>
                <w:bCs/>
                <w:sz w:val="24"/>
                <w:szCs w:val="24"/>
              </w:rPr>
              <w:t>Strategic Initiative</w:t>
            </w:r>
          </w:p>
        </w:tc>
      </w:tr>
      <w:tr w:rsidR="00B273B4" w:rsidRPr="00B273B4" w14:paraId="6C81748E" w14:textId="77777777" w:rsidTr="00B273B4">
        <w:tc>
          <w:tcPr>
            <w:tcW w:w="0" w:type="auto"/>
            <w:hideMark/>
          </w:tcPr>
          <w:p w14:paraId="5226044D"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Financial</w:t>
            </w:r>
          </w:p>
        </w:tc>
        <w:tc>
          <w:tcPr>
            <w:tcW w:w="0" w:type="auto"/>
            <w:hideMark/>
          </w:tcPr>
          <w:p w14:paraId="177FD737"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Revenue growth</w:t>
            </w:r>
          </w:p>
        </w:tc>
        <w:tc>
          <w:tcPr>
            <w:tcW w:w="0" w:type="auto"/>
            <w:hideMark/>
          </w:tcPr>
          <w:p w14:paraId="1E701945"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Annual revenue growth rate</w:t>
            </w:r>
          </w:p>
        </w:tc>
        <w:tc>
          <w:tcPr>
            <w:tcW w:w="0" w:type="auto"/>
            <w:hideMark/>
          </w:tcPr>
          <w:p w14:paraId="4D86400F"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20%+ year-on-year</w:t>
            </w:r>
          </w:p>
        </w:tc>
        <w:tc>
          <w:tcPr>
            <w:tcW w:w="0" w:type="auto"/>
            <w:hideMark/>
          </w:tcPr>
          <w:p w14:paraId="3254710B"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Expand vehicle line-up (</w:t>
            </w:r>
            <w:proofErr w:type="spellStart"/>
            <w:r w:rsidRPr="00B273B4">
              <w:rPr>
                <w:rFonts w:ascii="Arial" w:hAnsi="Arial" w:cs="Arial"/>
                <w:sz w:val="24"/>
                <w:szCs w:val="24"/>
              </w:rPr>
              <w:t>Cybertruck</w:t>
            </w:r>
            <w:proofErr w:type="spellEnd"/>
            <w:r w:rsidRPr="00B273B4">
              <w:rPr>
                <w:rFonts w:ascii="Arial" w:hAnsi="Arial" w:cs="Arial"/>
                <w:sz w:val="24"/>
                <w:szCs w:val="24"/>
              </w:rPr>
              <w:t>, affordable model)</w:t>
            </w:r>
          </w:p>
        </w:tc>
      </w:tr>
      <w:tr w:rsidR="00B273B4" w:rsidRPr="00B273B4" w14:paraId="011425D8" w14:textId="77777777" w:rsidTr="00B273B4">
        <w:tc>
          <w:tcPr>
            <w:tcW w:w="0" w:type="auto"/>
            <w:hideMark/>
          </w:tcPr>
          <w:p w14:paraId="3D616951"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Financial</w:t>
            </w:r>
          </w:p>
        </w:tc>
        <w:tc>
          <w:tcPr>
            <w:tcW w:w="0" w:type="auto"/>
            <w:hideMark/>
          </w:tcPr>
          <w:p w14:paraId="5D121A79"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Profitability improvement</w:t>
            </w:r>
          </w:p>
        </w:tc>
        <w:tc>
          <w:tcPr>
            <w:tcW w:w="0" w:type="auto"/>
            <w:hideMark/>
          </w:tcPr>
          <w:p w14:paraId="1A8E69D4"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Operating margin</w:t>
            </w:r>
          </w:p>
        </w:tc>
        <w:tc>
          <w:tcPr>
            <w:tcW w:w="0" w:type="auto"/>
            <w:hideMark/>
          </w:tcPr>
          <w:p w14:paraId="647EA3A2"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Maintain &gt;10%</w:t>
            </w:r>
          </w:p>
        </w:tc>
        <w:tc>
          <w:tcPr>
            <w:tcW w:w="0" w:type="auto"/>
            <w:hideMark/>
          </w:tcPr>
          <w:p w14:paraId="695871D7"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Reduce cost per vehicle through manufacturing efficiencies</w:t>
            </w:r>
          </w:p>
        </w:tc>
      </w:tr>
      <w:tr w:rsidR="00B273B4" w:rsidRPr="00B273B4" w14:paraId="3498B569" w14:textId="77777777" w:rsidTr="00B273B4">
        <w:tc>
          <w:tcPr>
            <w:tcW w:w="0" w:type="auto"/>
            <w:hideMark/>
          </w:tcPr>
          <w:p w14:paraId="7CFC6FAF"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Financial</w:t>
            </w:r>
          </w:p>
        </w:tc>
        <w:tc>
          <w:tcPr>
            <w:tcW w:w="0" w:type="auto"/>
            <w:hideMark/>
          </w:tcPr>
          <w:p w14:paraId="7B5590D2"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Cash flow generation</w:t>
            </w:r>
          </w:p>
        </w:tc>
        <w:tc>
          <w:tcPr>
            <w:tcW w:w="0" w:type="auto"/>
            <w:hideMark/>
          </w:tcPr>
          <w:p w14:paraId="1CA1C499"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Free cash flow</w:t>
            </w:r>
          </w:p>
        </w:tc>
        <w:tc>
          <w:tcPr>
            <w:tcW w:w="0" w:type="auto"/>
            <w:hideMark/>
          </w:tcPr>
          <w:p w14:paraId="04FFE240"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&gt;$8 billion annually</w:t>
            </w:r>
          </w:p>
        </w:tc>
        <w:tc>
          <w:tcPr>
            <w:tcW w:w="0" w:type="auto"/>
            <w:hideMark/>
          </w:tcPr>
          <w:p w14:paraId="67975B5C" w14:textId="77777777" w:rsidR="00B273B4" w:rsidRPr="00B273B4" w:rsidRDefault="00B273B4" w:rsidP="00B273B4">
            <w:pPr>
              <w:spacing w:after="160" w:line="360" w:lineRule="auto"/>
              <w:rPr>
                <w:rFonts w:ascii="Arial" w:hAnsi="Arial" w:cs="Arial"/>
                <w:sz w:val="24"/>
                <w:szCs w:val="24"/>
              </w:rPr>
            </w:pPr>
            <w:proofErr w:type="spellStart"/>
            <w:r w:rsidRPr="00B273B4">
              <w:rPr>
                <w:rFonts w:ascii="Arial" w:hAnsi="Arial" w:cs="Arial"/>
                <w:sz w:val="24"/>
                <w:szCs w:val="24"/>
              </w:rPr>
              <w:t>Optimise</w:t>
            </w:r>
            <w:proofErr w:type="spellEnd"/>
            <w:r w:rsidRPr="00B273B4">
              <w:rPr>
                <w:rFonts w:ascii="Arial" w:hAnsi="Arial" w:cs="Arial"/>
                <w:sz w:val="24"/>
                <w:szCs w:val="24"/>
              </w:rPr>
              <w:t xml:space="preserve"> working capital and scale energy business</w:t>
            </w:r>
          </w:p>
        </w:tc>
      </w:tr>
      <w:tr w:rsidR="00B273B4" w:rsidRPr="00B273B4" w14:paraId="11C96747" w14:textId="77777777" w:rsidTr="00B273B4">
        <w:tc>
          <w:tcPr>
            <w:tcW w:w="0" w:type="auto"/>
            <w:hideMark/>
          </w:tcPr>
          <w:p w14:paraId="61744094"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Customer</w:t>
            </w:r>
          </w:p>
        </w:tc>
        <w:tc>
          <w:tcPr>
            <w:tcW w:w="0" w:type="auto"/>
            <w:hideMark/>
          </w:tcPr>
          <w:p w14:paraId="43DE59E3"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Customer satisfaction</w:t>
            </w:r>
          </w:p>
        </w:tc>
        <w:tc>
          <w:tcPr>
            <w:tcW w:w="0" w:type="auto"/>
            <w:hideMark/>
          </w:tcPr>
          <w:p w14:paraId="442B376D"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Net Promoter Score (NPS)</w:t>
            </w:r>
          </w:p>
        </w:tc>
        <w:tc>
          <w:tcPr>
            <w:tcW w:w="0" w:type="auto"/>
            <w:hideMark/>
          </w:tcPr>
          <w:p w14:paraId="48FA21E5"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&gt;70</w:t>
            </w:r>
          </w:p>
        </w:tc>
        <w:tc>
          <w:tcPr>
            <w:tcW w:w="0" w:type="auto"/>
            <w:hideMark/>
          </w:tcPr>
          <w:p w14:paraId="3EF32B1A"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 xml:space="preserve">Improve service </w:t>
            </w:r>
            <w:proofErr w:type="spellStart"/>
            <w:r w:rsidRPr="00B273B4">
              <w:rPr>
                <w:rFonts w:ascii="Arial" w:hAnsi="Arial" w:cs="Arial"/>
                <w:sz w:val="24"/>
                <w:szCs w:val="24"/>
              </w:rPr>
              <w:t>centre</w:t>
            </w:r>
            <w:proofErr w:type="spellEnd"/>
            <w:r w:rsidRPr="00B273B4">
              <w:rPr>
                <w:rFonts w:ascii="Arial" w:hAnsi="Arial" w:cs="Arial"/>
                <w:sz w:val="24"/>
                <w:szCs w:val="24"/>
              </w:rPr>
              <w:t xml:space="preserve"> capacity and responsiveness</w:t>
            </w:r>
          </w:p>
        </w:tc>
      </w:tr>
      <w:tr w:rsidR="00B273B4" w:rsidRPr="00B273B4" w14:paraId="50525A01" w14:textId="77777777" w:rsidTr="00B273B4">
        <w:tc>
          <w:tcPr>
            <w:tcW w:w="0" w:type="auto"/>
            <w:hideMark/>
          </w:tcPr>
          <w:p w14:paraId="768BD8AB"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Customer</w:t>
            </w:r>
          </w:p>
        </w:tc>
        <w:tc>
          <w:tcPr>
            <w:tcW w:w="0" w:type="auto"/>
            <w:hideMark/>
          </w:tcPr>
          <w:p w14:paraId="6E041C11"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Market share retention</w:t>
            </w:r>
          </w:p>
        </w:tc>
        <w:tc>
          <w:tcPr>
            <w:tcW w:w="0" w:type="auto"/>
            <w:hideMark/>
          </w:tcPr>
          <w:p w14:paraId="2EB5B36F"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Global EV market share</w:t>
            </w:r>
          </w:p>
        </w:tc>
        <w:tc>
          <w:tcPr>
            <w:tcW w:w="0" w:type="auto"/>
            <w:hideMark/>
          </w:tcPr>
          <w:p w14:paraId="0BB17B86"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Maintain &gt;18%</w:t>
            </w:r>
          </w:p>
        </w:tc>
        <w:tc>
          <w:tcPr>
            <w:tcW w:w="0" w:type="auto"/>
            <w:hideMark/>
          </w:tcPr>
          <w:p w14:paraId="32DC811F"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Launch affordable models and expand into emerging markets</w:t>
            </w:r>
          </w:p>
        </w:tc>
      </w:tr>
      <w:tr w:rsidR="00B273B4" w:rsidRPr="00B273B4" w14:paraId="48611EE5" w14:textId="77777777" w:rsidTr="00B273B4">
        <w:tc>
          <w:tcPr>
            <w:tcW w:w="0" w:type="auto"/>
            <w:hideMark/>
          </w:tcPr>
          <w:p w14:paraId="0253A6BE"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Customer</w:t>
            </w:r>
          </w:p>
        </w:tc>
        <w:tc>
          <w:tcPr>
            <w:tcW w:w="0" w:type="auto"/>
            <w:hideMark/>
          </w:tcPr>
          <w:p w14:paraId="5E307A59"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Product quality</w:t>
            </w:r>
          </w:p>
        </w:tc>
        <w:tc>
          <w:tcPr>
            <w:tcW w:w="0" w:type="auto"/>
            <w:hideMark/>
          </w:tcPr>
          <w:p w14:paraId="04D29270"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Warranty claims per 1,000 vehicles</w:t>
            </w:r>
          </w:p>
        </w:tc>
        <w:tc>
          <w:tcPr>
            <w:tcW w:w="0" w:type="auto"/>
            <w:hideMark/>
          </w:tcPr>
          <w:p w14:paraId="1D487E99"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Reduce by 15% annually</w:t>
            </w:r>
          </w:p>
        </w:tc>
        <w:tc>
          <w:tcPr>
            <w:tcW w:w="0" w:type="auto"/>
            <w:hideMark/>
          </w:tcPr>
          <w:p w14:paraId="012D77FF"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 xml:space="preserve">Enhance quality control at </w:t>
            </w:r>
            <w:proofErr w:type="spellStart"/>
            <w:r w:rsidRPr="00B273B4">
              <w:rPr>
                <w:rFonts w:ascii="Arial" w:hAnsi="Arial" w:cs="Arial"/>
                <w:sz w:val="24"/>
                <w:szCs w:val="24"/>
              </w:rPr>
              <w:t>Gigafactories</w:t>
            </w:r>
            <w:proofErr w:type="spellEnd"/>
          </w:p>
        </w:tc>
      </w:tr>
      <w:tr w:rsidR="00B273B4" w:rsidRPr="00B273B4" w14:paraId="1DEEA2B7" w14:textId="77777777" w:rsidTr="00B273B4">
        <w:tc>
          <w:tcPr>
            <w:tcW w:w="0" w:type="auto"/>
            <w:hideMark/>
          </w:tcPr>
          <w:p w14:paraId="50EB05F1"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Internal Processes</w:t>
            </w:r>
          </w:p>
        </w:tc>
        <w:tc>
          <w:tcPr>
            <w:tcW w:w="0" w:type="auto"/>
            <w:hideMark/>
          </w:tcPr>
          <w:p w14:paraId="634FD02E"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Manufacturing efficiency</w:t>
            </w:r>
          </w:p>
        </w:tc>
        <w:tc>
          <w:tcPr>
            <w:tcW w:w="0" w:type="auto"/>
            <w:hideMark/>
          </w:tcPr>
          <w:p w14:paraId="07F2688E"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 xml:space="preserve">Vehicles produced per </w:t>
            </w:r>
            <w:r w:rsidRPr="00B273B4">
              <w:rPr>
                <w:rFonts w:ascii="Arial" w:hAnsi="Arial" w:cs="Arial"/>
                <w:sz w:val="24"/>
                <w:szCs w:val="24"/>
              </w:rPr>
              <w:lastRenderedPageBreak/>
              <w:t>employee</w:t>
            </w:r>
          </w:p>
        </w:tc>
        <w:tc>
          <w:tcPr>
            <w:tcW w:w="0" w:type="auto"/>
            <w:hideMark/>
          </w:tcPr>
          <w:p w14:paraId="79A1BC04"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lastRenderedPageBreak/>
              <w:t xml:space="preserve">Increase by 10% </w:t>
            </w:r>
            <w:r w:rsidRPr="00B273B4">
              <w:rPr>
                <w:rFonts w:ascii="Arial" w:hAnsi="Arial" w:cs="Arial"/>
                <w:sz w:val="24"/>
                <w:szCs w:val="24"/>
              </w:rPr>
              <w:lastRenderedPageBreak/>
              <w:t>annually</w:t>
            </w:r>
          </w:p>
        </w:tc>
        <w:tc>
          <w:tcPr>
            <w:tcW w:w="0" w:type="auto"/>
            <w:hideMark/>
          </w:tcPr>
          <w:p w14:paraId="4CB6DAA4"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lastRenderedPageBreak/>
              <w:t xml:space="preserve">Implement next-generation manufacturing </w:t>
            </w:r>
            <w:r w:rsidRPr="00B273B4">
              <w:rPr>
                <w:rFonts w:ascii="Arial" w:hAnsi="Arial" w:cs="Arial"/>
                <w:sz w:val="24"/>
                <w:szCs w:val="24"/>
              </w:rPr>
              <w:lastRenderedPageBreak/>
              <w:t>processes</w:t>
            </w:r>
          </w:p>
        </w:tc>
      </w:tr>
      <w:tr w:rsidR="00B273B4" w:rsidRPr="00B273B4" w14:paraId="37CF907E" w14:textId="77777777" w:rsidTr="00B273B4">
        <w:tc>
          <w:tcPr>
            <w:tcW w:w="0" w:type="auto"/>
            <w:hideMark/>
          </w:tcPr>
          <w:p w14:paraId="66E517DA"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lastRenderedPageBreak/>
              <w:t>Internal Processes</w:t>
            </w:r>
          </w:p>
        </w:tc>
        <w:tc>
          <w:tcPr>
            <w:tcW w:w="0" w:type="auto"/>
            <w:hideMark/>
          </w:tcPr>
          <w:p w14:paraId="7DD0EA12"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Supply chain resilience</w:t>
            </w:r>
          </w:p>
        </w:tc>
        <w:tc>
          <w:tcPr>
            <w:tcW w:w="0" w:type="auto"/>
            <w:hideMark/>
          </w:tcPr>
          <w:p w14:paraId="52B0B99C"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Supplier diversification index</w:t>
            </w:r>
          </w:p>
        </w:tc>
        <w:tc>
          <w:tcPr>
            <w:tcW w:w="0" w:type="auto"/>
            <w:hideMark/>
          </w:tcPr>
          <w:p w14:paraId="60CD864A"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Reduce single-source dependency by 25%</w:t>
            </w:r>
          </w:p>
        </w:tc>
        <w:tc>
          <w:tcPr>
            <w:tcW w:w="0" w:type="auto"/>
            <w:hideMark/>
          </w:tcPr>
          <w:p w14:paraId="47A59EF2"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Develop alternative lithium and cobalt suppliers</w:t>
            </w:r>
          </w:p>
        </w:tc>
      </w:tr>
      <w:tr w:rsidR="00B273B4" w:rsidRPr="00B273B4" w14:paraId="3530505A" w14:textId="77777777" w:rsidTr="00B273B4">
        <w:tc>
          <w:tcPr>
            <w:tcW w:w="0" w:type="auto"/>
            <w:hideMark/>
          </w:tcPr>
          <w:p w14:paraId="30E6FECD"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Internal Processes</w:t>
            </w:r>
          </w:p>
        </w:tc>
        <w:tc>
          <w:tcPr>
            <w:tcW w:w="0" w:type="auto"/>
            <w:hideMark/>
          </w:tcPr>
          <w:p w14:paraId="28C9CDD3"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Sustainability integration</w:t>
            </w:r>
          </w:p>
        </w:tc>
        <w:tc>
          <w:tcPr>
            <w:tcW w:w="0" w:type="auto"/>
            <w:hideMark/>
          </w:tcPr>
          <w:p w14:paraId="60E9D8D7"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Carbon intensity per vehicle manufactured</w:t>
            </w:r>
          </w:p>
        </w:tc>
        <w:tc>
          <w:tcPr>
            <w:tcW w:w="0" w:type="auto"/>
            <w:hideMark/>
          </w:tcPr>
          <w:p w14:paraId="06308AFF"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Reduce by 20% by 2025</w:t>
            </w:r>
          </w:p>
        </w:tc>
        <w:tc>
          <w:tcPr>
            <w:tcW w:w="0" w:type="auto"/>
            <w:hideMark/>
          </w:tcPr>
          <w:p w14:paraId="0F5118C7"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Transition to renewable energy at all manufacturing sites</w:t>
            </w:r>
          </w:p>
        </w:tc>
      </w:tr>
      <w:tr w:rsidR="00B273B4" w:rsidRPr="00B273B4" w14:paraId="5F2C46F0" w14:textId="77777777" w:rsidTr="00B273B4">
        <w:tc>
          <w:tcPr>
            <w:tcW w:w="0" w:type="auto"/>
            <w:hideMark/>
          </w:tcPr>
          <w:p w14:paraId="1987602B"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Learning and Growth</w:t>
            </w:r>
          </w:p>
        </w:tc>
        <w:tc>
          <w:tcPr>
            <w:tcW w:w="0" w:type="auto"/>
            <w:hideMark/>
          </w:tcPr>
          <w:p w14:paraId="7981126E"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Talent retention</w:t>
            </w:r>
          </w:p>
        </w:tc>
        <w:tc>
          <w:tcPr>
            <w:tcW w:w="0" w:type="auto"/>
            <w:hideMark/>
          </w:tcPr>
          <w:p w14:paraId="67AD0ABB"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Employee turnover rate</w:t>
            </w:r>
          </w:p>
        </w:tc>
        <w:tc>
          <w:tcPr>
            <w:tcW w:w="0" w:type="auto"/>
            <w:hideMark/>
          </w:tcPr>
          <w:p w14:paraId="7481A30A"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Reduce to &lt;15%</w:t>
            </w:r>
          </w:p>
        </w:tc>
        <w:tc>
          <w:tcPr>
            <w:tcW w:w="0" w:type="auto"/>
            <w:hideMark/>
          </w:tcPr>
          <w:p w14:paraId="2C58A12F"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Improve compensation and workplace culture</w:t>
            </w:r>
          </w:p>
        </w:tc>
      </w:tr>
      <w:tr w:rsidR="00B273B4" w:rsidRPr="00B273B4" w14:paraId="481A80A4" w14:textId="77777777" w:rsidTr="00B273B4">
        <w:tc>
          <w:tcPr>
            <w:tcW w:w="0" w:type="auto"/>
            <w:hideMark/>
          </w:tcPr>
          <w:p w14:paraId="40AA4E3D"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Learning and Growth</w:t>
            </w:r>
          </w:p>
        </w:tc>
        <w:tc>
          <w:tcPr>
            <w:tcW w:w="0" w:type="auto"/>
            <w:hideMark/>
          </w:tcPr>
          <w:p w14:paraId="608846F6"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Employee development</w:t>
            </w:r>
          </w:p>
        </w:tc>
        <w:tc>
          <w:tcPr>
            <w:tcW w:w="0" w:type="auto"/>
            <w:hideMark/>
          </w:tcPr>
          <w:p w14:paraId="67172C2C"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Training hours per employee</w:t>
            </w:r>
          </w:p>
        </w:tc>
        <w:tc>
          <w:tcPr>
            <w:tcW w:w="0" w:type="auto"/>
            <w:hideMark/>
          </w:tcPr>
          <w:p w14:paraId="7F0687E5"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&gt;40 hours annually</w:t>
            </w:r>
          </w:p>
        </w:tc>
        <w:tc>
          <w:tcPr>
            <w:tcW w:w="0" w:type="auto"/>
            <w:hideMark/>
          </w:tcPr>
          <w:p w14:paraId="38985C52"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 xml:space="preserve">Launch internal leadership development </w:t>
            </w:r>
            <w:proofErr w:type="spellStart"/>
            <w:r w:rsidRPr="00B273B4">
              <w:rPr>
                <w:rFonts w:ascii="Arial" w:hAnsi="Arial" w:cs="Arial"/>
                <w:sz w:val="24"/>
                <w:szCs w:val="24"/>
              </w:rPr>
              <w:t>programmes</w:t>
            </w:r>
            <w:proofErr w:type="spellEnd"/>
          </w:p>
        </w:tc>
      </w:tr>
      <w:tr w:rsidR="00B273B4" w:rsidRPr="00B273B4" w14:paraId="0D8CC015" w14:textId="77777777" w:rsidTr="00B273B4">
        <w:tc>
          <w:tcPr>
            <w:tcW w:w="0" w:type="auto"/>
            <w:hideMark/>
          </w:tcPr>
          <w:p w14:paraId="3BC5FF07"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Learning and Growth</w:t>
            </w:r>
          </w:p>
        </w:tc>
        <w:tc>
          <w:tcPr>
            <w:tcW w:w="0" w:type="auto"/>
            <w:hideMark/>
          </w:tcPr>
          <w:p w14:paraId="35D57527"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Technological capability</w:t>
            </w:r>
          </w:p>
        </w:tc>
        <w:tc>
          <w:tcPr>
            <w:tcW w:w="0" w:type="auto"/>
            <w:hideMark/>
          </w:tcPr>
          <w:p w14:paraId="58FC2931"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AI/ML model accuracy for FSD</w:t>
            </w:r>
          </w:p>
        </w:tc>
        <w:tc>
          <w:tcPr>
            <w:tcW w:w="0" w:type="auto"/>
            <w:hideMark/>
          </w:tcPr>
          <w:p w14:paraId="5CC51657"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&gt;99.9% object recognition</w:t>
            </w:r>
          </w:p>
        </w:tc>
        <w:tc>
          <w:tcPr>
            <w:tcW w:w="0" w:type="auto"/>
            <w:hideMark/>
          </w:tcPr>
          <w:p w14:paraId="0FF6E3C5" w14:textId="77777777" w:rsidR="00B273B4" w:rsidRPr="00B273B4" w:rsidRDefault="00B273B4" w:rsidP="00B273B4">
            <w:pPr>
              <w:spacing w:after="160" w:line="360" w:lineRule="auto"/>
              <w:rPr>
                <w:rFonts w:ascii="Arial" w:hAnsi="Arial" w:cs="Arial"/>
                <w:sz w:val="24"/>
                <w:szCs w:val="24"/>
              </w:rPr>
            </w:pPr>
            <w:r w:rsidRPr="00B273B4">
              <w:rPr>
                <w:rFonts w:ascii="Arial" w:hAnsi="Arial" w:cs="Arial"/>
                <w:sz w:val="24"/>
                <w:szCs w:val="24"/>
              </w:rPr>
              <w:t>Expand AI training infrastructure (Dojo)</w:t>
            </w:r>
          </w:p>
        </w:tc>
      </w:tr>
    </w:tbl>
    <w:p w14:paraId="6BB18BFD" w14:textId="77777777" w:rsidR="00B273B4" w:rsidRPr="000A4AEE" w:rsidRDefault="00B273B4" w:rsidP="00907F4A">
      <w:pPr>
        <w:spacing w:line="360" w:lineRule="auto"/>
        <w:rPr>
          <w:rFonts w:ascii="Arial" w:hAnsi="Arial" w:cs="Arial"/>
          <w:sz w:val="24"/>
          <w:szCs w:val="24"/>
        </w:rPr>
      </w:pPr>
    </w:p>
    <w:p w14:paraId="1554691E" w14:textId="77777777" w:rsidR="00907F4A" w:rsidRPr="000A4AEE" w:rsidRDefault="00907F4A" w:rsidP="00907F4A">
      <w:pPr>
        <w:spacing w:line="360" w:lineRule="auto"/>
        <w:rPr>
          <w:rFonts w:ascii="Arial" w:hAnsi="Arial" w:cs="Arial"/>
          <w:sz w:val="24"/>
          <w:szCs w:val="24"/>
        </w:rPr>
      </w:pPr>
      <w:r w:rsidRPr="000A4AEE">
        <w:rPr>
          <w:rFonts w:ascii="Arial" w:hAnsi="Arial" w:cs="Arial"/>
          <w:sz w:val="24"/>
          <w:szCs w:val="24"/>
        </w:rPr>
        <w:t xml:space="preserve">The Balanced Scorecard (BSC) is an invent by Kaplan and Norton (1992) as a multi-dimensional approach to evaluating </w:t>
      </w:r>
      <w:proofErr w:type="spellStart"/>
      <w:r w:rsidRPr="000A4AEE">
        <w:rPr>
          <w:rFonts w:ascii="Arial" w:hAnsi="Arial" w:cs="Arial"/>
          <w:sz w:val="24"/>
          <w:szCs w:val="24"/>
        </w:rPr>
        <w:t>organisational</w:t>
      </w:r>
      <w:proofErr w:type="spellEnd"/>
      <w:r w:rsidRPr="000A4AEE">
        <w:rPr>
          <w:rFonts w:ascii="Arial" w:hAnsi="Arial" w:cs="Arial"/>
          <w:sz w:val="24"/>
          <w:szCs w:val="24"/>
        </w:rPr>
        <w:t xml:space="preserve"> performance in other ways other than the conventional financial measures. It has four lenses which include Financial, Customer, Internal Business Processes and Learning and Growth and allows an evaluation of strategic execution in a holistic manner (Kaplan and Norton, 1996). This framework can be applied to Tesla to understand the successes and strengths of the strategic approach and also the areas that need improvement.</w:t>
      </w:r>
    </w:p>
    <w:p w14:paraId="62514F48" w14:textId="77777777" w:rsidR="00907F4A" w:rsidRPr="00907F4A" w:rsidRDefault="00907F4A" w:rsidP="00907F4A">
      <w:pPr>
        <w:spacing w:line="360" w:lineRule="auto"/>
        <w:rPr>
          <w:rFonts w:ascii="Arial" w:hAnsi="Arial" w:cs="Arial"/>
          <w:b/>
          <w:bCs/>
          <w:sz w:val="24"/>
          <w:szCs w:val="24"/>
        </w:rPr>
      </w:pPr>
      <w:r w:rsidRPr="00907F4A">
        <w:rPr>
          <w:rFonts w:ascii="Arial" w:hAnsi="Arial" w:cs="Arial"/>
          <w:b/>
          <w:bCs/>
          <w:sz w:val="24"/>
          <w:szCs w:val="24"/>
        </w:rPr>
        <w:t>4.1 Financial Perspective</w:t>
      </w:r>
    </w:p>
    <w:p w14:paraId="645B5D83" w14:textId="77777777" w:rsidR="00AA4761" w:rsidRPr="000A4AEE" w:rsidRDefault="00907F4A" w:rsidP="00907F4A">
      <w:pPr>
        <w:spacing w:line="360" w:lineRule="auto"/>
        <w:rPr>
          <w:rFonts w:ascii="Arial" w:hAnsi="Arial" w:cs="Arial"/>
          <w:sz w:val="24"/>
          <w:szCs w:val="24"/>
        </w:rPr>
      </w:pPr>
      <w:r w:rsidRPr="000A4AEE">
        <w:rPr>
          <w:rFonts w:ascii="Arial" w:hAnsi="Arial" w:cs="Arial"/>
          <w:sz w:val="24"/>
          <w:szCs w:val="24"/>
        </w:rPr>
        <w:lastRenderedPageBreak/>
        <w:t xml:space="preserve">The financial perspective is concerned with the way the </w:t>
      </w:r>
      <w:proofErr w:type="spellStart"/>
      <w:r w:rsidRPr="000A4AEE">
        <w:rPr>
          <w:rFonts w:ascii="Arial" w:hAnsi="Arial" w:cs="Arial"/>
          <w:sz w:val="24"/>
          <w:szCs w:val="24"/>
        </w:rPr>
        <w:t>organisation</w:t>
      </w:r>
      <w:proofErr w:type="spellEnd"/>
      <w:r w:rsidRPr="000A4AEE">
        <w:rPr>
          <w:rFonts w:ascii="Arial" w:hAnsi="Arial" w:cs="Arial"/>
          <w:sz w:val="24"/>
          <w:szCs w:val="24"/>
        </w:rPr>
        <w:t xml:space="preserve"> is seen by the shareholders and whether the strategic activities are translated into financial value (Kaplan and Norton, 1996).</w:t>
      </w:r>
    </w:p>
    <w:tbl>
      <w:tblPr>
        <w:tblStyle w:val="TableGrid"/>
        <w:tblW w:w="9360" w:type="dxa"/>
        <w:tblLook w:val="04A0" w:firstRow="1" w:lastRow="0" w:firstColumn="1" w:lastColumn="0" w:noHBand="0" w:noVBand="1"/>
      </w:tblPr>
      <w:tblGrid>
        <w:gridCol w:w="2037"/>
        <w:gridCol w:w="2186"/>
        <w:gridCol w:w="1583"/>
        <w:gridCol w:w="3554"/>
      </w:tblGrid>
      <w:tr w:rsidR="00AA4761" w:rsidRPr="00AA4761" w14:paraId="54E45FE2" w14:textId="77777777" w:rsidTr="00790B67">
        <w:tc>
          <w:tcPr>
            <w:tcW w:w="0" w:type="auto"/>
            <w:noWrap/>
            <w:hideMark/>
          </w:tcPr>
          <w:p w14:paraId="201F5B0F" w14:textId="77777777" w:rsidR="00AA4761" w:rsidRPr="00AA4761" w:rsidRDefault="00AA4761" w:rsidP="00AA4761">
            <w:pPr>
              <w:spacing w:line="360" w:lineRule="auto"/>
              <w:rPr>
                <w:rFonts w:ascii="Arial" w:hAnsi="Arial" w:cs="Arial"/>
                <w:b/>
                <w:bCs/>
                <w:sz w:val="24"/>
                <w:szCs w:val="24"/>
              </w:rPr>
            </w:pPr>
            <w:r w:rsidRPr="00AA4761">
              <w:rPr>
                <w:rFonts w:ascii="Arial" w:hAnsi="Arial" w:cs="Arial"/>
                <w:b/>
                <w:bCs/>
                <w:sz w:val="24"/>
                <w:szCs w:val="24"/>
              </w:rPr>
              <w:t>Objective</w:t>
            </w:r>
          </w:p>
        </w:tc>
        <w:tc>
          <w:tcPr>
            <w:tcW w:w="0" w:type="auto"/>
            <w:noWrap/>
            <w:hideMark/>
          </w:tcPr>
          <w:p w14:paraId="6DF51A93" w14:textId="77777777" w:rsidR="00AA4761" w:rsidRPr="00AA4761" w:rsidRDefault="00AA4761" w:rsidP="00AA4761">
            <w:pPr>
              <w:spacing w:line="360" w:lineRule="auto"/>
              <w:rPr>
                <w:rFonts w:ascii="Arial" w:hAnsi="Arial" w:cs="Arial"/>
                <w:b/>
                <w:bCs/>
                <w:sz w:val="24"/>
                <w:szCs w:val="24"/>
              </w:rPr>
            </w:pPr>
            <w:r w:rsidRPr="00AA4761">
              <w:rPr>
                <w:rFonts w:ascii="Arial" w:hAnsi="Arial" w:cs="Arial"/>
                <w:b/>
                <w:bCs/>
                <w:sz w:val="24"/>
                <w:szCs w:val="24"/>
              </w:rPr>
              <w:t>KPI</w:t>
            </w:r>
          </w:p>
        </w:tc>
        <w:tc>
          <w:tcPr>
            <w:tcW w:w="0" w:type="auto"/>
            <w:noWrap/>
            <w:hideMark/>
          </w:tcPr>
          <w:p w14:paraId="6F096838" w14:textId="77777777" w:rsidR="00AA4761" w:rsidRPr="00AA4761" w:rsidRDefault="00AA4761" w:rsidP="00AA4761">
            <w:pPr>
              <w:spacing w:line="360" w:lineRule="auto"/>
              <w:rPr>
                <w:rFonts w:ascii="Arial" w:hAnsi="Arial" w:cs="Arial"/>
                <w:b/>
                <w:bCs/>
                <w:sz w:val="24"/>
                <w:szCs w:val="24"/>
              </w:rPr>
            </w:pPr>
            <w:r w:rsidRPr="00AA4761">
              <w:rPr>
                <w:rFonts w:ascii="Arial" w:hAnsi="Arial" w:cs="Arial"/>
                <w:b/>
                <w:bCs/>
                <w:sz w:val="24"/>
                <w:szCs w:val="24"/>
              </w:rPr>
              <w:t>Target</w:t>
            </w:r>
          </w:p>
        </w:tc>
        <w:tc>
          <w:tcPr>
            <w:tcW w:w="0" w:type="auto"/>
            <w:noWrap/>
            <w:hideMark/>
          </w:tcPr>
          <w:p w14:paraId="56F01F0F" w14:textId="77777777" w:rsidR="00AA4761" w:rsidRPr="00AA4761" w:rsidRDefault="00AA4761" w:rsidP="00AA4761">
            <w:pPr>
              <w:spacing w:line="360" w:lineRule="auto"/>
              <w:rPr>
                <w:rFonts w:ascii="Arial" w:hAnsi="Arial" w:cs="Arial"/>
                <w:b/>
                <w:bCs/>
                <w:sz w:val="24"/>
                <w:szCs w:val="24"/>
              </w:rPr>
            </w:pPr>
            <w:r w:rsidRPr="00AA4761">
              <w:rPr>
                <w:rFonts w:ascii="Arial" w:hAnsi="Arial" w:cs="Arial"/>
                <w:b/>
                <w:bCs/>
                <w:sz w:val="24"/>
                <w:szCs w:val="24"/>
              </w:rPr>
              <w:t>Initiative</w:t>
            </w:r>
          </w:p>
        </w:tc>
      </w:tr>
      <w:tr w:rsidR="00AA4761" w:rsidRPr="00AA4761" w14:paraId="40044906" w14:textId="77777777" w:rsidTr="00790B67">
        <w:tc>
          <w:tcPr>
            <w:tcW w:w="0" w:type="auto"/>
            <w:hideMark/>
          </w:tcPr>
          <w:p w14:paraId="583F4E59"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Revenue growth</w:t>
            </w:r>
          </w:p>
        </w:tc>
        <w:tc>
          <w:tcPr>
            <w:tcW w:w="0" w:type="auto"/>
            <w:hideMark/>
          </w:tcPr>
          <w:p w14:paraId="0FAD7FBB"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Annual revenue growth rate</w:t>
            </w:r>
          </w:p>
        </w:tc>
        <w:tc>
          <w:tcPr>
            <w:tcW w:w="0" w:type="auto"/>
            <w:hideMark/>
          </w:tcPr>
          <w:p w14:paraId="0E09E2C8"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20%+ year-on-year</w:t>
            </w:r>
          </w:p>
        </w:tc>
        <w:tc>
          <w:tcPr>
            <w:tcW w:w="0" w:type="auto"/>
            <w:hideMark/>
          </w:tcPr>
          <w:p w14:paraId="2C4DCED3"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Expand vehicle line-up (</w:t>
            </w:r>
            <w:proofErr w:type="spellStart"/>
            <w:r w:rsidRPr="00AA4761">
              <w:rPr>
                <w:rFonts w:ascii="Arial" w:hAnsi="Arial" w:cs="Arial"/>
                <w:sz w:val="24"/>
                <w:szCs w:val="24"/>
              </w:rPr>
              <w:t>Cybertruck</w:t>
            </w:r>
            <w:proofErr w:type="spellEnd"/>
            <w:r w:rsidRPr="00AA4761">
              <w:rPr>
                <w:rFonts w:ascii="Arial" w:hAnsi="Arial" w:cs="Arial"/>
                <w:sz w:val="24"/>
                <w:szCs w:val="24"/>
              </w:rPr>
              <w:t>, next-gen affordable model)</w:t>
            </w:r>
          </w:p>
        </w:tc>
      </w:tr>
      <w:tr w:rsidR="00AA4761" w:rsidRPr="00AA4761" w14:paraId="7D78137B" w14:textId="77777777" w:rsidTr="00790B67">
        <w:tc>
          <w:tcPr>
            <w:tcW w:w="0" w:type="auto"/>
            <w:hideMark/>
          </w:tcPr>
          <w:p w14:paraId="7F7232E2"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Profitability improvement</w:t>
            </w:r>
          </w:p>
        </w:tc>
        <w:tc>
          <w:tcPr>
            <w:tcW w:w="0" w:type="auto"/>
            <w:hideMark/>
          </w:tcPr>
          <w:p w14:paraId="5B1701C9"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Operating margin</w:t>
            </w:r>
          </w:p>
        </w:tc>
        <w:tc>
          <w:tcPr>
            <w:tcW w:w="0" w:type="auto"/>
            <w:hideMark/>
          </w:tcPr>
          <w:p w14:paraId="1CAC5543"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Maintain &gt;10%</w:t>
            </w:r>
          </w:p>
        </w:tc>
        <w:tc>
          <w:tcPr>
            <w:tcW w:w="0" w:type="auto"/>
            <w:hideMark/>
          </w:tcPr>
          <w:p w14:paraId="1A4FABA2"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Reduce cost per vehicle through manufacturing efficiencies</w:t>
            </w:r>
          </w:p>
        </w:tc>
      </w:tr>
      <w:tr w:rsidR="00AA4761" w:rsidRPr="00AA4761" w14:paraId="378A0D50" w14:textId="77777777" w:rsidTr="00790B67">
        <w:tc>
          <w:tcPr>
            <w:tcW w:w="0" w:type="auto"/>
            <w:hideMark/>
          </w:tcPr>
          <w:p w14:paraId="02904747"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Cash flow generation</w:t>
            </w:r>
          </w:p>
        </w:tc>
        <w:tc>
          <w:tcPr>
            <w:tcW w:w="0" w:type="auto"/>
            <w:hideMark/>
          </w:tcPr>
          <w:p w14:paraId="740B305A"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Free cash flow</w:t>
            </w:r>
          </w:p>
        </w:tc>
        <w:tc>
          <w:tcPr>
            <w:tcW w:w="0" w:type="auto"/>
            <w:hideMark/>
          </w:tcPr>
          <w:p w14:paraId="6C4AEA6D"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&gt;$8 billion annually</w:t>
            </w:r>
          </w:p>
        </w:tc>
        <w:tc>
          <w:tcPr>
            <w:tcW w:w="0" w:type="auto"/>
            <w:hideMark/>
          </w:tcPr>
          <w:p w14:paraId="11104093" w14:textId="77777777" w:rsidR="00AA4761" w:rsidRPr="00AA4761" w:rsidRDefault="00AA4761" w:rsidP="00AA4761">
            <w:pPr>
              <w:spacing w:line="360" w:lineRule="auto"/>
              <w:rPr>
                <w:rFonts w:ascii="Arial" w:hAnsi="Arial" w:cs="Arial"/>
                <w:sz w:val="24"/>
                <w:szCs w:val="24"/>
              </w:rPr>
            </w:pPr>
            <w:proofErr w:type="spellStart"/>
            <w:r w:rsidRPr="00AA4761">
              <w:rPr>
                <w:rFonts w:ascii="Arial" w:hAnsi="Arial" w:cs="Arial"/>
                <w:sz w:val="24"/>
                <w:szCs w:val="24"/>
              </w:rPr>
              <w:t>Optimise</w:t>
            </w:r>
            <w:proofErr w:type="spellEnd"/>
            <w:r w:rsidRPr="00AA4761">
              <w:rPr>
                <w:rFonts w:ascii="Arial" w:hAnsi="Arial" w:cs="Arial"/>
                <w:sz w:val="24"/>
                <w:szCs w:val="24"/>
              </w:rPr>
              <w:t xml:space="preserve"> working capital, scale energy business</w:t>
            </w:r>
          </w:p>
        </w:tc>
      </w:tr>
      <w:tr w:rsidR="00AA4761" w:rsidRPr="00AA4761" w14:paraId="5488BE4A" w14:textId="77777777" w:rsidTr="00790B67">
        <w:tc>
          <w:tcPr>
            <w:tcW w:w="0" w:type="auto"/>
            <w:hideMark/>
          </w:tcPr>
          <w:p w14:paraId="462D7B99"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Shareholder value</w:t>
            </w:r>
          </w:p>
        </w:tc>
        <w:tc>
          <w:tcPr>
            <w:tcW w:w="0" w:type="auto"/>
            <w:hideMark/>
          </w:tcPr>
          <w:p w14:paraId="59EB65A3"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 xml:space="preserve">Market </w:t>
            </w:r>
            <w:proofErr w:type="spellStart"/>
            <w:r w:rsidRPr="00AA4761">
              <w:rPr>
                <w:rFonts w:ascii="Arial" w:hAnsi="Arial" w:cs="Arial"/>
                <w:sz w:val="24"/>
                <w:szCs w:val="24"/>
              </w:rPr>
              <w:t>capitalisation</w:t>
            </w:r>
            <w:proofErr w:type="spellEnd"/>
            <w:r w:rsidRPr="00AA4761">
              <w:rPr>
                <w:rFonts w:ascii="Arial" w:hAnsi="Arial" w:cs="Arial"/>
                <w:sz w:val="24"/>
                <w:szCs w:val="24"/>
              </w:rPr>
              <w:t xml:space="preserve"> stability</w:t>
            </w:r>
          </w:p>
        </w:tc>
        <w:tc>
          <w:tcPr>
            <w:tcW w:w="0" w:type="auto"/>
            <w:hideMark/>
          </w:tcPr>
          <w:p w14:paraId="36A6FBE0"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Sustain &gt;$500 billion</w:t>
            </w:r>
          </w:p>
        </w:tc>
        <w:tc>
          <w:tcPr>
            <w:tcW w:w="0" w:type="auto"/>
            <w:hideMark/>
          </w:tcPr>
          <w:p w14:paraId="3F199C2A"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Demonstrate consistent earnings growth, reduce volatility</w:t>
            </w:r>
          </w:p>
        </w:tc>
      </w:tr>
    </w:tbl>
    <w:p w14:paraId="1CF8FE38" w14:textId="77777777" w:rsidR="00F4662F" w:rsidRDefault="00F4662F" w:rsidP="00AA4761">
      <w:pPr>
        <w:spacing w:line="360" w:lineRule="auto"/>
        <w:rPr>
          <w:rFonts w:ascii="Arial" w:hAnsi="Arial" w:cs="Arial"/>
          <w:sz w:val="24"/>
          <w:szCs w:val="24"/>
        </w:rPr>
      </w:pPr>
    </w:p>
    <w:p w14:paraId="173D5BF3" w14:textId="77777777" w:rsidR="00907F4A" w:rsidRDefault="00907F4A" w:rsidP="00AA4761">
      <w:pPr>
        <w:spacing w:line="360" w:lineRule="auto"/>
        <w:rPr>
          <w:rFonts w:ascii="Arial" w:hAnsi="Arial" w:cs="Arial"/>
          <w:sz w:val="24"/>
          <w:szCs w:val="24"/>
        </w:rPr>
      </w:pPr>
      <w:r w:rsidRPr="00907F4A">
        <w:rPr>
          <w:rFonts w:ascii="Arial" w:hAnsi="Arial" w:cs="Arial"/>
          <w:sz w:val="24"/>
          <w:szCs w:val="24"/>
        </w:rPr>
        <w:t>Tesla attained revenues of 96.8 billion in the year 2023 (Tesla, 2024) and this has shown great growth in the top line. Nevertheless, operating margins have declined to 16.8 per cent in the year 2022 to around 9.2 per cent in the year 2023, mostly owing to the intense price cuts (Bloomberg, 2023). It is a financial issue to maintain profitability and continue to realize volume growth.</w:t>
      </w:r>
    </w:p>
    <w:p w14:paraId="27FD3632" w14:textId="77777777" w:rsidR="00907F4A" w:rsidRDefault="00907F4A" w:rsidP="00AA4761">
      <w:pPr>
        <w:spacing w:line="360" w:lineRule="auto"/>
        <w:rPr>
          <w:rFonts w:ascii="Arial" w:hAnsi="Arial" w:cs="Arial"/>
          <w:b/>
          <w:bCs/>
          <w:sz w:val="24"/>
          <w:szCs w:val="24"/>
        </w:rPr>
      </w:pPr>
      <w:r w:rsidRPr="00907F4A">
        <w:rPr>
          <w:rFonts w:ascii="Arial" w:hAnsi="Arial" w:cs="Arial"/>
          <w:b/>
          <w:bCs/>
          <w:sz w:val="24"/>
          <w:szCs w:val="24"/>
        </w:rPr>
        <w:t xml:space="preserve">4.2 Customer Perspective </w:t>
      </w:r>
    </w:p>
    <w:p w14:paraId="3814E97E" w14:textId="77777777" w:rsidR="00AA4761" w:rsidRPr="000A4AEE" w:rsidRDefault="00907F4A" w:rsidP="00AA4761">
      <w:pPr>
        <w:spacing w:line="360" w:lineRule="auto"/>
        <w:rPr>
          <w:rFonts w:ascii="Arial" w:hAnsi="Arial" w:cs="Arial"/>
          <w:sz w:val="24"/>
          <w:szCs w:val="24"/>
        </w:rPr>
      </w:pPr>
      <w:r w:rsidRPr="000A4AEE">
        <w:rPr>
          <w:rFonts w:ascii="Arial" w:hAnsi="Arial" w:cs="Arial"/>
          <w:sz w:val="24"/>
          <w:szCs w:val="24"/>
        </w:rPr>
        <w:t xml:space="preserve">The perspective looks at the way the </w:t>
      </w:r>
      <w:proofErr w:type="spellStart"/>
      <w:r w:rsidRPr="000A4AEE">
        <w:rPr>
          <w:rFonts w:ascii="Arial" w:hAnsi="Arial" w:cs="Arial"/>
          <w:sz w:val="24"/>
          <w:szCs w:val="24"/>
        </w:rPr>
        <w:t>organisation</w:t>
      </w:r>
      <w:proofErr w:type="spellEnd"/>
      <w:r w:rsidRPr="000A4AEE">
        <w:rPr>
          <w:rFonts w:ascii="Arial" w:hAnsi="Arial" w:cs="Arial"/>
          <w:sz w:val="24"/>
          <w:szCs w:val="24"/>
        </w:rPr>
        <w:t xml:space="preserve"> generates value to its customers and how it is viewed in the market (Kaplan and Norton, 1992).</w:t>
      </w:r>
    </w:p>
    <w:tbl>
      <w:tblPr>
        <w:tblStyle w:val="TableGrid"/>
        <w:tblW w:w="9360" w:type="dxa"/>
        <w:tblLook w:val="04A0" w:firstRow="1" w:lastRow="0" w:firstColumn="1" w:lastColumn="0" w:noHBand="0" w:noVBand="1"/>
      </w:tblPr>
      <w:tblGrid>
        <w:gridCol w:w="1829"/>
        <w:gridCol w:w="2148"/>
        <w:gridCol w:w="1967"/>
        <w:gridCol w:w="3416"/>
      </w:tblGrid>
      <w:tr w:rsidR="00AA4761" w:rsidRPr="00AA4761" w14:paraId="6867AA80" w14:textId="77777777" w:rsidTr="00790B67">
        <w:tc>
          <w:tcPr>
            <w:tcW w:w="0" w:type="auto"/>
            <w:noWrap/>
            <w:hideMark/>
          </w:tcPr>
          <w:p w14:paraId="154E4BA3" w14:textId="77777777" w:rsidR="00AA4761" w:rsidRPr="00AA4761" w:rsidRDefault="00AA4761" w:rsidP="00AA4761">
            <w:pPr>
              <w:spacing w:line="360" w:lineRule="auto"/>
              <w:rPr>
                <w:rFonts w:ascii="Arial" w:hAnsi="Arial" w:cs="Arial"/>
                <w:b/>
                <w:bCs/>
                <w:sz w:val="24"/>
                <w:szCs w:val="24"/>
              </w:rPr>
            </w:pPr>
            <w:r w:rsidRPr="00AA4761">
              <w:rPr>
                <w:rFonts w:ascii="Arial" w:hAnsi="Arial" w:cs="Arial"/>
                <w:b/>
                <w:bCs/>
                <w:sz w:val="24"/>
                <w:szCs w:val="24"/>
              </w:rPr>
              <w:t>Objective</w:t>
            </w:r>
          </w:p>
        </w:tc>
        <w:tc>
          <w:tcPr>
            <w:tcW w:w="0" w:type="auto"/>
            <w:noWrap/>
            <w:hideMark/>
          </w:tcPr>
          <w:p w14:paraId="77B85CEA" w14:textId="77777777" w:rsidR="00AA4761" w:rsidRPr="00AA4761" w:rsidRDefault="00AA4761" w:rsidP="00AA4761">
            <w:pPr>
              <w:spacing w:line="360" w:lineRule="auto"/>
              <w:rPr>
                <w:rFonts w:ascii="Arial" w:hAnsi="Arial" w:cs="Arial"/>
                <w:b/>
                <w:bCs/>
                <w:sz w:val="24"/>
                <w:szCs w:val="24"/>
              </w:rPr>
            </w:pPr>
            <w:r w:rsidRPr="00AA4761">
              <w:rPr>
                <w:rFonts w:ascii="Arial" w:hAnsi="Arial" w:cs="Arial"/>
                <w:b/>
                <w:bCs/>
                <w:sz w:val="24"/>
                <w:szCs w:val="24"/>
              </w:rPr>
              <w:t>KPI</w:t>
            </w:r>
          </w:p>
        </w:tc>
        <w:tc>
          <w:tcPr>
            <w:tcW w:w="0" w:type="auto"/>
            <w:noWrap/>
            <w:hideMark/>
          </w:tcPr>
          <w:p w14:paraId="76D17FC1" w14:textId="77777777" w:rsidR="00AA4761" w:rsidRPr="00AA4761" w:rsidRDefault="00AA4761" w:rsidP="00AA4761">
            <w:pPr>
              <w:spacing w:line="360" w:lineRule="auto"/>
              <w:rPr>
                <w:rFonts w:ascii="Arial" w:hAnsi="Arial" w:cs="Arial"/>
                <w:b/>
                <w:bCs/>
                <w:sz w:val="24"/>
                <w:szCs w:val="24"/>
              </w:rPr>
            </w:pPr>
            <w:r w:rsidRPr="00AA4761">
              <w:rPr>
                <w:rFonts w:ascii="Arial" w:hAnsi="Arial" w:cs="Arial"/>
                <w:b/>
                <w:bCs/>
                <w:sz w:val="24"/>
                <w:szCs w:val="24"/>
              </w:rPr>
              <w:t>Target</w:t>
            </w:r>
          </w:p>
        </w:tc>
        <w:tc>
          <w:tcPr>
            <w:tcW w:w="0" w:type="auto"/>
            <w:noWrap/>
            <w:hideMark/>
          </w:tcPr>
          <w:p w14:paraId="5E1F0DF7" w14:textId="77777777" w:rsidR="00AA4761" w:rsidRPr="00AA4761" w:rsidRDefault="00AA4761" w:rsidP="00AA4761">
            <w:pPr>
              <w:spacing w:line="360" w:lineRule="auto"/>
              <w:rPr>
                <w:rFonts w:ascii="Arial" w:hAnsi="Arial" w:cs="Arial"/>
                <w:b/>
                <w:bCs/>
                <w:sz w:val="24"/>
                <w:szCs w:val="24"/>
              </w:rPr>
            </w:pPr>
            <w:r w:rsidRPr="00AA4761">
              <w:rPr>
                <w:rFonts w:ascii="Arial" w:hAnsi="Arial" w:cs="Arial"/>
                <w:b/>
                <w:bCs/>
                <w:sz w:val="24"/>
                <w:szCs w:val="24"/>
              </w:rPr>
              <w:t>Initiative</w:t>
            </w:r>
          </w:p>
        </w:tc>
      </w:tr>
      <w:tr w:rsidR="00AA4761" w:rsidRPr="00AA4761" w14:paraId="2999812D" w14:textId="77777777" w:rsidTr="00790B67">
        <w:tc>
          <w:tcPr>
            <w:tcW w:w="0" w:type="auto"/>
            <w:hideMark/>
          </w:tcPr>
          <w:p w14:paraId="6C04CE4F"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Customer satisfaction</w:t>
            </w:r>
          </w:p>
        </w:tc>
        <w:tc>
          <w:tcPr>
            <w:tcW w:w="0" w:type="auto"/>
            <w:hideMark/>
          </w:tcPr>
          <w:p w14:paraId="0F6B966D"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Net Promoter Score (NPS)</w:t>
            </w:r>
          </w:p>
        </w:tc>
        <w:tc>
          <w:tcPr>
            <w:tcW w:w="0" w:type="auto"/>
            <w:hideMark/>
          </w:tcPr>
          <w:p w14:paraId="2D769277"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&gt;70</w:t>
            </w:r>
          </w:p>
        </w:tc>
        <w:tc>
          <w:tcPr>
            <w:tcW w:w="0" w:type="auto"/>
            <w:hideMark/>
          </w:tcPr>
          <w:p w14:paraId="38DDA1EB"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 xml:space="preserve">Improve service </w:t>
            </w:r>
            <w:proofErr w:type="spellStart"/>
            <w:r w:rsidRPr="00AA4761">
              <w:rPr>
                <w:rFonts w:ascii="Arial" w:hAnsi="Arial" w:cs="Arial"/>
                <w:sz w:val="24"/>
                <w:szCs w:val="24"/>
              </w:rPr>
              <w:t>centre</w:t>
            </w:r>
            <w:proofErr w:type="spellEnd"/>
            <w:r w:rsidRPr="00AA4761">
              <w:rPr>
                <w:rFonts w:ascii="Arial" w:hAnsi="Arial" w:cs="Arial"/>
                <w:sz w:val="24"/>
                <w:szCs w:val="24"/>
              </w:rPr>
              <w:t xml:space="preserve"> capacity and responsiveness</w:t>
            </w:r>
          </w:p>
        </w:tc>
      </w:tr>
      <w:tr w:rsidR="00AA4761" w:rsidRPr="00AA4761" w14:paraId="4FE0076D" w14:textId="77777777" w:rsidTr="00790B67">
        <w:tc>
          <w:tcPr>
            <w:tcW w:w="0" w:type="auto"/>
            <w:hideMark/>
          </w:tcPr>
          <w:p w14:paraId="00FD55CC"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Market share retention</w:t>
            </w:r>
          </w:p>
        </w:tc>
        <w:tc>
          <w:tcPr>
            <w:tcW w:w="0" w:type="auto"/>
            <w:hideMark/>
          </w:tcPr>
          <w:p w14:paraId="11D11A4D"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Global EV market share</w:t>
            </w:r>
          </w:p>
        </w:tc>
        <w:tc>
          <w:tcPr>
            <w:tcW w:w="0" w:type="auto"/>
            <w:hideMark/>
          </w:tcPr>
          <w:p w14:paraId="1DEAAF61"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Maintain &gt;18%</w:t>
            </w:r>
          </w:p>
        </w:tc>
        <w:tc>
          <w:tcPr>
            <w:tcW w:w="0" w:type="auto"/>
            <w:hideMark/>
          </w:tcPr>
          <w:p w14:paraId="4F56CC14"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Launch affordable models, expand into emerging markets</w:t>
            </w:r>
          </w:p>
        </w:tc>
      </w:tr>
      <w:tr w:rsidR="00AA4761" w:rsidRPr="00AA4761" w14:paraId="5D662DF1" w14:textId="77777777" w:rsidTr="00790B67">
        <w:tc>
          <w:tcPr>
            <w:tcW w:w="0" w:type="auto"/>
            <w:hideMark/>
          </w:tcPr>
          <w:p w14:paraId="6089AED2"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 xml:space="preserve">Brand </w:t>
            </w:r>
            <w:r w:rsidRPr="00AA4761">
              <w:rPr>
                <w:rFonts w:ascii="Arial" w:hAnsi="Arial" w:cs="Arial"/>
                <w:sz w:val="24"/>
                <w:szCs w:val="24"/>
              </w:rPr>
              <w:lastRenderedPageBreak/>
              <w:t>perception</w:t>
            </w:r>
          </w:p>
        </w:tc>
        <w:tc>
          <w:tcPr>
            <w:tcW w:w="0" w:type="auto"/>
            <w:hideMark/>
          </w:tcPr>
          <w:p w14:paraId="1D04A068"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lastRenderedPageBreak/>
              <w:t xml:space="preserve">Brand equity </w:t>
            </w:r>
            <w:r w:rsidRPr="00AA4761">
              <w:rPr>
                <w:rFonts w:ascii="Arial" w:hAnsi="Arial" w:cs="Arial"/>
                <w:sz w:val="24"/>
                <w:szCs w:val="24"/>
              </w:rPr>
              <w:lastRenderedPageBreak/>
              <w:t>surveys</w:t>
            </w:r>
          </w:p>
        </w:tc>
        <w:tc>
          <w:tcPr>
            <w:tcW w:w="0" w:type="auto"/>
            <w:hideMark/>
          </w:tcPr>
          <w:p w14:paraId="558A81C2"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lastRenderedPageBreak/>
              <w:t xml:space="preserve">Top 3 in </w:t>
            </w:r>
            <w:r w:rsidRPr="00AA4761">
              <w:rPr>
                <w:rFonts w:ascii="Arial" w:hAnsi="Arial" w:cs="Arial"/>
                <w:sz w:val="24"/>
                <w:szCs w:val="24"/>
              </w:rPr>
              <w:lastRenderedPageBreak/>
              <w:t>innovation rankings</w:t>
            </w:r>
          </w:p>
        </w:tc>
        <w:tc>
          <w:tcPr>
            <w:tcW w:w="0" w:type="auto"/>
            <w:hideMark/>
          </w:tcPr>
          <w:p w14:paraId="3DA0D05C"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lastRenderedPageBreak/>
              <w:t xml:space="preserve">Consistent marketing of </w:t>
            </w:r>
            <w:r w:rsidRPr="00AA4761">
              <w:rPr>
                <w:rFonts w:ascii="Arial" w:hAnsi="Arial" w:cs="Arial"/>
                <w:sz w:val="24"/>
                <w:szCs w:val="24"/>
              </w:rPr>
              <w:lastRenderedPageBreak/>
              <w:t>sustainability mission</w:t>
            </w:r>
          </w:p>
        </w:tc>
      </w:tr>
      <w:tr w:rsidR="00AA4761" w:rsidRPr="00AA4761" w14:paraId="28CC0FAD" w14:textId="77777777" w:rsidTr="00790B67">
        <w:tc>
          <w:tcPr>
            <w:tcW w:w="0" w:type="auto"/>
            <w:hideMark/>
          </w:tcPr>
          <w:p w14:paraId="33FD4C32"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lastRenderedPageBreak/>
              <w:t>Product quality</w:t>
            </w:r>
          </w:p>
        </w:tc>
        <w:tc>
          <w:tcPr>
            <w:tcW w:w="0" w:type="auto"/>
            <w:hideMark/>
          </w:tcPr>
          <w:p w14:paraId="1760E53F"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Warranty claims per 1,000 vehicles</w:t>
            </w:r>
          </w:p>
        </w:tc>
        <w:tc>
          <w:tcPr>
            <w:tcW w:w="0" w:type="auto"/>
            <w:hideMark/>
          </w:tcPr>
          <w:p w14:paraId="7B475582"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Reduce by 15% annually</w:t>
            </w:r>
          </w:p>
        </w:tc>
        <w:tc>
          <w:tcPr>
            <w:tcW w:w="0" w:type="auto"/>
            <w:hideMark/>
          </w:tcPr>
          <w:p w14:paraId="7AA86232"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 xml:space="preserve">Enhance quality control processes at </w:t>
            </w:r>
            <w:proofErr w:type="spellStart"/>
            <w:r w:rsidRPr="00AA4761">
              <w:rPr>
                <w:rFonts w:ascii="Arial" w:hAnsi="Arial" w:cs="Arial"/>
                <w:sz w:val="24"/>
                <w:szCs w:val="24"/>
              </w:rPr>
              <w:t>Gigafactories</w:t>
            </w:r>
            <w:proofErr w:type="spellEnd"/>
          </w:p>
        </w:tc>
      </w:tr>
    </w:tbl>
    <w:p w14:paraId="37822EE6" w14:textId="77777777" w:rsidR="00F4662F" w:rsidRDefault="00F4662F" w:rsidP="00AA4761">
      <w:pPr>
        <w:spacing w:line="360" w:lineRule="auto"/>
        <w:rPr>
          <w:rFonts w:ascii="Arial" w:hAnsi="Arial" w:cs="Arial"/>
          <w:sz w:val="24"/>
          <w:szCs w:val="24"/>
        </w:rPr>
      </w:pPr>
    </w:p>
    <w:p w14:paraId="184DF93C" w14:textId="77777777" w:rsidR="00907F4A" w:rsidRDefault="00907F4A" w:rsidP="00AA4761">
      <w:pPr>
        <w:spacing w:line="360" w:lineRule="auto"/>
        <w:rPr>
          <w:rFonts w:ascii="Arial" w:hAnsi="Arial" w:cs="Arial"/>
          <w:sz w:val="24"/>
          <w:szCs w:val="24"/>
        </w:rPr>
      </w:pPr>
      <w:r w:rsidRPr="00907F4A">
        <w:rPr>
          <w:rFonts w:ascii="Arial" w:hAnsi="Arial" w:cs="Arial"/>
          <w:sz w:val="24"/>
          <w:szCs w:val="24"/>
        </w:rPr>
        <w:t>Tesla has had high scores in terms of NPS and this illustrates good customer advocacy (Reichheld, 2003). Nonetheless, the problem of quality, such as inconsistency in panel gaps and the glitches in the infotainment systems, have been the focus of criticism and may lead to customer retention issues without proper attention (J.D. Power, 2023).</w:t>
      </w:r>
    </w:p>
    <w:p w14:paraId="025F37CF" w14:textId="77777777" w:rsidR="00AA4761" w:rsidRPr="00AA4761" w:rsidRDefault="00AA4761" w:rsidP="00AA4761">
      <w:pPr>
        <w:spacing w:line="360" w:lineRule="auto"/>
        <w:rPr>
          <w:rFonts w:ascii="Arial" w:hAnsi="Arial" w:cs="Arial"/>
          <w:b/>
          <w:bCs/>
          <w:sz w:val="24"/>
          <w:szCs w:val="24"/>
        </w:rPr>
      </w:pPr>
      <w:r w:rsidRPr="00AA4761">
        <w:rPr>
          <w:rFonts w:ascii="Arial" w:hAnsi="Arial" w:cs="Arial"/>
          <w:b/>
          <w:bCs/>
          <w:sz w:val="24"/>
          <w:szCs w:val="24"/>
        </w:rPr>
        <w:t>4.3 Internal Business Processes Perspective</w:t>
      </w:r>
    </w:p>
    <w:p w14:paraId="19ECBED8" w14:textId="77777777" w:rsidR="00AA4761" w:rsidRPr="00AA4761" w:rsidRDefault="002F7121" w:rsidP="00AA4761">
      <w:pPr>
        <w:spacing w:line="360" w:lineRule="auto"/>
        <w:rPr>
          <w:rFonts w:ascii="Arial" w:hAnsi="Arial" w:cs="Arial"/>
          <w:sz w:val="24"/>
          <w:szCs w:val="24"/>
        </w:rPr>
      </w:pPr>
      <w:r w:rsidRPr="002F7121">
        <w:rPr>
          <w:rFonts w:ascii="Arial" w:hAnsi="Arial" w:cs="Arial"/>
          <w:sz w:val="24"/>
          <w:szCs w:val="24"/>
        </w:rPr>
        <w:t xml:space="preserve">It is based on the fundamental internal processes that the </w:t>
      </w:r>
      <w:proofErr w:type="spellStart"/>
      <w:r w:rsidRPr="002F7121">
        <w:rPr>
          <w:rFonts w:ascii="Arial" w:hAnsi="Arial" w:cs="Arial"/>
          <w:sz w:val="24"/>
          <w:szCs w:val="24"/>
        </w:rPr>
        <w:t>organisation</w:t>
      </w:r>
      <w:proofErr w:type="spellEnd"/>
      <w:r w:rsidRPr="002F7121">
        <w:rPr>
          <w:rFonts w:ascii="Arial" w:hAnsi="Arial" w:cs="Arial"/>
          <w:sz w:val="24"/>
          <w:szCs w:val="24"/>
        </w:rPr>
        <w:t xml:space="preserve"> should perform exceptionally to meet the stakeholders (Kaplan and Norton, 1996).</w:t>
      </w:r>
    </w:p>
    <w:tbl>
      <w:tblPr>
        <w:tblStyle w:val="TableGrid"/>
        <w:tblW w:w="9360" w:type="dxa"/>
        <w:tblLook w:val="04A0" w:firstRow="1" w:lastRow="0" w:firstColumn="1" w:lastColumn="0" w:noHBand="0" w:noVBand="1"/>
      </w:tblPr>
      <w:tblGrid>
        <w:gridCol w:w="1963"/>
        <w:gridCol w:w="2316"/>
        <w:gridCol w:w="2203"/>
        <w:gridCol w:w="2878"/>
      </w:tblGrid>
      <w:tr w:rsidR="00AA4761" w:rsidRPr="00AA4761" w14:paraId="56107779" w14:textId="77777777" w:rsidTr="00790B67">
        <w:tc>
          <w:tcPr>
            <w:tcW w:w="0" w:type="auto"/>
            <w:noWrap/>
            <w:hideMark/>
          </w:tcPr>
          <w:p w14:paraId="2A621241" w14:textId="77777777" w:rsidR="00AA4761" w:rsidRPr="00AA4761" w:rsidRDefault="00AA4761" w:rsidP="00AA4761">
            <w:pPr>
              <w:spacing w:line="360" w:lineRule="auto"/>
              <w:rPr>
                <w:rFonts w:ascii="Arial" w:hAnsi="Arial" w:cs="Arial"/>
                <w:b/>
                <w:bCs/>
                <w:sz w:val="24"/>
                <w:szCs w:val="24"/>
              </w:rPr>
            </w:pPr>
            <w:r w:rsidRPr="00AA4761">
              <w:rPr>
                <w:rFonts w:ascii="Arial" w:hAnsi="Arial" w:cs="Arial"/>
                <w:b/>
                <w:bCs/>
                <w:sz w:val="24"/>
                <w:szCs w:val="24"/>
              </w:rPr>
              <w:t>Objective</w:t>
            </w:r>
          </w:p>
        </w:tc>
        <w:tc>
          <w:tcPr>
            <w:tcW w:w="0" w:type="auto"/>
            <w:noWrap/>
            <w:hideMark/>
          </w:tcPr>
          <w:p w14:paraId="0F63116C" w14:textId="77777777" w:rsidR="00AA4761" w:rsidRPr="00AA4761" w:rsidRDefault="00AA4761" w:rsidP="00AA4761">
            <w:pPr>
              <w:spacing w:line="360" w:lineRule="auto"/>
              <w:rPr>
                <w:rFonts w:ascii="Arial" w:hAnsi="Arial" w:cs="Arial"/>
                <w:b/>
                <w:bCs/>
                <w:sz w:val="24"/>
                <w:szCs w:val="24"/>
              </w:rPr>
            </w:pPr>
            <w:r w:rsidRPr="00AA4761">
              <w:rPr>
                <w:rFonts w:ascii="Arial" w:hAnsi="Arial" w:cs="Arial"/>
                <w:b/>
                <w:bCs/>
                <w:sz w:val="24"/>
                <w:szCs w:val="24"/>
              </w:rPr>
              <w:t>KPI</w:t>
            </w:r>
          </w:p>
        </w:tc>
        <w:tc>
          <w:tcPr>
            <w:tcW w:w="0" w:type="auto"/>
            <w:noWrap/>
            <w:hideMark/>
          </w:tcPr>
          <w:p w14:paraId="66A00C7C" w14:textId="77777777" w:rsidR="00AA4761" w:rsidRPr="00AA4761" w:rsidRDefault="00AA4761" w:rsidP="00AA4761">
            <w:pPr>
              <w:spacing w:line="360" w:lineRule="auto"/>
              <w:rPr>
                <w:rFonts w:ascii="Arial" w:hAnsi="Arial" w:cs="Arial"/>
                <w:b/>
                <w:bCs/>
                <w:sz w:val="24"/>
                <w:szCs w:val="24"/>
              </w:rPr>
            </w:pPr>
            <w:r w:rsidRPr="00AA4761">
              <w:rPr>
                <w:rFonts w:ascii="Arial" w:hAnsi="Arial" w:cs="Arial"/>
                <w:b/>
                <w:bCs/>
                <w:sz w:val="24"/>
                <w:szCs w:val="24"/>
              </w:rPr>
              <w:t>Target</w:t>
            </w:r>
          </w:p>
        </w:tc>
        <w:tc>
          <w:tcPr>
            <w:tcW w:w="0" w:type="auto"/>
            <w:noWrap/>
            <w:hideMark/>
          </w:tcPr>
          <w:p w14:paraId="250BF05A" w14:textId="77777777" w:rsidR="00AA4761" w:rsidRPr="00AA4761" w:rsidRDefault="00AA4761" w:rsidP="00AA4761">
            <w:pPr>
              <w:spacing w:line="360" w:lineRule="auto"/>
              <w:rPr>
                <w:rFonts w:ascii="Arial" w:hAnsi="Arial" w:cs="Arial"/>
                <w:b/>
                <w:bCs/>
                <w:sz w:val="24"/>
                <w:szCs w:val="24"/>
              </w:rPr>
            </w:pPr>
            <w:r w:rsidRPr="00AA4761">
              <w:rPr>
                <w:rFonts w:ascii="Arial" w:hAnsi="Arial" w:cs="Arial"/>
                <w:b/>
                <w:bCs/>
                <w:sz w:val="24"/>
                <w:szCs w:val="24"/>
              </w:rPr>
              <w:t>Initiative</w:t>
            </w:r>
          </w:p>
        </w:tc>
      </w:tr>
      <w:tr w:rsidR="00AA4761" w:rsidRPr="00AA4761" w14:paraId="0F4895A5" w14:textId="77777777" w:rsidTr="00790B67">
        <w:tc>
          <w:tcPr>
            <w:tcW w:w="0" w:type="auto"/>
            <w:hideMark/>
          </w:tcPr>
          <w:p w14:paraId="50C4416F"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Manufacturing efficiency</w:t>
            </w:r>
          </w:p>
        </w:tc>
        <w:tc>
          <w:tcPr>
            <w:tcW w:w="0" w:type="auto"/>
            <w:hideMark/>
          </w:tcPr>
          <w:p w14:paraId="140F2F6C"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Vehicles produced per employee</w:t>
            </w:r>
          </w:p>
        </w:tc>
        <w:tc>
          <w:tcPr>
            <w:tcW w:w="0" w:type="auto"/>
            <w:hideMark/>
          </w:tcPr>
          <w:p w14:paraId="259AEB86"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Increase by 10% annually</w:t>
            </w:r>
          </w:p>
        </w:tc>
        <w:tc>
          <w:tcPr>
            <w:tcW w:w="0" w:type="auto"/>
            <w:hideMark/>
          </w:tcPr>
          <w:p w14:paraId="434A2A61"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 xml:space="preserve">Implement next-gen manufacturing processes (e.g., </w:t>
            </w:r>
            <w:proofErr w:type="spellStart"/>
            <w:r w:rsidRPr="00AA4761">
              <w:rPr>
                <w:rFonts w:ascii="Arial" w:hAnsi="Arial" w:cs="Arial"/>
                <w:sz w:val="24"/>
                <w:szCs w:val="24"/>
              </w:rPr>
              <w:t>Gigacasting</w:t>
            </w:r>
            <w:proofErr w:type="spellEnd"/>
            <w:r w:rsidRPr="00AA4761">
              <w:rPr>
                <w:rFonts w:ascii="Arial" w:hAnsi="Arial" w:cs="Arial"/>
                <w:sz w:val="24"/>
                <w:szCs w:val="24"/>
              </w:rPr>
              <w:t>)</w:t>
            </w:r>
          </w:p>
        </w:tc>
      </w:tr>
      <w:tr w:rsidR="00AA4761" w:rsidRPr="00AA4761" w14:paraId="506C0BAF" w14:textId="77777777" w:rsidTr="00790B67">
        <w:tc>
          <w:tcPr>
            <w:tcW w:w="0" w:type="auto"/>
            <w:hideMark/>
          </w:tcPr>
          <w:p w14:paraId="6EA19C93"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Supply chain resilience</w:t>
            </w:r>
          </w:p>
        </w:tc>
        <w:tc>
          <w:tcPr>
            <w:tcW w:w="0" w:type="auto"/>
            <w:hideMark/>
          </w:tcPr>
          <w:p w14:paraId="4900B81A"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Supplier diversification index</w:t>
            </w:r>
          </w:p>
        </w:tc>
        <w:tc>
          <w:tcPr>
            <w:tcW w:w="0" w:type="auto"/>
            <w:hideMark/>
          </w:tcPr>
          <w:p w14:paraId="3BA38B4C"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Reduce single-source dependency by 25%</w:t>
            </w:r>
          </w:p>
        </w:tc>
        <w:tc>
          <w:tcPr>
            <w:tcW w:w="0" w:type="auto"/>
            <w:hideMark/>
          </w:tcPr>
          <w:p w14:paraId="0C23B1E3"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Develop alternative lithium and cobalt suppliers</w:t>
            </w:r>
          </w:p>
        </w:tc>
      </w:tr>
      <w:tr w:rsidR="00AA4761" w:rsidRPr="00AA4761" w14:paraId="25BF09B3" w14:textId="77777777" w:rsidTr="00790B67">
        <w:tc>
          <w:tcPr>
            <w:tcW w:w="0" w:type="auto"/>
            <w:hideMark/>
          </w:tcPr>
          <w:p w14:paraId="5C091795"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Innovation pipeline</w:t>
            </w:r>
          </w:p>
        </w:tc>
        <w:tc>
          <w:tcPr>
            <w:tcW w:w="0" w:type="auto"/>
            <w:hideMark/>
          </w:tcPr>
          <w:p w14:paraId="63DA9541"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R&amp;D expenditure as % of revenue</w:t>
            </w:r>
          </w:p>
        </w:tc>
        <w:tc>
          <w:tcPr>
            <w:tcW w:w="0" w:type="auto"/>
            <w:hideMark/>
          </w:tcPr>
          <w:p w14:paraId="539CCE8E"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Maintain &gt;5%</w:t>
            </w:r>
          </w:p>
        </w:tc>
        <w:tc>
          <w:tcPr>
            <w:tcW w:w="0" w:type="auto"/>
            <w:hideMark/>
          </w:tcPr>
          <w:p w14:paraId="41AD05A9"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Continue investment in FSD, battery R&amp;D, and robotics (Optimus)</w:t>
            </w:r>
          </w:p>
        </w:tc>
      </w:tr>
      <w:tr w:rsidR="00AA4761" w:rsidRPr="00AA4761" w14:paraId="5FC75F3C" w14:textId="77777777" w:rsidTr="00790B67">
        <w:tc>
          <w:tcPr>
            <w:tcW w:w="0" w:type="auto"/>
            <w:hideMark/>
          </w:tcPr>
          <w:p w14:paraId="2CE3E1AF"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Sustainability integration</w:t>
            </w:r>
          </w:p>
        </w:tc>
        <w:tc>
          <w:tcPr>
            <w:tcW w:w="0" w:type="auto"/>
            <w:hideMark/>
          </w:tcPr>
          <w:p w14:paraId="3D55BF41"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Carbon intensity per vehicle manufactured</w:t>
            </w:r>
          </w:p>
        </w:tc>
        <w:tc>
          <w:tcPr>
            <w:tcW w:w="0" w:type="auto"/>
            <w:hideMark/>
          </w:tcPr>
          <w:p w14:paraId="1D9701CC"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Reduce by 20% by 2025</w:t>
            </w:r>
          </w:p>
        </w:tc>
        <w:tc>
          <w:tcPr>
            <w:tcW w:w="0" w:type="auto"/>
            <w:hideMark/>
          </w:tcPr>
          <w:p w14:paraId="452CB923"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Transition to renewable energy at all manufacturing sites</w:t>
            </w:r>
          </w:p>
        </w:tc>
      </w:tr>
    </w:tbl>
    <w:p w14:paraId="7E9D73BC" w14:textId="77777777" w:rsidR="00790B67" w:rsidRDefault="00790B67" w:rsidP="00AA4761">
      <w:pPr>
        <w:spacing w:line="360" w:lineRule="auto"/>
        <w:rPr>
          <w:rFonts w:ascii="Arial" w:hAnsi="Arial" w:cs="Arial"/>
          <w:sz w:val="24"/>
          <w:szCs w:val="24"/>
        </w:rPr>
      </w:pPr>
    </w:p>
    <w:p w14:paraId="796DE58F" w14:textId="77777777" w:rsidR="002F7121" w:rsidRDefault="002F7121" w:rsidP="00AA4761">
      <w:pPr>
        <w:spacing w:line="360" w:lineRule="auto"/>
        <w:rPr>
          <w:rFonts w:ascii="Arial" w:hAnsi="Arial" w:cs="Arial"/>
          <w:sz w:val="24"/>
          <w:szCs w:val="24"/>
        </w:rPr>
      </w:pPr>
      <w:r w:rsidRPr="002F7121">
        <w:rPr>
          <w:rFonts w:ascii="Arial" w:hAnsi="Arial" w:cs="Arial"/>
          <w:sz w:val="24"/>
          <w:szCs w:val="24"/>
        </w:rPr>
        <w:lastRenderedPageBreak/>
        <w:t xml:space="preserve">Innovation in the manufacturing process, such as the use of </w:t>
      </w:r>
      <w:proofErr w:type="spellStart"/>
      <w:r w:rsidRPr="002F7121">
        <w:rPr>
          <w:rFonts w:ascii="Arial" w:hAnsi="Arial" w:cs="Arial"/>
          <w:sz w:val="24"/>
          <w:szCs w:val="24"/>
        </w:rPr>
        <w:t>Gigacasting</w:t>
      </w:r>
      <w:proofErr w:type="spellEnd"/>
      <w:r w:rsidRPr="002F7121">
        <w:rPr>
          <w:rFonts w:ascii="Arial" w:hAnsi="Arial" w:cs="Arial"/>
          <w:sz w:val="24"/>
          <w:szCs w:val="24"/>
        </w:rPr>
        <w:t xml:space="preserve"> technology that involves substituting hundreds of elements with one cast component, can be regarded as an important process enhancement that lowers the costs and the time of manufacturing (Liker and Morgan, 2021).</w:t>
      </w:r>
    </w:p>
    <w:p w14:paraId="080C9F4E" w14:textId="77777777" w:rsidR="002F7121" w:rsidRDefault="002F7121" w:rsidP="002F7121">
      <w:pPr>
        <w:spacing w:line="360" w:lineRule="auto"/>
        <w:rPr>
          <w:rFonts w:ascii="Arial" w:hAnsi="Arial" w:cs="Arial"/>
          <w:b/>
          <w:bCs/>
          <w:sz w:val="24"/>
          <w:szCs w:val="24"/>
        </w:rPr>
      </w:pPr>
      <w:r w:rsidRPr="002F7121">
        <w:rPr>
          <w:rFonts w:ascii="Arial" w:hAnsi="Arial" w:cs="Arial"/>
          <w:b/>
          <w:bCs/>
          <w:sz w:val="24"/>
          <w:szCs w:val="24"/>
        </w:rPr>
        <w:t xml:space="preserve">4.4 Learning and Growth Perspective </w:t>
      </w:r>
    </w:p>
    <w:p w14:paraId="67482CA7" w14:textId="77777777" w:rsidR="002F7121" w:rsidRPr="00B148D4" w:rsidRDefault="002F7121" w:rsidP="002F7121">
      <w:pPr>
        <w:spacing w:line="360" w:lineRule="auto"/>
        <w:rPr>
          <w:rFonts w:ascii="Arial" w:hAnsi="Arial" w:cs="Arial"/>
          <w:sz w:val="24"/>
          <w:szCs w:val="24"/>
        </w:rPr>
      </w:pPr>
      <w:r w:rsidRPr="00B148D4">
        <w:rPr>
          <w:rFonts w:ascii="Arial" w:hAnsi="Arial" w:cs="Arial"/>
          <w:sz w:val="24"/>
          <w:szCs w:val="24"/>
        </w:rPr>
        <w:t>Learning and growth is one perspective that helps one understand what makes people ready to learn and how experiences affect the ability of a learner to do things well.</w:t>
      </w:r>
    </w:p>
    <w:p w14:paraId="56E60125" w14:textId="77777777" w:rsidR="00AA4761" w:rsidRPr="00B148D4" w:rsidRDefault="002F7121" w:rsidP="002F7121">
      <w:pPr>
        <w:spacing w:line="360" w:lineRule="auto"/>
        <w:rPr>
          <w:rFonts w:ascii="Arial" w:hAnsi="Arial" w:cs="Arial"/>
          <w:sz w:val="24"/>
          <w:szCs w:val="24"/>
        </w:rPr>
      </w:pPr>
      <w:r w:rsidRPr="00B148D4">
        <w:rPr>
          <w:rFonts w:ascii="Arial" w:hAnsi="Arial" w:cs="Arial"/>
          <w:sz w:val="24"/>
          <w:szCs w:val="24"/>
        </w:rPr>
        <w:t xml:space="preserve">The view touches on the innovation, learning and improvement capability of the </w:t>
      </w:r>
      <w:proofErr w:type="spellStart"/>
      <w:r w:rsidRPr="00B148D4">
        <w:rPr>
          <w:rFonts w:ascii="Arial" w:hAnsi="Arial" w:cs="Arial"/>
          <w:sz w:val="24"/>
          <w:szCs w:val="24"/>
        </w:rPr>
        <w:t>organisation</w:t>
      </w:r>
      <w:proofErr w:type="spellEnd"/>
      <w:r w:rsidRPr="00B148D4">
        <w:rPr>
          <w:rFonts w:ascii="Arial" w:hAnsi="Arial" w:cs="Arial"/>
          <w:sz w:val="24"/>
          <w:szCs w:val="24"/>
        </w:rPr>
        <w:t>- the source of long-term value creation (Kaplan and Norton, 1996).</w:t>
      </w:r>
    </w:p>
    <w:tbl>
      <w:tblPr>
        <w:tblStyle w:val="TableGrid"/>
        <w:tblW w:w="9360" w:type="dxa"/>
        <w:tblLook w:val="04A0" w:firstRow="1" w:lastRow="0" w:firstColumn="1" w:lastColumn="0" w:noHBand="0" w:noVBand="1"/>
      </w:tblPr>
      <w:tblGrid>
        <w:gridCol w:w="2272"/>
        <w:gridCol w:w="1966"/>
        <w:gridCol w:w="1885"/>
        <w:gridCol w:w="3237"/>
      </w:tblGrid>
      <w:tr w:rsidR="00AA4761" w:rsidRPr="00AA4761" w14:paraId="4BCD3E7A" w14:textId="77777777" w:rsidTr="00790B67">
        <w:tc>
          <w:tcPr>
            <w:tcW w:w="0" w:type="auto"/>
            <w:noWrap/>
            <w:hideMark/>
          </w:tcPr>
          <w:p w14:paraId="50C6D9A8" w14:textId="77777777" w:rsidR="00AA4761" w:rsidRPr="00AA4761" w:rsidRDefault="00AA4761" w:rsidP="00AA4761">
            <w:pPr>
              <w:spacing w:line="360" w:lineRule="auto"/>
              <w:rPr>
                <w:rFonts w:ascii="Arial" w:hAnsi="Arial" w:cs="Arial"/>
                <w:b/>
                <w:bCs/>
                <w:sz w:val="24"/>
                <w:szCs w:val="24"/>
              </w:rPr>
            </w:pPr>
            <w:r w:rsidRPr="00AA4761">
              <w:rPr>
                <w:rFonts w:ascii="Arial" w:hAnsi="Arial" w:cs="Arial"/>
                <w:b/>
                <w:bCs/>
                <w:sz w:val="24"/>
                <w:szCs w:val="24"/>
              </w:rPr>
              <w:t>Objective</w:t>
            </w:r>
          </w:p>
        </w:tc>
        <w:tc>
          <w:tcPr>
            <w:tcW w:w="0" w:type="auto"/>
            <w:noWrap/>
            <w:hideMark/>
          </w:tcPr>
          <w:p w14:paraId="7798ED7A" w14:textId="77777777" w:rsidR="00AA4761" w:rsidRPr="00AA4761" w:rsidRDefault="00AA4761" w:rsidP="00AA4761">
            <w:pPr>
              <w:spacing w:line="360" w:lineRule="auto"/>
              <w:rPr>
                <w:rFonts w:ascii="Arial" w:hAnsi="Arial" w:cs="Arial"/>
                <w:b/>
                <w:bCs/>
                <w:sz w:val="24"/>
                <w:szCs w:val="24"/>
              </w:rPr>
            </w:pPr>
            <w:r w:rsidRPr="00AA4761">
              <w:rPr>
                <w:rFonts w:ascii="Arial" w:hAnsi="Arial" w:cs="Arial"/>
                <w:b/>
                <w:bCs/>
                <w:sz w:val="24"/>
                <w:szCs w:val="24"/>
              </w:rPr>
              <w:t>KPI</w:t>
            </w:r>
          </w:p>
        </w:tc>
        <w:tc>
          <w:tcPr>
            <w:tcW w:w="0" w:type="auto"/>
            <w:noWrap/>
            <w:hideMark/>
          </w:tcPr>
          <w:p w14:paraId="40DB4D4B" w14:textId="77777777" w:rsidR="00AA4761" w:rsidRPr="00AA4761" w:rsidRDefault="00AA4761" w:rsidP="00AA4761">
            <w:pPr>
              <w:spacing w:line="360" w:lineRule="auto"/>
              <w:rPr>
                <w:rFonts w:ascii="Arial" w:hAnsi="Arial" w:cs="Arial"/>
                <w:b/>
                <w:bCs/>
                <w:sz w:val="24"/>
                <w:szCs w:val="24"/>
              </w:rPr>
            </w:pPr>
            <w:r w:rsidRPr="00AA4761">
              <w:rPr>
                <w:rFonts w:ascii="Arial" w:hAnsi="Arial" w:cs="Arial"/>
                <w:b/>
                <w:bCs/>
                <w:sz w:val="24"/>
                <w:szCs w:val="24"/>
              </w:rPr>
              <w:t>Target</w:t>
            </w:r>
          </w:p>
        </w:tc>
        <w:tc>
          <w:tcPr>
            <w:tcW w:w="0" w:type="auto"/>
            <w:noWrap/>
            <w:hideMark/>
          </w:tcPr>
          <w:p w14:paraId="38310658" w14:textId="77777777" w:rsidR="00AA4761" w:rsidRPr="00AA4761" w:rsidRDefault="00AA4761" w:rsidP="00AA4761">
            <w:pPr>
              <w:spacing w:line="360" w:lineRule="auto"/>
              <w:rPr>
                <w:rFonts w:ascii="Arial" w:hAnsi="Arial" w:cs="Arial"/>
                <w:b/>
                <w:bCs/>
                <w:sz w:val="24"/>
                <w:szCs w:val="24"/>
              </w:rPr>
            </w:pPr>
            <w:r w:rsidRPr="00AA4761">
              <w:rPr>
                <w:rFonts w:ascii="Arial" w:hAnsi="Arial" w:cs="Arial"/>
                <w:b/>
                <w:bCs/>
                <w:sz w:val="24"/>
                <w:szCs w:val="24"/>
              </w:rPr>
              <w:t>Initiative</w:t>
            </w:r>
          </w:p>
        </w:tc>
      </w:tr>
      <w:tr w:rsidR="00AA4761" w:rsidRPr="00AA4761" w14:paraId="6893E650" w14:textId="77777777" w:rsidTr="00790B67">
        <w:tc>
          <w:tcPr>
            <w:tcW w:w="0" w:type="auto"/>
            <w:hideMark/>
          </w:tcPr>
          <w:p w14:paraId="1BE2A65D"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Talent attraction and retention</w:t>
            </w:r>
          </w:p>
        </w:tc>
        <w:tc>
          <w:tcPr>
            <w:tcW w:w="0" w:type="auto"/>
            <w:hideMark/>
          </w:tcPr>
          <w:p w14:paraId="611501AB"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Employee turnover rate</w:t>
            </w:r>
          </w:p>
        </w:tc>
        <w:tc>
          <w:tcPr>
            <w:tcW w:w="0" w:type="auto"/>
            <w:hideMark/>
          </w:tcPr>
          <w:p w14:paraId="7DEDECB0"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Reduce to &lt;15%</w:t>
            </w:r>
          </w:p>
        </w:tc>
        <w:tc>
          <w:tcPr>
            <w:tcW w:w="0" w:type="auto"/>
            <w:hideMark/>
          </w:tcPr>
          <w:p w14:paraId="2B9E0789"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Enhance compensation packages and workplace culture</w:t>
            </w:r>
          </w:p>
        </w:tc>
      </w:tr>
      <w:tr w:rsidR="00AA4761" w:rsidRPr="00AA4761" w14:paraId="7C8A9D48" w14:textId="77777777" w:rsidTr="00790B67">
        <w:tc>
          <w:tcPr>
            <w:tcW w:w="0" w:type="auto"/>
            <w:hideMark/>
          </w:tcPr>
          <w:p w14:paraId="0CF77936"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Employee development</w:t>
            </w:r>
          </w:p>
        </w:tc>
        <w:tc>
          <w:tcPr>
            <w:tcW w:w="0" w:type="auto"/>
            <w:hideMark/>
          </w:tcPr>
          <w:p w14:paraId="0CF1C08C"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Training hours per employee</w:t>
            </w:r>
          </w:p>
        </w:tc>
        <w:tc>
          <w:tcPr>
            <w:tcW w:w="0" w:type="auto"/>
            <w:hideMark/>
          </w:tcPr>
          <w:p w14:paraId="3174699E"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&gt;40 hours annually</w:t>
            </w:r>
          </w:p>
        </w:tc>
        <w:tc>
          <w:tcPr>
            <w:tcW w:w="0" w:type="auto"/>
            <w:hideMark/>
          </w:tcPr>
          <w:p w14:paraId="5A04930F"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 xml:space="preserve">Launch internal leadership development </w:t>
            </w:r>
            <w:proofErr w:type="spellStart"/>
            <w:r w:rsidRPr="00AA4761">
              <w:rPr>
                <w:rFonts w:ascii="Arial" w:hAnsi="Arial" w:cs="Arial"/>
                <w:sz w:val="24"/>
                <w:szCs w:val="24"/>
              </w:rPr>
              <w:t>programmes</w:t>
            </w:r>
            <w:proofErr w:type="spellEnd"/>
          </w:p>
        </w:tc>
      </w:tr>
      <w:tr w:rsidR="00AA4761" w:rsidRPr="00AA4761" w14:paraId="4040F066" w14:textId="77777777" w:rsidTr="00790B67">
        <w:tc>
          <w:tcPr>
            <w:tcW w:w="0" w:type="auto"/>
            <w:hideMark/>
          </w:tcPr>
          <w:p w14:paraId="6CC0D681" w14:textId="77777777" w:rsidR="00AA4761" w:rsidRPr="00AA4761" w:rsidRDefault="00AA4761" w:rsidP="00AA4761">
            <w:pPr>
              <w:spacing w:line="360" w:lineRule="auto"/>
              <w:rPr>
                <w:rFonts w:ascii="Arial" w:hAnsi="Arial" w:cs="Arial"/>
                <w:sz w:val="24"/>
                <w:szCs w:val="24"/>
              </w:rPr>
            </w:pPr>
            <w:proofErr w:type="spellStart"/>
            <w:r w:rsidRPr="00AA4761">
              <w:rPr>
                <w:rFonts w:ascii="Arial" w:hAnsi="Arial" w:cs="Arial"/>
                <w:sz w:val="24"/>
                <w:szCs w:val="24"/>
              </w:rPr>
              <w:t>Organisational</w:t>
            </w:r>
            <w:proofErr w:type="spellEnd"/>
            <w:r w:rsidRPr="00AA4761">
              <w:rPr>
                <w:rFonts w:ascii="Arial" w:hAnsi="Arial" w:cs="Arial"/>
                <w:sz w:val="24"/>
                <w:szCs w:val="24"/>
              </w:rPr>
              <w:t xml:space="preserve"> knowledge</w:t>
            </w:r>
          </w:p>
        </w:tc>
        <w:tc>
          <w:tcPr>
            <w:tcW w:w="0" w:type="auto"/>
            <w:hideMark/>
          </w:tcPr>
          <w:p w14:paraId="3CF1FCBD"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Patents filed annually</w:t>
            </w:r>
          </w:p>
        </w:tc>
        <w:tc>
          <w:tcPr>
            <w:tcW w:w="0" w:type="auto"/>
            <w:hideMark/>
          </w:tcPr>
          <w:p w14:paraId="2A79AB77"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&gt;500</w:t>
            </w:r>
          </w:p>
        </w:tc>
        <w:tc>
          <w:tcPr>
            <w:tcW w:w="0" w:type="auto"/>
            <w:hideMark/>
          </w:tcPr>
          <w:p w14:paraId="18B3AEAD"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Foster cross-functional innovation teams</w:t>
            </w:r>
          </w:p>
        </w:tc>
      </w:tr>
      <w:tr w:rsidR="00AA4761" w:rsidRPr="00AA4761" w14:paraId="2134474A" w14:textId="77777777" w:rsidTr="00790B67">
        <w:tc>
          <w:tcPr>
            <w:tcW w:w="0" w:type="auto"/>
            <w:hideMark/>
          </w:tcPr>
          <w:p w14:paraId="165352D2"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Technological capability</w:t>
            </w:r>
          </w:p>
        </w:tc>
        <w:tc>
          <w:tcPr>
            <w:tcW w:w="0" w:type="auto"/>
            <w:hideMark/>
          </w:tcPr>
          <w:p w14:paraId="159D0CFF"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AI/ML model accuracy for FSD</w:t>
            </w:r>
          </w:p>
        </w:tc>
        <w:tc>
          <w:tcPr>
            <w:tcW w:w="0" w:type="auto"/>
            <w:hideMark/>
          </w:tcPr>
          <w:p w14:paraId="450849C9"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&gt;99.9% object recognition</w:t>
            </w:r>
          </w:p>
        </w:tc>
        <w:tc>
          <w:tcPr>
            <w:tcW w:w="0" w:type="auto"/>
            <w:hideMark/>
          </w:tcPr>
          <w:p w14:paraId="6A0371DE"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Expand AI training infrastructure (Dojo supercomputer)</w:t>
            </w:r>
          </w:p>
        </w:tc>
      </w:tr>
    </w:tbl>
    <w:p w14:paraId="6D9F9C1A" w14:textId="77777777" w:rsidR="00F4662F" w:rsidRDefault="00F4662F" w:rsidP="00AA4761">
      <w:pPr>
        <w:spacing w:line="360" w:lineRule="auto"/>
        <w:rPr>
          <w:rFonts w:ascii="Arial" w:hAnsi="Arial" w:cs="Arial"/>
          <w:sz w:val="24"/>
          <w:szCs w:val="24"/>
        </w:rPr>
      </w:pPr>
    </w:p>
    <w:p w14:paraId="1F347075" w14:textId="77777777" w:rsidR="00AA4761" w:rsidRPr="00AA4761" w:rsidRDefault="002F7121" w:rsidP="00AA4761">
      <w:pPr>
        <w:spacing w:line="360" w:lineRule="auto"/>
        <w:rPr>
          <w:rFonts w:ascii="Arial" w:hAnsi="Arial" w:cs="Arial"/>
          <w:sz w:val="24"/>
          <w:szCs w:val="24"/>
        </w:rPr>
      </w:pPr>
      <w:r w:rsidRPr="002F7121">
        <w:rPr>
          <w:rFonts w:ascii="Arial" w:hAnsi="Arial" w:cs="Arial"/>
          <w:sz w:val="24"/>
          <w:szCs w:val="24"/>
        </w:rPr>
        <w:t xml:space="preserve">The decision of Tesla to invest in its Dojo supercomputer, created with the specific purpose to compute the data of its fleet of vehicles in large amounts which is encompassed under the learning and growth aspect is a strategic investment (Tesla, 2023a). Nonetheless, turnover rates among the workforce and claims of a challenging work environment pose a threat to </w:t>
      </w:r>
      <w:proofErr w:type="spellStart"/>
      <w:r w:rsidRPr="002F7121">
        <w:rPr>
          <w:rFonts w:ascii="Arial" w:hAnsi="Arial" w:cs="Arial"/>
          <w:sz w:val="24"/>
          <w:szCs w:val="24"/>
        </w:rPr>
        <w:t>organisational</w:t>
      </w:r>
      <w:proofErr w:type="spellEnd"/>
      <w:r w:rsidRPr="002F7121">
        <w:rPr>
          <w:rFonts w:ascii="Arial" w:hAnsi="Arial" w:cs="Arial"/>
          <w:sz w:val="24"/>
          <w:szCs w:val="24"/>
        </w:rPr>
        <w:t xml:space="preserve"> learning and knowledge retention (Wong, 2022).</w:t>
      </w:r>
    </w:p>
    <w:p w14:paraId="39CAF845" w14:textId="77777777" w:rsidR="00B273B4" w:rsidRDefault="00B273B4" w:rsidP="002F7121">
      <w:pPr>
        <w:spacing w:line="360" w:lineRule="auto"/>
        <w:rPr>
          <w:rFonts w:ascii="Arial" w:hAnsi="Arial" w:cs="Arial"/>
          <w:b/>
          <w:bCs/>
          <w:sz w:val="24"/>
          <w:szCs w:val="24"/>
        </w:rPr>
      </w:pPr>
    </w:p>
    <w:p w14:paraId="3AA338A6" w14:textId="77777777" w:rsidR="00B273B4" w:rsidRDefault="00B273B4" w:rsidP="002F7121">
      <w:pPr>
        <w:spacing w:line="360" w:lineRule="auto"/>
        <w:rPr>
          <w:rFonts w:ascii="Arial" w:hAnsi="Arial" w:cs="Arial"/>
          <w:b/>
          <w:bCs/>
          <w:sz w:val="24"/>
          <w:szCs w:val="24"/>
        </w:rPr>
      </w:pPr>
    </w:p>
    <w:p w14:paraId="22C0FA05" w14:textId="77777777" w:rsidR="002F7121" w:rsidRPr="002F7121" w:rsidRDefault="002F7121" w:rsidP="002F7121">
      <w:pPr>
        <w:spacing w:line="360" w:lineRule="auto"/>
        <w:rPr>
          <w:rFonts w:ascii="Arial" w:hAnsi="Arial" w:cs="Arial"/>
          <w:b/>
          <w:bCs/>
          <w:sz w:val="24"/>
          <w:szCs w:val="24"/>
        </w:rPr>
      </w:pPr>
      <w:r w:rsidRPr="002F7121">
        <w:rPr>
          <w:rFonts w:ascii="Arial" w:hAnsi="Arial" w:cs="Arial"/>
          <w:b/>
          <w:bCs/>
          <w:sz w:val="24"/>
          <w:szCs w:val="24"/>
        </w:rPr>
        <w:lastRenderedPageBreak/>
        <w:t>5.0 Strategic Choices and Implementation.</w:t>
      </w:r>
    </w:p>
    <w:p w14:paraId="604450C1" w14:textId="77777777" w:rsidR="002F7121" w:rsidRPr="002F7121" w:rsidRDefault="002F7121" w:rsidP="002F7121">
      <w:pPr>
        <w:spacing w:line="360" w:lineRule="auto"/>
        <w:rPr>
          <w:rFonts w:ascii="Arial" w:hAnsi="Arial" w:cs="Arial"/>
          <w:b/>
          <w:bCs/>
          <w:sz w:val="24"/>
          <w:szCs w:val="24"/>
        </w:rPr>
      </w:pPr>
      <w:r w:rsidRPr="002F7121">
        <w:rPr>
          <w:rFonts w:ascii="Arial" w:hAnsi="Arial" w:cs="Arial"/>
          <w:b/>
          <w:bCs/>
          <w:sz w:val="24"/>
          <w:szCs w:val="24"/>
        </w:rPr>
        <w:t>5.1 Business-Level Strategy</w:t>
      </w:r>
    </w:p>
    <w:p w14:paraId="37DAEC22" w14:textId="77777777" w:rsidR="002F7121" w:rsidRPr="00B148D4" w:rsidRDefault="002F7121" w:rsidP="002F7121">
      <w:pPr>
        <w:spacing w:line="360" w:lineRule="auto"/>
        <w:rPr>
          <w:rFonts w:ascii="Arial" w:hAnsi="Arial" w:cs="Arial"/>
          <w:sz w:val="24"/>
          <w:szCs w:val="24"/>
        </w:rPr>
      </w:pPr>
      <w:r w:rsidRPr="00B148D4">
        <w:rPr>
          <w:rFonts w:ascii="Arial" w:hAnsi="Arial" w:cs="Arial"/>
          <w:sz w:val="24"/>
          <w:szCs w:val="24"/>
        </w:rPr>
        <w:t>The generic strategies framework, proposed by Porter (1985), offers a solid framework of analyzing the competitive positioning of Tesla, Inc. at a business level. Traditionally, Tesla has been following an explicit broad differentiation approach and provided the vehicles that are defined by technological innovation, better acceleration, longer range, built-in software ecosystems, sustainability, and high brand prestige (Porter, 1985; Rothaermel, 2024). Premium pricing has been supported by the measures of performance, autonomous-driving functionality and access to its proprietary Supercharger network.</w:t>
      </w:r>
    </w:p>
    <w:p w14:paraId="64A19D08" w14:textId="77777777" w:rsidR="002F7121" w:rsidRPr="00B148D4" w:rsidRDefault="002F7121" w:rsidP="002F7121">
      <w:pPr>
        <w:spacing w:line="360" w:lineRule="auto"/>
        <w:rPr>
          <w:rFonts w:ascii="Arial" w:hAnsi="Arial" w:cs="Arial"/>
          <w:sz w:val="24"/>
          <w:szCs w:val="24"/>
        </w:rPr>
      </w:pPr>
      <w:r w:rsidRPr="00B148D4">
        <w:rPr>
          <w:rFonts w:ascii="Arial" w:hAnsi="Arial" w:cs="Arial"/>
          <w:sz w:val="24"/>
          <w:szCs w:val="24"/>
        </w:rPr>
        <w:t xml:space="preserve">The positioning of Tesla has however changed. The introduction of the Model 3 and Model Y at relatively lower prices coupled with drastic decreases in prices throughout 2023 is a sign that the company is shifting into an integrated cost leadership and differentiation approach. Bowman and Faulkner (1997) </w:t>
      </w:r>
      <w:proofErr w:type="spellStart"/>
      <w:r w:rsidRPr="00B148D4">
        <w:rPr>
          <w:rFonts w:ascii="Arial" w:hAnsi="Arial" w:cs="Arial"/>
          <w:sz w:val="24"/>
          <w:szCs w:val="24"/>
        </w:rPr>
        <w:t>conceptualise</w:t>
      </w:r>
      <w:proofErr w:type="spellEnd"/>
      <w:r w:rsidRPr="00B148D4">
        <w:rPr>
          <w:rFonts w:ascii="Arial" w:hAnsi="Arial" w:cs="Arial"/>
          <w:sz w:val="24"/>
          <w:szCs w:val="24"/>
        </w:rPr>
        <w:t xml:space="preserve"> this as a hybrid in the Strategy Clock- creating differentiated value at competitive prices. Tesla can use manufacturing scale and operational efficiencies to protect its market share when it faces stronger EV </w:t>
      </w:r>
      <w:proofErr w:type="spellStart"/>
      <w:r w:rsidRPr="00B148D4">
        <w:rPr>
          <w:rFonts w:ascii="Arial" w:hAnsi="Arial" w:cs="Arial"/>
          <w:sz w:val="24"/>
          <w:szCs w:val="24"/>
        </w:rPr>
        <w:t>commoditisation</w:t>
      </w:r>
      <w:proofErr w:type="spellEnd"/>
      <w:r w:rsidRPr="00B148D4">
        <w:rPr>
          <w:rFonts w:ascii="Arial" w:hAnsi="Arial" w:cs="Arial"/>
          <w:sz w:val="24"/>
          <w:szCs w:val="24"/>
        </w:rPr>
        <w:t xml:space="preserve"> forces (Hill, 2022).</w:t>
      </w:r>
    </w:p>
    <w:p w14:paraId="27121D17" w14:textId="77777777" w:rsidR="002F7121" w:rsidRPr="00B148D4" w:rsidRDefault="002F7121" w:rsidP="002F7121">
      <w:pPr>
        <w:spacing w:line="360" w:lineRule="auto"/>
        <w:rPr>
          <w:rFonts w:ascii="Arial" w:hAnsi="Arial" w:cs="Arial"/>
          <w:sz w:val="24"/>
          <w:szCs w:val="24"/>
        </w:rPr>
      </w:pPr>
      <w:r w:rsidRPr="00B148D4">
        <w:rPr>
          <w:rFonts w:ascii="Arial" w:hAnsi="Arial" w:cs="Arial"/>
          <w:sz w:val="24"/>
          <w:szCs w:val="24"/>
        </w:rPr>
        <w:t xml:space="preserve">Recommendation: Tesla needs to </w:t>
      </w:r>
      <w:proofErr w:type="spellStart"/>
      <w:r w:rsidRPr="00B148D4">
        <w:rPr>
          <w:rFonts w:ascii="Arial" w:hAnsi="Arial" w:cs="Arial"/>
          <w:sz w:val="24"/>
          <w:szCs w:val="24"/>
        </w:rPr>
        <w:t>institutionalise</w:t>
      </w:r>
      <w:proofErr w:type="spellEnd"/>
      <w:r w:rsidRPr="00B148D4">
        <w:rPr>
          <w:rFonts w:ascii="Arial" w:hAnsi="Arial" w:cs="Arial"/>
          <w:sz w:val="24"/>
          <w:szCs w:val="24"/>
        </w:rPr>
        <w:t xml:space="preserve"> this hybrid strategy with the intentional segmentation. A sub-30 000 mass-market model would help reinforce penetration in the price-sensitive segments, and the premium models (Model S, Model X, </w:t>
      </w:r>
      <w:proofErr w:type="spellStart"/>
      <w:r w:rsidRPr="00B148D4">
        <w:rPr>
          <w:rFonts w:ascii="Arial" w:hAnsi="Arial" w:cs="Arial"/>
          <w:sz w:val="24"/>
          <w:szCs w:val="24"/>
        </w:rPr>
        <w:t>Cybertruck</w:t>
      </w:r>
      <w:proofErr w:type="spellEnd"/>
      <w:r w:rsidRPr="00B148D4">
        <w:rPr>
          <w:rFonts w:ascii="Arial" w:hAnsi="Arial" w:cs="Arial"/>
          <w:sz w:val="24"/>
          <w:szCs w:val="24"/>
        </w:rPr>
        <w:t>) would help reinforce differentiation through higher-level autonomous features, premium materials and exclusive design elements. This duality gives the opportunity to conduct multi-segment competition without losing brand equity (Kotler and Keller, 2022).</w:t>
      </w:r>
    </w:p>
    <w:p w14:paraId="7CF2C562" w14:textId="77777777" w:rsidR="002F7121" w:rsidRPr="002F7121" w:rsidRDefault="002F7121" w:rsidP="002F7121">
      <w:pPr>
        <w:spacing w:line="360" w:lineRule="auto"/>
        <w:rPr>
          <w:rFonts w:ascii="Arial" w:hAnsi="Arial" w:cs="Arial"/>
          <w:b/>
          <w:bCs/>
          <w:sz w:val="24"/>
          <w:szCs w:val="24"/>
        </w:rPr>
      </w:pPr>
      <w:r w:rsidRPr="002F7121">
        <w:rPr>
          <w:rFonts w:ascii="Arial" w:hAnsi="Arial" w:cs="Arial"/>
          <w:b/>
          <w:bCs/>
          <w:sz w:val="24"/>
          <w:szCs w:val="24"/>
        </w:rPr>
        <w:t>5.2 Corporate-Level Strategy</w:t>
      </w:r>
    </w:p>
    <w:p w14:paraId="088B2C21" w14:textId="77777777" w:rsidR="002F7121" w:rsidRPr="00B148D4" w:rsidRDefault="002F7121" w:rsidP="002F7121">
      <w:pPr>
        <w:spacing w:line="360" w:lineRule="auto"/>
        <w:rPr>
          <w:rFonts w:ascii="Arial" w:hAnsi="Arial" w:cs="Arial"/>
          <w:sz w:val="24"/>
          <w:szCs w:val="24"/>
        </w:rPr>
      </w:pPr>
      <w:r w:rsidRPr="00B148D4">
        <w:rPr>
          <w:rFonts w:ascii="Arial" w:hAnsi="Arial" w:cs="Arial"/>
          <w:sz w:val="24"/>
          <w:szCs w:val="24"/>
        </w:rPr>
        <w:t xml:space="preserve">Tesla has implemented a similar diversification strategy at the corporate level (Ansoff, 1965). Outside the automotive sector, it now operates in energy generation and storage (Powerwall, Megapack, Solar Roof), artificial intelligence, robotics (Optimus) and insurance services. These projects take advantage of technological synergies especially in battery systems and software engineering that is consistent with diversification logic of </w:t>
      </w:r>
      <w:proofErr w:type="spellStart"/>
      <w:r w:rsidRPr="00B148D4">
        <w:rPr>
          <w:rFonts w:ascii="Arial" w:hAnsi="Arial" w:cs="Arial"/>
          <w:sz w:val="24"/>
          <w:szCs w:val="24"/>
        </w:rPr>
        <w:t>Rumelt</w:t>
      </w:r>
      <w:proofErr w:type="spellEnd"/>
      <w:r w:rsidRPr="00B148D4">
        <w:rPr>
          <w:rFonts w:ascii="Arial" w:hAnsi="Arial" w:cs="Arial"/>
          <w:sz w:val="24"/>
          <w:szCs w:val="24"/>
        </w:rPr>
        <w:t xml:space="preserve"> (1974).</w:t>
      </w:r>
    </w:p>
    <w:p w14:paraId="5E289446" w14:textId="77777777" w:rsidR="002F7121" w:rsidRPr="00B148D4" w:rsidRDefault="002F7121" w:rsidP="002F7121">
      <w:pPr>
        <w:spacing w:line="360" w:lineRule="auto"/>
        <w:rPr>
          <w:rFonts w:ascii="Arial" w:hAnsi="Arial" w:cs="Arial"/>
          <w:sz w:val="24"/>
          <w:szCs w:val="24"/>
        </w:rPr>
      </w:pPr>
      <w:r w:rsidRPr="00B148D4">
        <w:rPr>
          <w:rFonts w:ascii="Arial" w:hAnsi="Arial" w:cs="Arial"/>
          <w:sz w:val="24"/>
          <w:szCs w:val="24"/>
        </w:rPr>
        <w:lastRenderedPageBreak/>
        <w:t xml:space="preserve">Another pillar of corporate strategy is international expansion. </w:t>
      </w:r>
      <w:proofErr w:type="spellStart"/>
      <w:r w:rsidRPr="00B148D4">
        <w:rPr>
          <w:rFonts w:ascii="Arial" w:hAnsi="Arial" w:cs="Arial"/>
          <w:sz w:val="24"/>
          <w:szCs w:val="24"/>
        </w:rPr>
        <w:t>Localisation</w:t>
      </w:r>
      <w:proofErr w:type="spellEnd"/>
      <w:r w:rsidRPr="00B148D4">
        <w:rPr>
          <w:rFonts w:ascii="Arial" w:hAnsi="Arial" w:cs="Arial"/>
          <w:sz w:val="24"/>
          <w:szCs w:val="24"/>
        </w:rPr>
        <w:t xml:space="preserve"> is improved through manufacturing plants in Shanghai (since 2019) and Berlin-Brandenburg (since 2022) so that the company is not as sensitive to tariffs and can respond to customer demands promptly (Ghemawat, 2007).</w:t>
      </w:r>
    </w:p>
    <w:p w14:paraId="55CD3AAA" w14:textId="77777777" w:rsidR="002F7121" w:rsidRPr="00B148D4" w:rsidRDefault="002F7121" w:rsidP="002F7121">
      <w:pPr>
        <w:spacing w:line="360" w:lineRule="auto"/>
        <w:rPr>
          <w:rFonts w:ascii="Arial" w:hAnsi="Arial" w:cs="Arial"/>
          <w:sz w:val="24"/>
          <w:szCs w:val="24"/>
        </w:rPr>
      </w:pPr>
      <w:r w:rsidRPr="00B148D4">
        <w:rPr>
          <w:rFonts w:ascii="Arial" w:hAnsi="Arial" w:cs="Arial"/>
          <w:sz w:val="24"/>
          <w:szCs w:val="24"/>
        </w:rPr>
        <w:t>Recommendation: Tesla ought to step up efforts into expanding into emerging markets that are both high-growth (</w:t>
      </w:r>
      <w:proofErr w:type="gramStart"/>
      <w:r w:rsidRPr="00B148D4">
        <w:rPr>
          <w:rFonts w:ascii="Arial" w:hAnsi="Arial" w:cs="Arial"/>
          <w:sz w:val="24"/>
          <w:szCs w:val="24"/>
        </w:rPr>
        <w:t>i.e.</w:t>
      </w:r>
      <w:proofErr w:type="gramEnd"/>
      <w:r w:rsidRPr="00B148D4">
        <w:rPr>
          <w:rFonts w:ascii="Arial" w:hAnsi="Arial" w:cs="Arial"/>
          <w:sz w:val="24"/>
          <w:szCs w:val="24"/>
        </w:rPr>
        <w:t xml:space="preserve"> India and Southeast Asia) and where EV adaptation has not yet reached saturation among the younger generations, yet is expected to do so (McKinsey, 2023). In addition, an increase in the scale of Megapack utility-scale battery segment may take advantage of the increased grid-storage demand that is fueled by renewable intermittency (IRENA, 2023). The AI and robotics diversification has long term prospects but has to be disciplined strategically so as not to dilute resources (Campbell, Goold and Alexander, 1995).</w:t>
      </w:r>
    </w:p>
    <w:p w14:paraId="3D50618D" w14:textId="77777777" w:rsidR="002F7121" w:rsidRPr="002F7121" w:rsidRDefault="002F7121" w:rsidP="002F7121">
      <w:pPr>
        <w:spacing w:line="360" w:lineRule="auto"/>
        <w:rPr>
          <w:rFonts w:ascii="Arial" w:hAnsi="Arial" w:cs="Arial"/>
          <w:b/>
          <w:bCs/>
          <w:sz w:val="24"/>
          <w:szCs w:val="24"/>
        </w:rPr>
      </w:pPr>
      <w:r w:rsidRPr="002F7121">
        <w:rPr>
          <w:rFonts w:ascii="Arial" w:hAnsi="Arial" w:cs="Arial"/>
          <w:b/>
          <w:bCs/>
          <w:sz w:val="24"/>
          <w:szCs w:val="24"/>
        </w:rPr>
        <w:t>5.3 Change Management</w:t>
      </w:r>
    </w:p>
    <w:p w14:paraId="4FBB373D" w14:textId="77777777" w:rsidR="002F7121" w:rsidRPr="00B148D4" w:rsidRDefault="002F7121" w:rsidP="002F7121">
      <w:pPr>
        <w:spacing w:line="360" w:lineRule="auto"/>
        <w:rPr>
          <w:rFonts w:ascii="Arial" w:hAnsi="Arial" w:cs="Arial"/>
          <w:sz w:val="24"/>
          <w:szCs w:val="24"/>
        </w:rPr>
      </w:pPr>
      <w:r w:rsidRPr="00B148D4">
        <w:rPr>
          <w:rFonts w:ascii="Arial" w:hAnsi="Arial" w:cs="Arial"/>
          <w:sz w:val="24"/>
          <w:szCs w:val="24"/>
        </w:rPr>
        <w:t xml:space="preserve">Under Elon Musk, Tesla has been described as having a change management model where decisions are made at a rapid rate that are </w:t>
      </w:r>
      <w:proofErr w:type="spellStart"/>
      <w:r w:rsidRPr="00B148D4">
        <w:rPr>
          <w:rFonts w:ascii="Arial" w:hAnsi="Arial" w:cs="Arial"/>
          <w:sz w:val="24"/>
          <w:szCs w:val="24"/>
        </w:rPr>
        <w:t>centralised</w:t>
      </w:r>
      <w:proofErr w:type="spellEnd"/>
      <w:r w:rsidRPr="00B148D4">
        <w:rPr>
          <w:rFonts w:ascii="Arial" w:hAnsi="Arial" w:cs="Arial"/>
          <w:sz w:val="24"/>
          <w:szCs w:val="24"/>
        </w:rPr>
        <w:t xml:space="preserve"> (Schilling, 2020). As much as this enables agility, it reveals weakness of Kotter (1996) framework especially in integrating change into </w:t>
      </w:r>
      <w:proofErr w:type="spellStart"/>
      <w:r w:rsidRPr="00B148D4">
        <w:rPr>
          <w:rFonts w:ascii="Arial" w:hAnsi="Arial" w:cs="Arial"/>
          <w:sz w:val="24"/>
          <w:szCs w:val="24"/>
        </w:rPr>
        <w:t>organisational</w:t>
      </w:r>
      <w:proofErr w:type="spellEnd"/>
      <w:r w:rsidRPr="00B148D4">
        <w:rPr>
          <w:rFonts w:ascii="Arial" w:hAnsi="Arial" w:cs="Arial"/>
          <w:sz w:val="24"/>
          <w:szCs w:val="24"/>
        </w:rPr>
        <w:t xml:space="preserve"> culture. There is high turnover of the executive and restructuring periods such as layoffs in 2024, demonstrating the problems with maintaining the morale and unity (Wong, 2022; Lewin, 1947). Tesla needs to institutionalize change processes with a focus on communication, stakeholder interaction and cultural alignment to provide strategic continuity.</w:t>
      </w:r>
    </w:p>
    <w:p w14:paraId="5C42F0E8" w14:textId="77777777" w:rsidR="002F7121" w:rsidRPr="002F7121" w:rsidRDefault="002F7121" w:rsidP="002F7121">
      <w:pPr>
        <w:spacing w:line="360" w:lineRule="auto"/>
        <w:rPr>
          <w:rFonts w:ascii="Arial" w:hAnsi="Arial" w:cs="Arial"/>
          <w:b/>
          <w:bCs/>
          <w:sz w:val="24"/>
          <w:szCs w:val="24"/>
        </w:rPr>
      </w:pPr>
      <w:r w:rsidRPr="002F7121">
        <w:rPr>
          <w:rFonts w:ascii="Arial" w:hAnsi="Arial" w:cs="Arial"/>
          <w:b/>
          <w:bCs/>
          <w:sz w:val="24"/>
          <w:szCs w:val="24"/>
        </w:rPr>
        <w:t>6.0 Strategic Analysis and Recommendations.</w:t>
      </w:r>
    </w:p>
    <w:p w14:paraId="0F20D4A4" w14:textId="77777777" w:rsidR="002F7121" w:rsidRPr="002F7121" w:rsidRDefault="002F7121" w:rsidP="002F7121">
      <w:pPr>
        <w:spacing w:line="360" w:lineRule="auto"/>
        <w:rPr>
          <w:rFonts w:ascii="Arial" w:hAnsi="Arial" w:cs="Arial"/>
          <w:b/>
          <w:bCs/>
          <w:sz w:val="24"/>
          <w:szCs w:val="24"/>
        </w:rPr>
      </w:pPr>
      <w:r w:rsidRPr="002F7121">
        <w:rPr>
          <w:rFonts w:ascii="Arial" w:hAnsi="Arial" w:cs="Arial"/>
          <w:b/>
          <w:bCs/>
          <w:sz w:val="24"/>
          <w:szCs w:val="24"/>
        </w:rPr>
        <w:t>6.1 SWOT Analysis</w:t>
      </w:r>
    </w:p>
    <w:p w14:paraId="798A61AE" w14:textId="77777777" w:rsidR="00AA4761" w:rsidRPr="00B148D4" w:rsidRDefault="002F7121" w:rsidP="002F7121">
      <w:pPr>
        <w:spacing w:line="360" w:lineRule="auto"/>
        <w:rPr>
          <w:rFonts w:ascii="Arial" w:hAnsi="Arial" w:cs="Arial"/>
          <w:sz w:val="24"/>
          <w:szCs w:val="24"/>
        </w:rPr>
      </w:pPr>
      <w:r w:rsidRPr="00B148D4">
        <w:rPr>
          <w:rFonts w:ascii="Arial" w:hAnsi="Arial" w:cs="Arial"/>
          <w:sz w:val="24"/>
          <w:szCs w:val="24"/>
        </w:rPr>
        <w:t>Based on the above analysis, a SWOT framework (Learned et al., 1965) can be used to offer a synthetic analysis of the strategic position of Tesla:</w:t>
      </w:r>
    </w:p>
    <w:tbl>
      <w:tblPr>
        <w:tblStyle w:val="TableGrid"/>
        <w:tblW w:w="9360" w:type="dxa"/>
        <w:tblLook w:val="04A0" w:firstRow="1" w:lastRow="0" w:firstColumn="1" w:lastColumn="0" w:noHBand="0" w:noVBand="1"/>
      </w:tblPr>
      <w:tblGrid>
        <w:gridCol w:w="4600"/>
        <w:gridCol w:w="4760"/>
      </w:tblGrid>
      <w:tr w:rsidR="00AA4761" w:rsidRPr="00AA4761" w14:paraId="2914401C" w14:textId="77777777" w:rsidTr="00790B67">
        <w:tc>
          <w:tcPr>
            <w:tcW w:w="0" w:type="auto"/>
            <w:noWrap/>
            <w:hideMark/>
          </w:tcPr>
          <w:p w14:paraId="4CD242B3" w14:textId="77777777" w:rsidR="00AA4761" w:rsidRPr="00AA4761" w:rsidRDefault="00AA4761" w:rsidP="00AA4761">
            <w:pPr>
              <w:spacing w:line="360" w:lineRule="auto"/>
              <w:rPr>
                <w:rFonts w:ascii="Arial" w:hAnsi="Arial" w:cs="Arial"/>
                <w:b/>
                <w:bCs/>
                <w:sz w:val="24"/>
                <w:szCs w:val="24"/>
              </w:rPr>
            </w:pPr>
            <w:r w:rsidRPr="00AA4761">
              <w:rPr>
                <w:rFonts w:ascii="Arial" w:hAnsi="Arial" w:cs="Arial"/>
                <w:b/>
                <w:bCs/>
                <w:sz w:val="24"/>
                <w:szCs w:val="24"/>
              </w:rPr>
              <w:t>Strengths</w:t>
            </w:r>
          </w:p>
        </w:tc>
        <w:tc>
          <w:tcPr>
            <w:tcW w:w="0" w:type="auto"/>
            <w:noWrap/>
            <w:hideMark/>
          </w:tcPr>
          <w:p w14:paraId="3955BBD9" w14:textId="77777777" w:rsidR="00AA4761" w:rsidRPr="00AA4761" w:rsidRDefault="00AA4761" w:rsidP="00AA4761">
            <w:pPr>
              <w:spacing w:line="360" w:lineRule="auto"/>
              <w:rPr>
                <w:rFonts w:ascii="Arial" w:hAnsi="Arial" w:cs="Arial"/>
                <w:b/>
                <w:bCs/>
                <w:sz w:val="24"/>
                <w:szCs w:val="24"/>
              </w:rPr>
            </w:pPr>
            <w:r w:rsidRPr="00AA4761">
              <w:rPr>
                <w:rFonts w:ascii="Arial" w:hAnsi="Arial" w:cs="Arial"/>
                <w:b/>
                <w:bCs/>
                <w:sz w:val="24"/>
                <w:szCs w:val="24"/>
              </w:rPr>
              <w:t>Weaknesses</w:t>
            </w:r>
          </w:p>
        </w:tc>
      </w:tr>
      <w:tr w:rsidR="00AA4761" w:rsidRPr="00AA4761" w14:paraId="40106B42" w14:textId="77777777" w:rsidTr="00790B67">
        <w:tc>
          <w:tcPr>
            <w:tcW w:w="0" w:type="auto"/>
            <w:hideMark/>
          </w:tcPr>
          <w:p w14:paraId="08EC4891"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Iconic brand synonymous with innovation and sustainability</w:t>
            </w:r>
          </w:p>
        </w:tc>
        <w:tc>
          <w:tcPr>
            <w:tcW w:w="0" w:type="auto"/>
            <w:hideMark/>
          </w:tcPr>
          <w:p w14:paraId="6BA8A6B5"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Over-reliance on Elon Musk's personal brand and leadership</w:t>
            </w:r>
          </w:p>
        </w:tc>
      </w:tr>
      <w:tr w:rsidR="00AA4761" w:rsidRPr="00AA4761" w14:paraId="00E0EBFB" w14:textId="77777777" w:rsidTr="00790B67">
        <w:tc>
          <w:tcPr>
            <w:tcW w:w="0" w:type="auto"/>
            <w:hideMark/>
          </w:tcPr>
          <w:p w14:paraId="50EFA668"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Vertically integrated value chain</w:t>
            </w:r>
          </w:p>
        </w:tc>
        <w:tc>
          <w:tcPr>
            <w:tcW w:w="0" w:type="auto"/>
            <w:hideMark/>
          </w:tcPr>
          <w:p w14:paraId="14CFBF0C"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Quality control inconsistencies</w:t>
            </w:r>
          </w:p>
        </w:tc>
      </w:tr>
      <w:tr w:rsidR="00AA4761" w:rsidRPr="00AA4761" w14:paraId="1C891DFC" w14:textId="77777777" w:rsidTr="00790B67">
        <w:tc>
          <w:tcPr>
            <w:tcW w:w="0" w:type="auto"/>
            <w:hideMark/>
          </w:tcPr>
          <w:p w14:paraId="4FC9ADA3"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lastRenderedPageBreak/>
              <w:t>Proprietary Supercharger network</w:t>
            </w:r>
          </w:p>
        </w:tc>
        <w:tc>
          <w:tcPr>
            <w:tcW w:w="0" w:type="auto"/>
            <w:hideMark/>
          </w:tcPr>
          <w:p w14:paraId="07171B90"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Compressed profit margins due to price competition</w:t>
            </w:r>
          </w:p>
        </w:tc>
      </w:tr>
      <w:tr w:rsidR="00AA4761" w:rsidRPr="00AA4761" w14:paraId="7BC49102" w14:textId="77777777" w:rsidTr="00790B67">
        <w:tc>
          <w:tcPr>
            <w:tcW w:w="0" w:type="auto"/>
            <w:hideMark/>
          </w:tcPr>
          <w:p w14:paraId="535008A3"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Leading autonomous driving data capabilities</w:t>
            </w:r>
          </w:p>
        </w:tc>
        <w:tc>
          <w:tcPr>
            <w:tcW w:w="0" w:type="auto"/>
            <w:hideMark/>
          </w:tcPr>
          <w:p w14:paraId="406848FB"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Governance and workplace culture concerns</w:t>
            </w:r>
          </w:p>
        </w:tc>
      </w:tr>
      <w:tr w:rsidR="00AA4761" w:rsidRPr="00AA4761" w14:paraId="4E7750AC" w14:textId="77777777" w:rsidTr="00790B67">
        <w:tc>
          <w:tcPr>
            <w:tcW w:w="0" w:type="auto"/>
            <w:hideMark/>
          </w:tcPr>
          <w:p w14:paraId="3EFBF309"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Strong cash flow generation</w:t>
            </w:r>
          </w:p>
        </w:tc>
        <w:tc>
          <w:tcPr>
            <w:tcW w:w="0" w:type="auto"/>
            <w:hideMark/>
          </w:tcPr>
          <w:p w14:paraId="62A77D1B"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Limited model range compared to legacy competitors</w:t>
            </w:r>
          </w:p>
        </w:tc>
      </w:tr>
    </w:tbl>
    <w:p w14:paraId="525EA47C" w14:textId="77777777" w:rsidR="00AA4761" w:rsidRPr="00AA4761" w:rsidRDefault="00AA4761" w:rsidP="00AA4761">
      <w:pPr>
        <w:spacing w:line="360" w:lineRule="auto"/>
        <w:rPr>
          <w:rFonts w:ascii="Arial" w:hAnsi="Arial" w:cs="Arial"/>
          <w:vanish/>
          <w:sz w:val="24"/>
          <w:szCs w:val="24"/>
        </w:rPr>
      </w:pPr>
    </w:p>
    <w:tbl>
      <w:tblPr>
        <w:tblStyle w:val="TableGrid"/>
        <w:tblW w:w="9360" w:type="dxa"/>
        <w:tblLook w:val="04A0" w:firstRow="1" w:lastRow="0" w:firstColumn="1" w:lastColumn="0" w:noHBand="0" w:noVBand="1"/>
      </w:tblPr>
      <w:tblGrid>
        <w:gridCol w:w="5627"/>
        <w:gridCol w:w="3733"/>
      </w:tblGrid>
      <w:tr w:rsidR="00AA4761" w:rsidRPr="00AA4761" w14:paraId="1B170530" w14:textId="77777777" w:rsidTr="00790B67">
        <w:tc>
          <w:tcPr>
            <w:tcW w:w="0" w:type="auto"/>
            <w:noWrap/>
            <w:hideMark/>
          </w:tcPr>
          <w:p w14:paraId="13D90643" w14:textId="77777777" w:rsidR="00AA4761" w:rsidRPr="00AA4761" w:rsidRDefault="00AA4761" w:rsidP="00AA4761">
            <w:pPr>
              <w:spacing w:line="360" w:lineRule="auto"/>
              <w:rPr>
                <w:rFonts w:ascii="Arial" w:hAnsi="Arial" w:cs="Arial"/>
                <w:b/>
                <w:bCs/>
                <w:sz w:val="24"/>
                <w:szCs w:val="24"/>
              </w:rPr>
            </w:pPr>
            <w:r w:rsidRPr="00AA4761">
              <w:rPr>
                <w:rFonts w:ascii="Arial" w:hAnsi="Arial" w:cs="Arial"/>
                <w:b/>
                <w:bCs/>
                <w:sz w:val="24"/>
                <w:szCs w:val="24"/>
              </w:rPr>
              <w:t>Opportunities</w:t>
            </w:r>
          </w:p>
        </w:tc>
        <w:tc>
          <w:tcPr>
            <w:tcW w:w="0" w:type="auto"/>
            <w:noWrap/>
            <w:hideMark/>
          </w:tcPr>
          <w:p w14:paraId="07D1EA52" w14:textId="77777777" w:rsidR="00AA4761" w:rsidRPr="00AA4761" w:rsidRDefault="00AA4761" w:rsidP="00AA4761">
            <w:pPr>
              <w:spacing w:line="360" w:lineRule="auto"/>
              <w:rPr>
                <w:rFonts w:ascii="Arial" w:hAnsi="Arial" w:cs="Arial"/>
                <w:b/>
                <w:bCs/>
                <w:sz w:val="24"/>
                <w:szCs w:val="24"/>
              </w:rPr>
            </w:pPr>
            <w:r w:rsidRPr="00AA4761">
              <w:rPr>
                <w:rFonts w:ascii="Arial" w:hAnsi="Arial" w:cs="Arial"/>
                <w:b/>
                <w:bCs/>
                <w:sz w:val="24"/>
                <w:szCs w:val="24"/>
              </w:rPr>
              <w:t>Threats</w:t>
            </w:r>
          </w:p>
        </w:tc>
      </w:tr>
      <w:tr w:rsidR="00AA4761" w:rsidRPr="00AA4761" w14:paraId="6EA617F2" w14:textId="77777777" w:rsidTr="00790B67">
        <w:tc>
          <w:tcPr>
            <w:tcW w:w="0" w:type="auto"/>
            <w:hideMark/>
          </w:tcPr>
          <w:p w14:paraId="5D2EBB28"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Global EV market projected to grow at 23% CAGR to 2030 (</w:t>
            </w:r>
            <w:proofErr w:type="spellStart"/>
            <w:r w:rsidRPr="00AA4761">
              <w:rPr>
                <w:rFonts w:ascii="Arial" w:hAnsi="Arial" w:cs="Arial"/>
                <w:sz w:val="24"/>
                <w:szCs w:val="24"/>
              </w:rPr>
              <w:t>BloombergNEF</w:t>
            </w:r>
            <w:proofErr w:type="spellEnd"/>
            <w:r w:rsidRPr="00AA4761">
              <w:rPr>
                <w:rFonts w:ascii="Arial" w:hAnsi="Arial" w:cs="Arial"/>
                <w:sz w:val="24"/>
                <w:szCs w:val="24"/>
              </w:rPr>
              <w:t>, 2023)</w:t>
            </w:r>
          </w:p>
        </w:tc>
        <w:tc>
          <w:tcPr>
            <w:tcW w:w="0" w:type="auto"/>
            <w:hideMark/>
          </w:tcPr>
          <w:p w14:paraId="64CEDAA0"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Intensifying competition from BYD, VW, and others</w:t>
            </w:r>
          </w:p>
        </w:tc>
      </w:tr>
      <w:tr w:rsidR="00AA4761" w:rsidRPr="00AA4761" w14:paraId="4A3A41E7" w14:textId="77777777" w:rsidTr="00790B67">
        <w:tc>
          <w:tcPr>
            <w:tcW w:w="0" w:type="auto"/>
            <w:hideMark/>
          </w:tcPr>
          <w:p w14:paraId="74F1875C"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Expansion into emerging markets (India, Southeast Asia)</w:t>
            </w:r>
          </w:p>
        </w:tc>
        <w:tc>
          <w:tcPr>
            <w:tcW w:w="0" w:type="auto"/>
            <w:hideMark/>
          </w:tcPr>
          <w:p w14:paraId="70E2DCB7"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Geopolitical risks (US-China tensions)</w:t>
            </w:r>
          </w:p>
        </w:tc>
      </w:tr>
      <w:tr w:rsidR="00AA4761" w:rsidRPr="00AA4761" w14:paraId="2E7DDB45" w14:textId="77777777" w:rsidTr="00790B67">
        <w:tc>
          <w:tcPr>
            <w:tcW w:w="0" w:type="auto"/>
            <w:hideMark/>
          </w:tcPr>
          <w:p w14:paraId="37FF2AA3"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Growth of energy storage market</w:t>
            </w:r>
          </w:p>
        </w:tc>
        <w:tc>
          <w:tcPr>
            <w:tcW w:w="0" w:type="auto"/>
            <w:hideMark/>
          </w:tcPr>
          <w:p w14:paraId="53138262"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Potential reduction in government EV subsidies</w:t>
            </w:r>
          </w:p>
        </w:tc>
      </w:tr>
      <w:tr w:rsidR="00AA4761" w:rsidRPr="00AA4761" w14:paraId="7A40F549" w14:textId="77777777" w:rsidTr="00790B67">
        <w:tc>
          <w:tcPr>
            <w:tcW w:w="0" w:type="auto"/>
            <w:hideMark/>
          </w:tcPr>
          <w:p w14:paraId="2D51AE99"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Advancement of autonomous driving to commercial viability</w:t>
            </w:r>
          </w:p>
        </w:tc>
        <w:tc>
          <w:tcPr>
            <w:tcW w:w="0" w:type="auto"/>
            <w:hideMark/>
          </w:tcPr>
          <w:p w14:paraId="31A3F6D4"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Technological disruption (solid-state batteries)</w:t>
            </w:r>
          </w:p>
        </w:tc>
      </w:tr>
      <w:tr w:rsidR="00AA4761" w:rsidRPr="00AA4761" w14:paraId="5E657F44" w14:textId="77777777" w:rsidTr="00790B67">
        <w:tc>
          <w:tcPr>
            <w:tcW w:w="0" w:type="auto"/>
            <w:hideMark/>
          </w:tcPr>
          <w:p w14:paraId="290EDC4B"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Regulatory tailwinds (EU ICE ban 2035)</w:t>
            </w:r>
          </w:p>
        </w:tc>
        <w:tc>
          <w:tcPr>
            <w:tcW w:w="0" w:type="auto"/>
            <w:hideMark/>
          </w:tcPr>
          <w:p w14:paraId="3A25FCF1"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Commodity price volatility (lithium, cobalt)</w:t>
            </w:r>
          </w:p>
        </w:tc>
      </w:tr>
    </w:tbl>
    <w:p w14:paraId="76D04C1C" w14:textId="77777777" w:rsidR="00CF53F3" w:rsidRDefault="00CF53F3" w:rsidP="00AA4761">
      <w:pPr>
        <w:spacing w:line="360" w:lineRule="auto"/>
        <w:rPr>
          <w:rFonts w:ascii="Arial" w:hAnsi="Arial" w:cs="Arial"/>
          <w:b/>
          <w:bCs/>
          <w:sz w:val="24"/>
          <w:szCs w:val="24"/>
        </w:rPr>
      </w:pPr>
    </w:p>
    <w:p w14:paraId="3004CA67" w14:textId="77777777" w:rsidR="002F7121" w:rsidRPr="002F7121" w:rsidRDefault="002F7121" w:rsidP="002F7121">
      <w:pPr>
        <w:spacing w:line="360" w:lineRule="auto"/>
        <w:rPr>
          <w:rFonts w:ascii="Arial" w:hAnsi="Arial" w:cs="Arial"/>
          <w:b/>
          <w:bCs/>
          <w:sz w:val="24"/>
          <w:szCs w:val="24"/>
        </w:rPr>
      </w:pPr>
      <w:r w:rsidRPr="002F7121">
        <w:rPr>
          <w:rFonts w:ascii="Arial" w:hAnsi="Arial" w:cs="Arial"/>
          <w:b/>
          <w:bCs/>
          <w:sz w:val="24"/>
          <w:szCs w:val="24"/>
        </w:rPr>
        <w:t>6.2 Ansoff's Matrix Application</w:t>
      </w:r>
    </w:p>
    <w:p w14:paraId="42D5B18D" w14:textId="77777777" w:rsidR="002F7121" w:rsidRPr="00B148D4" w:rsidRDefault="002F7121" w:rsidP="002F7121">
      <w:pPr>
        <w:spacing w:line="360" w:lineRule="auto"/>
        <w:rPr>
          <w:rFonts w:ascii="Arial" w:hAnsi="Arial" w:cs="Arial"/>
          <w:sz w:val="24"/>
          <w:szCs w:val="24"/>
        </w:rPr>
      </w:pPr>
      <w:r w:rsidRPr="00B148D4">
        <w:rPr>
          <w:rFonts w:ascii="Arial" w:hAnsi="Arial" w:cs="Arial"/>
          <w:sz w:val="24"/>
          <w:szCs w:val="24"/>
        </w:rPr>
        <w:t>Having the Growth Matrix of Ansoff (1965) applied to Tesla, Inc. defines its strategy of developing in four dimensions.</w:t>
      </w:r>
    </w:p>
    <w:p w14:paraId="1B0949CA" w14:textId="77777777" w:rsidR="002F7121" w:rsidRPr="00B148D4" w:rsidRDefault="002F7121" w:rsidP="002F7121">
      <w:pPr>
        <w:spacing w:line="360" w:lineRule="auto"/>
        <w:rPr>
          <w:rFonts w:ascii="Arial" w:hAnsi="Arial" w:cs="Arial"/>
          <w:sz w:val="24"/>
          <w:szCs w:val="24"/>
        </w:rPr>
      </w:pPr>
      <w:r w:rsidRPr="00B148D4">
        <w:rPr>
          <w:rFonts w:ascii="Arial" w:hAnsi="Arial" w:cs="Arial"/>
          <w:sz w:val="24"/>
          <w:szCs w:val="24"/>
        </w:rPr>
        <w:t>Market Penetration is also seen through aggressive price cuts in the young markets in the United States, Europe and China. The objective of this tactic will be to gain a larger market share in the current segments, as well as maintain competitive positioning in the face of increased competition.</w:t>
      </w:r>
    </w:p>
    <w:p w14:paraId="4E607C82" w14:textId="77777777" w:rsidR="002F7121" w:rsidRPr="00B148D4" w:rsidRDefault="002F7121" w:rsidP="002F7121">
      <w:pPr>
        <w:spacing w:line="360" w:lineRule="auto"/>
        <w:rPr>
          <w:rFonts w:ascii="Arial" w:hAnsi="Arial" w:cs="Arial"/>
          <w:sz w:val="24"/>
          <w:szCs w:val="24"/>
        </w:rPr>
      </w:pPr>
      <w:r w:rsidRPr="00B148D4">
        <w:rPr>
          <w:rFonts w:ascii="Arial" w:hAnsi="Arial" w:cs="Arial"/>
          <w:sz w:val="24"/>
          <w:szCs w:val="24"/>
        </w:rPr>
        <w:t>Market Development entails expansion into emerging markets such as India, southeast Asia and Latin America. Although to some degree, they are being pursued, there is still so much opportunity to be tapped especially in growing economies as middle-class consumption of products and the receptive industrial policies.</w:t>
      </w:r>
    </w:p>
    <w:p w14:paraId="669574EB" w14:textId="77777777" w:rsidR="002F7121" w:rsidRPr="00B148D4" w:rsidRDefault="002F7121" w:rsidP="002F7121">
      <w:pPr>
        <w:spacing w:line="360" w:lineRule="auto"/>
        <w:rPr>
          <w:rFonts w:ascii="Arial" w:hAnsi="Arial" w:cs="Arial"/>
          <w:sz w:val="24"/>
          <w:szCs w:val="24"/>
        </w:rPr>
      </w:pPr>
      <w:r w:rsidRPr="00B148D4">
        <w:rPr>
          <w:rFonts w:ascii="Arial" w:hAnsi="Arial" w:cs="Arial"/>
          <w:sz w:val="24"/>
          <w:szCs w:val="24"/>
        </w:rPr>
        <w:lastRenderedPageBreak/>
        <w:t>The Product Development is currently being implemented, and new vehicle models are being introduced to the market, such as a potential low-price compact EV and commercial versions along with the increased energy storage options. Such initiatives are based on existing technology and brand equity of Tesla.</w:t>
      </w:r>
    </w:p>
    <w:p w14:paraId="0EB35894" w14:textId="77777777" w:rsidR="002F7121" w:rsidRPr="00B148D4" w:rsidRDefault="002F7121" w:rsidP="002F7121">
      <w:pPr>
        <w:spacing w:line="360" w:lineRule="auto"/>
        <w:rPr>
          <w:rFonts w:ascii="Arial" w:hAnsi="Arial" w:cs="Arial"/>
          <w:sz w:val="24"/>
          <w:szCs w:val="24"/>
        </w:rPr>
      </w:pPr>
      <w:r w:rsidRPr="00B148D4">
        <w:rPr>
          <w:rFonts w:ascii="Arial" w:hAnsi="Arial" w:cs="Arial"/>
          <w:sz w:val="24"/>
          <w:szCs w:val="24"/>
        </w:rPr>
        <w:t>Diversification involves addition of artificial intelligence, robotics (Optimus) and insurance services. Despite the high level of risk, the ventures can bring strategic returns over the long term in case synergies between battery and software capabilities are achieved successfully.</w:t>
      </w:r>
    </w:p>
    <w:p w14:paraId="1159ED40" w14:textId="77777777" w:rsidR="002F7121" w:rsidRPr="00B148D4" w:rsidRDefault="002F7121" w:rsidP="002F7121">
      <w:pPr>
        <w:spacing w:line="360" w:lineRule="auto"/>
        <w:rPr>
          <w:rFonts w:ascii="Arial" w:hAnsi="Arial" w:cs="Arial"/>
          <w:sz w:val="24"/>
          <w:szCs w:val="24"/>
        </w:rPr>
      </w:pPr>
      <w:r w:rsidRPr="00B148D4">
        <w:rPr>
          <w:rFonts w:ascii="Arial" w:hAnsi="Arial" w:cs="Arial"/>
          <w:sz w:val="24"/>
          <w:szCs w:val="24"/>
        </w:rPr>
        <w:t xml:space="preserve">Market development and product development are the wisest pathways to venture because they use the existing competencies and have lesser risks than </w:t>
      </w:r>
      <w:proofErr w:type="gramStart"/>
      <w:r w:rsidRPr="00B148D4">
        <w:rPr>
          <w:rFonts w:ascii="Arial" w:hAnsi="Arial" w:cs="Arial"/>
          <w:sz w:val="24"/>
          <w:szCs w:val="24"/>
        </w:rPr>
        <w:t>other</w:t>
      </w:r>
      <w:proofErr w:type="gramEnd"/>
      <w:r w:rsidRPr="00B148D4">
        <w:rPr>
          <w:rFonts w:ascii="Arial" w:hAnsi="Arial" w:cs="Arial"/>
          <w:sz w:val="24"/>
          <w:szCs w:val="24"/>
        </w:rPr>
        <w:t xml:space="preserve"> unrelated diversification (Ansoff, 1965).</w:t>
      </w:r>
    </w:p>
    <w:p w14:paraId="41EF6EAA" w14:textId="77777777" w:rsidR="002F7121" w:rsidRPr="002F7121" w:rsidRDefault="002F7121" w:rsidP="002F7121">
      <w:pPr>
        <w:spacing w:line="360" w:lineRule="auto"/>
        <w:rPr>
          <w:rFonts w:ascii="Arial" w:hAnsi="Arial" w:cs="Arial"/>
          <w:b/>
          <w:bCs/>
          <w:sz w:val="24"/>
          <w:szCs w:val="24"/>
        </w:rPr>
      </w:pPr>
      <w:r w:rsidRPr="002F7121">
        <w:rPr>
          <w:rFonts w:ascii="Arial" w:hAnsi="Arial" w:cs="Arial"/>
          <w:b/>
          <w:bCs/>
          <w:sz w:val="24"/>
          <w:szCs w:val="24"/>
        </w:rPr>
        <w:t>6.3 BCG Matrix Application</w:t>
      </w:r>
    </w:p>
    <w:p w14:paraId="1975555D" w14:textId="77777777" w:rsidR="002F7121" w:rsidRPr="00B148D4" w:rsidRDefault="002F7121" w:rsidP="002F7121">
      <w:pPr>
        <w:spacing w:line="360" w:lineRule="auto"/>
        <w:rPr>
          <w:rFonts w:ascii="Arial" w:hAnsi="Arial" w:cs="Arial"/>
          <w:sz w:val="24"/>
          <w:szCs w:val="24"/>
        </w:rPr>
      </w:pPr>
      <w:r w:rsidRPr="00B148D4">
        <w:rPr>
          <w:rFonts w:ascii="Arial" w:hAnsi="Arial" w:cs="Arial"/>
          <w:sz w:val="24"/>
          <w:szCs w:val="24"/>
        </w:rPr>
        <w:t>The portfolio of Tesla can be classified according to BCG Matrice (Henderson, 1970) as follows:</w:t>
      </w:r>
    </w:p>
    <w:p w14:paraId="45588FF3" w14:textId="77777777" w:rsidR="002F7121" w:rsidRPr="00B148D4" w:rsidRDefault="002F7121" w:rsidP="00B148D4">
      <w:pPr>
        <w:pStyle w:val="ListParagraph"/>
        <w:numPr>
          <w:ilvl w:val="0"/>
          <w:numId w:val="8"/>
        </w:numPr>
        <w:spacing w:line="360" w:lineRule="auto"/>
        <w:rPr>
          <w:rFonts w:ascii="Arial" w:hAnsi="Arial" w:cs="Arial"/>
          <w:sz w:val="24"/>
          <w:szCs w:val="24"/>
        </w:rPr>
      </w:pPr>
      <w:r w:rsidRPr="00B148D4">
        <w:rPr>
          <w:rFonts w:ascii="Arial" w:hAnsi="Arial" w:cs="Arial"/>
          <w:sz w:val="24"/>
          <w:szCs w:val="24"/>
        </w:rPr>
        <w:t>Stars: Model Y, which has high market growth and market share throughout the world.</w:t>
      </w:r>
    </w:p>
    <w:p w14:paraId="71973BD6" w14:textId="77777777" w:rsidR="002F7121" w:rsidRPr="00B148D4" w:rsidRDefault="002F7121" w:rsidP="00B148D4">
      <w:pPr>
        <w:pStyle w:val="ListParagraph"/>
        <w:numPr>
          <w:ilvl w:val="0"/>
          <w:numId w:val="8"/>
        </w:numPr>
        <w:spacing w:line="360" w:lineRule="auto"/>
        <w:rPr>
          <w:rFonts w:ascii="Arial" w:hAnsi="Arial" w:cs="Arial"/>
          <w:sz w:val="24"/>
          <w:szCs w:val="24"/>
        </w:rPr>
      </w:pPr>
      <w:r w:rsidRPr="00B148D4">
        <w:rPr>
          <w:rFonts w:ascii="Arial" w:hAnsi="Arial" w:cs="Arial"/>
          <w:sz w:val="24"/>
          <w:szCs w:val="24"/>
        </w:rPr>
        <w:t>Cash Cows: Model 3, this is a product under maturity with still large revenue streams.</w:t>
      </w:r>
    </w:p>
    <w:p w14:paraId="51DF636C" w14:textId="77777777" w:rsidR="002F7121" w:rsidRPr="00B148D4" w:rsidRDefault="002F7121" w:rsidP="00B148D4">
      <w:pPr>
        <w:pStyle w:val="ListParagraph"/>
        <w:numPr>
          <w:ilvl w:val="0"/>
          <w:numId w:val="8"/>
        </w:numPr>
        <w:spacing w:line="360" w:lineRule="auto"/>
        <w:rPr>
          <w:rFonts w:ascii="Arial" w:hAnsi="Arial" w:cs="Arial"/>
          <w:sz w:val="24"/>
          <w:szCs w:val="24"/>
        </w:rPr>
      </w:pPr>
      <w:r w:rsidRPr="00B148D4">
        <w:rPr>
          <w:rFonts w:ascii="Arial" w:hAnsi="Arial" w:cs="Arial"/>
          <w:sz w:val="24"/>
          <w:szCs w:val="24"/>
        </w:rPr>
        <w:t xml:space="preserve">Question Marks: Megapack energy storage division, </w:t>
      </w:r>
      <w:proofErr w:type="spellStart"/>
      <w:r w:rsidRPr="00B148D4">
        <w:rPr>
          <w:rFonts w:ascii="Arial" w:hAnsi="Arial" w:cs="Arial"/>
          <w:sz w:val="24"/>
          <w:szCs w:val="24"/>
        </w:rPr>
        <w:t>Cybertruck</w:t>
      </w:r>
      <w:proofErr w:type="spellEnd"/>
      <w:r w:rsidRPr="00B148D4">
        <w:rPr>
          <w:rFonts w:ascii="Arial" w:hAnsi="Arial" w:cs="Arial"/>
          <w:sz w:val="24"/>
          <w:szCs w:val="24"/>
        </w:rPr>
        <w:t>, and Optimus robot- Products that have a lot of growth potential but lack competitiveness.</w:t>
      </w:r>
    </w:p>
    <w:p w14:paraId="01F6089F" w14:textId="77777777" w:rsidR="002F7121" w:rsidRPr="00B148D4" w:rsidRDefault="002F7121" w:rsidP="00B148D4">
      <w:pPr>
        <w:pStyle w:val="ListParagraph"/>
        <w:numPr>
          <w:ilvl w:val="0"/>
          <w:numId w:val="8"/>
        </w:numPr>
        <w:spacing w:line="360" w:lineRule="auto"/>
        <w:rPr>
          <w:rFonts w:ascii="Arial" w:hAnsi="Arial" w:cs="Arial"/>
          <w:sz w:val="24"/>
          <w:szCs w:val="24"/>
        </w:rPr>
      </w:pPr>
      <w:r w:rsidRPr="00B148D4">
        <w:rPr>
          <w:rFonts w:ascii="Arial" w:hAnsi="Arial" w:cs="Arial"/>
          <w:sz w:val="24"/>
          <w:szCs w:val="24"/>
        </w:rPr>
        <w:t>Dogs: Model S and Model X, which are registering dwindling volumes in the luxury niche segment.</w:t>
      </w:r>
    </w:p>
    <w:p w14:paraId="56B55BD4" w14:textId="77777777" w:rsidR="00B148D4" w:rsidRPr="000A18CD" w:rsidRDefault="002F7121" w:rsidP="00CF53F3">
      <w:pPr>
        <w:spacing w:line="360" w:lineRule="auto"/>
        <w:rPr>
          <w:rFonts w:ascii="Arial" w:hAnsi="Arial" w:cs="Arial"/>
          <w:sz w:val="24"/>
          <w:szCs w:val="24"/>
        </w:rPr>
      </w:pPr>
      <w:r w:rsidRPr="00B148D4">
        <w:rPr>
          <w:rFonts w:ascii="Arial" w:hAnsi="Arial" w:cs="Arial"/>
          <w:sz w:val="24"/>
          <w:szCs w:val="24"/>
        </w:rPr>
        <w:t>The portfolio analysis recommends further investment in Stars and strategic development of Question Marks and possible repositioning or revitalizing underperforming models in order to generate the most out of the lifecycle value (Hedley, 1977).</w:t>
      </w:r>
    </w:p>
    <w:p w14:paraId="0690CA55" w14:textId="77777777" w:rsidR="00CF53F3" w:rsidRPr="00CF53F3" w:rsidRDefault="00CF53F3" w:rsidP="00CF53F3">
      <w:pPr>
        <w:spacing w:line="360" w:lineRule="auto"/>
        <w:rPr>
          <w:rFonts w:ascii="Arial" w:hAnsi="Arial" w:cs="Arial"/>
          <w:b/>
          <w:bCs/>
          <w:sz w:val="24"/>
          <w:szCs w:val="24"/>
        </w:rPr>
      </w:pPr>
      <w:r w:rsidRPr="00CF53F3">
        <w:rPr>
          <w:rFonts w:ascii="Arial" w:hAnsi="Arial" w:cs="Arial"/>
          <w:b/>
          <w:bCs/>
          <w:sz w:val="24"/>
          <w:szCs w:val="24"/>
        </w:rPr>
        <w:t>6.4 Strategic Recommendations</w:t>
      </w:r>
    </w:p>
    <w:p w14:paraId="7BAEE216" w14:textId="77777777" w:rsidR="002F7121" w:rsidRPr="002F7121" w:rsidRDefault="002F7121" w:rsidP="002F7121">
      <w:pPr>
        <w:spacing w:line="360" w:lineRule="auto"/>
        <w:rPr>
          <w:rFonts w:ascii="Arial" w:hAnsi="Arial" w:cs="Arial"/>
          <w:sz w:val="24"/>
          <w:szCs w:val="24"/>
        </w:rPr>
      </w:pPr>
      <w:r w:rsidRPr="002F7121">
        <w:rPr>
          <w:rFonts w:ascii="Arial" w:hAnsi="Arial" w:cs="Arial"/>
          <w:sz w:val="24"/>
          <w:szCs w:val="24"/>
        </w:rPr>
        <w:t>Fast-track the production of a sub-30,000 EV to gain a mass-market share and overcome rivals, like BYD which is in line with the disruptive innovation theory developed by Christensen (1997).</w:t>
      </w:r>
    </w:p>
    <w:p w14:paraId="7F246392" w14:textId="77777777" w:rsidR="002F7121" w:rsidRPr="002F7121" w:rsidRDefault="002F7121" w:rsidP="002F7121">
      <w:pPr>
        <w:pStyle w:val="ListParagraph"/>
        <w:numPr>
          <w:ilvl w:val="0"/>
          <w:numId w:val="7"/>
        </w:numPr>
        <w:spacing w:line="360" w:lineRule="auto"/>
        <w:rPr>
          <w:rFonts w:ascii="Arial" w:hAnsi="Arial" w:cs="Arial"/>
          <w:sz w:val="24"/>
          <w:szCs w:val="24"/>
        </w:rPr>
      </w:pPr>
      <w:r w:rsidRPr="002F7121">
        <w:rPr>
          <w:rFonts w:ascii="Arial" w:hAnsi="Arial" w:cs="Arial"/>
          <w:sz w:val="24"/>
          <w:szCs w:val="24"/>
        </w:rPr>
        <w:lastRenderedPageBreak/>
        <w:t xml:space="preserve">Enhance succession planning and pressure to exercise greater control over Elon Musk to reduce dependency, make </w:t>
      </w:r>
      <w:proofErr w:type="spellStart"/>
      <w:r w:rsidRPr="002F7121">
        <w:rPr>
          <w:rFonts w:ascii="Arial" w:hAnsi="Arial" w:cs="Arial"/>
          <w:sz w:val="24"/>
          <w:szCs w:val="24"/>
        </w:rPr>
        <w:t>organisational</w:t>
      </w:r>
      <w:proofErr w:type="spellEnd"/>
      <w:r w:rsidRPr="002F7121">
        <w:rPr>
          <w:rFonts w:ascii="Arial" w:hAnsi="Arial" w:cs="Arial"/>
          <w:sz w:val="24"/>
          <w:szCs w:val="24"/>
        </w:rPr>
        <w:t xml:space="preserve"> life more resilient (Mintzberg, Ahlstrand and Lampel, 2020).</w:t>
      </w:r>
    </w:p>
    <w:p w14:paraId="320CC25D" w14:textId="77777777" w:rsidR="002F7121" w:rsidRPr="002F7121" w:rsidRDefault="002F7121" w:rsidP="002F7121">
      <w:pPr>
        <w:pStyle w:val="ListParagraph"/>
        <w:numPr>
          <w:ilvl w:val="0"/>
          <w:numId w:val="7"/>
        </w:numPr>
        <w:spacing w:line="360" w:lineRule="auto"/>
        <w:rPr>
          <w:rFonts w:ascii="Arial" w:hAnsi="Arial" w:cs="Arial"/>
          <w:sz w:val="24"/>
          <w:szCs w:val="24"/>
        </w:rPr>
      </w:pPr>
      <w:r w:rsidRPr="002F7121">
        <w:rPr>
          <w:rFonts w:ascii="Arial" w:hAnsi="Arial" w:cs="Arial"/>
          <w:sz w:val="24"/>
          <w:szCs w:val="24"/>
        </w:rPr>
        <w:t>Enhance CSR practices, especially in the workplace culture and supply chain ethics to strengthen the shared value creation (Porter and Kramer, 2011).</w:t>
      </w:r>
    </w:p>
    <w:p w14:paraId="2E893A09" w14:textId="77777777" w:rsidR="002F7121" w:rsidRPr="002F7121" w:rsidRDefault="002F7121" w:rsidP="002F7121">
      <w:pPr>
        <w:pStyle w:val="ListParagraph"/>
        <w:numPr>
          <w:ilvl w:val="0"/>
          <w:numId w:val="7"/>
        </w:numPr>
        <w:spacing w:line="360" w:lineRule="auto"/>
        <w:rPr>
          <w:rFonts w:ascii="Arial" w:hAnsi="Arial" w:cs="Arial"/>
          <w:sz w:val="24"/>
          <w:szCs w:val="24"/>
        </w:rPr>
      </w:pPr>
      <w:r w:rsidRPr="002F7121">
        <w:rPr>
          <w:rFonts w:ascii="Arial" w:hAnsi="Arial" w:cs="Arial"/>
          <w:sz w:val="24"/>
          <w:szCs w:val="24"/>
        </w:rPr>
        <w:t xml:space="preserve">Grow the energy storage business vigorously, leveraging on the forecasted growth in grid-storage (27 </w:t>
      </w:r>
      <w:proofErr w:type="spellStart"/>
      <w:r w:rsidRPr="002F7121">
        <w:rPr>
          <w:rFonts w:ascii="Arial" w:hAnsi="Arial" w:cs="Arial"/>
          <w:sz w:val="24"/>
          <w:szCs w:val="24"/>
        </w:rPr>
        <w:t>Gwh</w:t>
      </w:r>
      <w:proofErr w:type="spellEnd"/>
      <w:r w:rsidRPr="002F7121">
        <w:rPr>
          <w:rFonts w:ascii="Arial" w:hAnsi="Arial" w:cs="Arial"/>
          <w:sz w:val="24"/>
          <w:szCs w:val="24"/>
        </w:rPr>
        <w:t xml:space="preserve"> in 2021) to more than 400 </w:t>
      </w:r>
      <w:proofErr w:type="spellStart"/>
      <w:r w:rsidRPr="002F7121">
        <w:rPr>
          <w:rFonts w:ascii="Arial" w:hAnsi="Arial" w:cs="Arial"/>
          <w:sz w:val="24"/>
          <w:szCs w:val="24"/>
        </w:rPr>
        <w:t>Gwh</w:t>
      </w:r>
      <w:proofErr w:type="spellEnd"/>
      <w:r w:rsidRPr="002F7121">
        <w:rPr>
          <w:rFonts w:ascii="Arial" w:hAnsi="Arial" w:cs="Arial"/>
          <w:sz w:val="24"/>
          <w:szCs w:val="24"/>
        </w:rPr>
        <w:t xml:space="preserve"> in 2030 (IRENA, 2023).</w:t>
      </w:r>
    </w:p>
    <w:p w14:paraId="61843359" w14:textId="77777777" w:rsidR="002F7121" w:rsidRPr="002F7121" w:rsidRDefault="002F7121" w:rsidP="002F7121">
      <w:pPr>
        <w:pStyle w:val="ListParagraph"/>
        <w:numPr>
          <w:ilvl w:val="0"/>
          <w:numId w:val="7"/>
        </w:numPr>
        <w:spacing w:line="360" w:lineRule="auto"/>
        <w:rPr>
          <w:rFonts w:ascii="Arial" w:hAnsi="Arial" w:cs="Arial"/>
          <w:sz w:val="24"/>
          <w:szCs w:val="24"/>
        </w:rPr>
      </w:pPr>
      <w:r w:rsidRPr="002F7121">
        <w:rPr>
          <w:rFonts w:ascii="Arial" w:hAnsi="Arial" w:cs="Arial"/>
          <w:sz w:val="24"/>
          <w:szCs w:val="24"/>
        </w:rPr>
        <w:t>Enter India using responsive strategies that fit the CAGE model developed by Ghemawat (2007) and government-based incentives based on production (McKinsey, 2023).</w:t>
      </w:r>
    </w:p>
    <w:p w14:paraId="27B2D37F" w14:textId="77777777" w:rsidR="002F7121" w:rsidRPr="002F7121" w:rsidRDefault="002F7121" w:rsidP="002F7121">
      <w:pPr>
        <w:spacing w:line="360" w:lineRule="auto"/>
        <w:rPr>
          <w:rFonts w:ascii="Arial" w:hAnsi="Arial" w:cs="Arial"/>
          <w:sz w:val="24"/>
          <w:szCs w:val="24"/>
        </w:rPr>
      </w:pPr>
      <w:r w:rsidRPr="002F7121">
        <w:rPr>
          <w:rFonts w:ascii="Arial" w:hAnsi="Arial" w:cs="Arial"/>
          <w:sz w:val="24"/>
          <w:szCs w:val="24"/>
        </w:rPr>
        <w:t>All these recommendations combine to create equilibrium between growth, risk management and long-term value creation by the stakeholders.</w:t>
      </w:r>
    </w:p>
    <w:p w14:paraId="126873C6" w14:textId="77777777" w:rsidR="002F7121" w:rsidRPr="002F7121" w:rsidRDefault="002F7121" w:rsidP="002F7121">
      <w:pPr>
        <w:spacing w:line="360" w:lineRule="auto"/>
        <w:rPr>
          <w:rFonts w:ascii="Arial" w:hAnsi="Arial" w:cs="Arial"/>
          <w:sz w:val="24"/>
          <w:szCs w:val="24"/>
        </w:rPr>
      </w:pPr>
    </w:p>
    <w:p w14:paraId="4C2E3517" w14:textId="77777777" w:rsidR="000A18CD" w:rsidRDefault="000A18CD">
      <w:pPr>
        <w:rPr>
          <w:rFonts w:ascii="Arial" w:hAnsi="Arial" w:cs="Arial"/>
          <w:b/>
          <w:bCs/>
          <w:sz w:val="24"/>
          <w:szCs w:val="24"/>
        </w:rPr>
      </w:pPr>
      <w:r>
        <w:rPr>
          <w:rFonts w:ascii="Arial" w:hAnsi="Arial" w:cs="Arial"/>
          <w:b/>
          <w:bCs/>
          <w:sz w:val="24"/>
          <w:szCs w:val="24"/>
        </w:rPr>
        <w:br w:type="page"/>
      </w:r>
    </w:p>
    <w:p w14:paraId="23B79C1B" w14:textId="77777777" w:rsidR="002F7121" w:rsidRPr="002F7121" w:rsidRDefault="002F7121" w:rsidP="002F7121">
      <w:pPr>
        <w:spacing w:line="360" w:lineRule="auto"/>
        <w:rPr>
          <w:rFonts w:ascii="Arial" w:hAnsi="Arial" w:cs="Arial"/>
          <w:b/>
          <w:bCs/>
          <w:sz w:val="24"/>
          <w:szCs w:val="24"/>
        </w:rPr>
      </w:pPr>
      <w:r w:rsidRPr="002F7121">
        <w:rPr>
          <w:rFonts w:ascii="Arial" w:hAnsi="Arial" w:cs="Arial"/>
          <w:b/>
          <w:bCs/>
          <w:sz w:val="24"/>
          <w:szCs w:val="24"/>
        </w:rPr>
        <w:lastRenderedPageBreak/>
        <w:t>SECTION 2: Reflective Account</w:t>
      </w:r>
    </w:p>
    <w:p w14:paraId="55EC8F19" w14:textId="77777777" w:rsidR="002F7121" w:rsidRPr="002F7121" w:rsidRDefault="000A18CD" w:rsidP="002F7121">
      <w:pPr>
        <w:spacing w:line="360" w:lineRule="auto"/>
        <w:rPr>
          <w:rFonts w:ascii="Arial" w:hAnsi="Arial" w:cs="Arial"/>
          <w:b/>
          <w:bCs/>
          <w:sz w:val="24"/>
          <w:szCs w:val="24"/>
        </w:rPr>
      </w:pPr>
      <w:r>
        <w:rPr>
          <w:rFonts w:ascii="Arial" w:hAnsi="Arial" w:cs="Arial"/>
          <w:b/>
          <w:bCs/>
          <w:sz w:val="24"/>
          <w:szCs w:val="24"/>
        </w:rPr>
        <w:t xml:space="preserve">7.0 </w:t>
      </w:r>
      <w:r w:rsidR="002F7121" w:rsidRPr="002F7121">
        <w:rPr>
          <w:rFonts w:ascii="Arial" w:hAnsi="Arial" w:cs="Arial"/>
          <w:b/>
          <w:bCs/>
          <w:sz w:val="24"/>
          <w:szCs w:val="24"/>
        </w:rPr>
        <w:t>Application of Gibbs Reflective Cycle (1988).</w:t>
      </w:r>
    </w:p>
    <w:p w14:paraId="6F3AA35F" w14:textId="77777777" w:rsidR="002F7121" w:rsidRPr="002F7121" w:rsidRDefault="002F7121" w:rsidP="002F7121">
      <w:pPr>
        <w:spacing w:line="360" w:lineRule="auto"/>
        <w:rPr>
          <w:rFonts w:ascii="Arial" w:hAnsi="Arial" w:cs="Arial"/>
          <w:b/>
          <w:bCs/>
          <w:sz w:val="24"/>
          <w:szCs w:val="24"/>
        </w:rPr>
      </w:pPr>
      <w:r w:rsidRPr="002F7121">
        <w:rPr>
          <w:rFonts w:ascii="Arial" w:hAnsi="Arial" w:cs="Arial"/>
          <w:b/>
          <w:bCs/>
          <w:sz w:val="24"/>
          <w:szCs w:val="24"/>
        </w:rPr>
        <w:t>Description</w:t>
      </w:r>
    </w:p>
    <w:p w14:paraId="379A65EE" w14:textId="77777777" w:rsidR="002F7121" w:rsidRPr="002F7121" w:rsidRDefault="002F7121" w:rsidP="002F7121">
      <w:pPr>
        <w:spacing w:line="360" w:lineRule="auto"/>
        <w:rPr>
          <w:rFonts w:ascii="Arial" w:hAnsi="Arial" w:cs="Arial"/>
          <w:sz w:val="24"/>
          <w:szCs w:val="24"/>
        </w:rPr>
      </w:pPr>
      <w:r w:rsidRPr="002F7121">
        <w:rPr>
          <w:rFonts w:ascii="Arial" w:hAnsi="Arial" w:cs="Arial"/>
          <w:sz w:val="24"/>
          <w:szCs w:val="24"/>
        </w:rPr>
        <w:t xml:space="preserve">This reflection treatise discusses my research, analytical, and writing journey in the preparation of strategic management report of Tesla, Inc. In the task, I was to choose an </w:t>
      </w:r>
      <w:proofErr w:type="spellStart"/>
      <w:r w:rsidRPr="002F7121">
        <w:rPr>
          <w:rFonts w:ascii="Arial" w:hAnsi="Arial" w:cs="Arial"/>
          <w:sz w:val="24"/>
          <w:szCs w:val="24"/>
        </w:rPr>
        <w:t>organisation</w:t>
      </w:r>
      <w:proofErr w:type="spellEnd"/>
      <w:r w:rsidRPr="002F7121">
        <w:rPr>
          <w:rFonts w:ascii="Arial" w:hAnsi="Arial" w:cs="Arial"/>
          <w:sz w:val="24"/>
          <w:szCs w:val="24"/>
        </w:rPr>
        <w:t xml:space="preserve"> and critically examine the strategic management practices within the </w:t>
      </w:r>
      <w:proofErr w:type="spellStart"/>
      <w:r w:rsidRPr="002F7121">
        <w:rPr>
          <w:rFonts w:ascii="Arial" w:hAnsi="Arial" w:cs="Arial"/>
          <w:sz w:val="24"/>
          <w:szCs w:val="24"/>
        </w:rPr>
        <w:t>organisation</w:t>
      </w:r>
      <w:proofErr w:type="spellEnd"/>
      <w:r w:rsidRPr="002F7121">
        <w:rPr>
          <w:rFonts w:ascii="Arial" w:hAnsi="Arial" w:cs="Arial"/>
          <w:sz w:val="24"/>
          <w:szCs w:val="24"/>
        </w:rPr>
        <w:t xml:space="preserve"> using pertinent theories and frameworks. The evaluation process lasted a number of weeks and was associated with desk-based research, the implementation of various models of strategic management, and the integration of diverse information sources into a logical work of analysis.</w:t>
      </w:r>
    </w:p>
    <w:p w14:paraId="39451D06" w14:textId="77777777" w:rsidR="002F7121" w:rsidRPr="002F7121" w:rsidRDefault="002F7121" w:rsidP="002F7121">
      <w:pPr>
        <w:spacing w:line="360" w:lineRule="auto"/>
        <w:rPr>
          <w:rFonts w:ascii="Arial" w:hAnsi="Arial" w:cs="Arial"/>
          <w:b/>
          <w:bCs/>
          <w:sz w:val="24"/>
          <w:szCs w:val="24"/>
        </w:rPr>
      </w:pPr>
      <w:r w:rsidRPr="002F7121">
        <w:rPr>
          <w:rFonts w:ascii="Arial" w:hAnsi="Arial" w:cs="Arial"/>
          <w:b/>
          <w:bCs/>
          <w:sz w:val="24"/>
          <w:szCs w:val="24"/>
        </w:rPr>
        <w:t>Feelings</w:t>
      </w:r>
    </w:p>
    <w:p w14:paraId="2B77468C" w14:textId="77777777" w:rsidR="002F7121" w:rsidRPr="002F7121" w:rsidRDefault="002F7121" w:rsidP="002F7121">
      <w:pPr>
        <w:spacing w:line="360" w:lineRule="auto"/>
        <w:rPr>
          <w:rFonts w:ascii="Arial" w:hAnsi="Arial" w:cs="Arial"/>
          <w:sz w:val="24"/>
          <w:szCs w:val="24"/>
        </w:rPr>
      </w:pPr>
      <w:r w:rsidRPr="002F7121">
        <w:rPr>
          <w:rFonts w:ascii="Arial" w:hAnsi="Arial" w:cs="Arial"/>
          <w:sz w:val="24"/>
          <w:szCs w:val="24"/>
        </w:rPr>
        <w:t xml:space="preserve">I was excited and feared at the same time initially. The scope of the work, both in its external and internal environmental analysis, CSR analysis, use of the balanced scorecard, strategic decisions and strategic analysis was initially daunting. Of special concern to me was that there should be adequate critical depth as opposed to just recounting the actions of Tesla. The choice of Tesla was encouraging considering that I personally am interested in technology and sustainability but I was aware that Tesla is an over-examined </w:t>
      </w:r>
      <w:proofErr w:type="spellStart"/>
      <w:r w:rsidRPr="002F7121">
        <w:rPr>
          <w:rFonts w:ascii="Arial" w:hAnsi="Arial" w:cs="Arial"/>
          <w:sz w:val="24"/>
          <w:szCs w:val="24"/>
        </w:rPr>
        <w:t>organisation</w:t>
      </w:r>
      <w:proofErr w:type="spellEnd"/>
      <w:r w:rsidRPr="002F7121">
        <w:rPr>
          <w:rFonts w:ascii="Arial" w:hAnsi="Arial" w:cs="Arial"/>
          <w:sz w:val="24"/>
          <w:szCs w:val="24"/>
        </w:rPr>
        <w:t>, a fact that made me feel the need to come up with truly meaningful analysis and not just regurgitate the already widely accessible analysis. As the work went on, I felt increasingly confident when the theoretical constructs started bringing orderly status to the complicated strategic realities.</w:t>
      </w:r>
    </w:p>
    <w:p w14:paraId="19DA3AC2" w14:textId="77777777" w:rsidR="002F7121" w:rsidRPr="002F7121" w:rsidRDefault="002F7121" w:rsidP="002F7121">
      <w:pPr>
        <w:spacing w:line="360" w:lineRule="auto"/>
        <w:rPr>
          <w:rFonts w:ascii="Arial" w:hAnsi="Arial" w:cs="Arial"/>
          <w:b/>
          <w:bCs/>
          <w:sz w:val="24"/>
          <w:szCs w:val="24"/>
        </w:rPr>
      </w:pPr>
      <w:r w:rsidRPr="002F7121">
        <w:rPr>
          <w:rFonts w:ascii="Arial" w:hAnsi="Arial" w:cs="Arial"/>
          <w:b/>
          <w:bCs/>
          <w:sz w:val="24"/>
          <w:szCs w:val="24"/>
        </w:rPr>
        <w:t>Evaluation</w:t>
      </w:r>
    </w:p>
    <w:p w14:paraId="640CEC68" w14:textId="77777777" w:rsidR="002F7121" w:rsidRPr="002F7121" w:rsidRDefault="002F7121" w:rsidP="002F7121">
      <w:pPr>
        <w:spacing w:line="360" w:lineRule="auto"/>
        <w:rPr>
          <w:rFonts w:ascii="Arial" w:hAnsi="Arial" w:cs="Arial"/>
          <w:sz w:val="24"/>
          <w:szCs w:val="24"/>
        </w:rPr>
      </w:pPr>
      <w:r w:rsidRPr="002F7121">
        <w:rPr>
          <w:rFonts w:ascii="Arial" w:hAnsi="Arial" w:cs="Arial"/>
          <w:sz w:val="24"/>
          <w:szCs w:val="24"/>
        </w:rPr>
        <w:t xml:space="preserve">The process had a number of areas that were successful. The PESTEL and VRIO analyses were especially useful to frame my thoughts concerning the external pressure and Tesla ability to handle them, respectively. Using these frameworks enabled me to go beyond the superficial level of observation and enter into a deeper critical evaluation, such as the fact that Tesla autonomous driving data, though useful and unique, is not yet a sustained competitive advantage since the </w:t>
      </w:r>
      <w:proofErr w:type="spellStart"/>
      <w:r w:rsidRPr="002F7121">
        <w:rPr>
          <w:rFonts w:ascii="Arial" w:hAnsi="Arial" w:cs="Arial"/>
          <w:sz w:val="24"/>
          <w:szCs w:val="24"/>
        </w:rPr>
        <w:t>Organised</w:t>
      </w:r>
      <w:proofErr w:type="spellEnd"/>
      <w:r w:rsidRPr="002F7121">
        <w:rPr>
          <w:rFonts w:ascii="Arial" w:hAnsi="Arial" w:cs="Arial"/>
          <w:sz w:val="24"/>
          <w:szCs w:val="24"/>
        </w:rPr>
        <w:t xml:space="preserve"> criterion is not fully met yet. It was an actual analytic revelation that enhanced my knowledge on how the VRIO model can be applied in practice.</w:t>
      </w:r>
    </w:p>
    <w:p w14:paraId="5ED63A01" w14:textId="77777777" w:rsidR="002F7121" w:rsidRPr="002F7121" w:rsidRDefault="002F7121" w:rsidP="002F7121">
      <w:pPr>
        <w:spacing w:line="360" w:lineRule="auto"/>
        <w:rPr>
          <w:rFonts w:ascii="Arial" w:hAnsi="Arial" w:cs="Arial"/>
          <w:sz w:val="24"/>
          <w:szCs w:val="24"/>
        </w:rPr>
      </w:pPr>
      <w:r w:rsidRPr="002F7121">
        <w:rPr>
          <w:rFonts w:ascii="Arial" w:hAnsi="Arial" w:cs="Arial"/>
          <w:sz w:val="24"/>
          <w:szCs w:val="24"/>
        </w:rPr>
        <w:lastRenderedPageBreak/>
        <w:t xml:space="preserve">Nevertheless, some points were more problematic. My first challenge was in the section of the Balanced Scorecard, as I could not find particular and plausible KPIs and targets that could be demonstrated in relation to a company that does not necessarily share all performance metrics in this kind of format. This demanded me to draw rational conclusions using the data at hand, something that was not comfortable especially considering that I needed accuracy. Moreover, it was also difficult to connect the CSR analysis to the general strategy analysis; I initially approached CSR as a standalone issue but quickly </w:t>
      </w:r>
      <w:proofErr w:type="spellStart"/>
      <w:r w:rsidRPr="002F7121">
        <w:rPr>
          <w:rFonts w:ascii="Arial" w:hAnsi="Arial" w:cs="Arial"/>
          <w:sz w:val="24"/>
          <w:szCs w:val="24"/>
        </w:rPr>
        <w:t>realised</w:t>
      </w:r>
      <w:proofErr w:type="spellEnd"/>
      <w:r w:rsidRPr="002F7121">
        <w:rPr>
          <w:rFonts w:ascii="Arial" w:hAnsi="Arial" w:cs="Arial"/>
          <w:sz w:val="24"/>
          <w:szCs w:val="24"/>
        </w:rPr>
        <w:t xml:space="preserve"> that it is inseparably connected to the competitive positioning of Tesla and relations with its stakeholders (Carroll and Shabana, 2010).</w:t>
      </w:r>
    </w:p>
    <w:p w14:paraId="5B7C2B9A" w14:textId="77777777" w:rsidR="002F7121" w:rsidRPr="002F7121" w:rsidRDefault="002F7121" w:rsidP="002F7121">
      <w:pPr>
        <w:spacing w:line="360" w:lineRule="auto"/>
        <w:rPr>
          <w:rFonts w:ascii="Arial" w:hAnsi="Arial" w:cs="Arial"/>
          <w:b/>
          <w:bCs/>
          <w:sz w:val="24"/>
          <w:szCs w:val="24"/>
        </w:rPr>
      </w:pPr>
      <w:r w:rsidRPr="002F7121">
        <w:rPr>
          <w:rFonts w:ascii="Arial" w:hAnsi="Arial" w:cs="Arial"/>
          <w:b/>
          <w:bCs/>
          <w:sz w:val="24"/>
          <w:szCs w:val="24"/>
        </w:rPr>
        <w:t>Analysis</w:t>
      </w:r>
    </w:p>
    <w:p w14:paraId="45A19AB9" w14:textId="77777777" w:rsidR="002F7121" w:rsidRPr="002F7121" w:rsidRDefault="002F7121" w:rsidP="002F7121">
      <w:pPr>
        <w:spacing w:line="360" w:lineRule="auto"/>
        <w:rPr>
          <w:rFonts w:ascii="Arial" w:hAnsi="Arial" w:cs="Arial"/>
          <w:sz w:val="24"/>
          <w:szCs w:val="24"/>
        </w:rPr>
      </w:pPr>
      <w:r w:rsidRPr="002F7121">
        <w:rPr>
          <w:rFonts w:ascii="Arial" w:hAnsi="Arial" w:cs="Arial"/>
          <w:sz w:val="24"/>
          <w:szCs w:val="24"/>
        </w:rPr>
        <w:t xml:space="preserve">Analytically, I can say that this task has helped to acquire several significant competencies. The exercise of implementing various strategic frameworks to one </w:t>
      </w:r>
      <w:proofErr w:type="spellStart"/>
      <w:r w:rsidRPr="002F7121">
        <w:rPr>
          <w:rFonts w:ascii="Arial" w:hAnsi="Arial" w:cs="Arial"/>
          <w:sz w:val="24"/>
          <w:szCs w:val="24"/>
        </w:rPr>
        <w:t>organisation</w:t>
      </w:r>
      <w:proofErr w:type="spellEnd"/>
      <w:r w:rsidRPr="002F7121">
        <w:rPr>
          <w:rFonts w:ascii="Arial" w:hAnsi="Arial" w:cs="Arial"/>
          <w:sz w:val="24"/>
          <w:szCs w:val="24"/>
        </w:rPr>
        <w:t xml:space="preserve"> helped realize how complementary the various tools are as well as their separate drawbacks. Indicatively, the generic strategies theory by Porter (1985) offered some good </w:t>
      </w:r>
      <w:proofErr w:type="spellStart"/>
      <w:r w:rsidRPr="002F7121">
        <w:rPr>
          <w:rFonts w:ascii="Arial" w:hAnsi="Arial" w:cs="Arial"/>
          <w:sz w:val="24"/>
          <w:szCs w:val="24"/>
        </w:rPr>
        <w:t>categorisation</w:t>
      </w:r>
      <w:proofErr w:type="spellEnd"/>
      <w:r w:rsidRPr="002F7121">
        <w:rPr>
          <w:rFonts w:ascii="Arial" w:hAnsi="Arial" w:cs="Arial"/>
          <w:sz w:val="24"/>
          <w:szCs w:val="24"/>
        </w:rPr>
        <w:t xml:space="preserve"> of the competitive strategy of Tesla but lacked the fluidity of the Tesla strategy that cannot be classified into any particular category- supporting the argument that the Porters typology offers too rigid dichotomous categories (Mintzberg, Ahlstrand and Lampel, 2020). This, together with the Strategy Clock of Bowman and Faulkner (1997) provided a much more refined reading.</w:t>
      </w:r>
    </w:p>
    <w:p w14:paraId="63B974A3" w14:textId="77777777" w:rsidR="002F7121" w:rsidRPr="002F7121" w:rsidRDefault="002F7121" w:rsidP="002F7121">
      <w:pPr>
        <w:spacing w:line="360" w:lineRule="auto"/>
        <w:rPr>
          <w:rFonts w:ascii="Arial" w:hAnsi="Arial" w:cs="Arial"/>
          <w:sz w:val="24"/>
          <w:szCs w:val="24"/>
        </w:rPr>
      </w:pPr>
      <w:r w:rsidRPr="002F7121">
        <w:rPr>
          <w:rFonts w:ascii="Arial" w:hAnsi="Arial" w:cs="Arial"/>
          <w:sz w:val="24"/>
          <w:szCs w:val="24"/>
        </w:rPr>
        <w:t>Also, I understood that it is essential that models are evaluated critically instead of being blindly applied. The description of descriptive and critical reflection presented by Moon (2004) can be related to my experience; my first drafts were more descriptive and the process of revision helped me to develop a critical analytical voice that the task required. It was also an eye opener to the importance of triangulating sources, i.e., the use of academic literature, company reports, industry analysis, and reputable journalism as a strong evidence base (Saunders, Lewis and Thornhill, 2019).</w:t>
      </w:r>
    </w:p>
    <w:p w14:paraId="5CBC6B5A" w14:textId="77777777" w:rsidR="002F7121" w:rsidRPr="002F7121" w:rsidRDefault="002F7121" w:rsidP="002F7121">
      <w:pPr>
        <w:spacing w:line="360" w:lineRule="auto"/>
        <w:rPr>
          <w:rFonts w:ascii="Arial" w:hAnsi="Arial" w:cs="Arial"/>
          <w:b/>
          <w:bCs/>
          <w:sz w:val="24"/>
          <w:szCs w:val="24"/>
        </w:rPr>
      </w:pPr>
      <w:r w:rsidRPr="002F7121">
        <w:rPr>
          <w:rFonts w:ascii="Arial" w:hAnsi="Arial" w:cs="Arial"/>
          <w:b/>
          <w:bCs/>
          <w:sz w:val="24"/>
          <w:szCs w:val="24"/>
        </w:rPr>
        <w:t>Conclusion</w:t>
      </w:r>
    </w:p>
    <w:p w14:paraId="436F493E" w14:textId="77777777" w:rsidR="002F7121" w:rsidRPr="002F7121" w:rsidRDefault="002F7121" w:rsidP="002F7121">
      <w:pPr>
        <w:spacing w:line="360" w:lineRule="auto"/>
        <w:rPr>
          <w:rFonts w:ascii="Arial" w:hAnsi="Arial" w:cs="Arial"/>
          <w:sz w:val="24"/>
          <w:szCs w:val="24"/>
        </w:rPr>
      </w:pPr>
      <w:r w:rsidRPr="002F7121">
        <w:rPr>
          <w:rFonts w:ascii="Arial" w:hAnsi="Arial" w:cs="Arial"/>
          <w:sz w:val="24"/>
          <w:szCs w:val="24"/>
        </w:rPr>
        <w:t xml:space="preserve">This has given me the insight that strategic management analysis is, fundamentally, a synthesis- process, a process of integrating disparate information, theoretical perspectives, and judgement into coherence. I have also been taught that it is not a </w:t>
      </w:r>
      <w:r w:rsidRPr="002F7121">
        <w:rPr>
          <w:rFonts w:ascii="Arial" w:hAnsi="Arial" w:cs="Arial"/>
          <w:sz w:val="24"/>
          <w:szCs w:val="24"/>
        </w:rPr>
        <w:lastRenderedPageBreak/>
        <w:t xml:space="preserve">single framework that allows seeing the whole picture of the strategic reality of an </w:t>
      </w:r>
      <w:proofErr w:type="spellStart"/>
      <w:r w:rsidRPr="002F7121">
        <w:rPr>
          <w:rFonts w:ascii="Arial" w:hAnsi="Arial" w:cs="Arial"/>
          <w:sz w:val="24"/>
          <w:szCs w:val="24"/>
        </w:rPr>
        <w:t>organisation</w:t>
      </w:r>
      <w:proofErr w:type="spellEnd"/>
      <w:r w:rsidRPr="002F7121">
        <w:rPr>
          <w:rFonts w:ascii="Arial" w:hAnsi="Arial" w:cs="Arial"/>
          <w:sz w:val="24"/>
          <w:szCs w:val="24"/>
        </w:rPr>
        <w:t>, and the only thing that allows us to understand it fully is the integration of complementary instruments (Johnson, Whittington and Scholes, 2017). I have also learned that it is wise to accept uncertainty, and limitation in analysis; it is more intellectually honest and more strategically helpful to come up with confident but subtle conclusions than false certainty.</w:t>
      </w:r>
    </w:p>
    <w:p w14:paraId="1F59986E" w14:textId="77777777" w:rsidR="00B148D4" w:rsidRPr="00B273B4" w:rsidRDefault="002F7121" w:rsidP="002F7121">
      <w:pPr>
        <w:spacing w:line="360" w:lineRule="auto"/>
        <w:rPr>
          <w:rFonts w:ascii="Arial" w:hAnsi="Arial" w:cs="Arial"/>
          <w:sz w:val="24"/>
          <w:szCs w:val="24"/>
        </w:rPr>
      </w:pPr>
      <w:r w:rsidRPr="002F7121">
        <w:rPr>
          <w:rFonts w:ascii="Arial" w:hAnsi="Arial" w:cs="Arial"/>
          <w:sz w:val="24"/>
          <w:szCs w:val="24"/>
        </w:rPr>
        <w:t xml:space="preserve">I also made the conclusion that I could have better time management. I also dedicated a disproportionate number of </w:t>
      </w:r>
      <w:proofErr w:type="gramStart"/>
      <w:r w:rsidRPr="002F7121">
        <w:rPr>
          <w:rFonts w:ascii="Arial" w:hAnsi="Arial" w:cs="Arial"/>
          <w:sz w:val="24"/>
          <w:szCs w:val="24"/>
        </w:rPr>
        <w:t>time</w:t>
      </w:r>
      <w:proofErr w:type="gramEnd"/>
      <w:r w:rsidRPr="002F7121">
        <w:rPr>
          <w:rFonts w:ascii="Arial" w:hAnsi="Arial" w:cs="Arial"/>
          <w:sz w:val="24"/>
          <w:szCs w:val="24"/>
        </w:rPr>
        <w:t xml:space="preserve"> on the PESTEL analysis as compared to other sections, which limited the amount of time left to conduct the strategic assessment and recommendations. This is one of the areas that should be improved in the future projects.</w:t>
      </w:r>
    </w:p>
    <w:p w14:paraId="4B3983AF" w14:textId="77777777" w:rsidR="00B148D4" w:rsidRDefault="00B148D4" w:rsidP="002F7121">
      <w:pPr>
        <w:spacing w:line="360" w:lineRule="auto"/>
        <w:rPr>
          <w:rFonts w:ascii="Arial" w:hAnsi="Arial" w:cs="Arial"/>
          <w:b/>
          <w:bCs/>
          <w:sz w:val="24"/>
          <w:szCs w:val="24"/>
        </w:rPr>
      </w:pPr>
    </w:p>
    <w:p w14:paraId="787DB49A" w14:textId="77777777" w:rsidR="002F7121" w:rsidRPr="00B148D4" w:rsidRDefault="002F7121" w:rsidP="002F7121">
      <w:pPr>
        <w:spacing w:line="360" w:lineRule="auto"/>
        <w:rPr>
          <w:rFonts w:ascii="Arial" w:hAnsi="Arial" w:cs="Arial"/>
          <w:b/>
          <w:bCs/>
          <w:sz w:val="24"/>
          <w:szCs w:val="24"/>
        </w:rPr>
      </w:pPr>
      <w:r w:rsidRPr="00B148D4">
        <w:rPr>
          <w:rFonts w:ascii="Arial" w:hAnsi="Arial" w:cs="Arial"/>
          <w:b/>
          <w:bCs/>
          <w:sz w:val="24"/>
          <w:szCs w:val="24"/>
        </w:rPr>
        <w:t>Action Plan</w:t>
      </w:r>
    </w:p>
    <w:p w14:paraId="09866498" w14:textId="77777777" w:rsidR="002F7121" w:rsidRPr="002F7121" w:rsidRDefault="002F7121" w:rsidP="002F7121">
      <w:pPr>
        <w:spacing w:line="360" w:lineRule="auto"/>
        <w:rPr>
          <w:rFonts w:ascii="Arial" w:hAnsi="Arial" w:cs="Arial"/>
          <w:sz w:val="24"/>
          <w:szCs w:val="24"/>
        </w:rPr>
      </w:pPr>
      <w:r w:rsidRPr="002F7121">
        <w:rPr>
          <w:rFonts w:ascii="Arial" w:hAnsi="Arial" w:cs="Arial"/>
          <w:sz w:val="24"/>
          <w:szCs w:val="24"/>
        </w:rPr>
        <w:t>Going forward, I will use a number of improvements in my strategic analysis task approach:</w:t>
      </w:r>
    </w:p>
    <w:p w14:paraId="03CDDD62" w14:textId="77777777" w:rsidR="002F7121" w:rsidRPr="002F7121" w:rsidRDefault="002F7121" w:rsidP="002F7121">
      <w:pPr>
        <w:pStyle w:val="ListParagraph"/>
        <w:numPr>
          <w:ilvl w:val="0"/>
          <w:numId w:val="6"/>
        </w:numPr>
        <w:spacing w:line="360" w:lineRule="auto"/>
        <w:rPr>
          <w:rFonts w:ascii="Arial" w:hAnsi="Arial" w:cs="Arial"/>
          <w:sz w:val="24"/>
          <w:szCs w:val="24"/>
        </w:rPr>
      </w:pPr>
      <w:r w:rsidRPr="002F7121">
        <w:rPr>
          <w:rFonts w:ascii="Arial" w:hAnsi="Arial" w:cs="Arial"/>
          <w:sz w:val="24"/>
          <w:szCs w:val="24"/>
        </w:rPr>
        <w:t>Divide time evenly at the very beginning with a well-organized project plan, so that every area will be given the necessary attention in comparison to its weighing and complexity.</w:t>
      </w:r>
    </w:p>
    <w:p w14:paraId="0BB2BAFE" w14:textId="77777777" w:rsidR="002F7121" w:rsidRPr="002F7121" w:rsidRDefault="002F7121" w:rsidP="002F7121">
      <w:pPr>
        <w:pStyle w:val="ListParagraph"/>
        <w:numPr>
          <w:ilvl w:val="0"/>
          <w:numId w:val="6"/>
        </w:numPr>
        <w:spacing w:line="360" w:lineRule="auto"/>
        <w:rPr>
          <w:rFonts w:ascii="Arial" w:hAnsi="Arial" w:cs="Arial"/>
          <w:sz w:val="24"/>
          <w:szCs w:val="24"/>
        </w:rPr>
      </w:pPr>
      <w:r w:rsidRPr="002F7121">
        <w:rPr>
          <w:rFonts w:ascii="Arial" w:hAnsi="Arial" w:cs="Arial"/>
          <w:sz w:val="24"/>
          <w:szCs w:val="24"/>
        </w:rPr>
        <w:t>Think about the end in mind, make initial draft recommendations at the start of the process to make sure that the analysis is intentionally goal-focused towards meaningful strategic implications, as opposed to retrospectively attached.</w:t>
      </w:r>
    </w:p>
    <w:p w14:paraId="62BC5333" w14:textId="77777777" w:rsidR="002F7121" w:rsidRPr="002F7121" w:rsidRDefault="002F7121" w:rsidP="002F7121">
      <w:pPr>
        <w:pStyle w:val="ListParagraph"/>
        <w:numPr>
          <w:ilvl w:val="0"/>
          <w:numId w:val="6"/>
        </w:numPr>
        <w:spacing w:line="360" w:lineRule="auto"/>
        <w:rPr>
          <w:rFonts w:ascii="Arial" w:hAnsi="Arial" w:cs="Arial"/>
          <w:sz w:val="24"/>
          <w:szCs w:val="24"/>
        </w:rPr>
      </w:pPr>
      <w:r w:rsidRPr="002F7121">
        <w:rPr>
          <w:rFonts w:ascii="Arial" w:hAnsi="Arial" w:cs="Arial"/>
          <w:sz w:val="24"/>
          <w:szCs w:val="24"/>
        </w:rPr>
        <w:t>Think more actively in terms of the critical approach towards the strategic management systems, including the works of Mintzberg, Ahlstrand and Lampel (2020) that criticize orthodoxy, in order to make my analysis more critical.</w:t>
      </w:r>
    </w:p>
    <w:p w14:paraId="6DD0BCD1" w14:textId="77777777" w:rsidR="002F7121" w:rsidRPr="002F7121" w:rsidRDefault="002F7121" w:rsidP="002F7121">
      <w:pPr>
        <w:pStyle w:val="ListParagraph"/>
        <w:numPr>
          <w:ilvl w:val="0"/>
          <w:numId w:val="6"/>
        </w:numPr>
        <w:spacing w:line="360" w:lineRule="auto"/>
        <w:rPr>
          <w:rFonts w:ascii="Arial" w:hAnsi="Arial" w:cs="Arial"/>
          <w:sz w:val="24"/>
          <w:szCs w:val="24"/>
        </w:rPr>
      </w:pPr>
      <w:r w:rsidRPr="002F7121">
        <w:rPr>
          <w:rFonts w:ascii="Arial" w:hAnsi="Arial" w:cs="Arial"/>
          <w:sz w:val="24"/>
          <w:szCs w:val="24"/>
        </w:rPr>
        <w:t>Enhance my financial analysis skills, since I have struggled to understand the financial data of Tesla and translate it into the Balanced Scorecard format; completing additional reading on financial statement analysis would empower further work.</w:t>
      </w:r>
    </w:p>
    <w:p w14:paraId="7BE89057" w14:textId="77777777" w:rsidR="002F7121" w:rsidRPr="002F7121" w:rsidRDefault="002F7121" w:rsidP="002F7121">
      <w:pPr>
        <w:pStyle w:val="ListParagraph"/>
        <w:numPr>
          <w:ilvl w:val="0"/>
          <w:numId w:val="6"/>
        </w:numPr>
        <w:spacing w:line="360" w:lineRule="auto"/>
        <w:rPr>
          <w:rFonts w:ascii="Arial" w:hAnsi="Arial" w:cs="Arial"/>
          <w:sz w:val="24"/>
          <w:szCs w:val="24"/>
        </w:rPr>
      </w:pPr>
      <w:r w:rsidRPr="002F7121">
        <w:rPr>
          <w:rFonts w:ascii="Arial" w:hAnsi="Arial" w:cs="Arial"/>
          <w:sz w:val="24"/>
          <w:szCs w:val="24"/>
        </w:rPr>
        <w:lastRenderedPageBreak/>
        <w:t>Write less at the end of the research, and more in-the-middle, to practice reflection and adapt to the real-time learning and adjustments that Schon (1983) described as reflection-in-action.</w:t>
      </w:r>
    </w:p>
    <w:p w14:paraId="23F64188" w14:textId="77777777" w:rsidR="00AA4761" w:rsidRPr="00AA4761" w:rsidRDefault="002F7121" w:rsidP="002F7121">
      <w:pPr>
        <w:spacing w:line="360" w:lineRule="auto"/>
        <w:rPr>
          <w:rFonts w:ascii="Arial" w:hAnsi="Arial" w:cs="Arial"/>
          <w:sz w:val="24"/>
          <w:szCs w:val="24"/>
        </w:rPr>
      </w:pPr>
      <w:r w:rsidRPr="002F7121">
        <w:rPr>
          <w:rFonts w:ascii="Arial" w:hAnsi="Arial" w:cs="Arial"/>
          <w:sz w:val="24"/>
          <w:szCs w:val="24"/>
        </w:rPr>
        <w:t>Through such measures, I believe that my ability to engage in rigorous and critical strategic analysis will keep improving making me better prepared to take an academic test as well as practice in the strategic management dealings.</w:t>
      </w:r>
    </w:p>
    <w:p w14:paraId="393CD5D9" w14:textId="77777777" w:rsidR="002F7121" w:rsidRDefault="002F7121">
      <w:pPr>
        <w:rPr>
          <w:rFonts w:ascii="Arial" w:hAnsi="Arial" w:cs="Arial"/>
          <w:b/>
          <w:bCs/>
          <w:sz w:val="24"/>
          <w:szCs w:val="24"/>
        </w:rPr>
      </w:pPr>
      <w:r>
        <w:rPr>
          <w:rFonts w:ascii="Arial" w:hAnsi="Arial" w:cs="Arial"/>
          <w:b/>
          <w:bCs/>
          <w:sz w:val="24"/>
          <w:szCs w:val="24"/>
        </w:rPr>
        <w:br w:type="page"/>
      </w:r>
    </w:p>
    <w:p w14:paraId="6DE4BEB2" w14:textId="77777777" w:rsidR="00AA4761" w:rsidRPr="00AA4761" w:rsidRDefault="00AA4761" w:rsidP="00AA4761">
      <w:pPr>
        <w:spacing w:line="360" w:lineRule="auto"/>
        <w:rPr>
          <w:rFonts w:ascii="Arial" w:hAnsi="Arial" w:cs="Arial"/>
          <w:b/>
          <w:bCs/>
          <w:sz w:val="24"/>
          <w:szCs w:val="24"/>
        </w:rPr>
      </w:pPr>
      <w:r w:rsidRPr="00AA4761">
        <w:rPr>
          <w:rFonts w:ascii="Arial" w:hAnsi="Arial" w:cs="Arial"/>
          <w:b/>
          <w:bCs/>
          <w:sz w:val="24"/>
          <w:szCs w:val="24"/>
        </w:rPr>
        <w:lastRenderedPageBreak/>
        <w:t>Reference List</w:t>
      </w:r>
    </w:p>
    <w:p w14:paraId="7B749CD6"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Amnesty International (2016) </w:t>
      </w:r>
      <w:r w:rsidRPr="00AA4761">
        <w:rPr>
          <w:rFonts w:ascii="Arial" w:hAnsi="Arial" w:cs="Arial"/>
          <w:i/>
          <w:iCs/>
          <w:sz w:val="24"/>
          <w:szCs w:val="24"/>
        </w:rPr>
        <w:t>This is what we die for: Human rights abuses in the Democratic Republic of the Congo power the global trade in cobalt</w:t>
      </w:r>
      <w:r w:rsidRPr="00AA4761">
        <w:rPr>
          <w:rFonts w:ascii="Arial" w:hAnsi="Arial" w:cs="Arial"/>
          <w:sz w:val="24"/>
          <w:szCs w:val="24"/>
        </w:rPr>
        <w:t>. London: Amnesty International.</w:t>
      </w:r>
    </w:p>
    <w:p w14:paraId="43B1A66B"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Ansoff, H.I. (1965) </w:t>
      </w:r>
      <w:r w:rsidRPr="00AA4761">
        <w:rPr>
          <w:rFonts w:ascii="Arial" w:hAnsi="Arial" w:cs="Arial"/>
          <w:i/>
          <w:iCs/>
          <w:sz w:val="24"/>
          <w:szCs w:val="24"/>
        </w:rPr>
        <w:t>Corporate strategy</w:t>
      </w:r>
      <w:r w:rsidRPr="00AA4761">
        <w:rPr>
          <w:rFonts w:ascii="Arial" w:hAnsi="Arial" w:cs="Arial"/>
          <w:sz w:val="24"/>
          <w:szCs w:val="24"/>
        </w:rPr>
        <w:t>. New York: McGraw-Hill.</w:t>
      </w:r>
    </w:p>
    <w:p w14:paraId="114A2746"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Barney, J.B. (1991) 'Firm resources and sustained competitive advantage', </w:t>
      </w:r>
      <w:r w:rsidRPr="00AA4761">
        <w:rPr>
          <w:rFonts w:ascii="Arial" w:hAnsi="Arial" w:cs="Arial"/>
          <w:i/>
          <w:iCs/>
          <w:sz w:val="24"/>
          <w:szCs w:val="24"/>
        </w:rPr>
        <w:t>Journal of Management</w:t>
      </w:r>
      <w:r w:rsidRPr="00AA4761">
        <w:rPr>
          <w:rFonts w:ascii="Arial" w:hAnsi="Arial" w:cs="Arial"/>
          <w:sz w:val="24"/>
          <w:szCs w:val="24"/>
        </w:rPr>
        <w:t>, 17(1), pp. 99–120.</w:t>
      </w:r>
    </w:p>
    <w:p w14:paraId="64D15815"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Barney, J.B. and Hesterly, W.S. (2019) </w:t>
      </w:r>
      <w:r w:rsidRPr="00AA4761">
        <w:rPr>
          <w:rFonts w:ascii="Arial" w:hAnsi="Arial" w:cs="Arial"/>
          <w:i/>
          <w:iCs/>
          <w:sz w:val="24"/>
          <w:szCs w:val="24"/>
        </w:rPr>
        <w:t>Strategic management and competitive advantage: concepts and cases</w:t>
      </w:r>
      <w:r w:rsidRPr="00AA4761">
        <w:rPr>
          <w:rFonts w:ascii="Arial" w:hAnsi="Arial" w:cs="Arial"/>
          <w:sz w:val="24"/>
          <w:szCs w:val="24"/>
        </w:rPr>
        <w:t xml:space="preserve">. 6th </w:t>
      </w:r>
      <w:proofErr w:type="spellStart"/>
      <w:r w:rsidRPr="00AA4761">
        <w:rPr>
          <w:rFonts w:ascii="Arial" w:hAnsi="Arial" w:cs="Arial"/>
          <w:sz w:val="24"/>
          <w:szCs w:val="24"/>
        </w:rPr>
        <w:t>edn</w:t>
      </w:r>
      <w:proofErr w:type="spellEnd"/>
      <w:r w:rsidRPr="00AA4761">
        <w:rPr>
          <w:rFonts w:ascii="Arial" w:hAnsi="Arial" w:cs="Arial"/>
          <w:sz w:val="24"/>
          <w:szCs w:val="24"/>
        </w:rPr>
        <w:t>. Harlow: Pearson.</w:t>
      </w:r>
    </w:p>
    <w:p w14:paraId="4E2D0B8C"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Bloomberg (2023) 'Tesla's price war is squeezing profit margins', </w:t>
      </w:r>
      <w:r w:rsidRPr="00AA4761">
        <w:rPr>
          <w:rFonts w:ascii="Arial" w:hAnsi="Arial" w:cs="Arial"/>
          <w:i/>
          <w:iCs/>
          <w:sz w:val="24"/>
          <w:szCs w:val="24"/>
        </w:rPr>
        <w:t>Bloomberg News</w:t>
      </w:r>
      <w:r w:rsidRPr="00AA4761">
        <w:rPr>
          <w:rFonts w:ascii="Arial" w:hAnsi="Arial" w:cs="Arial"/>
          <w:sz w:val="24"/>
          <w:szCs w:val="24"/>
        </w:rPr>
        <w:t>, 19 July. Available at: </w:t>
      </w:r>
      <w:hyperlink r:id="rId8" w:history="1">
        <w:r w:rsidRPr="00AA4761">
          <w:rPr>
            <w:rStyle w:val="Hyperlink"/>
            <w:rFonts w:ascii="Arial" w:hAnsi="Arial" w:cs="Arial"/>
            <w:sz w:val="24"/>
            <w:szCs w:val="24"/>
          </w:rPr>
          <w:t>https://www.bloomberg.com</w:t>
        </w:r>
      </w:hyperlink>
      <w:r w:rsidRPr="00AA4761">
        <w:rPr>
          <w:rFonts w:ascii="Arial" w:hAnsi="Arial" w:cs="Arial"/>
          <w:sz w:val="24"/>
          <w:szCs w:val="24"/>
        </w:rPr>
        <w:t> (Accessed: 10 March 2025).</w:t>
      </w:r>
    </w:p>
    <w:p w14:paraId="3120E59C" w14:textId="77777777" w:rsidR="00AA4761" w:rsidRPr="00AA4761" w:rsidRDefault="00AA4761" w:rsidP="00AA4761">
      <w:pPr>
        <w:spacing w:line="360" w:lineRule="auto"/>
        <w:rPr>
          <w:rFonts w:ascii="Arial" w:hAnsi="Arial" w:cs="Arial"/>
          <w:sz w:val="24"/>
          <w:szCs w:val="24"/>
        </w:rPr>
      </w:pPr>
      <w:proofErr w:type="spellStart"/>
      <w:r w:rsidRPr="00AA4761">
        <w:rPr>
          <w:rFonts w:ascii="Arial" w:hAnsi="Arial" w:cs="Arial"/>
          <w:sz w:val="24"/>
          <w:szCs w:val="24"/>
        </w:rPr>
        <w:t>BloombergNEF</w:t>
      </w:r>
      <w:proofErr w:type="spellEnd"/>
      <w:r w:rsidRPr="00AA4761">
        <w:rPr>
          <w:rFonts w:ascii="Arial" w:hAnsi="Arial" w:cs="Arial"/>
          <w:sz w:val="24"/>
          <w:szCs w:val="24"/>
        </w:rPr>
        <w:t xml:space="preserve"> (2023) </w:t>
      </w:r>
      <w:r w:rsidRPr="00AA4761">
        <w:rPr>
          <w:rFonts w:ascii="Arial" w:hAnsi="Arial" w:cs="Arial"/>
          <w:i/>
          <w:iCs/>
          <w:sz w:val="24"/>
          <w:szCs w:val="24"/>
        </w:rPr>
        <w:t>Electric vehicle outlook 2023</w:t>
      </w:r>
      <w:r w:rsidRPr="00AA4761">
        <w:rPr>
          <w:rFonts w:ascii="Arial" w:hAnsi="Arial" w:cs="Arial"/>
          <w:sz w:val="24"/>
          <w:szCs w:val="24"/>
        </w:rPr>
        <w:t>. London: Bloomberg New Energy Finance.</w:t>
      </w:r>
    </w:p>
    <w:p w14:paraId="56154CCA"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Bowman, C. and Faulkner, D. (1997) </w:t>
      </w:r>
      <w:r w:rsidRPr="00AA4761">
        <w:rPr>
          <w:rFonts w:ascii="Arial" w:hAnsi="Arial" w:cs="Arial"/>
          <w:i/>
          <w:iCs/>
          <w:sz w:val="24"/>
          <w:szCs w:val="24"/>
        </w:rPr>
        <w:t>Competitive and corporate strategy</w:t>
      </w:r>
      <w:r w:rsidRPr="00AA4761">
        <w:rPr>
          <w:rFonts w:ascii="Arial" w:hAnsi="Arial" w:cs="Arial"/>
          <w:sz w:val="24"/>
          <w:szCs w:val="24"/>
        </w:rPr>
        <w:t>. London: Irwin.</w:t>
      </w:r>
    </w:p>
    <w:p w14:paraId="0A2FC74A"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Campbell, A., Goold, M. and Alexander, M. (1995) 'Corporate strategy: the quest for parenting advantage', </w:t>
      </w:r>
      <w:r w:rsidRPr="00AA4761">
        <w:rPr>
          <w:rFonts w:ascii="Arial" w:hAnsi="Arial" w:cs="Arial"/>
          <w:i/>
          <w:iCs/>
          <w:sz w:val="24"/>
          <w:szCs w:val="24"/>
        </w:rPr>
        <w:t>Harvard Business Review</w:t>
      </w:r>
      <w:r w:rsidRPr="00AA4761">
        <w:rPr>
          <w:rFonts w:ascii="Arial" w:hAnsi="Arial" w:cs="Arial"/>
          <w:sz w:val="24"/>
          <w:szCs w:val="24"/>
        </w:rPr>
        <w:t>, 73(2), pp. 120–132.</w:t>
      </w:r>
    </w:p>
    <w:p w14:paraId="65FD168E"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Carroll, A.B. and Shabana, K.M. (2010) 'The business case for corporate social responsibility: a review of concepts, research and practice', </w:t>
      </w:r>
      <w:r w:rsidRPr="00AA4761">
        <w:rPr>
          <w:rFonts w:ascii="Arial" w:hAnsi="Arial" w:cs="Arial"/>
          <w:i/>
          <w:iCs/>
          <w:sz w:val="24"/>
          <w:szCs w:val="24"/>
        </w:rPr>
        <w:t>International Journal of Management Reviews</w:t>
      </w:r>
      <w:r w:rsidRPr="00AA4761">
        <w:rPr>
          <w:rFonts w:ascii="Arial" w:hAnsi="Arial" w:cs="Arial"/>
          <w:sz w:val="24"/>
          <w:szCs w:val="24"/>
        </w:rPr>
        <w:t>, 12(1), pp. 85–105.</w:t>
      </w:r>
    </w:p>
    <w:p w14:paraId="39573A06"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Christensen, C.M. (1997) </w:t>
      </w:r>
      <w:r w:rsidRPr="00AA4761">
        <w:rPr>
          <w:rFonts w:ascii="Arial" w:hAnsi="Arial" w:cs="Arial"/>
          <w:i/>
          <w:iCs/>
          <w:sz w:val="24"/>
          <w:szCs w:val="24"/>
        </w:rPr>
        <w:t>The innovator's dilemma: when new technologies cause great firms to fail</w:t>
      </w:r>
      <w:r w:rsidRPr="00AA4761">
        <w:rPr>
          <w:rFonts w:ascii="Arial" w:hAnsi="Arial" w:cs="Arial"/>
          <w:sz w:val="24"/>
          <w:szCs w:val="24"/>
        </w:rPr>
        <w:t>. Boston: Harvard Business School Press.</w:t>
      </w:r>
    </w:p>
    <w:p w14:paraId="6259DC5B"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Crane, A., Matten, D., Glozer, S. and Spence, L.J. (2019) </w:t>
      </w:r>
      <w:r w:rsidRPr="00AA4761">
        <w:rPr>
          <w:rFonts w:ascii="Arial" w:hAnsi="Arial" w:cs="Arial"/>
          <w:i/>
          <w:iCs/>
          <w:sz w:val="24"/>
          <w:szCs w:val="24"/>
        </w:rPr>
        <w:t>Business ethics: managing corporate citizenship and sustainability in the age of globalization</w:t>
      </w:r>
      <w:r w:rsidRPr="00AA4761">
        <w:rPr>
          <w:rFonts w:ascii="Arial" w:hAnsi="Arial" w:cs="Arial"/>
          <w:sz w:val="24"/>
          <w:szCs w:val="24"/>
        </w:rPr>
        <w:t xml:space="preserve">. 5th </w:t>
      </w:r>
      <w:proofErr w:type="spellStart"/>
      <w:r w:rsidRPr="00AA4761">
        <w:rPr>
          <w:rFonts w:ascii="Arial" w:hAnsi="Arial" w:cs="Arial"/>
          <w:sz w:val="24"/>
          <w:szCs w:val="24"/>
        </w:rPr>
        <w:t>edn</w:t>
      </w:r>
      <w:proofErr w:type="spellEnd"/>
      <w:r w:rsidRPr="00AA4761">
        <w:rPr>
          <w:rFonts w:ascii="Arial" w:hAnsi="Arial" w:cs="Arial"/>
          <w:sz w:val="24"/>
          <w:szCs w:val="24"/>
        </w:rPr>
        <w:t>. Oxford: Oxford University Press.</w:t>
      </w:r>
    </w:p>
    <w:p w14:paraId="2C6789A5"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Damodaran, A. (2021) 'Tesla: anatomy of a big market delusion?', </w:t>
      </w:r>
      <w:r w:rsidRPr="00AA4761">
        <w:rPr>
          <w:rFonts w:ascii="Arial" w:hAnsi="Arial" w:cs="Arial"/>
          <w:i/>
          <w:iCs/>
          <w:sz w:val="24"/>
          <w:szCs w:val="24"/>
        </w:rPr>
        <w:t>Musings on Markets</w:t>
      </w:r>
      <w:r w:rsidRPr="00AA4761">
        <w:rPr>
          <w:rFonts w:ascii="Arial" w:hAnsi="Arial" w:cs="Arial"/>
          <w:sz w:val="24"/>
          <w:szCs w:val="24"/>
        </w:rPr>
        <w:t> [Blog]. Available at: </w:t>
      </w:r>
      <w:hyperlink r:id="rId9" w:history="1">
        <w:r w:rsidRPr="00AA4761">
          <w:rPr>
            <w:rStyle w:val="Hyperlink"/>
            <w:rFonts w:ascii="Arial" w:hAnsi="Arial" w:cs="Arial"/>
            <w:sz w:val="24"/>
            <w:szCs w:val="24"/>
          </w:rPr>
          <w:t>https://aswathdamodaran.blogspot.com</w:t>
        </w:r>
      </w:hyperlink>
      <w:r w:rsidRPr="00AA4761">
        <w:rPr>
          <w:rFonts w:ascii="Arial" w:hAnsi="Arial" w:cs="Arial"/>
          <w:sz w:val="24"/>
          <w:szCs w:val="24"/>
        </w:rPr>
        <w:t> (Accessed: 10 March 2025).</w:t>
      </w:r>
    </w:p>
    <w:p w14:paraId="1B1838B7"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lastRenderedPageBreak/>
        <w:t>Elkington, J. (2018) 'Twenty-five years ago I coined the phrase "triple bottom line." Here's why it's time to rethink it', </w:t>
      </w:r>
      <w:r w:rsidRPr="00AA4761">
        <w:rPr>
          <w:rFonts w:ascii="Arial" w:hAnsi="Arial" w:cs="Arial"/>
          <w:i/>
          <w:iCs/>
          <w:sz w:val="24"/>
          <w:szCs w:val="24"/>
        </w:rPr>
        <w:t>Harvard Business Review</w:t>
      </w:r>
      <w:r w:rsidRPr="00AA4761">
        <w:rPr>
          <w:rFonts w:ascii="Arial" w:hAnsi="Arial" w:cs="Arial"/>
          <w:sz w:val="24"/>
          <w:szCs w:val="24"/>
        </w:rPr>
        <w:t>, 25 June. Available at: </w:t>
      </w:r>
      <w:hyperlink r:id="rId10" w:history="1">
        <w:r w:rsidRPr="00AA4761">
          <w:rPr>
            <w:rStyle w:val="Hyperlink"/>
            <w:rFonts w:ascii="Arial" w:hAnsi="Arial" w:cs="Arial"/>
            <w:sz w:val="24"/>
            <w:szCs w:val="24"/>
          </w:rPr>
          <w:t>https://hbr.org</w:t>
        </w:r>
      </w:hyperlink>
      <w:r w:rsidRPr="00AA4761">
        <w:rPr>
          <w:rFonts w:ascii="Arial" w:hAnsi="Arial" w:cs="Arial"/>
          <w:sz w:val="24"/>
          <w:szCs w:val="24"/>
        </w:rPr>
        <w:t> (Accessed: 10 March 2025).</w:t>
      </w:r>
    </w:p>
    <w:p w14:paraId="0B4479AF"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European Commission (2023) </w:t>
      </w:r>
      <w:r w:rsidRPr="00AA4761">
        <w:rPr>
          <w:rFonts w:ascii="Arial" w:hAnsi="Arial" w:cs="Arial"/>
          <w:i/>
          <w:iCs/>
          <w:sz w:val="24"/>
          <w:szCs w:val="24"/>
        </w:rPr>
        <w:t>CO</w:t>
      </w:r>
      <w:r w:rsidRPr="00AA4761">
        <w:rPr>
          <w:rFonts w:ascii="Cambria Math" w:hAnsi="Cambria Math" w:cs="Cambria Math"/>
          <w:i/>
          <w:iCs/>
          <w:sz w:val="24"/>
          <w:szCs w:val="24"/>
        </w:rPr>
        <w:t>₂</w:t>
      </w:r>
      <w:r w:rsidRPr="00AA4761">
        <w:rPr>
          <w:rFonts w:ascii="Arial" w:hAnsi="Arial" w:cs="Arial"/>
          <w:i/>
          <w:iCs/>
          <w:sz w:val="24"/>
          <w:szCs w:val="24"/>
        </w:rPr>
        <w:t xml:space="preserve"> emission performance standards for cars and vans</w:t>
      </w:r>
      <w:r w:rsidRPr="00AA4761">
        <w:rPr>
          <w:rFonts w:ascii="Arial" w:hAnsi="Arial" w:cs="Arial"/>
          <w:sz w:val="24"/>
          <w:szCs w:val="24"/>
        </w:rPr>
        <w:t>. Brussels: European Commission.</w:t>
      </w:r>
    </w:p>
    <w:p w14:paraId="5CFCE0B3" w14:textId="77777777" w:rsidR="00AA4761" w:rsidRPr="00AA4761" w:rsidRDefault="00AA4761" w:rsidP="00AA4761">
      <w:pPr>
        <w:spacing w:line="360" w:lineRule="auto"/>
        <w:rPr>
          <w:rFonts w:ascii="Arial" w:hAnsi="Arial" w:cs="Arial"/>
          <w:sz w:val="24"/>
          <w:szCs w:val="24"/>
        </w:rPr>
      </w:pPr>
      <w:proofErr w:type="spellStart"/>
      <w:r w:rsidRPr="00AA4761">
        <w:rPr>
          <w:rFonts w:ascii="Arial" w:hAnsi="Arial" w:cs="Arial"/>
          <w:sz w:val="24"/>
          <w:szCs w:val="24"/>
        </w:rPr>
        <w:t>Evenett</w:t>
      </w:r>
      <w:proofErr w:type="spellEnd"/>
      <w:r w:rsidRPr="00AA4761">
        <w:rPr>
          <w:rFonts w:ascii="Arial" w:hAnsi="Arial" w:cs="Arial"/>
          <w:sz w:val="24"/>
          <w:szCs w:val="24"/>
        </w:rPr>
        <w:t>, S.J. and Fritz, J. (2021) </w:t>
      </w:r>
      <w:r w:rsidRPr="00AA4761">
        <w:rPr>
          <w:rFonts w:ascii="Arial" w:hAnsi="Arial" w:cs="Arial"/>
          <w:i/>
          <w:iCs/>
          <w:sz w:val="24"/>
          <w:szCs w:val="24"/>
        </w:rPr>
        <w:t>Subsidies and market access: towards an inventory of corporate subsidies by China, the European Union and the United States</w:t>
      </w:r>
      <w:r w:rsidRPr="00AA4761">
        <w:rPr>
          <w:rFonts w:ascii="Arial" w:hAnsi="Arial" w:cs="Arial"/>
          <w:sz w:val="24"/>
          <w:szCs w:val="24"/>
        </w:rPr>
        <w:t>. Geneva: St. Gallen Endowment for Prosperity Through Trade.</w:t>
      </w:r>
    </w:p>
    <w:p w14:paraId="6C4520B8"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Ghemawat, P. (2007) </w:t>
      </w:r>
      <w:r w:rsidRPr="00AA4761">
        <w:rPr>
          <w:rFonts w:ascii="Arial" w:hAnsi="Arial" w:cs="Arial"/>
          <w:i/>
          <w:iCs/>
          <w:sz w:val="24"/>
          <w:szCs w:val="24"/>
        </w:rPr>
        <w:t>Redefining global strategy: crossing borders in a world where differences still matter</w:t>
      </w:r>
      <w:r w:rsidRPr="00AA4761">
        <w:rPr>
          <w:rFonts w:ascii="Arial" w:hAnsi="Arial" w:cs="Arial"/>
          <w:sz w:val="24"/>
          <w:szCs w:val="24"/>
        </w:rPr>
        <w:t>. Boston: Harvard Business School Press.</w:t>
      </w:r>
    </w:p>
    <w:p w14:paraId="3305300D"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Gibbs, G. (1988) </w:t>
      </w:r>
      <w:r w:rsidRPr="00AA4761">
        <w:rPr>
          <w:rFonts w:ascii="Arial" w:hAnsi="Arial" w:cs="Arial"/>
          <w:i/>
          <w:iCs/>
          <w:sz w:val="24"/>
          <w:szCs w:val="24"/>
        </w:rPr>
        <w:t>Learning by doing: a guide to teaching and learning methods</w:t>
      </w:r>
      <w:r w:rsidRPr="00AA4761">
        <w:rPr>
          <w:rFonts w:ascii="Arial" w:hAnsi="Arial" w:cs="Arial"/>
          <w:sz w:val="24"/>
          <w:szCs w:val="24"/>
        </w:rPr>
        <w:t>. Oxford: Further Education Unit, Oxford Polytechnic.</w:t>
      </w:r>
    </w:p>
    <w:p w14:paraId="69112A47"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Grant, R.M. (2021) </w:t>
      </w:r>
      <w:r w:rsidRPr="00AA4761">
        <w:rPr>
          <w:rFonts w:ascii="Arial" w:hAnsi="Arial" w:cs="Arial"/>
          <w:i/>
          <w:iCs/>
          <w:sz w:val="24"/>
          <w:szCs w:val="24"/>
        </w:rPr>
        <w:t>Contemporary strategy analysis</w:t>
      </w:r>
      <w:r w:rsidRPr="00AA4761">
        <w:rPr>
          <w:rFonts w:ascii="Arial" w:hAnsi="Arial" w:cs="Arial"/>
          <w:sz w:val="24"/>
          <w:szCs w:val="24"/>
        </w:rPr>
        <w:t xml:space="preserve">. 11th </w:t>
      </w:r>
      <w:proofErr w:type="spellStart"/>
      <w:r w:rsidRPr="00AA4761">
        <w:rPr>
          <w:rFonts w:ascii="Arial" w:hAnsi="Arial" w:cs="Arial"/>
          <w:sz w:val="24"/>
          <w:szCs w:val="24"/>
        </w:rPr>
        <w:t>edn</w:t>
      </w:r>
      <w:proofErr w:type="spellEnd"/>
      <w:r w:rsidRPr="00AA4761">
        <w:rPr>
          <w:rFonts w:ascii="Arial" w:hAnsi="Arial" w:cs="Arial"/>
          <w:sz w:val="24"/>
          <w:szCs w:val="24"/>
        </w:rPr>
        <w:t>. Hoboken: Wiley.</w:t>
      </w:r>
    </w:p>
    <w:p w14:paraId="528FD18A"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Hedley, B. (1977) 'Strategy and the business portfolio', </w:t>
      </w:r>
      <w:r w:rsidRPr="00AA4761">
        <w:rPr>
          <w:rFonts w:ascii="Arial" w:hAnsi="Arial" w:cs="Arial"/>
          <w:i/>
          <w:iCs/>
          <w:sz w:val="24"/>
          <w:szCs w:val="24"/>
        </w:rPr>
        <w:t>Long Range Planning</w:t>
      </w:r>
      <w:r w:rsidRPr="00AA4761">
        <w:rPr>
          <w:rFonts w:ascii="Arial" w:hAnsi="Arial" w:cs="Arial"/>
          <w:sz w:val="24"/>
          <w:szCs w:val="24"/>
        </w:rPr>
        <w:t>, 10(1), pp. 9–15.</w:t>
      </w:r>
    </w:p>
    <w:p w14:paraId="72667C9D"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Henderson, B.D. (1970) </w:t>
      </w:r>
      <w:r w:rsidRPr="00AA4761">
        <w:rPr>
          <w:rFonts w:ascii="Arial" w:hAnsi="Arial" w:cs="Arial"/>
          <w:i/>
          <w:iCs/>
          <w:sz w:val="24"/>
          <w:szCs w:val="24"/>
        </w:rPr>
        <w:t>The product portfolio</w:t>
      </w:r>
      <w:r w:rsidRPr="00AA4761">
        <w:rPr>
          <w:rFonts w:ascii="Arial" w:hAnsi="Arial" w:cs="Arial"/>
          <w:sz w:val="24"/>
          <w:szCs w:val="24"/>
        </w:rPr>
        <w:t>. Boston: Boston Consulting Group.</w:t>
      </w:r>
    </w:p>
    <w:p w14:paraId="60C778F0"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Hill, C.W.L. (2022) </w:t>
      </w:r>
      <w:r w:rsidRPr="00AA4761">
        <w:rPr>
          <w:rFonts w:ascii="Arial" w:hAnsi="Arial" w:cs="Arial"/>
          <w:i/>
          <w:iCs/>
          <w:sz w:val="24"/>
          <w:szCs w:val="24"/>
        </w:rPr>
        <w:t>International business: competing in the global marketplace</w:t>
      </w:r>
      <w:r w:rsidRPr="00AA4761">
        <w:rPr>
          <w:rFonts w:ascii="Arial" w:hAnsi="Arial" w:cs="Arial"/>
          <w:sz w:val="24"/>
          <w:szCs w:val="24"/>
        </w:rPr>
        <w:t xml:space="preserve">. 13th </w:t>
      </w:r>
      <w:proofErr w:type="spellStart"/>
      <w:r w:rsidRPr="00AA4761">
        <w:rPr>
          <w:rFonts w:ascii="Arial" w:hAnsi="Arial" w:cs="Arial"/>
          <w:sz w:val="24"/>
          <w:szCs w:val="24"/>
        </w:rPr>
        <w:t>edn</w:t>
      </w:r>
      <w:proofErr w:type="spellEnd"/>
      <w:r w:rsidRPr="00AA4761">
        <w:rPr>
          <w:rFonts w:ascii="Arial" w:hAnsi="Arial" w:cs="Arial"/>
          <w:sz w:val="24"/>
          <w:szCs w:val="24"/>
        </w:rPr>
        <w:t>. New York: McGraw-Hill.</w:t>
      </w:r>
    </w:p>
    <w:p w14:paraId="5F776A39"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Hoppmann, J., Peters, M., Schneider, M. and Hoffmann, V.H. (2014) 'The two faces of market support—how deployment policies affect technological exploration and exploitation in the solar photovoltaic industry', </w:t>
      </w:r>
      <w:r w:rsidRPr="00AA4761">
        <w:rPr>
          <w:rFonts w:ascii="Arial" w:hAnsi="Arial" w:cs="Arial"/>
          <w:i/>
          <w:iCs/>
          <w:sz w:val="24"/>
          <w:szCs w:val="24"/>
        </w:rPr>
        <w:t>Research Policy</w:t>
      </w:r>
      <w:r w:rsidRPr="00AA4761">
        <w:rPr>
          <w:rFonts w:ascii="Arial" w:hAnsi="Arial" w:cs="Arial"/>
          <w:sz w:val="24"/>
          <w:szCs w:val="24"/>
        </w:rPr>
        <w:t>, 43(2), pp. 1–17.</w:t>
      </w:r>
    </w:p>
    <w:p w14:paraId="03330126"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IMF (2023) </w:t>
      </w:r>
      <w:r w:rsidRPr="00AA4761">
        <w:rPr>
          <w:rFonts w:ascii="Arial" w:hAnsi="Arial" w:cs="Arial"/>
          <w:i/>
          <w:iCs/>
          <w:sz w:val="24"/>
          <w:szCs w:val="24"/>
        </w:rPr>
        <w:t>World economic outlook: a rocky recovery</w:t>
      </w:r>
      <w:r w:rsidRPr="00AA4761">
        <w:rPr>
          <w:rFonts w:ascii="Arial" w:hAnsi="Arial" w:cs="Arial"/>
          <w:sz w:val="24"/>
          <w:szCs w:val="24"/>
        </w:rPr>
        <w:t>. Washington, DC: International Monetary Fund.</w:t>
      </w:r>
    </w:p>
    <w:p w14:paraId="56BFCC9F"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IPCC (2023) </w:t>
      </w:r>
      <w:r w:rsidRPr="00AA4761">
        <w:rPr>
          <w:rFonts w:ascii="Arial" w:hAnsi="Arial" w:cs="Arial"/>
          <w:i/>
          <w:iCs/>
          <w:sz w:val="24"/>
          <w:szCs w:val="24"/>
        </w:rPr>
        <w:t>Climate change 2023: synthesis report</w:t>
      </w:r>
      <w:r w:rsidRPr="00AA4761">
        <w:rPr>
          <w:rFonts w:ascii="Arial" w:hAnsi="Arial" w:cs="Arial"/>
          <w:sz w:val="24"/>
          <w:szCs w:val="24"/>
        </w:rPr>
        <w:t>. Geneva: Intergovernmental Panel on Climate Change.</w:t>
      </w:r>
    </w:p>
    <w:p w14:paraId="1719C3FC"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IRENA (2023) </w:t>
      </w:r>
      <w:r w:rsidRPr="00AA4761">
        <w:rPr>
          <w:rFonts w:ascii="Arial" w:hAnsi="Arial" w:cs="Arial"/>
          <w:i/>
          <w:iCs/>
          <w:sz w:val="24"/>
          <w:szCs w:val="24"/>
        </w:rPr>
        <w:t>Electricity storage and renewables: costs and markets to 2030</w:t>
      </w:r>
      <w:r w:rsidRPr="00AA4761">
        <w:rPr>
          <w:rFonts w:ascii="Arial" w:hAnsi="Arial" w:cs="Arial"/>
          <w:sz w:val="24"/>
          <w:szCs w:val="24"/>
        </w:rPr>
        <w:t>. Abu Dhabi: International Renewable Energy Agency.</w:t>
      </w:r>
    </w:p>
    <w:p w14:paraId="52806B52"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J.D. Power (2023) </w:t>
      </w:r>
      <w:r w:rsidRPr="00AA4761">
        <w:rPr>
          <w:rFonts w:ascii="Arial" w:hAnsi="Arial" w:cs="Arial"/>
          <w:i/>
          <w:iCs/>
          <w:sz w:val="24"/>
          <w:szCs w:val="24"/>
        </w:rPr>
        <w:t>2023 US initial quality study</w:t>
      </w:r>
      <w:r w:rsidRPr="00AA4761">
        <w:rPr>
          <w:rFonts w:ascii="Arial" w:hAnsi="Arial" w:cs="Arial"/>
          <w:sz w:val="24"/>
          <w:szCs w:val="24"/>
        </w:rPr>
        <w:t>. Troy, MI: J.D. Power.</w:t>
      </w:r>
    </w:p>
    <w:p w14:paraId="23A1FB4A" w14:textId="77777777" w:rsidR="00AA4761" w:rsidRPr="00AA4761" w:rsidRDefault="00AA4761" w:rsidP="00AA4761">
      <w:pPr>
        <w:spacing w:line="360" w:lineRule="auto"/>
        <w:rPr>
          <w:rFonts w:ascii="Arial" w:hAnsi="Arial" w:cs="Arial"/>
          <w:sz w:val="24"/>
          <w:szCs w:val="24"/>
        </w:rPr>
      </w:pPr>
      <w:proofErr w:type="spellStart"/>
      <w:r w:rsidRPr="00AA4761">
        <w:rPr>
          <w:rFonts w:ascii="Arial" w:hAnsi="Arial" w:cs="Arial"/>
          <w:sz w:val="24"/>
          <w:szCs w:val="24"/>
        </w:rPr>
        <w:lastRenderedPageBreak/>
        <w:t>Jacobides</w:t>
      </w:r>
      <w:proofErr w:type="spellEnd"/>
      <w:r w:rsidRPr="00AA4761">
        <w:rPr>
          <w:rFonts w:ascii="Arial" w:hAnsi="Arial" w:cs="Arial"/>
          <w:sz w:val="24"/>
          <w:szCs w:val="24"/>
        </w:rPr>
        <w:t>, M.G., MacDuffie, J.P. and Tae, C.J. (2016) 'Agency, structure, and the dominance of OEMs: change and stability in the automotive sector', </w:t>
      </w:r>
      <w:r w:rsidRPr="00AA4761">
        <w:rPr>
          <w:rFonts w:ascii="Arial" w:hAnsi="Arial" w:cs="Arial"/>
          <w:i/>
          <w:iCs/>
          <w:sz w:val="24"/>
          <w:szCs w:val="24"/>
        </w:rPr>
        <w:t>Strategic Management Journal</w:t>
      </w:r>
      <w:r w:rsidRPr="00AA4761">
        <w:rPr>
          <w:rFonts w:ascii="Arial" w:hAnsi="Arial" w:cs="Arial"/>
          <w:sz w:val="24"/>
          <w:szCs w:val="24"/>
        </w:rPr>
        <w:t>, 37(9), pp. 1942–1967.</w:t>
      </w:r>
    </w:p>
    <w:p w14:paraId="1831F8D6"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Jaffe, S. (2023) 'The race for solid-state batteries', </w:t>
      </w:r>
      <w:r w:rsidRPr="00AA4761">
        <w:rPr>
          <w:rFonts w:ascii="Arial" w:hAnsi="Arial" w:cs="Arial"/>
          <w:i/>
          <w:iCs/>
          <w:sz w:val="24"/>
          <w:szCs w:val="24"/>
        </w:rPr>
        <w:t>Joule</w:t>
      </w:r>
      <w:r w:rsidRPr="00AA4761">
        <w:rPr>
          <w:rFonts w:ascii="Arial" w:hAnsi="Arial" w:cs="Arial"/>
          <w:sz w:val="24"/>
          <w:szCs w:val="24"/>
        </w:rPr>
        <w:t>, 7(1), pp. 5–8.</w:t>
      </w:r>
    </w:p>
    <w:p w14:paraId="5023F100"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Johnson, G., Whittington, R. and Scholes, K. (2017) </w:t>
      </w:r>
      <w:r w:rsidRPr="00AA4761">
        <w:rPr>
          <w:rFonts w:ascii="Arial" w:hAnsi="Arial" w:cs="Arial"/>
          <w:i/>
          <w:iCs/>
          <w:sz w:val="24"/>
          <w:szCs w:val="24"/>
        </w:rPr>
        <w:t>Exploring strategy: text and cases</w:t>
      </w:r>
      <w:r w:rsidRPr="00AA4761">
        <w:rPr>
          <w:rFonts w:ascii="Arial" w:hAnsi="Arial" w:cs="Arial"/>
          <w:sz w:val="24"/>
          <w:szCs w:val="24"/>
        </w:rPr>
        <w:t xml:space="preserve">. 11th </w:t>
      </w:r>
      <w:proofErr w:type="spellStart"/>
      <w:r w:rsidRPr="00AA4761">
        <w:rPr>
          <w:rFonts w:ascii="Arial" w:hAnsi="Arial" w:cs="Arial"/>
          <w:sz w:val="24"/>
          <w:szCs w:val="24"/>
        </w:rPr>
        <w:t>edn</w:t>
      </w:r>
      <w:proofErr w:type="spellEnd"/>
      <w:r w:rsidRPr="00AA4761">
        <w:rPr>
          <w:rFonts w:ascii="Arial" w:hAnsi="Arial" w:cs="Arial"/>
          <w:sz w:val="24"/>
          <w:szCs w:val="24"/>
        </w:rPr>
        <w:t>. Harlow: Pearson.</w:t>
      </w:r>
    </w:p>
    <w:p w14:paraId="0DE15CE0"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Kaplan, R.S. and Norton, D.P. (1992) 'The balanced scorecard—measures that drive performance', </w:t>
      </w:r>
      <w:r w:rsidRPr="00AA4761">
        <w:rPr>
          <w:rFonts w:ascii="Arial" w:hAnsi="Arial" w:cs="Arial"/>
          <w:i/>
          <w:iCs/>
          <w:sz w:val="24"/>
          <w:szCs w:val="24"/>
        </w:rPr>
        <w:t>Harvard Business Review</w:t>
      </w:r>
      <w:r w:rsidRPr="00AA4761">
        <w:rPr>
          <w:rFonts w:ascii="Arial" w:hAnsi="Arial" w:cs="Arial"/>
          <w:sz w:val="24"/>
          <w:szCs w:val="24"/>
        </w:rPr>
        <w:t>, 70(1), pp. 71–79.</w:t>
      </w:r>
    </w:p>
    <w:p w14:paraId="19B4C8FB"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Kaplan, R.S. and Norton, D.P. (1996) </w:t>
      </w:r>
      <w:r w:rsidRPr="00AA4761">
        <w:rPr>
          <w:rFonts w:ascii="Arial" w:hAnsi="Arial" w:cs="Arial"/>
          <w:i/>
          <w:iCs/>
          <w:sz w:val="24"/>
          <w:szCs w:val="24"/>
        </w:rPr>
        <w:t>The balanced scorecard: translating strategy into action</w:t>
      </w:r>
      <w:r w:rsidRPr="00AA4761">
        <w:rPr>
          <w:rFonts w:ascii="Arial" w:hAnsi="Arial" w:cs="Arial"/>
          <w:sz w:val="24"/>
          <w:szCs w:val="24"/>
        </w:rPr>
        <w:t>. Boston: Harvard Business School Press.</w:t>
      </w:r>
    </w:p>
    <w:p w14:paraId="478F0339"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Keller, K.L. (2013) </w:t>
      </w:r>
      <w:r w:rsidRPr="00AA4761">
        <w:rPr>
          <w:rFonts w:ascii="Arial" w:hAnsi="Arial" w:cs="Arial"/>
          <w:i/>
          <w:iCs/>
          <w:sz w:val="24"/>
          <w:szCs w:val="24"/>
        </w:rPr>
        <w:t>Strategic brand management: building, measuring, and managing brand equity</w:t>
      </w:r>
      <w:r w:rsidRPr="00AA4761">
        <w:rPr>
          <w:rFonts w:ascii="Arial" w:hAnsi="Arial" w:cs="Arial"/>
          <w:sz w:val="24"/>
          <w:szCs w:val="24"/>
        </w:rPr>
        <w:t xml:space="preserve">. 4th </w:t>
      </w:r>
      <w:proofErr w:type="spellStart"/>
      <w:r w:rsidRPr="00AA4761">
        <w:rPr>
          <w:rFonts w:ascii="Arial" w:hAnsi="Arial" w:cs="Arial"/>
          <w:sz w:val="24"/>
          <w:szCs w:val="24"/>
        </w:rPr>
        <w:t>edn</w:t>
      </w:r>
      <w:proofErr w:type="spellEnd"/>
      <w:r w:rsidRPr="00AA4761">
        <w:rPr>
          <w:rFonts w:ascii="Arial" w:hAnsi="Arial" w:cs="Arial"/>
          <w:sz w:val="24"/>
          <w:szCs w:val="24"/>
        </w:rPr>
        <w:t>. Harlow: Pearson.</w:t>
      </w:r>
    </w:p>
    <w:p w14:paraId="547B8AD5"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Kotler, P. and Keller, K.L. (2022) </w:t>
      </w:r>
      <w:r w:rsidRPr="00AA4761">
        <w:rPr>
          <w:rFonts w:ascii="Arial" w:hAnsi="Arial" w:cs="Arial"/>
          <w:i/>
          <w:iCs/>
          <w:sz w:val="24"/>
          <w:szCs w:val="24"/>
        </w:rPr>
        <w:t>Marketing management</w:t>
      </w:r>
      <w:r w:rsidRPr="00AA4761">
        <w:rPr>
          <w:rFonts w:ascii="Arial" w:hAnsi="Arial" w:cs="Arial"/>
          <w:sz w:val="24"/>
          <w:szCs w:val="24"/>
        </w:rPr>
        <w:t xml:space="preserve">. 16th </w:t>
      </w:r>
      <w:proofErr w:type="spellStart"/>
      <w:r w:rsidRPr="00AA4761">
        <w:rPr>
          <w:rFonts w:ascii="Arial" w:hAnsi="Arial" w:cs="Arial"/>
          <w:sz w:val="24"/>
          <w:szCs w:val="24"/>
        </w:rPr>
        <w:t>edn</w:t>
      </w:r>
      <w:proofErr w:type="spellEnd"/>
      <w:r w:rsidRPr="00AA4761">
        <w:rPr>
          <w:rFonts w:ascii="Arial" w:hAnsi="Arial" w:cs="Arial"/>
          <w:sz w:val="24"/>
          <w:szCs w:val="24"/>
        </w:rPr>
        <w:t>. Harlow: Pearson.</w:t>
      </w:r>
    </w:p>
    <w:p w14:paraId="2289E127"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Kotter, J.P. (1996) </w:t>
      </w:r>
      <w:r w:rsidRPr="00AA4761">
        <w:rPr>
          <w:rFonts w:ascii="Arial" w:hAnsi="Arial" w:cs="Arial"/>
          <w:i/>
          <w:iCs/>
          <w:sz w:val="24"/>
          <w:szCs w:val="24"/>
        </w:rPr>
        <w:t>Leading change</w:t>
      </w:r>
      <w:r w:rsidRPr="00AA4761">
        <w:rPr>
          <w:rFonts w:ascii="Arial" w:hAnsi="Arial" w:cs="Arial"/>
          <w:sz w:val="24"/>
          <w:szCs w:val="24"/>
        </w:rPr>
        <w:t>. Boston: Harvard Business School Press.</w:t>
      </w:r>
    </w:p>
    <w:p w14:paraId="1E8F4B7E"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Learned, E.P., Christensen, C.R., Andrews, K.R. and Guth, W.D. (1965) </w:t>
      </w:r>
      <w:r w:rsidRPr="00AA4761">
        <w:rPr>
          <w:rFonts w:ascii="Arial" w:hAnsi="Arial" w:cs="Arial"/>
          <w:i/>
          <w:iCs/>
          <w:sz w:val="24"/>
          <w:szCs w:val="24"/>
        </w:rPr>
        <w:t>Business policy: text and cases</w:t>
      </w:r>
      <w:r w:rsidRPr="00AA4761">
        <w:rPr>
          <w:rFonts w:ascii="Arial" w:hAnsi="Arial" w:cs="Arial"/>
          <w:sz w:val="24"/>
          <w:szCs w:val="24"/>
        </w:rPr>
        <w:t>. Homewood, IL: Irwin.</w:t>
      </w:r>
    </w:p>
    <w:p w14:paraId="7A4FEEB2"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Lee, I. and Shin, Y.J. (2020) 'Machine learning for enterprises: applications, algorithm selection, and challenges', </w:t>
      </w:r>
      <w:r w:rsidRPr="00AA4761">
        <w:rPr>
          <w:rFonts w:ascii="Arial" w:hAnsi="Arial" w:cs="Arial"/>
          <w:i/>
          <w:iCs/>
          <w:sz w:val="24"/>
          <w:szCs w:val="24"/>
        </w:rPr>
        <w:t>Business Horizons</w:t>
      </w:r>
      <w:r w:rsidRPr="00AA4761">
        <w:rPr>
          <w:rFonts w:ascii="Arial" w:hAnsi="Arial" w:cs="Arial"/>
          <w:sz w:val="24"/>
          <w:szCs w:val="24"/>
        </w:rPr>
        <w:t>, 63(2), pp. 157–170.</w:t>
      </w:r>
    </w:p>
    <w:p w14:paraId="67851F45"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Lewin, K. (1947) 'Frontiers in group dynamics', </w:t>
      </w:r>
      <w:r w:rsidRPr="00AA4761">
        <w:rPr>
          <w:rFonts w:ascii="Arial" w:hAnsi="Arial" w:cs="Arial"/>
          <w:i/>
          <w:iCs/>
          <w:sz w:val="24"/>
          <w:szCs w:val="24"/>
        </w:rPr>
        <w:t>Human Relations</w:t>
      </w:r>
      <w:r w:rsidRPr="00AA4761">
        <w:rPr>
          <w:rFonts w:ascii="Arial" w:hAnsi="Arial" w:cs="Arial"/>
          <w:sz w:val="24"/>
          <w:szCs w:val="24"/>
        </w:rPr>
        <w:t>, 1(1), pp. 5–41.</w:t>
      </w:r>
    </w:p>
    <w:p w14:paraId="790D769A"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Liker, J.K. and Morgan, J.M. (2021) </w:t>
      </w:r>
      <w:r w:rsidRPr="00AA4761">
        <w:rPr>
          <w:rFonts w:ascii="Arial" w:hAnsi="Arial" w:cs="Arial"/>
          <w:i/>
          <w:iCs/>
          <w:sz w:val="24"/>
          <w:szCs w:val="24"/>
        </w:rPr>
        <w:t>The Toyota product development system: integrating people, process, and technology</w:t>
      </w:r>
      <w:r w:rsidRPr="00AA4761">
        <w:rPr>
          <w:rFonts w:ascii="Arial" w:hAnsi="Arial" w:cs="Arial"/>
          <w:sz w:val="24"/>
          <w:szCs w:val="24"/>
        </w:rPr>
        <w:t>. New York: Productivity Press.</w:t>
      </w:r>
    </w:p>
    <w:p w14:paraId="148BD84D"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Mangram, M.E. (2012) 'The globalization of Tesla Motors: a strategic marketing plan analysis', </w:t>
      </w:r>
      <w:r w:rsidRPr="00AA4761">
        <w:rPr>
          <w:rFonts w:ascii="Arial" w:hAnsi="Arial" w:cs="Arial"/>
          <w:i/>
          <w:iCs/>
          <w:sz w:val="24"/>
          <w:szCs w:val="24"/>
        </w:rPr>
        <w:t>Journal of Strategic Marketing</w:t>
      </w:r>
      <w:r w:rsidRPr="00AA4761">
        <w:rPr>
          <w:rFonts w:ascii="Arial" w:hAnsi="Arial" w:cs="Arial"/>
          <w:sz w:val="24"/>
          <w:szCs w:val="24"/>
        </w:rPr>
        <w:t>, 20(4), pp. 289–312.</w:t>
      </w:r>
    </w:p>
    <w:p w14:paraId="53F5BA3E"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McKinsey (2023) </w:t>
      </w:r>
      <w:r w:rsidRPr="00AA4761">
        <w:rPr>
          <w:rFonts w:ascii="Arial" w:hAnsi="Arial" w:cs="Arial"/>
          <w:i/>
          <w:iCs/>
          <w:sz w:val="24"/>
          <w:szCs w:val="24"/>
        </w:rPr>
        <w:t>The future of mobility in India</w:t>
      </w:r>
      <w:r w:rsidRPr="00AA4761">
        <w:rPr>
          <w:rFonts w:ascii="Arial" w:hAnsi="Arial" w:cs="Arial"/>
          <w:sz w:val="24"/>
          <w:szCs w:val="24"/>
        </w:rPr>
        <w:t>. Mumbai: McKinsey &amp; Company.</w:t>
      </w:r>
    </w:p>
    <w:p w14:paraId="14F6C62D"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Mintzberg, H., Ahlstrand, B. and Lampel, J. (2020) </w:t>
      </w:r>
      <w:r w:rsidRPr="00AA4761">
        <w:rPr>
          <w:rFonts w:ascii="Arial" w:hAnsi="Arial" w:cs="Arial"/>
          <w:i/>
          <w:iCs/>
          <w:sz w:val="24"/>
          <w:szCs w:val="24"/>
        </w:rPr>
        <w:t>Strategy safari: the complete guide through the wilds of strategic management</w:t>
      </w:r>
      <w:r w:rsidRPr="00AA4761">
        <w:rPr>
          <w:rFonts w:ascii="Arial" w:hAnsi="Arial" w:cs="Arial"/>
          <w:sz w:val="24"/>
          <w:szCs w:val="24"/>
        </w:rPr>
        <w:t xml:space="preserve">. 3rd </w:t>
      </w:r>
      <w:proofErr w:type="spellStart"/>
      <w:r w:rsidRPr="00AA4761">
        <w:rPr>
          <w:rFonts w:ascii="Arial" w:hAnsi="Arial" w:cs="Arial"/>
          <w:sz w:val="24"/>
          <w:szCs w:val="24"/>
        </w:rPr>
        <w:t>edn</w:t>
      </w:r>
      <w:proofErr w:type="spellEnd"/>
      <w:r w:rsidRPr="00AA4761">
        <w:rPr>
          <w:rFonts w:ascii="Arial" w:hAnsi="Arial" w:cs="Arial"/>
          <w:sz w:val="24"/>
          <w:szCs w:val="24"/>
        </w:rPr>
        <w:t>. Harlow: Pearson.</w:t>
      </w:r>
    </w:p>
    <w:p w14:paraId="5A1D642B"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lastRenderedPageBreak/>
        <w:t>Moon, J.A. (2004) </w:t>
      </w:r>
      <w:r w:rsidRPr="00AA4761">
        <w:rPr>
          <w:rFonts w:ascii="Arial" w:hAnsi="Arial" w:cs="Arial"/>
          <w:i/>
          <w:iCs/>
          <w:sz w:val="24"/>
          <w:szCs w:val="24"/>
        </w:rPr>
        <w:t>A handbook of reflective and experiential learning: theory and practice</w:t>
      </w:r>
      <w:r w:rsidRPr="00AA4761">
        <w:rPr>
          <w:rFonts w:ascii="Arial" w:hAnsi="Arial" w:cs="Arial"/>
          <w:sz w:val="24"/>
          <w:szCs w:val="24"/>
        </w:rPr>
        <w:t xml:space="preserve">. London: </w:t>
      </w:r>
      <w:proofErr w:type="spellStart"/>
      <w:r w:rsidRPr="00AA4761">
        <w:rPr>
          <w:rFonts w:ascii="Arial" w:hAnsi="Arial" w:cs="Arial"/>
          <w:sz w:val="24"/>
          <w:szCs w:val="24"/>
        </w:rPr>
        <w:t>RoutledgeFalmer</w:t>
      </w:r>
      <w:proofErr w:type="spellEnd"/>
      <w:r w:rsidRPr="00AA4761">
        <w:rPr>
          <w:rFonts w:ascii="Arial" w:hAnsi="Arial" w:cs="Arial"/>
          <w:sz w:val="24"/>
          <w:szCs w:val="24"/>
        </w:rPr>
        <w:t>.</w:t>
      </w:r>
    </w:p>
    <w:p w14:paraId="3498ABD3"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 xml:space="preserve">Musk, E. (2014) 'All our patent are </w:t>
      </w:r>
      <w:proofErr w:type="gramStart"/>
      <w:r w:rsidRPr="00AA4761">
        <w:rPr>
          <w:rFonts w:ascii="Arial" w:hAnsi="Arial" w:cs="Arial"/>
          <w:sz w:val="24"/>
          <w:szCs w:val="24"/>
        </w:rPr>
        <w:t>belong</w:t>
      </w:r>
      <w:proofErr w:type="gramEnd"/>
      <w:r w:rsidRPr="00AA4761">
        <w:rPr>
          <w:rFonts w:ascii="Arial" w:hAnsi="Arial" w:cs="Arial"/>
          <w:sz w:val="24"/>
          <w:szCs w:val="24"/>
        </w:rPr>
        <w:t xml:space="preserve"> to you', </w:t>
      </w:r>
      <w:r w:rsidRPr="00AA4761">
        <w:rPr>
          <w:rFonts w:ascii="Arial" w:hAnsi="Arial" w:cs="Arial"/>
          <w:i/>
          <w:iCs/>
          <w:sz w:val="24"/>
          <w:szCs w:val="24"/>
        </w:rPr>
        <w:t>Tesla Blog</w:t>
      </w:r>
      <w:r w:rsidRPr="00AA4761">
        <w:rPr>
          <w:rFonts w:ascii="Arial" w:hAnsi="Arial" w:cs="Arial"/>
          <w:sz w:val="24"/>
          <w:szCs w:val="24"/>
        </w:rPr>
        <w:t>, 12 June. Available at: </w:t>
      </w:r>
      <w:hyperlink r:id="rId11" w:history="1">
        <w:r w:rsidRPr="00AA4761">
          <w:rPr>
            <w:rStyle w:val="Hyperlink"/>
            <w:rFonts w:ascii="Arial" w:hAnsi="Arial" w:cs="Arial"/>
            <w:sz w:val="24"/>
            <w:szCs w:val="24"/>
          </w:rPr>
          <w:t>https://www.tesla.com/blog</w:t>
        </w:r>
      </w:hyperlink>
      <w:r w:rsidRPr="00AA4761">
        <w:rPr>
          <w:rFonts w:ascii="Arial" w:hAnsi="Arial" w:cs="Arial"/>
          <w:sz w:val="24"/>
          <w:szCs w:val="24"/>
        </w:rPr>
        <w:t> (Accessed: 10 March 2025).</w:t>
      </w:r>
    </w:p>
    <w:p w14:paraId="60048E33"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National Highway Traffic Safety Administration (2023) </w:t>
      </w:r>
      <w:r w:rsidRPr="00AA4761">
        <w:rPr>
          <w:rFonts w:ascii="Arial" w:hAnsi="Arial" w:cs="Arial"/>
          <w:i/>
          <w:iCs/>
          <w:sz w:val="24"/>
          <w:szCs w:val="24"/>
        </w:rPr>
        <w:t>Investigation of Tesla Autopilot system</w:t>
      </w:r>
      <w:r w:rsidRPr="00AA4761">
        <w:rPr>
          <w:rFonts w:ascii="Arial" w:hAnsi="Arial" w:cs="Arial"/>
          <w:sz w:val="24"/>
          <w:szCs w:val="24"/>
        </w:rPr>
        <w:t>. Washington, DC: NHTSA.</w:t>
      </w:r>
    </w:p>
    <w:p w14:paraId="29D01E7C"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Nieuwenhuis, P. and Wells, P. (2015) </w:t>
      </w:r>
      <w:r w:rsidRPr="00AA4761">
        <w:rPr>
          <w:rFonts w:ascii="Arial" w:hAnsi="Arial" w:cs="Arial"/>
          <w:i/>
          <w:iCs/>
          <w:sz w:val="24"/>
          <w:szCs w:val="24"/>
        </w:rPr>
        <w:t>The global automotive industry</w:t>
      </w:r>
      <w:r w:rsidRPr="00AA4761">
        <w:rPr>
          <w:rFonts w:ascii="Arial" w:hAnsi="Arial" w:cs="Arial"/>
          <w:sz w:val="24"/>
          <w:szCs w:val="24"/>
        </w:rPr>
        <w:t>. Chichester: Wiley.</w:t>
      </w:r>
    </w:p>
    <w:p w14:paraId="302E3A5D"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Porter, M.E. (1985) </w:t>
      </w:r>
      <w:r w:rsidRPr="00AA4761">
        <w:rPr>
          <w:rFonts w:ascii="Arial" w:hAnsi="Arial" w:cs="Arial"/>
          <w:i/>
          <w:iCs/>
          <w:sz w:val="24"/>
          <w:szCs w:val="24"/>
        </w:rPr>
        <w:t>Competitive advantage: creating and sustaining superior performance</w:t>
      </w:r>
      <w:r w:rsidRPr="00AA4761">
        <w:rPr>
          <w:rFonts w:ascii="Arial" w:hAnsi="Arial" w:cs="Arial"/>
          <w:sz w:val="24"/>
          <w:szCs w:val="24"/>
        </w:rPr>
        <w:t>. New York: Free Press.</w:t>
      </w:r>
    </w:p>
    <w:p w14:paraId="7881C7EA"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Porter, M.E. and Kramer, M.R. (2011) 'Creating shared value', </w:t>
      </w:r>
      <w:r w:rsidRPr="00AA4761">
        <w:rPr>
          <w:rFonts w:ascii="Arial" w:hAnsi="Arial" w:cs="Arial"/>
          <w:i/>
          <w:iCs/>
          <w:sz w:val="24"/>
          <w:szCs w:val="24"/>
        </w:rPr>
        <w:t>Harvard Business Review</w:t>
      </w:r>
      <w:r w:rsidRPr="00AA4761">
        <w:rPr>
          <w:rFonts w:ascii="Arial" w:hAnsi="Arial" w:cs="Arial"/>
          <w:sz w:val="24"/>
          <w:szCs w:val="24"/>
        </w:rPr>
        <w:t>, 89(1/2), pp. 62–77.</w:t>
      </w:r>
    </w:p>
    <w:p w14:paraId="25DF5CD0"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Reichheld, F.F. (2003) 'The one number you need to grow', </w:t>
      </w:r>
      <w:r w:rsidRPr="00AA4761">
        <w:rPr>
          <w:rFonts w:ascii="Arial" w:hAnsi="Arial" w:cs="Arial"/>
          <w:i/>
          <w:iCs/>
          <w:sz w:val="24"/>
          <w:szCs w:val="24"/>
        </w:rPr>
        <w:t>Harvard Business Review</w:t>
      </w:r>
      <w:r w:rsidRPr="00AA4761">
        <w:rPr>
          <w:rFonts w:ascii="Arial" w:hAnsi="Arial" w:cs="Arial"/>
          <w:sz w:val="24"/>
          <w:szCs w:val="24"/>
        </w:rPr>
        <w:t>, 81(12), pp. 46–54.</w:t>
      </w:r>
    </w:p>
    <w:p w14:paraId="04F85455"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Rothaermel, F.T. (2024) </w:t>
      </w:r>
      <w:r w:rsidRPr="00AA4761">
        <w:rPr>
          <w:rFonts w:ascii="Arial" w:hAnsi="Arial" w:cs="Arial"/>
          <w:i/>
          <w:iCs/>
          <w:sz w:val="24"/>
          <w:szCs w:val="24"/>
        </w:rPr>
        <w:t>Strategic management</w:t>
      </w:r>
      <w:r w:rsidRPr="00AA4761">
        <w:rPr>
          <w:rFonts w:ascii="Arial" w:hAnsi="Arial" w:cs="Arial"/>
          <w:sz w:val="24"/>
          <w:szCs w:val="24"/>
        </w:rPr>
        <w:t xml:space="preserve">. 6th </w:t>
      </w:r>
      <w:proofErr w:type="spellStart"/>
      <w:r w:rsidRPr="00AA4761">
        <w:rPr>
          <w:rFonts w:ascii="Arial" w:hAnsi="Arial" w:cs="Arial"/>
          <w:sz w:val="24"/>
          <w:szCs w:val="24"/>
        </w:rPr>
        <w:t>edn</w:t>
      </w:r>
      <w:proofErr w:type="spellEnd"/>
      <w:r w:rsidRPr="00AA4761">
        <w:rPr>
          <w:rFonts w:ascii="Arial" w:hAnsi="Arial" w:cs="Arial"/>
          <w:sz w:val="24"/>
          <w:szCs w:val="24"/>
        </w:rPr>
        <w:t>. New York: McGraw-Hill.</w:t>
      </w:r>
    </w:p>
    <w:p w14:paraId="45C80045" w14:textId="77777777" w:rsidR="00AA4761" w:rsidRPr="00AA4761" w:rsidRDefault="00AA4761" w:rsidP="00AA4761">
      <w:pPr>
        <w:spacing w:line="360" w:lineRule="auto"/>
        <w:rPr>
          <w:rFonts w:ascii="Arial" w:hAnsi="Arial" w:cs="Arial"/>
          <w:sz w:val="24"/>
          <w:szCs w:val="24"/>
        </w:rPr>
      </w:pPr>
      <w:proofErr w:type="spellStart"/>
      <w:r w:rsidRPr="00AA4761">
        <w:rPr>
          <w:rFonts w:ascii="Arial" w:hAnsi="Arial" w:cs="Arial"/>
          <w:sz w:val="24"/>
          <w:szCs w:val="24"/>
        </w:rPr>
        <w:t>Rumelt</w:t>
      </w:r>
      <w:proofErr w:type="spellEnd"/>
      <w:r w:rsidRPr="00AA4761">
        <w:rPr>
          <w:rFonts w:ascii="Arial" w:hAnsi="Arial" w:cs="Arial"/>
          <w:sz w:val="24"/>
          <w:szCs w:val="24"/>
        </w:rPr>
        <w:t>, R.P. (1974) </w:t>
      </w:r>
      <w:r w:rsidRPr="00AA4761">
        <w:rPr>
          <w:rFonts w:ascii="Arial" w:hAnsi="Arial" w:cs="Arial"/>
          <w:i/>
          <w:iCs/>
          <w:sz w:val="24"/>
          <w:szCs w:val="24"/>
        </w:rPr>
        <w:t>Strategy, structure, and economic performance</w:t>
      </w:r>
      <w:r w:rsidRPr="00AA4761">
        <w:rPr>
          <w:rFonts w:ascii="Arial" w:hAnsi="Arial" w:cs="Arial"/>
          <w:sz w:val="24"/>
          <w:szCs w:val="24"/>
        </w:rPr>
        <w:t>. Boston: Harvard Business School Press.</w:t>
      </w:r>
    </w:p>
    <w:p w14:paraId="24BF242B"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Saunders, M., Lewis, P. and Thornhill, A. (2019) </w:t>
      </w:r>
      <w:r w:rsidRPr="00AA4761">
        <w:rPr>
          <w:rFonts w:ascii="Arial" w:hAnsi="Arial" w:cs="Arial"/>
          <w:i/>
          <w:iCs/>
          <w:sz w:val="24"/>
          <w:szCs w:val="24"/>
        </w:rPr>
        <w:t>Research methods for business students</w:t>
      </w:r>
      <w:r w:rsidRPr="00AA4761">
        <w:rPr>
          <w:rFonts w:ascii="Arial" w:hAnsi="Arial" w:cs="Arial"/>
          <w:sz w:val="24"/>
          <w:szCs w:val="24"/>
        </w:rPr>
        <w:t xml:space="preserve">. 8th </w:t>
      </w:r>
      <w:proofErr w:type="spellStart"/>
      <w:r w:rsidRPr="00AA4761">
        <w:rPr>
          <w:rFonts w:ascii="Arial" w:hAnsi="Arial" w:cs="Arial"/>
          <w:sz w:val="24"/>
          <w:szCs w:val="24"/>
        </w:rPr>
        <w:t>edn</w:t>
      </w:r>
      <w:proofErr w:type="spellEnd"/>
      <w:r w:rsidRPr="00AA4761">
        <w:rPr>
          <w:rFonts w:ascii="Arial" w:hAnsi="Arial" w:cs="Arial"/>
          <w:sz w:val="24"/>
          <w:szCs w:val="24"/>
        </w:rPr>
        <w:t>. Harlow: Pearson.</w:t>
      </w:r>
    </w:p>
    <w:p w14:paraId="53DB5BF0"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Schilling, M.A. (2020) </w:t>
      </w:r>
      <w:r w:rsidRPr="00AA4761">
        <w:rPr>
          <w:rFonts w:ascii="Arial" w:hAnsi="Arial" w:cs="Arial"/>
          <w:i/>
          <w:iCs/>
          <w:sz w:val="24"/>
          <w:szCs w:val="24"/>
        </w:rPr>
        <w:t>Strategic management of technological innovation</w:t>
      </w:r>
      <w:r w:rsidRPr="00AA4761">
        <w:rPr>
          <w:rFonts w:ascii="Arial" w:hAnsi="Arial" w:cs="Arial"/>
          <w:sz w:val="24"/>
          <w:szCs w:val="24"/>
        </w:rPr>
        <w:t xml:space="preserve">. 6th </w:t>
      </w:r>
      <w:proofErr w:type="spellStart"/>
      <w:r w:rsidRPr="00AA4761">
        <w:rPr>
          <w:rFonts w:ascii="Arial" w:hAnsi="Arial" w:cs="Arial"/>
          <w:sz w:val="24"/>
          <w:szCs w:val="24"/>
        </w:rPr>
        <w:t>edn</w:t>
      </w:r>
      <w:proofErr w:type="spellEnd"/>
      <w:r w:rsidRPr="00AA4761">
        <w:rPr>
          <w:rFonts w:ascii="Arial" w:hAnsi="Arial" w:cs="Arial"/>
          <w:sz w:val="24"/>
          <w:szCs w:val="24"/>
        </w:rPr>
        <w:t>. New York: McGraw-Hill.</w:t>
      </w:r>
    </w:p>
    <w:p w14:paraId="2162E99F"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Schön, D.A. (1983) </w:t>
      </w:r>
      <w:r w:rsidRPr="00AA4761">
        <w:rPr>
          <w:rFonts w:ascii="Arial" w:hAnsi="Arial" w:cs="Arial"/>
          <w:i/>
          <w:iCs/>
          <w:sz w:val="24"/>
          <w:szCs w:val="24"/>
        </w:rPr>
        <w:t>The reflective practitioner: how professionals think in action</w:t>
      </w:r>
      <w:r w:rsidRPr="00AA4761">
        <w:rPr>
          <w:rFonts w:ascii="Arial" w:hAnsi="Arial" w:cs="Arial"/>
          <w:sz w:val="24"/>
          <w:szCs w:val="24"/>
        </w:rPr>
        <w:t>. New York: Basic Books.</w:t>
      </w:r>
    </w:p>
    <w:p w14:paraId="6AA92DA9" w14:textId="77777777" w:rsidR="00AA4761" w:rsidRPr="00AA4761" w:rsidRDefault="00AA4761" w:rsidP="00AA4761">
      <w:pPr>
        <w:spacing w:line="360" w:lineRule="auto"/>
        <w:rPr>
          <w:rFonts w:ascii="Arial" w:hAnsi="Arial" w:cs="Arial"/>
          <w:sz w:val="24"/>
          <w:szCs w:val="24"/>
        </w:rPr>
      </w:pPr>
      <w:proofErr w:type="spellStart"/>
      <w:r w:rsidRPr="00AA4761">
        <w:rPr>
          <w:rFonts w:ascii="Arial" w:hAnsi="Arial" w:cs="Arial"/>
          <w:sz w:val="24"/>
          <w:szCs w:val="24"/>
        </w:rPr>
        <w:t>Sovacool</w:t>
      </w:r>
      <w:proofErr w:type="spellEnd"/>
      <w:r w:rsidRPr="00AA4761">
        <w:rPr>
          <w:rFonts w:ascii="Arial" w:hAnsi="Arial" w:cs="Arial"/>
          <w:sz w:val="24"/>
          <w:szCs w:val="24"/>
        </w:rPr>
        <w:t xml:space="preserve">, B.K., Ali, S.H., </w:t>
      </w:r>
      <w:proofErr w:type="spellStart"/>
      <w:r w:rsidRPr="00AA4761">
        <w:rPr>
          <w:rFonts w:ascii="Arial" w:hAnsi="Arial" w:cs="Arial"/>
          <w:sz w:val="24"/>
          <w:szCs w:val="24"/>
        </w:rPr>
        <w:t>Bazilian</w:t>
      </w:r>
      <w:proofErr w:type="spellEnd"/>
      <w:r w:rsidRPr="00AA4761">
        <w:rPr>
          <w:rFonts w:ascii="Arial" w:hAnsi="Arial" w:cs="Arial"/>
          <w:sz w:val="24"/>
          <w:szCs w:val="24"/>
        </w:rPr>
        <w:t xml:space="preserve">, M., Radley, B., Nemery, B., </w:t>
      </w:r>
      <w:proofErr w:type="spellStart"/>
      <w:r w:rsidRPr="00AA4761">
        <w:rPr>
          <w:rFonts w:ascii="Arial" w:hAnsi="Arial" w:cs="Arial"/>
          <w:sz w:val="24"/>
          <w:szCs w:val="24"/>
        </w:rPr>
        <w:t>Okatz</w:t>
      </w:r>
      <w:proofErr w:type="spellEnd"/>
      <w:r w:rsidRPr="00AA4761">
        <w:rPr>
          <w:rFonts w:ascii="Arial" w:hAnsi="Arial" w:cs="Arial"/>
          <w:sz w:val="24"/>
          <w:szCs w:val="24"/>
        </w:rPr>
        <w:t>, J. and Mulvaney, D. (2020) 'Sustainable minerals and metals for a low-carbon future', </w:t>
      </w:r>
      <w:r w:rsidRPr="00AA4761">
        <w:rPr>
          <w:rFonts w:ascii="Arial" w:hAnsi="Arial" w:cs="Arial"/>
          <w:i/>
          <w:iCs/>
          <w:sz w:val="24"/>
          <w:szCs w:val="24"/>
        </w:rPr>
        <w:t>Science</w:t>
      </w:r>
      <w:r w:rsidRPr="00AA4761">
        <w:rPr>
          <w:rFonts w:ascii="Arial" w:hAnsi="Arial" w:cs="Arial"/>
          <w:sz w:val="24"/>
          <w:szCs w:val="24"/>
        </w:rPr>
        <w:t>, 367(6473), pp. 30–33.</w:t>
      </w:r>
    </w:p>
    <w:p w14:paraId="77498F5F"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S&amp;P Global (2022) 'The (re)balancing act of the S&amp;P 500 ESG Index', </w:t>
      </w:r>
      <w:r w:rsidRPr="00AA4761">
        <w:rPr>
          <w:rFonts w:ascii="Arial" w:hAnsi="Arial" w:cs="Arial"/>
          <w:i/>
          <w:iCs/>
          <w:sz w:val="24"/>
          <w:szCs w:val="24"/>
        </w:rPr>
        <w:t>S&amp;P Global Blog</w:t>
      </w:r>
      <w:r w:rsidRPr="00AA4761">
        <w:rPr>
          <w:rFonts w:ascii="Arial" w:hAnsi="Arial" w:cs="Arial"/>
          <w:sz w:val="24"/>
          <w:szCs w:val="24"/>
        </w:rPr>
        <w:t>, 17 May. Available at: </w:t>
      </w:r>
      <w:hyperlink r:id="rId12" w:history="1">
        <w:r w:rsidRPr="00AA4761">
          <w:rPr>
            <w:rStyle w:val="Hyperlink"/>
            <w:rFonts w:ascii="Arial" w:hAnsi="Arial" w:cs="Arial"/>
            <w:sz w:val="24"/>
            <w:szCs w:val="24"/>
          </w:rPr>
          <w:t>https://www.spglobal.com</w:t>
        </w:r>
      </w:hyperlink>
      <w:r w:rsidRPr="00AA4761">
        <w:rPr>
          <w:rFonts w:ascii="Arial" w:hAnsi="Arial" w:cs="Arial"/>
          <w:sz w:val="24"/>
          <w:szCs w:val="24"/>
        </w:rPr>
        <w:t> (Accessed: 10 March 2025).</w:t>
      </w:r>
    </w:p>
    <w:p w14:paraId="5C0E2DB1"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lastRenderedPageBreak/>
        <w:t>Sperling, D. (2018) </w:t>
      </w:r>
      <w:r w:rsidRPr="00AA4761">
        <w:rPr>
          <w:rFonts w:ascii="Arial" w:hAnsi="Arial" w:cs="Arial"/>
          <w:i/>
          <w:iCs/>
          <w:sz w:val="24"/>
          <w:szCs w:val="24"/>
        </w:rPr>
        <w:t>Three revolutions: steering automated, shared, and electric vehicles to a better future</w:t>
      </w:r>
      <w:r w:rsidRPr="00AA4761">
        <w:rPr>
          <w:rFonts w:ascii="Arial" w:hAnsi="Arial" w:cs="Arial"/>
          <w:sz w:val="24"/>
          <w:szCs w:val="24"/>
        </w:rPr>
        <w:t>. Washington, DC: Island Press.</w:t>
      </w:r>
    </w:p>
    <w:p w14:paraId="26FBB4A5"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Statista (2024) </w:t>
      </w:r>
      <w:r w:rsidRPr="00AA4761">
        <w:rPr>
          <w:rFonts w:ascii="Arial" w:hAnsi="Arial" w:cs="Arial"/>
          <w:i/>
          <w:iCs/>
          <w:sz w:val="24"/>
          <w:szCs w:val="24"/>
        </w:rPr>
        <w:t>Tesla's global market share of electric vehicles 2019–2023</w:t>
      </w:r>
      <w:r w:rsidRPr="00AA4761">
        <w:rPr>
          <w:rFonts w:ascii="Arial" w:hAnsi="Arial" w:cs="Arial"/>
          <w:sz w:val="24"/>
          <w:szCs w:val="24"/>
        </w:rPr>
        <w:t>. Hamburg: Statista.</w:t>
      </w:r>
    </w:p>
    <w:p w14:paraId="214DF383" w14:textId="77777777" w:rsidR="00AA4761" w:rsidRPr="00AA4761" w:rsidRDefault="00AA4761" w:rsidP="00AA4761">
      <w:pPr>
        <w:spacing w:line="360" w:lineRule="auto"/>
        <w:rPr>
          <w:rFonts w:ascii="Arial" w:hAnsi="Arial" w:cs="Arial"/>
          <w:sz w:val="24"/>
          <w:szCs w:val="24"/>
        </w:rPr>
      </w:pPr>
      <w:proofErr w:type="spellStart"/>
      <w:r w:rsidRPr="00AA4761">
        <w:rPr>
          <w:rFonts w:ascii="Arial" w:hAnsi="Arial" w:cs="Arial"/>
          <w:sz w:val="24"/>
          <w:szCs w:val="24"/>
        </w:rPr>
        <w:t>Stilgoe</w:t>
      </w:r>
      <w:proofErr w:type="spellEnd"/>
      <w:r w:rsidRPr="00AA4761">
        <w:rPr>
          <w:rFonts w:ascii="Arial" w:hAnsi="Arial" w:cs="Arial"/>
          <w:sz w:val="24"/>
          <w:szCs w:val="24"/>
        </w:rPr>
        <w:t>, J. (2018) 'Machine learning, social learning and the governance of self-driving cars', </w:t>
      </w:r>
      <w:r w:rsidRPr="00AA4761">
        <w:rPr>
          <w:rFonts w:ascii="Arial" w:hAnsi="Arial" w:cs="Arial"/>
          <w:i/>
          <w:iCs/>
          <w:sz w:val="24"/>
          <w:szCs w:val="24"/>
        </w:rPr>
        <w:t>Social Studies of Science</w:t>
      </w:r>
      <w:r w:rsidRPr="00AA4761">
        <w:rPr>
          <w:rFonts w:ascii="Arial" w:hAnsi="Arial" w:cs="Arial"/>
          <w:sz w:val="24"/>
          <w:szCs w:val="24"/>
        </w:rPr>
        <w:t>, 48(1), pp. 25–56.</w:t>
      </w:r>
    </w:p>
    <w:p w14:paraId="4683ACB3"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Teece, D.J. (2018) 'Tesla and the reshaping of the auto industry', </w:t>
      </w:r>
      <w:r w:rsidRPr="00AA4761">
        <w:rPr>
          <w:rFonts w:ascii="Arial" w:hAnsi="Arial" w:cs="Arial"/>
          <w:i/>
          <w:iCs/>
          <w:sz w:val="24"/>
          <w:szCs w:val="24"/>
        </w:rPr>
        <w:t>Management and Organization Review</w:t>
      </w:r>
      <w:r w:rsidRPr="00AA4761">
        <w:rPr>
          <w:rFonts w:ascii="Arial" w:hAnsi="Arial" w:cs="Arial"/>
          <w:sz w:val="24"/>
          <w:szCs w:val="24"/>
        </w:rPr>
        <w:t>, 14(3), pp. 501–512.</w:t>
      </w:r>
    </w:p>
    <w:p w14:paraId="44852D23"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Tesla (2023a) </w:t>
      </w:r>
      <w:r w:rsidRPr="00AA4761">
        <w:rPr>
          <w:rFonts w:ascii="Arial" w:hAnsi="Arial" w:cs="Arial"/>
          <w:i/>
          <w:iCs/>
          <w:sz w:val="24"/>
          <w:szCs w:val="24"/>
        </w:rPr>
        <w:t>About Tesla</w:t>
      </w:r>
      <w:r w:rsidRPr="00AA4761">
        <w:rPr>
          <w:rFonts w:ascii="Arial" w:hAnsi="Arial" w:cs="Arial"/>
          <w:sz w:val="24"/>
          <w:szCs w:val="24"/>
        </w:rPr>
        <w:t>. Available at: </w:t>
      </w:r>
      <w:hyperlink r:id="rId13" w:history="1">
        <w:r w:rsidRPr="00AA4761">
          <w:rPr>
            <w:rStyle w:val="Hyperlink"/>
            <w:rFonts w:ascii="Arial" w:hAnsi="Arial" w:cs="Arial"/>
            <w:sz w:val="24"/>
            <w:szCs w:val="24"/>
          </w:rPr>
          <w:t>https://www.tesla.com/about</w:t>
        </w:r>
      </w:hyperlink>
      <w:r w:rsidRPr="00AA4761">
        <w:rPr>
          <w:rFonts w:ascii="Arial" w:hAnsi="Arial" w:cs="Arial"/>
          <w:sz w:val="24"/>
          <w:szCs w:val="24"/>
        </w:rPr>
        <w:t> (Accessed: 10 March 2025).</w:t>
      </w:r>
    </w:p>
    <w:p w14:paraId="442176F3"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Tesla (2023b) </w:t>
      </w:r>
      <w:r w:rsidRPr="00AA4761">
        <w:rPr>
          <w:rFonts w:ascii="Arial" w:hAnsi="Arial" w:cs="Arial"/>
          <w:i/>
          <w:iCs/>
          <w:sz w:val="24"/>
          <w:szCs w:val="24"/>
        </w:rPr>
        <w:t>Tesla annual report 2022 (Form 10-K)</w:t>
      </w:r>
      <w:r w:rsidRPr="00AA4761">
        <w:rPr>
          <w:rFonts w:ascii="Arial" w:hAnsi="Arial" w:cs="Arial"/>
          <w:sz w:val="24"/>
          <w:szCs w:val="24"/>
        </w:rPr>
        <w:t>. Austin, TX: Tesla, Inc.</w:t>
      </w:r>
    </w:p>
    <w:p w14:paraId="52DD1CF2"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Tesla (2023c) </w:t>
      </w:r>
      <w:r w:rsidRPr="00AA4761">
        <w:rPr>
          <w:rFonts w:ascii="Arial" w:hAnsi="Arial" w:cs="Arial"/>
          <w:i/>
          <w:iCs/>
          <w:sz w:val="24"/>
          <w:szCs w:val="24"/>
        </w:rPr>
        <w:t>Tesla impact report 2022</w:t>
      </w:r>
      <w:r w:rsidRPr="00AA4761">
        <w:rPr>
          <w:rFonts w:ascii="Arial" w:hAnsi="Arial" w:cs="Arial"/>
          <w:sz w:val="24"/>
          <w:szCs w:val="24"/>
        </w:rPr>
        <w:t>. Austin, TX: Tesla, Inc.</w:t>
      </w:r>
    </w:p>
    <w:p w14:paraId="07AC537F"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Tesla (2024) </w:t>
      </w:r>
      <w:r w:rsidRPr="00AA4761">
        <w:rPr>
          <w:rFonts w:ascii="Arial" w:hAnsi="Arial" w:cs="Arial"/>
          <w:i/>
          <w:iCs/>
          <w:sz w:val="24"/>
          <w:szCs w:val="24"/>
        </w:rPr>
        <w:t>Tesla annual report 2023 (Form 10-K)</w:t>
      </w:r>
      <w:r w:rsidRPr="00AA4761">
        <w:rPr>
          <w:rFonts w:ascii="Arial" w:hAnsi="Arial" w:cs="Arial"/>
          <w:sz w:val="24"/>
          <w:szCs w:val="24"/>
        </w:rPr>
        <w:t>. Austin, TX: Tesla, Inc.</w:t>
      </w:r>
    </w:p>
    <w:p w14:paraId="790BF1F8"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United Nations (2015) </w:t>
      </w:r>
      <w:r w:rsidRPr="00AA4761">
        <w:rPr>
          <w:rFonts w:ascii="Arial" w:hAnsi="Arial" w:cs="Arial"/>
          <w:i/>
          <w:iCs/>
          <w:sz w:val="24"/>
          <w:szCs w:val="24"/>
        </w:rPr>
        <w:t>Transforming our world: the 2030 agenda for sustainable development</w:t>
      </w:r>
      <w:r w:rsidRPr="00AA4761">
        <w:rPr>
          <w:rFonts w:ascii="Arial" w:hAnsi="Arial" w:cs="Arial"/>
          <w:sz w:val="24"/>
          <w:szCs w:val="24"/>
        </w:rPr>
        <w:t>. New York: United Nations.</w:t>
      </w:r>
    </w:p>
    <w:p w14:paraId="5A4EB832"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US Department of Energy (2023) </w:t>
      </w:r>
      <w:r w:rsidRPr="00AA4761">
        <w:rPr>
          <w:rFonts w:ascii="Arial" w:hAnsi="Arial" w:cs="Arial"/>
          <w:i/>
          <w:iCs/>
          <w:sz w:val="24"/>
          <w:szCs w:val="24"/>
        </w:rPr>
        <w:t>Federal tax credits for new electric vehicles</w:t>
      </w:r>
      <w:r w:rsidRPr="00AA4761">
        <w:rPr>
          <w:rFonts w:ascii="Arial" w:hAnsi="Arial" w:cs="Arial"/>
          <w:sz w:val="24"/>
          <w:szCs w:val="24"/>
        </w:rPr>
        <w:t>. Washington, DC: US DOE.</w:t>
      </w:r>
    </w:p>
    <w:p w14:paraId="18FD2ECF"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Vance, A. (2015) </w:t>
      </w:r>
      <w:r w:rsidRPr="00AA4761">
        <w:rPr>
          <w:rFonts w:ascii="Arial" w:hAnsi="Arial" w:cs="Arial"/>
          <w:i/>
          <w:iCs/>
          <w:sz w:val="24"/>
          <w:szCs w:val="24"/>
        </w:rPr>
        <w:t>Elon Musk: how the billionaire CEO of SpaceX and Tesla is shaping our future</w:t>
      </w:r>
      <w:r w:rsidRPr="00AA4761">
        <w:rPr>
          <w:rFonts w:ascii="Arial" w:hAnsi="Arial" w:cs="Arial"/>
          <w:sz w:val="24"/>
          <w:szCs w:val="24"/>
        </w:rPr>
        <w:t>. London: Virgin Books.</w:t>
      </w:r>
    </w:p>
    <w:p w14:paraId="43F96A1B" w14:textId="77777777" w:rsidR="00AA4761" w:rsidRPr="00AA4761" w:rsidRDefault="00AA4761" w:rsidP="00AA4761">
      <w:pPr>
        <w:spacing w:line="360" w:lineRule="auto"/>
        <w:rPr>
          <w:rFonts w:ascii="Arial" w:hAnsi="Arial" w:cs="Arial"/>
          <w:sz w:val="24"/>
          <w:szCs w:val="24"/>
        </w:rPr>
      </w:pPr>
      <w:r w:rsidRPr="00AA4761">
        <w:rPr>
          <w:rFonts w:ascii="Arial" w:hAnsi="Arial" w:cs="Arial"/>
          <w:sz w:val="24"/>
          <w:szCs w:val="24"/>
        </w:rPr>
        <w:t>Wong, J.C. (2022) 'Tesla workplace culture under scrutiny amid discrimination and safety claims', </w:t>
      </w:r>
      <w:r w:rsidRPr="00AA4761">
        <w:rPr>
          <w:rFonts w:ascii="Arial" w:hAnsi="Arial" w:cs="Arial"/>
          <w:i/>
          <w:iCs/>
          <w:sz w:val="24"/>
          <w:szCs w:val="24"/>
        </w:rPr>
        <w:t>The Guardian</w:t>
      </w:r>
      <w:r w:rsidRPr="00AA4761">
        <w:rPr>
          <w:rFonts w:ascii="Arial" w:hAnsi="Arial" w:cs="Arial"/>
          <w:sz w:val="24"/>
          <w:szCs w:val="24"/>
        </w:rPr>
        <w:t>, 18 February. Available at: </w:t>
      </w:r>
      <w:hyperlink r:id="rId14" w:history="1">
        <w:r w:rsidRPr="00AA4761">
          <w:rPr>
            <w:rStyle w:val="Hyperlink"/>
            <w:rFonts w:ascii="Arial" w:hAnsi="Arial" w:cs="Arial"/>
            <w:sz w:val="24"/>
            <w:szCs w:val="24"/>
          </w:rPr>
          <w:t>https://www.theguardian.com</w:t>
        </w:r>
      </w:hyperlink>
      <w:r w:rsidRPr="00AA4761">
        <w:rPr>
          <w:rFonts w:ascii="Arial" w:hAnsi="Arial" w:cs="Arial"/>
          <w:sz w:val="24"/>
          <w:szCs w:val="24"/>
        </w:rPr>
        <w:t> (Accessed: 10 March 2025).</w:t>
      </w:r>
    </w:p>
    <w:p w14:paraId="52685C68" w14:textId="77777777" w:rsidR="002A5174" w:rsidRPr="00AA4761" w:rsidRDefault="002A5174" w:rsidP="00AA4761">
      <w:pPr>
        <w:spacing w:line="360" w:lineRule="auto"/>
        <w:rPr>
          <w:rFonts w:ascii="Arial" w:hAnsi="Arial" w:cs="Arial"/>
          <w:sz w:val="24"/>
          <w:szCs w:val="24"/>
        </w:rPr>
      </w:pPr>
    </w:p>
    <w:sectPr w:rsidR="002A5174" w:rsidRPr="00AA4761" w:rsidSect="000A18CD">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68C830" w14:textId="77777777" w:rsidR="00C54C1A" w:rsidRDefault="00C54C1A" w:rsidP="000A18CD">
      <w:pPr>
        <w:spacing w:after="0" w:line="240" w:lineRule="auto"/>
      </w:pPr>
      <w:r>
        <w:separator/>
      </w:r>
    </w:p>
  </w:endnote>
  <w:endnote w:type="continuationSeparator" w:id="0">
    <w:p w14:paraId="1FF97992" w14:textId="77777777" w:rsidR="00C54C1A" w:rsidRDefault="00C54C1A" w:rsidP="000A18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0578184"/>
      <w:docPartObj>
        <w:docPartGallery w:val="Page Numbers (Bottom of Page)"/>
        <w:docPartUnique/>
      </w:docPartObj>
    </w:sdtPr>
    <w:sdtEndPr>
      <w:rPr>
        <w:noProof/>
      </w:rPr>
    </w:sdtEndPr>
    <w:sdtContent>
      <w:p w14:paraId="5EC6E6D2" w14:textId="77777777" w:rsidR="000A18CD" w:rsidRDefault="00847310">
        <w:pPr>
          <w:pStyle w:val="Footer"/>
          <w:jc w:val="center"/>
        </w:pPr>
        <w:r>
          <w:fldChar w:fldCharType="begin"/>
        </w:r>
        <w:r w:rsidR="000A18CD">
          <w:instrText xml:space="preserve"> PAGE   \* MERGEFORMAT </w:instrText>
        </w:r>
        <w:r>
          <w:fldChar w:fldCharType="separate"/>
        </w:r>
        <w:r w:rsidR="008F7392">
          <w:rPr>
            <w:noProof/>
          </w:rPr>
          <w:t>1</w:t>
        </w:r>
        <w:r>
          <w:rPr>
            <w:noProof/>
          </w:rPr>
          <w:fldChar w:fldCharType="end"/>
        </w:r>
      </w:p>
    </w:sdtContent>
  </w:sdt>
  <w:p w14:paraId="0F91F676" w14:textId="77777777" w:rsidR="000A18CD" w:rsidRDefault="000A18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CBA15A" w14:textId="77777777" w:rsidR="00C54C1A" w:rsidRDefault="00C54C1A" w:rsidP="000A18CD">
      <w:pPr>
        <w:spacing w:after="0" w:line="240" w:lineRule="auto"/>
      </w:pPr>
      <w:r>
        <w:separator/>
      </w:r>
    </w:p>
  </w:footnote>
  <w:footnote w:type="continuationSeparator" w:id="0">
    <w:p w14:paraId="7B5D3EA1" w14:textId="77777777" w:rsidR="00C54C1A" w:rsidRDefault="00C54C1A" w:rsidP="000A18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631DB"/>
    <w:multiLevelType w:val="hybridMultilevel"/>
    <w:tmpl w:val="A54E3D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29076AC"/>
    <w:multiLevelType w:val="multilevel"/>
    <w:tmpl w:val="F2622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BE92825"/>
    <w:multiLevelType w:val="hybridMultilevel"/>
    <w:tmpl w:val="9FC020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6D15F7E"/>
    <w:multiLevelType w:val="multilevel"/>
    <w:tmpl w:val="731677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4461A9A"/>
    <w:multiLevelType w:val="hybridMultilevel"/>
    <w:tmpl w:val="929C11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6260460"/>
    <w:multiLevelType w:val="hybridMultilevel"/>
    <w:tmpl w:val="EDB02E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93F5F4E"/>
    <w:multiLevelType w:val="multilevel"/>
    <w:tmpl w:val="E7FC4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C0973DD"/>
    <w:multiLevelType w:val="multilevel"/>
    <w:tmpl w:val="7B8293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6"/>
  </w:num>
  <w:num w:numId="3">
    <w:abstractNumId w:val="3"/>
  </w:num>
  <w:num w:numId="4">
    <w:abstractNumId w:val="7"/>
  </w:num>
  <w:num w:numId="5">
    <w:abstractNumId w:val="5"/>
  </w:num>
  <w:num w:numId="6">
    <w:abstractNumId w:val="0"/>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761"/>
    <w:rsid w:val="000A18CD"/>
    <w:rsid w:val="000A4AEE"/>
    <w:rsid w:val="000F6519"/>
    <w:rsid w:val="002A5174"/>
    <w:rsid w:val="002F7121"/>
    <w:rsid w:val="00360F21"/>
    <w:rsid w:val="004A7935"/>
    <w:rsid w:val="004F59F3"/>
    <w:rsid w:val="006E2379"/>
    <w:rsid w:val="007315F9"/>
    <w:rsid w:val="00790B67"/>
    <w:rsid w:val="00847310"/>
    <w:rsid w:val="00871B2E"/>
    <w:rsid w:val="008959AB"/>
    <w:rsid w:val="008F7392"/>
    <w:rsid w:val="00907F4A"/>
    <w:rsid w:val="0092569C"/>
    <w:rsid w:val="00954CC6"/>
    <w:rsid w:val="009809D0"/>
    <w:rsid w:val="00A303AD"/>
    <w:rsid w:val="00A72A50"/>
    <w:rsid w:val="00AA4761"/>
    <w:rsid w:val="00B148D4"/>
    <w:rsid w:val="00B273B4"/>
    <w:rsid w:val="00BA4930"/>
    <w:rsid w:val="00C54C1A"/>
    <w:rsid w:val="00C96D17"/>
    <w:rsid w:val="00CB2DFF"/>
    <w:rsid w:val="00CF53F3"/>
    <w:rsid w:val="00D104B2"/>
    <w:rsid w:val="00D72ABE"/>
    <w:rsid w:val="00E04A6C"/>
    <w:rsid w:val="00E160ED"/>
    <w:rsid w:val="00E570DB"/>
    <w:rsid w:val="00F4662F"/>
    <w:rsid w:val="00FA7F9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7248B"/>
  <w15:docId w15:val="{131009AB-5028-4BBF-A99A-1A13952C2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7310"/>
    <w:rPr>
      <w:rFonts w:cs="Vrinda"/>
    </w:rPr>
  </w:style>
  <w:style w:type="paragraph" w:styleId="Heading1">
    <w:name w:val="heading 1"/>
    <w:basedOn w:val="Normal"/>
    <w:next w:val="Normal"/>
    <w:link w:val="Heading1Char"/>
    <w:uiPriority w:val="9"/>
    <w:qFormat/>
    <w:rsid w:val="00AA4761"/>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AA4761"/>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AA4761"/>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AA47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47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47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47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47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47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4761"/>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AA4761"/>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AA4761"/>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AA47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47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47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47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47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4761"/>
    <w:rPr>
      <w:rFonts w:eastAsiaTheme="majorEastAsia" w:cstheme="majorBidi"/>
      <w:color w:val="272727" w:themeColor="text1" w:themeTint="D8"/>
    </w:rPr>
  </w:style>
  <w:style w:type="paragraph" w:styleId="Title">
    <w:name w:val="Title"/>
    <w:basedOn w:val="Normal"/>
    <w:next w:val="Normal"/>
    <w:link w:val="TitleChar"/>
    <w:uiPriority w:val="10"/>
    <w:qFormat/>
    <w:rsid w:val="00AA4761"/>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AA4761"/>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AA4761"/>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AA4761"/>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AA4761"/>
    <w:pPr>
      <w:spacing w:before="160"/>
      <w:jc w:val="center"/>
    </w:pPr>
    <w:rPr>
      <w:i/>
      <w:iCs/>
      <w:color w:val="404040" w:themeColor="text1" w:themeTint="BF"/>
    </w:rPr>
  </w:style>
  <w:style w:type="character" w:customStyle="1" w:styleId="QuoteChar">
    <w:name w:val="Quote Char"/>
    <w:basedOn w:val="DefaultParagraphFont"/>
    <w:link w:val="Quote"/>
    <w:uiPriority w:val="29"/>
    <w:rsid w:val="00AA4761"/>
    <w:rPr>
      <w:rFonts w:cs="Vrinda"/>
      <w:i/>
      <w:iCs/>
      <w:color w:val="404040" w:themeColor="text1" w:themeTint="BF"/>
    </w:rPr>
  </w:style>
  <w:style w:type="paragraph" w:styleId="ListParagraph">
    <w:name w:val="List Paragraph"/>
    <w:basedOn w:val="Normal"/>
    <w:uiPriority w:val="34"/>
    <w:qFormat/>
    <w:rsid w:val="00AA4761"/>
    <w:pPr>
      <w:ind w:left="720"/>
      <w:contextualSpacing/>
    </w:pPr>
  </w:style>
  <w:style w:type="character" w:styleId="IntenseEmphasis">
    <w:name w:val="Intense Emphasis"/>
    <w:basedOn w:val="DefaultParagraphFont"/>
    <w:uiPriority w:val="21"/>
    <w:qFormat/>
    <w:rsid w:val="00AA4761"/>
    <w:rPr>
      <w:i/>
      <w:iCs/>
      <w:color w:val="0F4761" w:themeColor="accent1" w:themeShade="BF"/>
    </w:rPr>
  </w:style>
  <w:style w:type="paragraph" w:styleId="IntenseQuote">
    <w:name w:val="Intense Quote"/>
    <w:basedOn w:val="Normal"/>
    <w:next w:val="Normal"/>
    <w:link w:val="IntenseQuoteChar"/>
    <w:uiPriority w:val="30"/>
    <w:qFormat/>
    <w:rsid w:val="00AA47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4761"/>
    <w:rPr>
      <w:rFonts w:cs="Vrinda"/>
      <w:i/>
      <w:iCs/>
      <w:color w:val="0F4761" w:themeColor="accent1" w:themeShade="BF"/>
    </w:rPr>
  </w:style>
  <w:style w:type="character" w:styleId="IntenseReference">
    <w:name w:val="Intense Reference"/>
    <w:basedOn w:val="DefaultParagraphFont"/>
    <w:uiPriority w:val="32"/>
    <w:qFormat/>
    <w:rsid w:val="00AA4761"/>
    <w:rPr>
      <w:b/>
      <w:bCs/>
      <w:smallCaps/>
      <w:color w:val="0F4761" w:themeColor="accent1" w:themeShade="BF"/>
      <w:spacing w:val="5"/>
    </w:rPr>
  </w:style>
  <w:style w:type="character" w:styleId="Hyperlink">
    <w:name w:val="Hyperlink"/>
    <w:basedOn w:val="DefaultParagraphFont"/>
    <w:uiPriority w:val="99"/>
    <w:unhideWhenUsed/>
    <w:rsid w:val="00AA4761"/>
    <w:rPr>
      <w:color w:val="467886" w:themeColor="hyperlink"/>
      <w:u w:val="single"/>
    </w:rPr>
  </w:style>
  <w:style w:type="character" w:customStyle="1" w:styleId="UnresolvedMention1">
    <w:name w:val="Unresolved Mention1"/>
    <w:basedOn w:val="DefaultParagraphFont"/>
    <w:uiPriority w:val="99"/>
    <w:semiHidden/>
    <w:unhideWhenUsed/>
    <w:rsid w:val="00AA4761"/>
    <w:rPr>
      <w:color w:val="605E5C"/>
      <w:shd w:val="clear" w:color="auto" w:fill="E1DFDD"/>
    </w:rPr>
  </w:style>
  <w:style w:type="table" w:styleId="TableGrid">
    <w:name w:val="Table Grid"/>
    <w:basedOn w:val="TableNormal"/>
    <w:uiPriority w:val="39"/>
    <w:rsid w:val="00AA47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A18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18CD"/>
    <w:rPr>
      <w:rFonts w:cs="Vrinda"/>
    </w:rPr>
  </w:style>
  <w:style w:type="paragraph" w:styleId="Footer">
    <w:name w:val="footer"/>
    <w:basedOn w:val="Normal"/>
    <w:link w:val="FooterChar"/>
    <w:uiPriority w:val="99"/>
    <w:unhideWhenUsed/>
    <w:rsid w:val="000A18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18CD"/>
    <w:rPr>
      <w:rFonts w:cs="Vrinda"/>
    </w:rPr>
  </w:style>
  <w:style w:type="paragraph" w:styleId="BalloonText">
    <w:name w:val="Balloon Text"/>
    <w:basedOn w:val="Normal"/>
    <w:link w:val="BalloonTextChar"/>
    <w:uiPriority w:val="99"/>
    <w:semiHidden/>
    <w:unhideWhenUsed/>
    <w:rsid w:val="00360F21"/>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360F21"/>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240015">
      <w:bodyDiv w:val="1"/>
      <w:marLeft w:val="0"/>
      <w:marRight w:val="0"/>
      <w:marTop w:val="0"/>
      <w:marBottom w:val="0"/>
      <w:divBdr>
        <w:top w:val="none" w:sz="0" w:space="0" w:color="auto"/>
        <w:left w:val="none" w:sz="0" w:space="0" w:color="auto"/>
        <w:bottom w:val="none" w:sz="0" w:space="0" w:color="auto"/>
        <w:right w:val="none" w:sz="0" w:space="0" w:color="auto"/>
      </w:divBdr>
      <w:divsChild>
        <w:div w:id="115391155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8666748">
      <w:bodyDiv w:val="1"/>
      <w:marLeft w:val="0"/>
      <w:marRight w:val="0"/>
      <w:marTop w:val="0"/>
      <w:marBottom w:val="0"/>
      <w:divBdr>
        <w:top w:val="none" w:sz="0" w:space="0" w:color="auto"/>
        <w:left w:val="none" w:sz="0" w:space="0" w:color="auto"/>
        <w:bottom w:val="none" w:sz="0" w:space="0" w:color="auto"/>
        <w:right w:val="none" w:sz="0" w:space="0" w:color="auto"/>
      </w:divBdr>
    </w:div>
    <w:div w:id="291594732">
      <w:bodyDiv w:val="1"/>
      <w:marLeft w:val="0"/>
      <w:marRight w:val="0"/>
      <w:marTop w:val="0"/>
      <w:marBottom w:val="0"/>
      <w:divBdr>
        <w:top w:val="none" w:sz="0" w:space="0" w:color="auto"/>
        <w:left w:val="none" w:sz="0" w:space="0" w:color="auto"/>
        <w:bottom w:val="none" w:sz="0" w:space="0" w:color="auto"/>
        <w:right w:val="none" w:sz="0" w:space="0" w:color="auto"/>
      </w:divBdr>
      <w:divsChild>
        <w:div w:id="74025028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98080499">
      <w:bodyDiv w:val="1"/>
      <w:marLeft w:val="0"/>
      <w:marRight w:val="0"/>
      <w:marTop w:val="0"/>
      <w:marBottom w:val="0"/>
      <w:divBdr>
        <w:top w:val="none" w:sz="0" w:space="0" w:color="auto"/>
        <w:left w:val="none" w:sz="0" w:space="0" w:color="auto"/>
        <w:bottom w:val="none" w:sz="0" w:space="0" w:color="auto"/>
        <w:right w:val="none" w:sz="0" w:space="0" w:color="auto"/>
      </w:divBdr>
    </w:div>
    <w:div w:id="1106542362">
      <w:bodyDiv w:val="1"/>
      <w:marLeft w:val="0"/>
      <w:marRight w:val="0"/>
      <w:marTop w:val="0"/>
      <w:marBottom w:val="0"/>
      <w:divBdr>
        <w:top w:val="none" w:sz="0" w:space="0" w:color="auto"/>
        <w:left w:val="none" w:sz="0" w:space="0" w:color="auto"/>
        <w:bottom w:val="none" w:sz="0" w:space="0" w:color="auto"/>
        <w:right w:val="none" w:sz="0" w:space="0" w:color="auto"/>
      </w:divBdr>
      <w:divsChild>
        <w:div w:id="190895556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oomberg.com/" TargetMode="External"/><Relationship Id="rId13" Type="http://schemas.openxmlformats.org/officeDocument/2006/relationships/hyperlink" Target="https://www.tesla.com/about"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spglobal.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sla.com/blog"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hbr.org/" TargetMode="External"/><Relationship Id="rId4" Type="http://schemas.openxmlformats.org/officeDocument/2006/relationships/webSettings" Target="webSettings.xml"/><Relationship Id="rId9" Type="http://schemas.openxmlformats.org/officeDocument/2006/relationships/hyperlink" Target="https://aswathdamodaran.blogspot.com/" TargetMode="External"/><Relationship Id="rId14" Type="http://schemas.openxmlformats.org/officeDocument/2006/relationships/hyperlink" Target="https://www.theguardia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29</Pages>
  <Words>7052</Words>
  <Characters>40197</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Sykat Sen</dc:creator>
  <cp:keywords/>
  <dc:description/>
  <cp:lastModifiedBy>Sifat Al Galib</cp:lastModifiedBy>
  <cp:revision>2</cp:revision>
  <dcterms:created xsi:type="dcterms:W3CDTF">2026-04-01T04:19:00Z</dcterms:created>
  <dcterms:modified xsi:type="dcterms:W3CDTF">2026-04-01T04:19:00Z</dcterms:modified>
</cp:coreProperties>
</file>