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857C2D2">
      <w:pPr>
        <w:jc w:val="center"/>
        <w:rPr>
          <w:rFonts w:asciiTheme="minorBidi" w:hAnsiTheme="minorBidi"/>
        </w:rPr>
      </w:pPr>
      <w:r>
        <w:rPr>
          <w:rFonts w:asciiTheme="minorBidi" w:hAnsiTheme="minorBidi"/>
        </w:rP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rPr>
          <w:rFonts w:asciiTheme="minorBidi" w:hAnsiTheme="minorBidi"/>
        </w:rPr>
        <w:fldChar w:fldCharType="begin"/>
      </w:r>
      <w:r>
        <w:rPr>
          <w:rFonts w:asciiTheme="minorBidi" w:hAnsiTheme="minorBidi"/>
        </w:rPr>
        <w:instrText xml:space="preserve"> INCLUDEPICTURE "C:\\Users\\AzZedin01\\Library\\Group Containers\\UBF8T346G9.ms\\WebArchiveCopyPasteTempFiles\\com.microsoft.Word\\8P2xdp3q1g646AAAAAElFTkSuQmCC" \* MERGEFORMAT </w:instrText>
      </w:r>
      <w:r>
        <w:rPr>
          <w:rFonts w:asciiTheme="minorBidi" w:hAnsiTheme="minorBidi"/>
        </w:rPr>
        <w:fldChar w:fldCharType="separate"/>
      </w:r>
      <w:r>
        <w:rPr>
          <w:rFonts w:asciiTheme="minorBidi" w:hAnsiTheme="minorBidi"/>
        </w:rPr>
        <w:fldChar w:fldCharType="end"/>
      </w:r>
    </w:p>
    <w:p w14:paraId="020B9CFF">
      <w:pPr>
        <w:jc w:val="center"/>
        <w:rPr>
          <w:rFonts w:hint="default" w:asciiTheme="minorBidi" w:hAnsiTheme="minorBidi"/>
          <w:b/>
          <w:bCs/>
          <w:sz w:val="28"/>
          <w:szCs w:val="28"/>
          <w:lang w:val="en-IN"/>
        </w:rPr>
      </w:pPr>
      <w:r>
        <w:rPr>
          <w:rFonts w:asciiTheme="minorBidi" w:hAnsiTheme="minorBidi"/>
          <w:b/>
          <w:bCs/>
          <w:sz w:val="28"/>
          <w:szCs w:val="28"/>
        </w:rPr>
        <w:t>Student Name:</w:t>
      </w:r>
      <w:r>
        <w:rPr>
          <w:rFonts w:hint="default" w:asciiTheme="minorBidi" w:hAnsiTheme="minorBidi"/>
          <w:b/>
          <w:bCs/>
          <w:sz w:val="28"/>
          <w:szCs w:val="28"/>
          <w:lang w:val="en-IN"/>
        </w:rPr>
        <w:t xml:space="preserve"> Kavya Raghuraman</w:t>
      </w:r>
    </w:p>
    <w:p w14:paraId="2AAC98E7">
      <w:pPr>
        <w:jc w:val="center"/>
        <w:rPr>
          <w:rFonts w:asciiTheme="minorBidi" w:hAnsiTheme="minorBidi"/>
          <w:b/>
          <w:bCs/>
          <w:sz w:val="28"/>
          <w:szCs w:val="28"/>
        </w:rPr>
      </w:pPr>
    </w:p>
    <w:p w14:paraId="586C6996">
      <w:pPr>
        <w:jc w:val="center"/>
        <w:rPr>
          <w:rFonts w:hint="default" w:asciiTheme="minorBidi" w:hAnsiTheme="minorBidi"/>
          <w:b/>
          <w:bCs/>
          <w:sz w:val="28"/>
          <w:szCs w:val="28"/>
          <w:lang w:val="en-IN"/>
        </w:rPr>
      </w:pPr>
      <w:r>
        <w:rPr>
          <w:rFonts w:asciiTheme="minorBidi" w:hAnsiTheme="minorBidi"/>
          <w:b/>
          <w:bCs/>
          <w:sz w:val="28"/>
          <w:szCs w:val="28"/>
        </w:rPr>
        <w:t>Student ID:</w:t>
      </w:r>
      <w:r>
        <w:rPr>
          <w:rFonts w:hint="default" w:asciiTheme="minorBidi" w:hAnsiTheme="minorBidi"/>
          <w:b/>
          <w:bCs/>
          <w:sz w:val="28"/>
          <w:szCs w:val="28"/>
          <w:lang w:val="en-IN"/>
        </w:rPr>
        <w:t xml:space="preserve"> 2519354</w:t>
      </w:r>
    </w:p>
    <w:p w14:paraId="27AE9133">
      <w:pPr>
        <w:jc w:val="center"/>
        <w:rPr>
          <w:rFonts w:asciiTheme="minorBidi" w:hAnsiTheme="minorBidi"/>
          <w:b/>
          <w:bCs/>
          <w:sz w:val="28"/>
          <w:szCs w:val="28"/>
        </w:rPr>
      </w:pPr>
    </w:p>
    <w:p w14:paraId="37F10C9F">
      <w:pPr>
        <w:jc w:val="center"/>
        <w:rPr>
          <w:rFonts w:hint="default" w:asciiTheme="minorBidi" w:hAnsiTheme="minorBidi"/>
          <w:b/>
          <w:bCs/>
          <w:sz w:val="28"/>
          <w:szCs w:val="28"/>
          <w:lang w:val="en-IN"/>
        </w:rPr>
      </w:pPr>
      <w:r>
        <w:rPr>
          <w:rFonts w:asciiTheme="minorBidi" w:hAnsiTheme="minorBidi"/>
          <w:b/>
          <w:bCs/>
          <w:sz w:val="28"/>
          <w:szCs w:val="28"/>
        </w:rPr>
        <w:t>Module Name:</w:t>
      </w:r>
      <w:r>
        <w:rPr>
          <w:rFonts w:hint="default" w:asciiTheme="minorBidi" w:hAnsiTheme="minorBidi"/>
          <w:b/>
          <w:bCs/>
          <w:sz w:val="28"/>
          <w:szCs w:val="28"/>
          <w:lang w:val="en-IN"/>
        </w:rPr>
        <w:t xml:space="preserve"> Human Capital Management</w:t>
      </w:r>
    </w:p>
    <w:p w14:paraId="7D2ED74E">
      <w:pPr>
        <w:jc w:val="center"/>
        <w:rPr>
          <w:rFonts w:asciiTheme="minorBidi" w:hAnsiTheme="minorBidi"/>
          <w:b/>
          <w:bCs/>
          <w:sz w:val="28"/>
          <w:szCs w:val="28"/>
        </w:rPr>
      </w:pPr>
    </w:p>
    <w:p w14:paraId="0794A99E">
      <w:pPr>
        <w:jc w:val="center"/>
        <w:rPr>
          <w:rFonts w:asciiTheme="minorBidi" w:hAnsiTheme="minorBidi"/>
          <w:b/>
          <w:bCs/>
          <w:sz w:val="28"/>
          <w:szCs w:val="28"/>
        </w:rPr>
      </w:pPr>
      <w:r>
        <w:rPr>
          <w:rFonts w:asciiTheme="minorBidi" w:hAnsiTheme="minorBidi"/>
          <w:b/>
          <w:bCs/>
          <w:sz w:val="28"/>
          <w:szCs w:val="28"/>
        </w:rPr>
        <w:t>Module Code: LCMB7024</w:t>
      </w:r>
    </w:p>
    <w:p w14:paraId="242318AB">
      <w:pPr>
        <w:jc w:val="center"/>
        <w:rPr>
          <w:rFonts w:asciiTheme="minorBidi" w:hAnsiTheme="minorBidi"/>
          <w:b/>
          <w:bCs/>
          <w:sz w:val="28"/>
          <w:szCs w:val="28"/>
        </w:rPr>
      </w:pPr>
    </w:p>
    <w:p w14:paraId="1C05EEAE">
      <w:pPr>
        <w:jc w:val="center"/>
        <w:rPr>
          <w:rFonts w:hint="default" w:asciiTheme="minorBidi" w:hAnsiTheme="minorBidi"/>
          <w:b/>
          <w:bCs/>
          <w:sz w:val="28"/>
          <w:szCs w:val="28"/>
          <w:lang w:val="en-IN"/>
        </w:rPr>
      </w:pPr>
      <w:r>
        <w:rPr>
          <w:rFonts w:asciiTheme="minorBidi" w:hAnsiTheme="minorBidi"/>
          <w:b/>
          <w:bCs/>
          <w:sz w:val="28"/>
          <w:szCs w:val="28"/>
        </w:rPr>
        <w:t>Lecturer’s Name:</w:t>
      </w:r>
      <w:r>
        <w:rPr>
          <w:rFonts w:hint="default" w:asciiTheme="minorBidi" w:hAnsiTheme="minorBidi"/>
          <w:b/>
          <w:bCs/>
          <w:sz w:val="28"/>
          <w:szCs w:val="28"/>
          <w:lang w:val="en-IN"/>
        </w:rPr>
        <w:t xml:space="preserve"> Lakshani Nissanga Mendis</w:t>
      </w:r>
    </w:p>
    <w:p w14:paraId="26CFA32B">
      <w:pPr>
        <w:jc w:val="center"/>
        <w:rPr>
          <w:rFonts w:asciiTheme="minorBidi" w:hAnsiTheme="minorBidi"/>
          <w:b/>
          <w:bCs/>
          <w:sz w:val="28"/>
          <w:szCs w:val="28"/>
        </w:rPr>
      </w:pPr>
    </w:p>
    <w:p w14:paraId="39FE983B">
      <w:pPr>
        <w:jc w:val="center"/>
        <w:rPr>
          <w:rFonts w:hint="default" w:asciiTheme="minorBidi" w:hAnsiTheme="minorBidi"/>
          <w:b/>
          <w:bCs/>
          <w:sz w:val="28"/>
          <w:szCs w:val="28"/>
          <w:lang w:val="en-IN"/>
        </w:rPr>
      </w:pPr>
      <w:r>
        <w:rPr>
          <w:rFonts w:asciiTheme="minorBidi" w:hAnsiTheme="minorBidi"/>
          <w:b/>
          <w:bCs/>
          <w:sz w:val="28"/>
          <w:szCs w:val="28"/>
        </w:rPr>
        <w:t>Work Count:</w:t>
      </w:r>
      <w:r>
        <w:rPr>
          <w:rFonts w:hint="default" w:asciiTheme="minorBidi" w:hAnsiTheme="minorBidi"/>
          <w:b/>
          <w:bCs/>
          <w:sz w:val="28"/>
          <w:szCs w:val="28"/>
          <w:lang w:val="en-IN"/>
        </w:rPr>
        <w:t xml:space="preserve"> 2694</w:t>
      </w:r>
    </w:p>
    <w:p w14:paraId="46222B15">
      <w:pPr>
        <w:jc w:val="center"/>
        <w:rPr>
          <w:rFonts w:hint="default" w:asciiTheme="minorBidi" w:hAnsiTheme="minorBidi"/>
          <w:b/>
          <w:bCs/>
          <w:sz w:val="28"/>
          <w:szCs w:val="28"/>
          <w:lang w:val="en-IN"/>
        </w:rPr>
      </w:pPr>
    </w:p>
    <w:p w14:paraId="720D0029">
      <w:pPr>
        <w:spacing w:before="240" w:after="240"/>
        <w:jc w:val="center"/>
        <w:rPr>
          <w:b/>
          <w:bCs/>
          <w:sz w:val="40"/>
          <w:szCs w:val="40"/>
        </w:rPr>
      </w:pPr>
      <w:bookmarkStart w:id="10" w:name="_GoBack"/>
      <w:bookmarkEnd w:id="10"/>
    </w:p>
    <w:p w14:paraId="19493114">
      <w:pPr>
        <w:spacing w:before="240" w:after="240"/>
        <w:jc w:val="center"/>
        <w:rPr>
          <w:b/>
          <w:bCs/>
          <w:sz w:val="40"/>
          <w:szCs w:val="40"/>
        </w:rPr>
      </w:pPr>
    </w:p>
    <w:p w14:paraId="38DBD774">
      <w:pPr>
        <w:spacing w:before="240" w:after="240"/>
        <w:jc w:val="center"/>
        <w:rPr>
          <w:b/>
          <w:bCs/>
          <w:sz w:val="40"/>
          <w:szCs w:val="40"/>
        </w:rPr>
      </w:pPr>
    </w:p>
    <w:p w14:paraId="4A780D30">
      <w:pPr>
        <w:spacing w:before="240" w:after="240"/>
        <w:jc w:val="center"/>
        <w:rPr>
          <w:b/>
          <w:bCs/>
          <w:sz w:val="40"/>
          <w:szCs w:val="40"/>
        </w:rPr>
      </w:pPr>
    </w:p>
    <w:p w14:paraId="203E3C6E">
      <w:pPr>
        <w:jc w:val="center"/>
        <w:rPr>
          <w:rFonts w:asciiTheme="minorBidi" w:hAnsiTheme="minorBidi"/>
          <w:b/>
          <w:bCs/>
          <w:sz w:val="40"/>
          <w:szCs w:val="40"/>
        </w:rPr>
      </w:pPr>
      <w:r>
        <w:rPr>
          <w:rFonts w:asciiTheme="minorBidi" w:hAnsiTheme="minorBidi"/>
          <w:b/>
          <w:bCs/>
          <w:sz w:val="40"/>
          <w:szCs w:val="40"/>
        </w:rPr>
        <w:t>Term 1</w:t>
      </w:r>
    </w:p>
    <w:p w14:paraId="0F05F2CA">
      <w:pPr>
        <w:spacing w:before="240" w:after="240"/>
        <w:jc w:val="center"/>
        <w:rPr>
          <w:b/>
          <w:bCs/>
          <w:sz w:val="40"/>
          <w:szCs w:val="40"/>
        </w:rPr>
      </w:pPr>
    </w:p>
    <w:p w14:paraId="141C4964">
      <w:pPr>
        <w:spacing w:before="240" w:after="240"/>
        <w:jc w:val="center"/>
        <w:rPr>
          <w:b/>
          <w:bCs/>
          <w:sz w:val="40"/>
          <w:szCs w:val="40"/>
        </w:rPr>
      </w:pPr>
      <w:r>
        <w:rPr>
          <w:b/>
          <w:bCs/>
          <w:sz w:val="40"/>
          <w:szCs w:val="40"/>
        </w:rPr>
        <w:t>Integrated Human Capital Blueprint of Aether Innovations: Re-engineering Performance and Job Design</w:t>
      </w:r>
    </w:p>
    <w:p w14:paraId="1C382DC3">
      <w:r>
        <w:br w:type="page"/>
      </w:r>
    </w:p>
    <w:sdt>
      <w:sdtPr>
        <w:rPr>
          <w:rFonts w:ascii="Times New Roman" w:hAnsi="Times New Roman" w:eastAsia="Times New Roman" w:cs="Times New Roman"/>
          <w:b w:val="0"/>
          <w:bCs w:val="0"/>
          <w:color w:val="auto"/>
          <w:sz w:val="24"/>
          <w:szCs w:val="24"/>
          <w:lang w:val="en-IN" w:eastAsia="en-IN"/>
        </w:rPr>
        <w:id w:val="1722025297"/>
        <w:docPartObj>
          <w:docPartGallery w:val="Table of Contents"/>
          <w:docPartUnique/>
        </w:docPartObj>
      </w:sdtPr>
      <w:sdtEndPr>
        <w:rPr>
          <w:rFonts w:ascii="Times New Roman" w:hAnsi="Times New Roman" w:eastAsia="Times New Roman" w:cs="Times New Roman"/>
          <w:b w:val="0"/>
          <w:bCs w:val="0"/>
          <w:color w:val="auto"/>
          <w:sz w:val="24"/>
          <w:szCs w:val="24"/>
          <w:lang w:val="en-IN" w:eastAsia="en-IN"/>
        </w:rPr>
      </w:sdtEndPr>
      <w:sdtContent>
        <w:p w14:paraId="324060AA">
          <w:pPr>
            <w:pStyle w:val="18"/>
            <w:spacing w:line="360" w:lineRule="auto"/>
            <w:jc w:val="center"/>
            <w:rPr>
              <w:rFonts w:ascii="Times New Roman" w:hAnsi="Times New Roman" w:cs="Times New Roman"/>
              <w:color w:val="auto"/>
            </w:rPr>
          </w:pPr>
          <w:r>
            <w:rPr>
              <w:rFonts w:ascii="Times New Roman" w:hAnsi="Times New Roman" w:cs="Times New Roman"/>
              <w:color w:val="auto"/>
            </w:rPr>
            <w:t>Table of Contents</w:t>
          </w:r>
        </w:p>
        <w:p w14:paraId="6AC936E4">
          <w:pPr>
            <w:pStyle w:val="14"/>
            <w:tabs>
              <w:tab w:val="right" w:leader="dot" w:pos="9350"/>
            </w:tabs>
            <w:rPr>
              <w:rFonts w:asciiTheme="minorHAnsi" w:hAnsiTheme="minorHAnsi" w:eastAsiaTheme="minorEastAsia" w:cstheme="minorBidi"/>
              <w:sz w:val="22"/>
              <w:szCs w:val="22"/>
            </w:rPr>
          </w:pPr>
          <w:r>
            <w:fldChar w:fldCharType="begin"/>
          </w:r>
          <w:r>
            <w:instrText xml:space="preserve"> TOC \o "1-3" \h \z \u </w:instrText>
          </w:r>
          <w:r>
            <w:fldChar w:fldCharType="separate"/>
          </w:r>
          <w:r>
            <w:fldChar w:fldCharType="begin"/>
          </w:r>
          <w:r>
            <w:instrText xml:space="preserve"> HYPERLINK \l "_Toc224832164" </w:instrText>
          </w:r>
          <w:r>
            <w:fldChar w:fldCharType="separate"/>
          </w:r>
          <w:r>
            <w:rPr>
              <w:rStyle w:val="11"/>
            </w:rPr>
            <w:t>Introduction</w:t>
          </w:r>
          <w:r>
            <w:tab/>
          </w:r>
          <w:r>
            <w:fldChar w:fldCharType="begin"/>
          </w:r>
          <w:r>
            <w:instrText xml:space="preserve"> PAGEREF _Toc224832164 \h </w:instrText>
          </w:r>
          <w:r>
            <w:fldChar w:fldCharType="separate"/>
          </w:r>
          <w:r>
            <w:t>3</w:t>
          </w:r>
          <w:r>
            <w:fldChar w:fldCharType="end"/>
          </w:r>
          <w:r>
            <w:fldChar w:fldCharType="end"/>
          </w:r>
        </w:p>
        <w:p w14:paraId="444BC090">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"_Toc224832165" </w:instrText>
          </w:r>
          <w:r>
            <w:fldChar w:fldCharType="separate"/>
          </w:r>
          <w:r>
            <w:rPr>
              <w:rStyle w:val="11"/>
            </w:rPr>
            <w:t>Part 1</w:t>
          </w:r>
          <w:r>
            <w:tab/>
          </w:r>
          <w:r>
            <w:fldChar w:fldCharType="begin"/>
          </w:r>
          <w:r>
            <w:instrText xml:space="preserve"> PAGEREF _Toc224832165 \h </w:instrText>
          </w:r>
          <w:r>
            <w:fldChar w:fldCharType="separate"/>
          </w:r>
          <w:r>
            <w:t>3</w:t>
          </w:r>
          <w:r>
            <w:fldChar w:fldCharType="end"/>
          </w:r>
          <w:r>
            <w:fldChar w:fldCharType="end"/>
          </w:r>
        </w:p>
        <w:p w14:paraId="29273858">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"_Toc224832166" </w:instrText>
          </w:r>
          <w:r>
            <w:fldChar w:fldCharType="separate"/>
          </w:r>
          <w:r>
            <w:rPr>
              <w:rStyle w:val="11"/>
            </w:rPr>
            <w:t>Current HRM practices and their critical analysis</w:t>
          </w:r>
          <w:r>
            <w:tab/>
          </w:r>
          <w:r>
            <w:fldChar w:fldCharType="begin"/>
          </w:r>
          <w:r>
            <w:instrText xml:space="preserve"> PAGEREF _Toc224832166 \h </w:instrText>
          </w:r>
          <w:r>
            <w:fldChar w:fldCharType="separate"/>
          </w:r>
          <w:r>
            <w:t>3</w:t>
          </w:r>
          <w:r>
            <w:fldChar w:fldCharType="end"/>
          </w:r>
          <w:r>
            <w:fldChar w:fldCharType="end"/>
          </w:r>
        </w:p>
        <w:p w14:paraId="60A94E40">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"_Toc224832167" </w:instrText>
          </w:r>
          <w:r>
            <w:fldChar w:fldCharType="separate"/>
          </w:r>
          <w:r>
            <w:rPr>
              <w:rStyle w:val="11"/>
            </w:rPr>
            <w:t>Job designing based on the job characteristics model</w:t>
          </w:r>
          <w:r>
            <w:tab/>
          </w:r>
          <w:r>
            <w:fldChar w:fldCharType="begin"/>
          </w:r>
          <w:r>
            <w:instrText xml:space="preserve"> PAGEREF _Toc224832167 \h </w:instrText>
          </w:r>
          <w:r>
            <w:fldChar w:fldCharType="separate"/>
          </w:r>
          <w:r>
            <w:t>4</w:t>
          </w:r>
          <w:r>
            <w:fldChar w:fldCharType="end"/>
          </w:r>
          <w:r>
            <w:fldChar w:fldCharType="end"/>
          </w:r>
        </w:p>
        <w:p w14:paraId="5A2BD5A0">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"_Toc224832168" </w:instrText>
          </w:r>
          <w:r>
            <w:fldChar w:fldCharType="separate"/>
          </w:r>
          <w:r>
            <w:rPr>
              <w:rStyle w:val="11"/>
            </w:rPr>
            <w:t>Justification</w:t>
          </w:r>
          <w:r>
            <w:tab/>
          </w:r>
          <w:r>
            <w:fldChar w:fldCharType="begin"/>
          </w:r>
          <w:r>
            <w:instrText xml:space="preserve"> PAGEREF _Toc224832168 \h </w:instrText>
          </w:r>
          <w:r>
            <w:fldChar w:fldCharType="separate"/>
          </w:r>
          <w:r>
            <w:t>8</w:t>
          </w:r>
          <w:r>
            <w:fldChar w:fldCharType="end"/>
          </w:r>
          <w:r>
            <w:fldChar w:fldCharType="end"/>
          </w:r>
        </w:p>
        <w:p w14:paraId="5EAF35F0">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"_Toc224832169" </w:instrText>
          </w:r>
          <w:r>
            <w:fldChar w:fldCharType="separate"/>
          </w:r>
          <w:r>
            <w:rPr>
              <w:rStyle w:val="11"/>
            </w:rPr>
            <w:t>Job performance and Job design integration</w:t>
          </w:r>
          <w:r>
            <w:tab/>
          </w:r>
          <w:r>
            <w:fldChar w:fldCharType="begin"/>
          </w:r>
          <w:r>
            <w:instrText xml:space="preserve"> PAGEREF _Toc224832169 \h </w:instrText>
          </w:r>
          <w:r>
            <w:fldChar w:fldCharType="separate"/>
          </w:r>
          <w:r>
            <w:t>9</w:t>
          </w:r>
          <w:r>
            <w:fldChar w:fldCharType="end"/>
          </w:r>
          <w:r>
            <w:fldChar w:fldCharType="end"/>
          </w:r>
        </w:p>
        <w:p w14:paraId="02B517BA">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"_Toc224832170" </w:instrText>
          </w:r>
          <w:r>
            <w:fldChar w:fldCharType="separate"/>
          </w:r>
          <w:r>
            <w:rPr>
              <w:rStyle w:val="11"/>
            </w:rPr>
            <w:t>Part 2: Reflection</w:t>
          </w:r>
          <w:r>
            <w:tab/>
          </w:r>
          <w:r>
            <w:fldChar w:fldCharType="begin"/>
          </w:r>
          <w:r>
            <w:instrText xml:space="preserve"> PAGEREF _Toc224832170 \h </w:instrText>
          </w:r>
          <w:r>
            <w:fldChar w:fldCharType="separate"/>
          </w:r>
          <w:r>
            <w:t>10</w:t>
          </w:r>
          <w:r>
            <w:fldChar w:fldCharType="end"/>
          </w:r>
          <w:r>
            <w:fldChar w:fldCharType="end"/>
          </w:r>
        </w:p>
        <w:p w14:paraId="785BDE62">
          <w:pPr>
            <w:pStyle w:val="15"/>
            <w:tabs>
              <w:tab w:val="right" w:leader="dot" w:pos="9350"/>
            </w:tabs>
            <w:rPr>
              <w:rFonts w:asciiTheme="minorHAnsi" w:hAnsiTheme="minorHAnsi" w:eastAsiaTheme="minorEastAsia" w:cstheme="minorBidi"/>
              <w:sz w:val="22"/>
              <w:szCs w:val="22"/>
            </w:rPr>
          </w:pPr>
          <w:r>
            <w:fldChar w:fldCharType="begin"/>
          </w:r>
          <w:r>
            <w:instrText xml:space="preserve"> HYPERLINK \l "_Toc224832171" </w:instrText>
          </w:r>
          <w:r>
            <w:fldChar w:fldCharType="separate"/>
          </w:r>
          <w:r>
            <w:rPr>
              <w:rStyle w:val="11"/>
            </w:rPr>
            <w:t>Gibb’s Reflective Model</w:t>
          </w:r>
          <w:r>
            <w:tab/>
          </w:r>
          <w:r>
            <w:fldChar w:fldCharType="begin"/>
          </w:r>
          <w:r>
            <w:instrText xml:space="preserve"> PAGEREF _Toc224832171 \h </w:instrText>
          </w:r>
          <w:r>
            <w:fldChar w:fldCharType="separate"/>
          </w:r>
          <w:r>
            <w:t>10</w:t>
          </w:r>
          <w:r>
            <w:fldChar w:fldCharType="end"/>
          </w:r>
          <w:r>
            <w:fldChar w:fldCharType="end"/>
          </w:r>
        </w:p>
        <w:p w14:paraId="776F4F0F">
          <w:pPr>
            <w:pStyle w:val="15"/>
            <w:tabs>
              <w:tab w:val="right" w:leader="dot" w:pos="9350"/>
            </w:tabs>
            <w:rPr>
              <w:rFonts w:asciiTheme="minorHAnsi" w:hAnsiTheme="minorHAnsi" w:eastAsiaTheme="minorEastAsia" w:cstheme="minorBidi"/>
              <w:sz w:val="22"/>
              <w:szCs w:val="22"/>
            </w:rPr>
          </w:pPr>
          <w:r>
            <w:fldChar w:fldCharType="begin"/>
          </w:r>
          <w:r>
            <w:instrText xml:space="preserve"> HYPERLINK \l "_Toc224832172" </w:instrText>
          </w:r>
          <w:r>
            <w:fldChar w:fldCharType="separate"/>
          </w:r>
          <w:r>
            <w:rPr>
              <w:rStyle w:val="11"/>
            </w:rPr>
            <w:t>Future work</w:t>
          </w:r>
          <w:r>
            <w:tab/>
          </w:r>
          <w:r>
            <w:fldChar w:fldCharType="begin"/>
          </w:r>
          <w:r>
            <w:instrText xml:space="preserve"> PAGEREF _Toc224832172 \h </w:instrText>
          </w:r>
          <w:r>
            <w:fldChar w:fldCharType="separate"/>
          </w:r>
          <w:r>
            <w:t>12</w:t>
          </w:r>
          <w:r>
            <w:fldChar w:fldCharType="end"/>
          </w:r>
          <w:r>
            <w:fldChar w:fldCharType="end"/>
          </w:r>
        </w:p>
        <w:p w14:paraId="0438F427">
          <w:pPr>
            <w:pStyle w:val="14"/>
            <w:tabs>
              <w:tab w:val="right" w:leader="dot" w:pos="9350"/>
            </w:tabs>
            <w:rPr>
              <w:rFonts w:asciiTheme="minorHAnsi" w:hAnsiTheme="minorHAnsi" w:eastAsiaTheme="minorEastAsia" w:cstheme="minorBidi"/>
              <w:sz w:val="22"/>
              <w:szCs w:val="22"/>
            </w:rPr>
          </w:pPr>
          <w:r>
            <w:fldChar w:fldCharType="begin"/>
          </w:r>
          <w:r>
            <w:instrText xml:space="preserve"> HYPERLINK \l "_Toc224832173" </w:instrText>
          </w:r>
          <w:r>
            <w:fldChar w:fldCharType="separate"/>
          </w:r>
          <w:r>
            <w:rPr>
              <w:rStyle w:val="11"/>
            </w:rPr>
            <w:t>References</w:t>
          </w:r>
          <w:r>
            <w:tab/>
          </w:r>
          <w:r>
            <w:fldChar w:fldCharType="begin"/>
          </w:r>
          <w:r>
            <w:instrText xml:space="preserve"> PAGEREF _Toc224832173 \h </w:instrText>
          </w:r>
          <w:r>
            <w:fldChar w:fldCharType="separate"/>
          </w:r>
          <w:r>
            <w:t>13</w:t>
          </w:r>
          <w:r>
            <w:fldChar w:fldCharType="end"/>
          </w:r>
          <w:r>
            <w:fldChar w:fldCharType="end"/>
          </w:r>
        </w:p>
        <w:p w14:paraId="17FB3FD5">
          <w:r>
            <w:rPr>
              <w:b/>
              <w:bCs/>
            </w:rPr>
            <w:fldChar w:fldCharType="end"/>
          </w:r>
        </w:p>
      </w:sdtContent>
    </w:sdt>
    <w:p w14:paraId="1CCC82AE">
      <w:r>
        <w:br w:type="page"/>
      </w:r>
    </w:p>
    <w:p w14:paraId="6CBE1ECE">
      <w:pPr>
        <w:pStyle w:val="2"/>
      </w:pPr>
      <w:bookmarkStart w:id="0" w:name="_Toc224832164"/>
      <w:r>
        <w:t>Introduction</w:t>
      </w:r>
      <w:bookmarkEnd w:id="0"/>
      <w:r>
        <w:t xml:space="preserve"> </w:t>
      </w:r>
    </w:p>
    <w:p w14:paraId="54B0BD9F">
      <w:pPr>
        <w:spacing w:before="240" w:after="240"/>
      </w:pPr>
      <w:r>
        <w:t>Aether Innovations, being a rapidly growing technology-based company with approximately 300 employees, is at present facing significant organisational challenges like stagnant business growth, high employee turnover rates, and declining consumer satisfaction levels. All these issues indicate that there is a lack of integration between the way the company manages its human resources and its business strategy. It is now widely accepted that in the ever-changing business environment, human capital is one of the key factors that can provide the much-needed competitive advantage to the business, especially in the knowledge-based sector like technology. This report aims to develop an integrated human capital strategy by changing the performance management system and the nature of the job itself with the help of the latest concepts in the field of HRM, like the Job Characteristics Model and the goal-setting theory.</w:t>
      </w:r>
    </w:p>
    <w:p w14:paraId="1B674F1C">
      <w:pPr>
        <w:pStyle w:val="2"/>
      </w:pPr>
      <w:bookmarkStart w:id="1" w:name="_Toc224832165"/>
      <w:r>
        <w:t>Part 1</w:t>
      </w:r>
      <w:bookmarkEnd w:id="1"/>
    </w:p>
    <w:p w14:paraId="6552B08C">
      <w:pPr>
        <w:pStyle w:val="2"/>
      </w:pPr>
      <w:bookmarkStart w:id="2" w:name="_Toc224832166"/>
      <w:r>
        <w:t>Current HRM practices and their critical analysis</w:t>
      </w:r>
      <w:bookmarkEnd w:id="2"/>
    </w:p>
    <w:p w14:paraId="304BE0B9">
      <w:r>
        <w:t xml:space="preserve">Previously, the HRM practices annual </w:t>
      </w:r>
      <w:r>
        <w:rPr>
          <w:b/>
          <w:bCs/>
        </w:rPr>
        <w:t xml:space="preserve">performance appraisal </w:t>
      </w:r>
      <w:r>
        <w:t xml:space="preserve">reports, but some drawbacks are associated with it, such as it demotivates the employees in technological companies. In current times, in the Tech sector, HR managers are trying to focus on a continuous performance tracking system. As per the view of Mahdi and Atifa, (2025), continuous performance management in the tech sector fosters real-time conversation between employees and supervisors, and positive feedback motivates them, while leaders also understand the areas that need improvement.  Atmaja </w:t>
      </w:r>
      <w:r>
        <w:rPr>
          <w:i/>
          <w:iCs/>
        </w:rPr>
        <w:t>et al.</w:t>
      </w:r>
      <w:r>
        <w:t xml:space="preserve"> (2022), argued that the traditional system of “performance appraisal” failed to develop the internal employee engagement inside the workplace and became outdated for only focusing on annual reviews. </w:t>
      </w:r>
    </w:p>
    <w:p w14:paraId="69F8E854">
      <w:r>
        <w:t xml:space="preserve">In the context of the </w:t>
      </w:r>
      <w:r>
        <w:rPr>
          <w:b/>
          <w:bCs/>
        </w:rPr>
        <w:t>job design</w:t>
      </w:r>
      <w:r>
        <w:t xml:space="preserve"> process, traditionally, HR managers recruit employees on a full-time basis. However, with the time currently in the HRM segment, managers focus on designing job descriptions on a flexible timing basis. In this context, Sebastiao, (2022), stated that flexible working hours motivate employees by maintaining the balance between personal and professional areas. Conversely, Mahardiko and Wahyuningtyas, (2025), opined that flexible working hours help to reduce burnout among employees and further increase their productivity by aligning the working hours as per their convenience. </w:t>
      </w:r>
    </w:p>
    <w:p w14:paraId="0CF5D787">
      <w:pPr>
        <w:rPr>
          <w:b/>
          <w:bCs/>
          <w:sz w:val="28"/>
          <w:szCs w:val="28"/>
        </w:rPr>
      </w:pPr>
      <w:r>
        <w:rPr>
          <w:b/>
          <w:bCs/>
          <w:sz w:val="28"/>
          <w:szCs w:val="28"/>
        </w:rPr>
        <w:t xml:space="preserve">Modern Systems for Performance Management </w:t>
      </w:r>
    </w:p>
    <w:p w14:paraId="4E5A16EE">
      <w:r>
        <w:t xml:space="preserve">In order to effectively handle such organisational issues, </w:t>
      </w:r>
      <w:r>
        <w:rPr>
          <w:b/>
          <w:bCs/>
        </w:rPr>
        <w:t>Aether Innovations</w:t>
      </w:r>
      <w:r>
        <w:t xml:space="preserve"> needs to adopt an advanced performance management system based on continuous feedback, goal-setting, and employee development. In this regard, the company may adopt the</w:t>
      </w:r>
      <w:r>
        <w:rPr>
          <w:b/>
          <w:bCs/>
        </w:rPr>
        <w:t xml:space="preserve"> Objectives and Key Results (OKRs) framework</w:t>
      </w:r>
      <w:r>
        <w:t xml:space="preserve">, which is an advanced performance management framework that allows organisations to align employee goals with organisational objectives. In support of this argument, Benitez </w:t>
      </w:r>
      <w:r>
        <w:rPr>
          <w:i/>
          <w:iCs/>
        </w:rPr>
        <w:t xml:space="preserve">et al. </w:t>
      </w:r>
      <w:r>
        <w:t xml:space="preserve">(2022), stated that the Goal-Setting Theory, as advanced by Locke and Latham, asserts that performance is greatly enhanced in organisations where employees are challenged with clear and challenging goals that enhance their motivation and commitment. </w:t>
      </w:r>
    </w:p>
    <w:p w14:paraId="712E8DD6">
      <w:r>
        <w:t xml:space="preserve">In addition, </w:t>
      </w:r>
      <w:r>
        <w:rPr>
          <w:b/>
          <w:bCs/>
        </w:rPr>
        <w:t>360-degree feedback</w:t>
      </w:r>
      <w:r>
        <w:t xml:space="preserve"> may be incorporated in the performance evaluation framework. In this regard, an employee receives feedback from colleagues, subordinates, and supervisors, which provides a complete understanding of their performance and areas of improvement. According to CIPD (2023), the traditional ways of appraisals are limited in their effectiveness as they invite recency bias, lack of rater training, and inconsistent criteria (cipd.org, 2025). In addition, such an advanced performance management system allows organisations to incorporate continuous performance management, which is possible with the use of technology (Van Beurden </w:t>
      </w:r>
      <w:r>
        <w:rPr>
          <w:i/>
          <w:iCs/>
        </w:rPr>
        <w:t>et al.</w:t>
      </w:r>
      <w:r>
        <w:t xml:space="preserve"> 2025). In this regard, managers and employees may have continuous interactions and feedback sessions, which enhance a culture of continuous learning and adaptability in an ever-changing technology industry. In conclusion, Stripe </w:t>
      </w:r>
      <w:r>
        <w:rPr>
          <w:i/>
          <w:iCs/>
        </w:rPr>
        <w:t xml:space="preserve">et al. </w:t>
      </w:r>
      <w:r>
        <w:t>(2022), stated that such an advanced performance management system is essential in ensuring transparency and employee engagement, and aligning employee performance with ultimate excellence.</w:t>
      </w:r>
    </w:p>
    <w:p w14:paraId="220441BB">
      <w:pPr>
        <w:pStyle w:val="2"/>
      </w:pPr>
      <w:bookmarkStart w:id="3" w:name="_Toc224832167"/>
      <w:r>
        <w:t>Job designing based on the job characteristics model</w:t>
      </w:r>
      <w:bookmarkEnd w:id="3"/>
    </w:p>
    <w:p w14:paraId="5F412E54">
      <w:pPr>
        <w:spacing w:before="240" w:after="240"/>
      </w:pPr>
      <w:r>
        <w:t>The Job Characteristics Model, as proposed by Hackman and Oldham in 1976, outlines a set of five fundamental job dimensions that are critical in determining job motivation and performance (Çelik Ertuğrul and Bitirim, 2025). These are skill variety, task identity, task significance, autonomy, and feedback.</w:t>
      </w:r>
    </w:p>
    <w:p w14:paraId="629B3962">
      <w:pPr>
        <w:spacing w:before="240" w:after="240"/>
      </w:pPr>
      <w:r>
        <w:t>To improve job design in Aether Innovations, roles would need to be redesigned to enhance these five job dimensions.</w:t>
      </w:r>
    </w:p>
    <w:p w14:paraId="77F561E1">
      <w:pPr>
        <w:spacing w:before="240" w:after="240"/>
        <w:rPr>
          <w:b/>
          <w:bCs/>
        </w:rPr>
      </w:pPr>
      <w:r>
        <w:rPr>
          <w:b/>
          <w:bCs/>
        </w:rPr>
        <w:t>Example:</w:t>
      </w:r>
    </w:p>
    <w:p w14:paraId="1BB8E98E">
      <w:pPr>
        <w:spacing w:before="240" w:after="240"/>
        <w:rPr>
          <w:b/>
          <w:bCs/>
        </w:rPr>
      </w:pPr>
      <w:r>
        <w:rPr>
          <w:b/>
          <w:bCs/>
        </w:rPr>
        <w:t>CEO</w:t>
      </w:r>
    </w:p>
    <w:p w14:paraId="1FE4A6F5">
      <w:pPr>
        <w:numPr>
          <w:ilvl w:val="0"/>
          <w:numId w:val="1"/>
        </w:numPr>
        <w:spacing w:before="240" w:after="0"/>
      </w:pPr>
      <w:r>
        <w:t>Current role: Strategic leadership and vision development</w:t>
      </w:r>
    </w:p>
    <w:p w14:paraId="21E5CB97">
      <w:pPr>
        <w:numPr>
          <w:ilvl w:val="0"/>
          <w:numId w:val="1"/>
        </w:numPr>
        <w:spacing w:before="0" w:after="240"/>
      </w:pPr>
      <w:r>
        <w:t>Improvements: Increased autonomy and high task significance</w:t>
      </w:r>
    </w:p>
    <w:p w14:paraId="07C01762">
      <w:pPr>
        <w:spacing w:before="240" w:after="240"/>
        <w:rPr>
          <w:b/>
          <w:bCs/>
        </w:rPr>
      </w:pPr>
      <w:r>
        <w:rPr>
          <w:b/>
          <w:bCs/>
        </w:rPr>
        <w:t>CTO</w:t>
      </w:r>
    </w:p>
    <w:p w14:paraId="6F4DAE91">
      <w:pPr>
        <w:numPr>
          <w:ilvl w:val="0"/>
          <w:numId w:val="2"/>
        </w:numPr>
        <w:spacing w:before="240" w:after="0"/>
      </w:pPr>
      <w:r>
        <w:t>Current role: Technology strategy and innovation</w:t>
      </w:r>
    </w:p>
    <w:p w14:paraId="122ED1B6">
      <w:pPr>
        <w:numPr>
          <w:ilvl w:val="0"/>
          <w:numId w:val="2"/>
        </w:numPr>
        <w:spacing w:before="0" w:after="240"/>
      </w:pPr>
      <w:r>
        <w:t>Improvements: Increased skill variety and autonomy</w:t>
      </w:r>
    </w:p>
    <w:p w14:paraId="292FEF49">
      <w:pPr>
        <w:spacing w:before="240" w:after="240"/>
        <w:rPr>
          <w:b/>
          <w:bCs/>
        </w:rPr>
      </w:pPr>
      <w:r>
        <w:rPr>
          <w:b/>
          <w:bCs/>
        </w:rPr>
        <w:t>HR Director</w:t>
      </w:r>
    </w:p>
    <w:p w14:paraId="2EFB97E4">
      <w:pPr>
        <w:numPr>
          <w:ilvl w:val="0"/>
          <w:numId w:val="3"/>
        </w:numPr>
        <w:spacing w:before="240" w:after="0"/>
      </w:pPr>
      <w:r>
        <w:t>Current role: Talent management and organisational culture</w:t>
      </w:r>
    </w:p>
    <w:p w14:paraId="04FECD8A">
      <w:pPr>
        <w:numPr>
          <w:ilvl w:val="0"/>
          <w:numId w:val="3"/>
        </w:numPr>
        <w:spacing w:before="0" w:after="240"/>
      </w:pPr>
      <w:r>
        <w:t>Improvements: Increased feedback and strategic involvement</w:t>
      </w:r>
    </w:p>
    <w:p w14:paraId="3E1FD417">
      <w:pPr>
        <w:spacing w:before="240" w:after="240"/>
      </w:pPr>
    </w:p>
    <w:tbl>
      <w:tblPr>
        <w:tblStyle w:val="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170"/>
        <w:gridCol w:w="1170"/>
        <w:gridCol w:w="1170"/>
        <w:gridCol w:w="1170"/>
        <w:gridCol w:w="1170"/>
        <w:gridCol w:w="1170"/>
        <w:gridCol w:w="1170"/>
        <w:gridCol w:w="1170"/>
      </w:tblGrid>
      <w:tr w14:paraId="537A357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66184F98">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Role</w:t>
            </w:r>
          </w:p>
        </w:tc>
        <w:tc>
          <w:tcPr>
            <w:tcW w:w="1170" w:type="dxa"/>
            <w:tcMar>
              <w:top w:w="100" w:type="dxa"/>
              <w:left w:w="100" w:type="dxa"/>
              <w:bottom w:w="100" w:type="dxa"/>
              <w:right w:w="100" w:type="dxa"/>
            </w:tcMar>
          </w:tcPr>
          <w:p w14:paraId="4DB260DF">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Job Description</w:t>
            </w:r>
          </w:p>
        </w:tc>
        <w:tc>
          <w:tcPr>
            <w:tcW w:w="1170" w:type="dxa"/>
            <w:tcMar>
              <w:top w:w="100" w:type="dxa"/>
              <w:left w:w="100" w:type="dxa"/>
              <w:bottom w:w="100" w:type="dxa"/>
              <w:right w:w="100" w:type="dxa"/>
            </w:tcMar>
          </w:tcPr>
          <w:p w14:paraId="4F3B1F01">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Job Specification</w:t>
            </w:r>
          </w:p>
        </w:tc>
        <w:tc>
          <w:tcPr>
            <w:tcW w:w="1170" w:type="dxa"/>
            <w:tcMar>
              <w:top w:w="100" w:type="dxa"/>
              <w:left w:w="100" w:type="dxa"/>
              <w:bottom w:w="100" w:type="dxa"/>
              <w:right w:w="100" w:type="dxa"/>
            </w:tcMar>
          </w:tcPr>
          <w:p w14:paraId="2A215AF5">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Skill Variety</w:t>
            </w:r>
          </w:p>
        </w:tc>
        <w:tc>
          <w:tcPr>
            <w:tcW w:w="1170" w:type="dxa"/>
            <w:tcMar>
              <w:top w:w="100" w:type="dxa"/>
              <w:left w:w="100" w:type="dxa"/>
              <w:bottom w:w="100" w:type="dxa"/>
              <w:right w:w="100" w:type="dxa"/>
            </w:tcMar>
          </w:tcPr>
          <w:p w14:paraId="5CAB2A91">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Task Identity</w:t>
            </w:r>
          </w:p>
        </w:tc>
        <w:tc>
          <w:tcPr>
            <w:tcW w:w="1170" w:type="dxa"/>
            <w:tcMar>
              <w:top w:w="100" w:type="dxa"/>
              <w:left w:w="100" w:type="dxa"/>
              <w:bottom w:w="100" w:type="dxa"/>
              <w:right w:w="100" w:type="dxa"/>
            </w:tcMar>
          </w:tcPr>
          <w:p w14:paraId="2D8CD40B">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Task Significance</w:t>
            </w:r>
          </w:p>
        </w:tc>
        <w:tc>
          <w:tcPr>
            <w:tcW w:w="1170" w:type="dxa"/>
            <w:tcMar>
              <w:top w:w="100" w:type="dxa"/>
              <w:left w:w="100" w:type="dxa"/>
              <w:bottom w:w="100" w:type="dxa"/>
              <w:right w:w="100" w:type="dxa"/>
            </w:tcMar>
          </w:tcPr>
          <w:p w14:paraId="0EAF7BE5">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Autonomy</w:t>
            </w:r>
          </w:p>
        </w:tc>
        <w:tc>
          <w:tcPr>
            <w:tcW w:w="1170" w:type="dxa"/>
            <w:tcMar>
              <w:top w:w="100" w:type="dxa"/>
              <w:left w:w="100" w:type="dxa"/>
              <w:bottom w:w="100" w:type="dxa"/>
              <w:right w:w="100" w:type="dxa"/>
            </w:tcMar>
          </w:tcPr>
          <w:p w14:paraId="7D30C81F">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Feedback</w:t>
            </w:r>
          </w:p>
        </w:tc>
      </w:tr>
      <w:tr w14:paraId="0935605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1262C95D">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Chief Executive Officer (CEO)</w:t>
            </w:r>
          </w:p>
        </w:tc>
        <w:tc>
          <w:tcPr>
            <w:tcW w:w="1170" w:type="dxa"/>
            <w:tcMar>
              <w:top w:w="100" w:type="dxa"/>
              <w:left w:w="100" w:type="dxa"/>
              <w:bottom w:w="100" w:type="dxa"/>
              <w:right w:w="100" w:type="dxa"/>
            </w:tcMar>
          </w:tcPr>
          <w:p w14:paraId="72D3BD2A">
            <w:pPr>
              <w:widowControl w:val="0"/>
              <w:pBdr>
                <w:top w:val="none" w:color="auto" w:sz="0" w:space="0"/>
                <w:left w:val="none" w:color="auto" w:sz="0" w:space="0"/>
                <w:bottom w:val="none" w:color="auto" w:sz="0" w:space="0"/>
                <w:right w:val="none" w:color="auto" w:sz="0" w:space="0"/>
                <w:between w:val="none" w:color="auto" w:sz="0" w:space="0"/>
              </w:pBdr>
              <w:spacing w:before="0" w:after="0"/>
            </w:pPr>
            <w:r>
              <w:t>Offers direction to the organisation, sets vision for the organisation, and facilitates long-term growth and innovation.</w:t>
            </w:r>
          </w:p>
        </w:tc>
        <w:tc>
          <w:tcPr>
            <w:tcW w:w="1170" w:type="dxa"/>
            <w:tcMar>
              <w:top w:w="100" w:type="dxa"/>
              <w:left w:w="100" w:type="dxa"/>
              <w:bottom w:w="100" w:type="dxa"/>
              <w:right w:w="100" w:type="dxa"/>
            </w:tcMar>
          </w:tcPr>
          <w:p w14:paraId="400CDFEE">
            <w:pPr>
              <w:widowControl w:val="0"/>
              <w:pBdr>
                <w:top w:val="none" w:color="auto" w:sz="0" w:space="0"/>
                <w:left w:val="none" w:color="auto" w:sz="0" w:space="0"/>
                <w:bottom w:val="none" w:color="auto" w:sz="0" w:space="0"/>
                <w:right w:val="none" w:color="auto" w:sz="0" w:space="0"/>
                <w:between w:val="none" w:color="auto" w:sz="0" w:space="0"/>
              </w:pBdr>
              <w:spacing w:before="0" w:after="0"/>
            </w:pPr>
            <w:r>
              <w:t>Leadership skills, strategic thinking, decision-making skills, and industry expertise</w:t>
            </w:r>
          </w:p>
        </w:tc>
        <w:tc>
          <w:tcPr>
            <w:tcW w:w="1170" w:type="dxa"/>
            <w:tcMar>
              <w:top w:w="100" w:type="dxa"/>
              <w:left w:w="100" w:type="dxa"/>
              <w:bottom w:w="100" w:type="dxa"/>
              <w:right w:w="100" w:type="dxa"/>
            </w:tcMar>
          </w:tcPr>
          <w:p w14:paraId="48F7880D">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it includes all aspects of running a business</w:t>
            </w:r>
          </w:p>
        </w:tc>
        <w:tc>
          <w:tcPr>
            <w:tcW w:w="1170" w:type="dxa"/>
            <w:tcMar>
              <w:top w:w="100" w:type="dxa"/>
              <w:left w:w="100" w:type="dxa"/>
              <w:bottom w:w="100" w:type="dxa"/>
              <w:right w:w="100" w:type="dxa"/>
            </w:tcMar>
          </w:tcPr>
          <w:p w14:paraId="5B2B255A">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it is responsible for running the entire business</w:t>
            </w:r>
          </w:p>
        </w:tc>
        <w:tc>
          <w:tcPr>
            <w:tcW w:w="1170" w:type="dxa"/>
            <w:tcMar>
              <w:top w:w="100" w:type="dxa"/>
              <w:left w:w="100" w:type="dxa"/>
              <w:bottom w:w="100" w:type="dxa"/>
              <w:right w:w="100" w:type="dxa"/>
            </w:tcMar>
          </w:tcPr>
          <w:p w14:paraId="2144C43D">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as it influences all stakeholders and business outcomes</w:t>
            </w:r>
          </w:p>
        </w:tc>
        <w:tc>
          <w:tcPr>
            <w:tcW w:w="1170" w:type="dxa"/>
            <w:tcMar>
              <w:top w:w="100" w:type="dxa"/>
              <w:left w:w="100" w:type="dxa"/>
              <w:bottom w:w="100" w:type="dxa"/>
              <w:right w:w="100" w:type="dxa"/>
            </w:tcMar>
          </w:tcPr>
          <w:p w14:paraId="66292A21">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as it is responsible for all business decisions</w:t>
            </w:r>
          </w:p>
        </w:tc>
        <w:tc>
          <w:tcPr>
            <w:tcW w:w="1170" w:type="dxa"/>
            <w:tcMar>
              <w:top w:w="100" w:type="dxa"/>
              <w:left w:w="100" w:type="dxa"/>
              <w:bottom w:w="100" w:type="dxa"/>
              <w:right w:w="100" w:type="dxa"/>
            </w:tcMar>
          </w:tcPr>
          <w:p w14:paraId="54422940">
            <w:pPr>
              <w:widowControl w:val="0"/>
              <w:pBdr>
                <w:top w:val="none" w:color="auto" w:sz="0" w:space="0"/>
                <w:left w:val="none" w:color="auto" w:sz="0" w:space="0"/>
                <w:bottom w:val="none" w:color="auto" w:sz="0" w:space="0"/>
                <w:right w:val="none" w:color="auto" w:sz="0" w:space="0"/>
                <w:between w:val="none" w:color="auto" w:sz="0" w:space="0"/>
              </w:pBdr>
              <w:spacing w:before="0" w:after="0"/>
            </w:pPr>
            <w:r>
              <w:t>Board evaluation, business performance indicators, and feedback from stakeholders</w:t>
            </w:r>
          </w:p>
        </w:tc>
      </w:tr>
      <w:tr w14:paraId="6C24730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5FBE504F">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Chief Finance Officer (CFO)</w:t>
            </w:r>
          </w:p>
        </w:tc>
        <w:tc>
          <w:tcPr>
            <w:tcW w:w="1170" w:type="dxa"/>
            <w:tcMar>
              <w:top w:w="100" w:type="dxa"/>
              <w:left w:w="100" w:type="dxa"/>
              <w:bottom w:w="100" w:type="dxa"/>
              <w:right w:w="100" w:type="dxa"/>
            </w:tcMar>
          </w:tcPr>
          <w:p w14:paraId="231BCAF5">
            <w:pPr>
              <w:widowControl w:val="0"/>
              <w:pBdr>
                <w:top w:val="none" w:color="auto" w:sz="0" w:space="0"/>
                <w:left w:val="none" w:color="auto" w:sz="0" w:space="0"/>
                <w:bottom w:val="none" w:color="auto" w:sz="0" w:space="0"/>
                <w:right w:val="none" w:color="auto" w:sz="0" w:space="0"/>
                <w:between w:val="none" w:color="auto" w:sz="0" w:space="0"/>
              </w:pBdr>
              <w:spacing w:before="0" w:after="0"/>
            </w:pPr>
            <w:r>
              <w:t>Oversees financial planning, budgeting, and managing financial risks to sustain financial stability</w:t>
            </w:r>
          </w:p>
        </w:tc>
        <w:tc>
          <w:tcPr>
            <w:tcW w:w="1170" w:type="dxa"/>
            <w:tcMar>
              <w:top w:w="100" w:type="dxa"/>
              <w:left w:w="100" w:type="dxa"/>
              <w:bottom w:w="100" w:type="dxa"/>
              <w:right w:w="100" w:type="dxa"/>
            </w:tcMar>
          </w:tcPr>
          <w:p w14:paraId="7C45CDD3">
            <w:pPr>
              <w:widowControl w:val="0"/>
              <w:pBdr>
                <w:top w:val="none" w:color="auto" w:sz="0" w:space="0"/>
                <w:left w:val="none" w:color="auto" w:sz="0" w:space="0"/>
                <w:bottom w:val="none" w:color="auto" w:sz="0" w:space="0"/>
                <w:right w:val="none" w:color="auto" w:sz="0" w:space="0"/>
                <w:between w:val="none" w:color="auto" w:sz="0" w:space="0"/>
              </w:pBdr>
              <w:spacing w:before="0" w:after="0"/>
            </w:pPr>
            <w:r>
              <w:t>Financial expertise, analysis skills, and knowledge of financial systems and regulations</w:t>
            </w:r>
          </w:p>
        </w:tc>
        <w:tc>
          <w:tcPr>
            <w:tcW w:w="1170" w:type="dxa"/>
            <w:tcMar>
              <w:top w:w="100" w:type="dxa"/>
              <w:left w:w="100" w:type="dxa"/>
              <w:bottom w:w="100" w:type="dxa"/>
              <w:right w:w="100" w:type="dxa"/>
            </w:tcMar>
          </w:tcPr>
          <w:p w14:paraId="1CF61A08">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financial planning includes forecasting, reporting, and strategy development</w:t>
            </w:r>
          </w:p>
        </w:tc>
        <w:tc>
          <w:tcPr>
            <w:tcW w:w="1170" w:type="dxa"/>
            <w:tcMar>
              <w:top w:w="100" w:type="dxa"/>
              <w:left w:w="100" w:type="dxa"/>
              <w:bottom w:w="100" w:type="dxa"/>
              <w:right w:w="100" w:type="dxa"/>
            </w:tcMar>
          </w:tcPr>
          <w:p w14:paraId="28515A7B">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financial decisions are critical to business success</w:t>
            </w:r>
          </w:p>
        </w:tc>
        <w:tc>
          <w:tcPr>
            <w:tcW w:w="1170" w:type="dxa"/>
            <w:tcMar>
              <w:top w:w="100" w:type="dxa"/>
              <w:left w:w="100" w:type="dxa"/>
              <w:bottom w:w="100" w:type="dxa"/>
              <w:right w:w="100" w:type="dxa"/>
            </w:tcMar>
          </w:tcPr>
          <w:p w14:paraId="5408F5A7">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financial decisions affect business stability and growth</w:t>
            </w:r>
          </w:p>
        </w:tc>
        <w:tc>
          <w:tcPr>
            <w:tcW w:w="1170" w:type="dxa"/>
            <w:tcMar>
              <w:top w:w="100" w:type="dxa"/>
              <w:left w:w="100" w:type="dxa"/>
              <w:bottom w:w="100" w:type="dxa"/>
              <w:right w:w="100" w:type="dxa"/>
            </w:tcMar>
          </w:tcPr>
          <w:p w14:paraId="76C4E0C1">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financial decisions are taken independently</w:t>
            </w:r>
          </w:p>
        </w:tc>
        <w:tc>
          <w:tcPr>
            <w:tcW w:w="1170" w:type="dxa"/>
            <w:tcMar>
              <w:top w:w="100" w:type="dxa"/>
              <w:left w:w="100" w:type="dxa"/>
              <w:bottom w:w="100" w:type="dxa"/>
              <w:right w:w="100" w:type="dxa"/>
            </w:tcMar>
          </w:tcPr>
          <w:p w14:paraId="79EF4B30">
            <w:pPr>
              <w:widowControl w:val="0"/>
              <w:pBdr>
                <w:top w:val="none" w:color="auto" w:sz="0" w:space="0"/>
                <w:left w:val="none" w:color="auto" w:sz="0" w:space="0"/>
                <w:bottom w:val="none" w:color="auto" w:sz="0" w:space="0"/>
                <w:right w:val="none" w:color="auto" w:sz="0" w:space="0"/>
                <w:between w:val="none" w:color="auto" w:sz="0" w:space="0"/>
              </w:pBdr>
              <w:spacing w:before="0" w:after="0"/>
            </w:pPr>
            <w:r>
              <w:t>Financial reports, audit reports, and executive performance reviews</w:t>
            </w:r>
          </w:p>
        </w:tc>
      </w:tr>
      <w:tr w14:paraId="53BCD6B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4D5E1130">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Chief Technology Officer (CTO)</w:t>
            </w:r>
          </w:p>
        </w:tc>
        <w:tc>
          <w:tcPr>
            <w:tcW w:w="1170" w:type="dxa"/>
            <w:tcMar>
              <w:top w:w="100" w:type="dxa"/>
              <w:left w:w="100" w:type="dxa"/>
              <w:bottom w:w="100" w:type="dxa"/>
              <w:right w:w="100" w:type="dxa"/>
            </w:tcMar>
          </w:tcPr>
          <w:p w14:paraId="2CC62E16">
            <w:pPr>
              <w:widowControl w:val="0"/>
              <w:pBdr>
                <w:top w:val="none" w:color="auto" w:sz="0" w:space="0"/>
                <w:left w:val="none" w:color="auto" w:sz="0" w:space="0"/>
                <w:bottom w:val="none" w:color="auto" w:sz="0" w:space="0"/>
                <w:right w:val="none" w:color="auto" w:sz="0" w:space="0"/>
                <w:between w:val="none" w:color="auto" w:sz="0" w:space="0"/>
              </w:pBdr>
              <w:spacing w:before="0" w:after="0"/>
            </w:pPr>
            <w:r>
              <w:t>Builds technology strategy, product development, and IT infrastructure management</w:t>
            </w:r>
          </w:p>
        </w:tc>
        <w:tc>
          <w:tcPr>
            <w:tcW w:w="1170" w:type="dxa"/>
            <w:tcMar>
              <w:top w:w="100" w:type="dxa"/>
              <w:left w:w="100" w:type="dxa"/>
              <w:bottom w:w="100" w:type="dxa"/>
              <w:right w:w="100" w:type="dxa"/>
            </w:tcMar>
          </w:tcPr>
          <w:p w14:paraId="49E2DF0E">
            <w:pPr>
              <w:widowControl w:val="0"/>
              <w:pBdr>
                <w:top w:val="none" w:color="auto" w:sz="0" w:space="0"/>
                <w:left w:val="none" w:color="auto" w:sz="0" w:space="0"/>
                <w:bottom w:val="none" w:color="auto" w:sz="0" w:space="0"/>
                <w:right w:val="none" w:color="auto" w:sz="0" w:space="0"/>
                <w:between w:val="none" w:color="auto" w:sz="0" w:space="0"/>
              </w:pBdr>
              <w:spacing w:before="0" w:after="0"/>
            </w:pPr>
            <w:r>
              <w:t>Technical expertise, innovation, leadership, and software development expertise</w:t>
            </w:r>
          </w:p>
        </w:tc>
        <w:tc>
          <w:tcPr>
            <w:tcW w:w="1170" w:type="dxa"/>
            <w:tcMar>
              <w:top w:w="100" w:type="dxa"/>
              <w:left w:w="100" w:type="dxa"/>
              <w:bottom w:w="100" w:type="dxa"/>
              <w:right w:w="100" w:type="dxa"/>
            </w:tcMar>
          </w:tcPr>
          <w:p w14:paraId="1F93E67E">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as the role requires the combination of innovation, product development, and strategy</w:t>
            </w:r>
          </w:p>
        </w:tc>
        <w:tc>
          <w:tcPr>
            <w:tcW w:w="1170" w:type="dxa"/>
            <w:tcMar>
              <w:top w:w="100" w:type="dxa"/>
              <w:left w:w="100" w:type="dxa"/>
              <w:bottom w:w="100" w:type="dxa"/>
              <w:right w:w="100" w:type="dxa"/>
            </w:tcMar>
          </w:tcPr>
          <w:p w14:paraId="07FE316A">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the role includes the entire product development process</w:t>
            </w:r>
          </w:p>
        </w:tc>
        <w:tc>
          <w:tcPr>
            <w:tcW w:w="1170" w:type="dxa"/>
            <w:tcMar>
              <w:top w:w="100" w:type="dxa"/>
              <w:left w:w="100" w:type="dxa"/>
              <w:bottom w:w="100" w:type="dxa"/>
              <w:right w:w="100" w:type="dxa"/>
            </w:tcMar>
          </w:tcPr>
          <w:p w14:paraId="3DBA677B">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as the role includes driving innovation and increasing competitiveness</w:t>
            </w:r>
          </w:p>
        </w:tc>
        <w:tc>
          <w:tcPr>
            <w:tcW w:w="1170" w:type="dxa"/>
            <w:tcMar>
              <w:top w:w="100" w:type="dxa"/>
              <w:left w:w="100" w:type="dxa"/>
              <w:bottom w:w="100" w:type="dxa"/>
              <w:right w:w="100" w:type="dxa"/>
            </w:tcMar>
          </w:tcPr>
          <w:p w14:paraId="3320A776">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as the role has the freedom to make technological decisions</w:t>
            </w:r>
          </w:p>
        </w:tc>
        <w:tc>
          <w:tcPr>
            <w:tcW w:w="1170" w:type="dxa"/>
            <w:tcMar>
              <w:top w:w="100" w:type="dxa"/>
              <w:left w:w="100" w:type="dxa"/>
              <w:bottom w:w="100" w:type="dxa"/>
              <w:right w:w="100" w:type="dxa"/>
            </w:tcMar>
          </w:tcPr>
          <w:p w14:paraId="06C5222D">
            <w:pPr>
              <w:widowControl w:val="0"/>
              <w:pBdr>
                <w:top w:val="none" w:color="auto" w:sz="0" w:space="0"/>
                <w:left w:val="none" w:color="auto" w:sz="0" w:space="0"/>
                <w:bottom w:val="none" w:color="auto" w:sz="0" w:space="0"/>
                <w:right w:val="none" w:color="auto" w:sz="0" w:space="0"/>
                <w:between w:val="none" w:color="auto" w:sz="0" w:space="0"/>
              </w:pBdr>
              <w:spacing w:before="0" w:after="0"/>
            </w:pPr>
            <w:r>
              <w:t>Product performance metrics, user feedback, and project evaluations</w:t>
            </w:r>
          </w:p>
        </w:tc>
      </w:tr>
      <w:tr w14:paraId="1525D38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0E84FC93">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HR Director</w:t>
            </w:r>
          </w:p>
        </w:tc>
        <w:tc>
          <w:tcPr>
            <w:tcW w:w="1170" w:type="dxa"/>
            <w:tcMar>
              <w:top w:w="100" w:type="dxa"/>
              <w:left w:w="100" w:type="dxa"/>
              <w:bottom w:w="100" w:type="dxa"/>
              <w:right w:w="100" w:type="dxa"/>
            </w:tcMar>
          </w:tcPr>
          <w:p w14:paraId="1EDA56B1">
            <w:pPr>
              <w:widowControl w:val="0"/>
              <w:pBdr>
                <w:top w:val="none" w:color="auto" w:sz="0" w:space="0"/>
                <w:left w:val="none" w:color="auto" w:sz="0" w:space="0"/>
                <w:bottom w:val="none" w:color="auto" w:sz="0" w:space="0"/>
                <w:right w:val="none" w:color="auto" w:sz="0" w:space="0"/>
                <w:between w:val="none" w:color="auto" w:sz="0" w:space="0"/>
              </w:pBdr>
              <w:spacing w:before="0" w:after="0"/>
            </w:pPr>
            <w:r>
              <w:t>Talent acquisition, employee engagement, and development of organisational culture</w:t>
            </w:r>
          </w:p>
        </w:tc>
        <w:tc>
          <w:tcPr>
            <w:tcW w:w="1170" w:type="dxa"/>
            <w:tcMar>
              <w:top w:w="100" w:type="dxa"/>
              <w:left w:w="100" w:type="dxa"/>
              <w:bottom w:w="100" w:type="dxa"/>
              <w:right w:w="100" w:type="dxa"/>
            </w:tcMar>
          </w:tcPr>
          <w:p w14:paraId="393C7C20">
            <w:pPr>
              <w:widowControl w:val="0"/>
              <w:pBdr>
                <w:top w:val="none" w:color="auto" w:sz="0" w:space="0"/>
                <w:left w:val="none" w:color="auto" w:sz="0" w:space="0"/>
                <w:bottom w:val="none" w:color="auto" w:sz="0" w:space="0"/>
                <w:right w:val="none" w:color="auto" w:sz="0" w:space="0"/>
                <w:between w:val="none" w:color="auto" w:sz="0" w:space="0"/>
              </w:pBdr>
              <w:spacing w:before="0" w:after="0"/>
            </w:pPr>
            <w:r>
              <w:t>HR skills, communication skills, leadership skills, and knowledge of employment law and HR analytics</w:t>
            </w:r>
          </w:p>
        </w:tc>
        <w:tc>
          <w:tcPr>
            <w:tcW w:w="1170" w:type="dxa"/>
            <w:tcMar>
              <w:top w:w="100" w:type="dxa"/>
              <w:left w:w="100" w:type="dxa"/>
              <w:bottom w:w="100" w:type="dxa"/>
              <w:right w:w="100" w:type="dxa"/>
            </w:tcMar>
          </w:tcPr>
          <w:p w14:paraId="60729776">
            <w:pPr>
              <w:widowControl w:val="0"/>
              <w:pBdr>
                <w:top w:val="none" w:color="auto" w:sz="0" w:space="0"/>
                <w:left w:val="none" w:color="auto" w:sz="0" w:space="0"/>
                <w:bottom w:val="none" w:color="auto" w:sz="0" w:space="0"/>
                <w:right w:val="none" w:color="auto" w:sz="0" w:space="0"/>
                <w:between w:val="none" w:color="auto" w:sz="0" w:space="0"/>
              </w:pBdr>
              <w:spacing w:before="0" w:after="0"/>
            </w:pPr>
            <w:r>
              <w:t>High – talent acquisition, training and development of employees, and development of organisational culture</w:t>
            </w:r>
          </w:p>
        </w:tc>
        <w:tc>
          <w:tcPr>
            <w:tcW w:w="1170" w:type="dxa"/>
            <w:tcMar>
              <w:top w:w="100" w:type="dxa"/>
              <w:left w:w="100" w:type="dxa"/>
              <w:bottom w:w="100" w:type="dxa"/>
              <w:right w:w="100" w:type="dxa"/>
            </w:tcMar>
          </w:tcPr>
          <w:p w14:paraId="272980C8">
            <w:pPr>
              <w:widowControl w:val="0"/>
              <w:pBdr>
                <w:top w:val="none" w:color="auto" w:sz="0" w:space="0"/>
                <w:left w:val="none" w:color="auto" w:sz="0" w:space="0"/>
                <w:bottom w:val="none" w:color="auto" w:sz="0" w:space="0"/>
                <w:right w:val="none" w:color="auto" w:sz="0" w:space="0"/>
                <w:between w:val="none" w:color="auto" w:sz="0" w:space="0"/>
              </w:pBdr>
              <w:spacing w:before="0" w:after="0"/>
            </w:pPr>
            <w:r>
              <w:t>High – responsible for the entire employee life cycle and HR outcomes</w:t>
            </w:r>
          </w:p>
        </w:tc>
        <w:tc>
          <w:tcPr>
            <w:tcW w:w="1170" w:type="dxa"/>
            <w:tcMar>
              <w:top w:w="100" w:type="dxa"/>
              <w:left w:w="100" w:type="dxa"/>
              <w:bottom w:w="100" w:type="dxa"/>
              <w:right w:w="100" w:type="dxa"/>
            </w:tcMar>
          </w:tcPr>
          <w:p w14:paraId="7E3E363E">
            <w:pPr>
              <w:widowControl w:val="0"/>
              <w:pBdr>
                <w:top w:val="none" w:color="auto" w:sz="0" w:space="0"/>
                <w:left w:val="none" w:color="auto" w:sz="0" w:space="0"/>
                <w:bottom w:val="none" w:color="auto" w:sz="0" w:space="0"/>
                <w:right w:val="none" w:color="auto" w:sz="0" w:space="0"/>
                <w:between w:val="none" w:color="auto" w:sz="0" w:space="0"/>
              </w:pBdr>
              <w:spacing w:before="0" w:after="0"/>
            </w:pPr>
            <w:r>
              <w:t>High – directly influences employee retention and performance</w:t>
            </w:r>
          </w:p>
        </w:tc>
        <w:tc>
          <w:tcPr>
            <w:tcW w:w="1170" w:type="dxa"/>
            <w:tcMar>
              <w:top w:w="100" w:type="dxa"/>
              <w:left w:w="100" w:type="dxa"/>
              <w:bottom w:w="100" w:type="dxa"/>
              <w:right w:w="100" w:type="dxa"/>
            </w:tcMar>
          </w:tcPr>
          <w:p w14:paraId="33B3F491">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autonomy in terms of decisions made in the HR function</w:t>
            </w:r>
          </w:p>
        </w:tc>
        <w:tc>
          <w:tcPr>
            <w:tcW w:w="1170" w:type="dxa"/>
            <w:tcMar>
              <w:top w:w="100" w:type="dxa"/>
              <w:left w:w="100" w:type="dxa"/>
              <w:bottom w:w="100" w:type="dxa"/>
              <w:right w:w="100" w:type="dxa"/>
            </w:tcMar>
          </w:tcPr>
          <w:p w14:paraId="19BA24E3">
            <w:pPr>
              <w:widowControl w:val="0"/>
              <w:pBdr>
                <w:top w:val="none" w:color="auto" w:sz="0" w:space="0"/>
                <w:left w:val="none" w:color="auto" w:sz="0" w:space="0"/>
                <w:bottom w:val="none" w:color="auto" w:sz="0" w:space="0"/>
                <w:right w:val="none" w:color="auto" w:sz="0" w:space="0"/>
                <w:between w:val="none" w:color="auto" w:sz="0" w:space="0"/>
              </w:pBdr>
              <w:spacing w:before="0" w:after="0"/>
            </w:pPr>
            <w:r>
              <w:t>Feedback is obtained through employee surveys, employee turnover statistics, and performance metrics</w:t>
            </w:r>
          </w:p>
        </w:tc>
      </w:tr>
      <w:tr w14:paraId="797CB8E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67300129">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Head of R&amp;D</w:t>
            </w:r>
          </w:p>
        </w:tc>
        <w:tc>
          <w:tcPr>
            <w:tcW w:w="1170" w:type="dxa"/>
            <w:tcMar>
              <w:top w:w="100" w:type="dxa"/>
              <w:left w:w="100" w:type="dxa"/>
              <w:bottom w:w="100" w:type="dxa"/>
              <w:right w:w="100" w:type="dxa"/>
            </w:tcMar>
          </w:tcPr>
          <w:p w14:paraId="37A9610E">
            <w:pPr>
              <w:widowControl w:val="0"/>
              <w:pBdr>
                <w:top w:val="none" w:color="auto" w:sz="0" w:space="0"/>
                <w:left w:val="none" w:color="auto" w:sz="0" w:space="0"/>
                <w:bottom w:val="none" w:color="auto" w:sz="0" w:space="0"/>
                <w:right w:val="none" w:color="auto" w:sz="0" w:space="0"/>
                <w:between w:val="none" w:color="auto" w:sz="0" w:space="0"/>
              </w:pBdr>
              <w:spacing w:before="0" w:after="0"/>
            </w:pPr>
            <w:r>
              <w:t>Overall responsibility for research and development activities to develop innovative products and solutions</w:t>
            </w:r>
          </w:p>
        </w:tc>
        <w:tc>
          <w:tcPr>
            <w:tcW w:w="1170" w:type="dxa"/>
            <w:tcMar>
              <w:top w:w="100" w:type="dxa"/>
              <w:left w:w="100" w:type="dxa"/>
              <w:bottom w:w="100" w:type="dxa"/>
              <w:right w:w="100" w:type="dxa"/>
            </w:tcMar>
          </w:tcPr>
          <w:p w14:paraId="77FD23C9">
            <w:pPr>
              <w:widowControl w:val="0"/>
              <w:pBdr>
                <w:top w:val="none" w:color="auto" w:sz="0" w:space="0"/>
                <w:left w:val="none" w:color="auto" w:sz="0" w:space="0"/>
                <w:bottom w:val="none" w:color="auto" w:sz="0" w:space="0"/>
                <w:right w:val="none" w:color="auto" w:sz="0" w:space="0"/>
                <w:between w:val="none" w:color="auto" w:sz="0" w:space="0"/>
              </w:pBdr>
              <w:spacing w:before="0" w:after="0"/>
            </w:pPr>
            <w:r>
              <w:t>Knowledge of the subject area, creativity, and project management and analysis skills</w:t>
            </w:r>
          </w:p>
        </w:tc>
        <w:tc>
          <w:tcPr>
            <w:tcW w:w="1170" w:type="dxa"/>
            <w:tcMar>
              <w:top w:w="100" w:type="dxa"/>
              <w:left w:w="100" w:type="dxa"/>
              <w:bottom w:w="100" w:type="dxa"/>
              <w:right w:w="100" w:type="dxa"/>
            </w:tcMar>
          </w:tcPr>
          <w:p w14:paraId="4552BDB8">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 research and development of products and solutions</w:t>
            </w:r>
          </w:p>
        </w:tc>
        <w:tc>
          <w:tcPr>
            <w:tcW w:w="1170" w:type="dxa"/>
            <w:tcMar>
              <w:top w:w="100" w:type="dxa"/>
              <w:left w:w="100" w:type="dxa"/>
              <w:bottom w:w="100" w:type="dxa"/>
              <w:right w:w="100" w:type="dxa"/>
            </w:tcMar>
          </w:tcPr>
          <w:p w14:paraId="124524AC">
            <w:pPr>
              <w:widowControl w:val="0"/>
              <w:pBdr>
                <w:top w:val="none" w:color="auto" w:sz="0" w:space="0"/>
                <w:left w:val="none" w:color="auto" w:sz="0" w:space="0"/>
                <w:bottom w:val="none" w:color="auto" w:sz="0" w:space="0"/>
                <w:right w:val="none" w:color="auto" w:sz="0" w:space="0"/>
                <w:between w:val="none" w:color="auto" w:sz="0" w:space="0"/>
              </w:pBdr>
              <w:spacing w:before="0" w:after="0"/>
            </w:pPr>
            <w:r>
              <w:t>High – overall responsibility for projects and products developed</w:t>
            </w:r>
          </w:p>
        </w:tc>
        <w:tc>
          <w:tcPr>
            <w:tcW w:w="1170" w:type="dxa"/>
            <w:tcMar>
              <w:top w:w="100" w:type="dxa"/>
              <w:left w:w="100" w:type="dxa"/>
              <w:bottom w:w="100" w:type="dxa"/>
              <w:right w:w="100" w:type="dxa"/>
            </w:tcMar>
          </w:tcPr>
          <w:p w14:paraId="019C9263">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 contributes to the growth of the organisation through innovation and research</w:t>
            </w:r>
          </w:p>
        </w:tc>
        <w:tc>
          <w:tcPr>
            <w:tcW w:w="1170" w:type="dxa"/>
            <w:tcMar>
              <w:top w:w="100" w:type="dxa"/>
              <w:left w:w="100" w:type="dxa"/>
              <w:bottom w:w="100" w:type="dxa"/>
              <w:right w:w="100" w:type="dxa"/>
            </w:tcMar>
          </w:tcPr>
          <w:p w14:paraId="6EA88068">
            <w:pPr>
              <w:widowControl w:val="0"/>
              <w:pBdr>
                <w:top w:val="none" w:color="auto" w:sz="0" w:space="0"/>
                <w:left w:val="none" w:color="auto" w:sz="0" w:space="0"/>
                <w:bottom w:val="none" w:color="auto" w:sz="0" w:space="0"/>
                <w:right w:val="none" w:color="auto" w:sz="0" w:space="0"/>
                <w:between w:val="none" w:color="auto" w:sz="0" w:space="0"/>
              </w:pBdr>
              <w:spacing w:before="0" w:after="0"/>
            </w:pPr>
            <w:r>
              <w:t>High autonomy to determine the direction of research and experiments</w:t>
            </w:r>
          </w:p>
        </w:tc>
        <w:tc>
          <w:tcPr>
            <w:tcW w:w="1170" w:type="dxa"/>
            <w:tcMar>
              <w:top w:w="100" w:type="dxa"/>
              <w:left w:w="100" w:type="dxa"/>
              <w:bottom w:w="100" w:type="dxa"/>
              <w:right w:w="100" w:type="dxa"/>
            </w:tcMar>
          </w:tcPr>
          <w:p w14:paraId="51530892">
            <w:pPr>
              <w:widowControl w:val="0"/>
              <w:pBdr>
                <w:top w:val="none" w:color="auto" w:sz="0" w:space="0"/>
                <w:left w:val="none" w:color="auto" w:sz="0" w:space="0"/>
                <w:bottom w:val="none" w:color="auto" w:sz="0" w:space="0"/>
                <w:right w:val="none" w:color="auto" w:sz="0" w:space="0"/>
                <w:between w:val="none" w:color="auto" w:sz="0" w:space="0"/>
              </w:pBdr>
              <w:spacing w:before="0" w:after="0"/>
            </w:pPr>
            <w:r>
              <w:t>Feedback is obtained through research and development project results and metrics</w:t>
            </w:r>
          </w:p>
        </w:tc>
      </w:tr>
      <w:tr w14:paraId="7087486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170" w:type="dxa"/>
            <w:tcMar>
              <w:top w:w="100" w:type="dxa"/>
              <w:left w:w="100" w:type="dxa"/>
              <w:bottom w:w="100" w:type="dxa"/>
              <w:right w:w="100" w:type="dxa"/>
            </w:tcMar>
          </w:tcPr>
          <w:p w14:paraId="40CE7D63">
            <w:pPr>
              <w:widowControl w:val="0"/>
              <w:pBdr>
                <w:top w:val="none" w:color="auto" w:sz="0" w:space="0"/>
                <w:left w:val="none" w:color="auto" w:sz="0" w:space="0"/>
                <w:bottom w:val="none" w:color="auto" w:sz="0" w:space="0"/>
                <w:right w:val="none" w:color="auto" w:sz="0" w:space="0"/>
                <w:between w:val="none" w:color="auto" w:sz="0" w:space="0"/>
              </w:pBdr>
              <w:spacing w:before="0" w:after="0"/>
              <w:rPr>
                <w:b/>
                <w:bCs/>
              </w:rPr>
            </w:pPr>
            <w:r>
              <w:rPr>
                <w:b/>
                <w:bCs/>
              </w:rPr>
              <w:t>Chief Innovation Officer (CIO)</w:t>
            </w:r>
          </w:p>
        </w:tc>
        <w:tc>
          <w:tcPr>
            <w:tcW w:w="1170" w:type="dxa"/>
            <w:tcMar>
              <w:top w:w="100" w:type="dxa"/>
              <w:left w:w="100" w:type="dxa"/>
              <w:bottom w:w="100" w:type="dxa"/>
              <w:right w:w="100" w:type="dxa"/>
            </w:tcMar>
          </w:tcPr>
          <w:p w14:paraId="4CAD2863">
            <w:pPr>
              <w:widowControl w:val="0"/>
              <w:pBdr>
                <w:top w:val="none" w:color="auto" w:sz="0" w:space="0"/>
                <w:left w:val="none" w:color="auto" w:sz="0" w:space="0"/>
                <w:bottom w:val="none" w:color="auto" w:sz="0" w:space="0"/>
                <w:right w:val="none" w:color="auto" w:sz="0" w:space="0"/>
                <w:between w:val="none" w:color="auto" w:sz="0" w:space="0"/>
              </w:pBdr>
              <w:spacing w:before="0" w:after="0"/>
            </w:pPr>
            <w:r>
              <w:t>Manages the company’s innovation strategy, R&amp;D activities, and fosters a culture of creativity</w:t>
            </w:r>
          </w:p>
        </w:tc>
        <w:tc>
          <w:tcPr>
            <w:tcW w:w="1170" w:type="dxa"/>
            <w:tcMar>
              <w:top w:w="100" w:type="dxa"/>
              <w:left w:w="100" w:type="dxa"/>
              <w:bottom w:w="100" w:type="dxa"/>
              <w:right w:w="100" w:type="dxa"/>
            </w:tcMar>
          </w:tcPr>
          <w:p w14:paraId="29F34D9C">
            <w:pPr>
              <w:widowControl w:val="0"/>
              <w:pBdr>
                <w:top w:val="none" w:color="auto" w:sz="0" w:space="0"/>
                <w:left w:val="none" w:color="auto" w:sz="0" w:space="0"/>
                <w:bottom w:val="none" w:color="auto" w:sz="0" w:space="0"/>
                <w:right w:val="none" w:color="auto" w:sz="0" w:space="0"/>
                <w:between w:val="none" w:color="auto" w:sz="0" w:space="0"/>
              </w:pBdr>
              <w:spacing w:before="0" w:after="0"/>
            </w:pPr>
            <w:r>
              <w:t>Creativity, innovation management, problem-solving skills, and cross-functional leadership</w:t>
            </w:r>
          </w:p>
        </w:tc>
        <w:tc>
          <w:tcPr>
            <w:tcW w:w="1170" w:type="dxa"/>
            <w:tcMar>
              <w:top w:w="100" w:type="dxa"/>
              <w:left w:w="100" w:type="dxa"/>
              <w:bottom w:w="100" w:type="dxa"/>
              <w:right w:w="100" w:type="dxa"/>
            </w:tcMar>
          </w:tcPr>
          <w:p w14:paraId="75F525DF">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 includes experimentation, collaboration, and ideation</w:t>
            </w:r>
          </w:p>
        </w:tc>
        <w:tc>
          <w:tcPr>
            <w:tcW w:w="1170" w:type="dxa"/>
            <w:tcMar>
              <w:top w:w="100" w:type="dxa"/>
              <w:left w:w="100" w:type="dxa"/>
              <w:bottom w:w="100" w:type="dxa"/>
              <w:right w:w="100" w:type="dxa"/>
            </w:tcMar>
          </w:tcPr>
          <w:p w14:paraId="58BAD1CC">
            <w:pPr>
              <w:widowControl w:val="0"/>
              <w:pBdr>
                <w:top w:val="none" w:color="auto" w:sz="0" w:space="0"/>
                <w:left w:val="none" w:color="auto" w:sz="0" w:space="0"/>
                <w:bottom w:val="none" w:color="auto" w:sz="0" w:space="0"/>
                <w:right w:val="none" w:color="auto" w:sz="0" w:space="0"/>
                <w:between w:val="none" w:color="auto" w:sz="0" w:space="0"/>
              </w:pBdr>
              <w:spacing w:before="0" w:after="0"/>
            </w:pPr>
            <w:r>
              <w:t>Medium-High – contributes to company-wide innovation outcomes and strategic activities</w:t>
            </w:r>
          </w:p>
        </w:tc>
        <w:tc>
          <w:tcPr>
            <w:tcW w:w="1170" w:type="dxa"/>
            <w:tcMar>
              <w:top w:w="100" w:type="dxa"/>
              <w:left w:w="100" w:type="dxa"/>
              <w:bottom w:w="100" w:type="dxa"/>
              <w:right w:w="100" w:type="dxa"/>
            </w:tcMar>
          </w:tcPr>
          <w:p w14:paraId="120F6DA2">
            <w:pPr>
              <w:widowControl w:val="0"/>
              <w:pBdr>
                <w:top w:val="none" w:color="auto" w:sz="0" w:space="0"/>
                <w:left w:val="none" w:color="auto" w:sz="0" w:space="0"/>
                <w:bottom w:val="none" w:color="auto" w:sz="0" w:space="0"/>
                <w:right w:val="none" w:color="auto" w:sz="0" w:space="0"/>
                <w:between w:val="none" w:color="auto" w:sz="0" w:space="0"/>
              </w:pBdr>
              <w:spacing w:before="0" w:after="0"/>
            </w:pPr>
            <w:r>
              <w:t>Very High – critical for company competitiveness</w:t>
            </w:r>
          </w:p>
        </w:tc>
        <w:tc>
          <w:tcPr>
            <w:tcW w:w="1170" w:type="dxa"/>
            <w:tcMar>
              <w:top w:w="100" w:type="dxa"/>
              <w:left w:w="100" w:type="dxa"/>
              <w:bottom w:w="100" w:type="dxa"/>
              <w:right w:w="100" w:type="dxa"/>
            </w:tcMar>
          </w:tcPr>
          <w:p w14:paraId="74ED9041">
            <w:pPr>
              <w:widowControl w:val="0"/>
              <w:pBdr>
                <w:top w:val="none" w:color="auto" w:sz="0" w:space="0"/>
                <w:left w:val="none" w:color="auto" w:sz="0" w:space="0"/>
                <w:bottom w:val="none" w:color="auto" w:sz="0" w:space="0"/>
                <w:right w:val="none" w:color="auto" w:sz="0" w:space="0"/>
                <w:between w:val="none" w:color="auto" w:sz="0" w:space="0"/>
              </w:pBdr>
              <w:spacing w:before="0" w:after="0"/>
            </w:pPr>
            <w:r>
              <w:t>High – freedom to experiment and implement new ideas</w:t>
            </w:r>
          </w:p>
        </w:tc>
        <w:tc>
          <w:tcPr>
            <w:tcW w:w="1170" w:type="dxa"/>
            <w:tcMar>
              <w:top w:w="100" w:type="dxa"/>
              <w:left w:w="100" w:type="dxa"/>
              <w:bottom w:w="100" w:type="dxa"/>
              <w:right w:w="100" w:type="dxa"/>
            </w:tcMar>
          </w:tcPr>
          <w:p w14:paraId="58C3F47D">
            <w:pPr>
              <w:widowControl w:val="0"/>
              <w:pBdr>
                <w:top w:val="none" w:color="auto" w:sz="0" w:space="0"/>
                <w:left w:val="none" w:color="auto" w:sz="0" w:space="0"/>
                <w:bottom w:val="none" w:color="auto" w:sz="0" w:space="0"/>
                <w:right w:val="none" w:color="auto" w:sz="0" w:space="0"/>
                <w:between w:val="none" w:color="auto" w:sz="0" w:space="0"/>
              </w:pBdr>
              <w:spacing w:before="0" w:after="0"/>
            </w:pPr>
            <w:r>
              <w:t>Innovation key performance indicators, project success rates, and feedback from teams and other stakeholders</w:t>
            </w:r>
          </w:p>
        </w:tc>
      </w:tr>
    </w:tbl>
    <w:p w14:paraId="10F0C3CD">
      <w:pPr>
        <w:spacing w:before="240" w:after="240"/>
      </w:pPr>
    </w:p>
    <w:p w14:paraId="7F944E09">
      <w:pPr>
        <w:pStyle w:val="2"/>
      </w:pPr>
      <w:bookmarkStart w:id="4" w:name="_Toc224832168"/>
      <w:r>
        <w:t>Justification</w:t>
      </w:r>
      <w:bookmarkEnd w:id="4"/>
    </w:p>
    <w:p w14:paraId="7782A2CE">
      <w:pPr>
        <w:spacing w:before="240" w:after="240"/>
      </w:pPr>
      <w:r>
        <w:t>The redesigned roles have been noted to closely align with the Job Characteristics Model by showing that the incorporation of skill variety, autonomy, and task significance has the potential for enhancing intrinsic . Important positions like CTO and Head of R&amp;D contribute to promoting innovation, independence, and creativity, which help in improving job satisfaction and performance. Alam, (2022), demonstrated that the use of structured feedback mechanisms, stakeholder evaluations, and performance metrics allows for maintaining adaptability and supporting continuous learning across this dynamic technology environment.</w:t>
      </w:r>
    </w:p>
    <w:p w14:paraId="69ACBCA2">
      <w:pPr>
        <w:spacing w:before="240" w:after="240"/>
      </w:pPr>
      <w:r>
        <w:t xml:space="preserve">It can further be stated that this redesigning approach has the potential to let Aether Innovations move from a rigid structure and adopt flexibility, strengthen engagement, and strategic alignment by empowering roles. Considering this, </w:t>
      </w:r>
      <w:r>
        <w:rPr>
          <w:color w:val="222222"/>
          <w:highlight w:val="white"/>
        </w:rPr>
        <w:t xml:space="preserve">Hackman and Oldham, </w:t>
      </w:r>
      <w:r>
        <w:t xml:space="preserve">(1976), asserted that when jobs are enriched, it emphasises increasing motivation while reducing turnover and improving performance. This entails that the integration and enrichment of job design helps in creating a high-performance environment where employees come forward to take ownership and provide possible contribution alongside aligning with organisational goals, and in turn results in enhancing productivity, improving customer satisfaction, while reducing turnover. </w:t>
      </w:r>
    </w:p>
    <w:p w14:paraId="22CD802D">
      <w:pPr>
        <w:pStyle w:val="2"/>
      </w:pPr>
      <w:bookmarkStart w:id="5" w:name="_Toc224832169"/>
      <w:r>
        <w:t>Job performance and Job design integration</w:t>
      </w:r>
      <w:bookmarkEnd w:id="5"/>
      <w:r>
        <w:t xml:space="preserve"> </w:t>
      </w:r>
    </w:p>
    <w:p w14:paraId="40BAF259">
      <w:pPr>
        <w:spacing w:before="240" w:after="240"/>
      </w:pPr>
      <w:r>
        <w:t xml:space="preserve">A unified model is established by incorporating job design with performance management for effectively meeting the objectives of organisational strategy. Employees of the organisation further secure expectations and guide performance by using Objectives and Key Results (OKRs) as performance management systems. According to Parker </w:t>
      </w:r>
      <w:r>
        <w:rPr>
          <w:i/>
          <w:iCs/>
        </w:rPr>
        <w:t>et al.</w:t>
      </w:r>
      <w:r>
        <w:t xml:space="preserve"> (2025), management systems are responsible for improving transparency and gaining insights into employees' contributions towards their work in broader terms. Meanwhile, only attaining clarity about the outcome is not sufficient for achieving the overall objectives, as it may require structuring the roles efficiently. Charlwood and Guenole, (2022), assert that this alignment in turn reduces role ambiguity, enhances focus, and improves efficiency.</w:t>
      </w:r>
    </w:p>
    <w:p w14:paraId="5EF01C6B">
      <w:pPr>
        <w:spacing w:before="240" w:after="240"/>
      </w:pPr>
      <w:r>
        <w:t xml:space="preserve">The fundamental characteristics of a High-Performance Work System (HPWS) are to maintain a connection between job design and performance management. In such a scenario, Demerouti, (2025), stated that the organisational outcomes and employee potential are intensified with proper HR practices. Moreover, the developed job position provides resource access to employees, while the use of OKRs tracks accountability and performance continuously. In addition, HPWS emphasises employee empowerment, collaboration, and innovation. Therefore, with proper incorporation of initiatives, organisations are able to sustain their dominance in the competitive landscape, achieve better customer satisfaction and overall higher productivity. </w:t>
      </w:r>
    </w:p>
    <w:p w14:paraId="3C7F17C7">
      <w:pPr>
        <w:spacing w:before="240" w:after="240"/>
      </w:pPr>
      <w:r>
        <w:t xml:space="preserve">In the case of Aether Innovations, in sustaining its competitive advantage in the market, integration of performance management with effective job design can play a significant role. In the words of Hernaus </w:t>
      </w:r>
      <w:r>
        <w:rPr>
          <w:i/>
          <w:iCs/>
        </w:rPr>
        <w:t>et al.</w:t>
      </w:r>
      <w:r>
        <w:t xml:space="preserve"> (2025), stated that the employees of the organisation are able to make informed decisions and work more efficiently due to structured and clear objectives. Therefore, Aether Innovations can enhance employee engagement, drive innovation, and build a resilient, high-performing workforce. It can be possible by applying the Job Characteristics Model and continuous feedback mechanisms.  In addition, this approach can motivate employees to respond to changing business environments and experiment with new ideas, creating a cohesive system comprising meaningful design work and goal clarity. </w:t>
      </w:r>
    </w:p>
    <w:p w14:paraId="72BFFE23">
      <w:pPr>
        <w:pStyle w:val="2"/>
      </w:pPr>
      <w:bookmarkStart w:id="6" w:name="_Toc224832170"/>
      <w:r>
        <w:t>Part 2: Reflection</w:t>
      </w:r>
      <w:bookmarkEnd w:id="6"/>
      <w:r>
        <w:t xml:space="preserve"> </w:t>
      </w:r>
    </w:p>
    <w:p w14:paraId="4A85848B">
      <w:pPr>
        <w:pStyle w:val="3"/>
      </w:pPr>
      <w:bookmarkStart w:id="7" w:name="_Toc224832171"/>
      <w:r>
        <w:t>Gibb’s Reflective Model</w:t>
      </w:r>
      <w:bookmarkEnd w:id="7"/>
      <w:r>
        <w:t xml:space="preserve"> </w:t>
      </w:r>
    </w:p>
    <w:p w14:paraId="7F3A9DD6">
      <w:pPr>
        <w:spacing w:before="240" w:after="240"/>
      </w:pPr>
      <w:r>
        <w:t xml:space="preserve">In order to critically evaluate my learning experience throughout this module on human capital management, Gibbs reflective model is utilised in this segment. Mukhanova and Seitimova, (2025), termed that this framework is responsible for guiding individuals through a comprehensive reflection process. This model further helps in promoting critical thinking, continuous learning and self-development. </w:t>
      </w:r>
    </w:p>
    <w:p w14:paraId="06C616AD">
      <w:pPr>
        <w:spacing w:before="240" w:after="240"/>
        <w:rPr>
          <w:b/>
          <w:bCs/>
        </w:rPr>
      </w:pPr>
      <w:r>
        <w:rPr>
          <w:b/>
          <w:bCs/>
        </w:rPr>
        <w:t xml:space="preserve">Description </w:t>
      </w:r>
    </w:p>
    <w:p w14:paraId="7860AF1B">
      <w:pPr>
        <w:spacing w:before="240" w:after="240"/>
      </w:pPr>
      <w:r>
        <w:t xml:space="preserve">In this particular module, I was involved in managing various key human resource management models such as Goal-Setting Theory and Job Characteristics Model. I was mainly responsible for developing strategic HR solutions and evaluating organisational challenges in HR management. These findings are generated in terms of job roles for Aether Innovations and redesigning performance management systems. While aligning academic theories with real-world organisational issues, I was required to exhibit critical thinking and analytical skills. </w:t>
      </w:r>
    </w:p>
    <w:p w14:paraId="302A8ADB">
      <w:pPr>
        <w:spacing w:before="240" w:after="240"/>
        <w:rPr>
          <w:b/>
          <w:bCs/>
        </w:rPr>
      </w:pPr>
      <w:r>
        <w:rPr>
          <w:b/>
          <w:bCs/>
        </w:rPr>
        <w:t xml:space="preserve">Feelings </w:t>
      </w:r>
    </w:p>
    <w:p w14:paraId="6B1DCAB3">
      <w:pPr>
        <w:spacing w:before="240" w:after="240"/>
      </w:pPr>
      <w:r>
        <w:t xml:space="preserve">In the initial phase of being involved with the module made me feel both anxious and happy at the same time. I was anxious about handling this module for the first time, which tends to reduce with the passing days. I perceived human resource management as largely administrative, focusing on recruitment, payroll, and compliance. Further, as the days progressed, I became curious about the role of HR in driving organisational success irrespective of the sector. Despite facing challenges while applying the theoretical frameworks, the support from colleagues has helped me complete my role. </w:t>
      </w:r>
    </w:p>
    <w:p w14:paraId="70F61861">
      <w:pPr>
        <w:spacing w:before="240" w:after="240"/>
        <w:rPr>
          <w:b/>
          <w:bCs/>
        </w:rPr>
      </w:pPr>
      <w:r>
        <w:rPr>
          <w:b/>
          <w:bCs/>
        </w:rPr>
        <w:t xml:space="preserve">Evaluation </w:t>
      </w:r>
    </w:p>
    <w:p w14:paraId="2C123C0C">
      <w:pPr>
        <w:spacing w:before="240" w:after="240"/>
      </w:pPr>
      <w:r>
        <w:t xml:space="preserve">This phase is responsible for portraying individual key strengths and weaknesses identified while engaged in a particular task. One of the key insights learnt from this module is to apply theoretical frameworks to practical situations. In addition, I gained information on the importance of Goal-Setting Theory and Job Characteristics Model in HR management. These frameworks enabled me to critically assess traditional HR practices and propose more effective, modern alternatives. On the other hand, I lacked in evaluating the chosen framework in this model. This, in turn, resulted in a lack of depth and accountability in the assessment of HR practices for Aether Innovations. </w:t>
      </w:r>
    </w:p>
    <w:p w14:paraId="5296671C">
      <w:pPr>
        <w:spacing w:before="240" w:after="240"/>
        <w:rPr>
          <w:b/>
          <w:bCs/>
        </w:rPr>
      </w:pPr>
      <w:r>
        <w:rPr>
          <w:b/>
          <w:bCs/>
        </w:rPr>
        <w:t xml:space="preserve">Analysis </w:t>
      </w:r>
    </w:p>
    <w:p w14:paraId="6EFE7356">
      <w:pPr>
        <w:spacing w:before="240" w:after="240"/>
      </w:pPr>
      <w:r>
        <w:t xml:space="preserve">The analysis segment highlights the impact of the key strengths and weaknesses on the completion of the module successfully. Being part of this module has helped me improve my understanding of the strategic importance of human capital. I also learnt that the importance of HR practices is determining organisational performance in the competitive landscape. In this report, in order to foster a high-performance work system (HPWS), HR practices are effectively structured according to necessity. In addition, I gained knowledge on the significance of employee engagement in organisational success in the respective industry. Another key learning outcome was the importance of adaptability in HR practices. It also highlighted that for maintaining organisational competitiveness, continuous feedback systems like flexible job design and OKRs are crucial. Therefore, being engaged in this module has helped and well-equipped me for future career growth and development. Moreover, it has broadened my perspective on HR strategies in this fast-evolving dynamic. </w:t>
      </w:r>
    </w:p>
    <w:p w14:paraId="329BA61A">
      <w:pPr>
        <w:spacing w:before="240" w:after="240"/>
        <w:rPr>
          <w:b/>
          <w:bCs/>
        </w:rPr>
      </w:pPr>
      <w:r>
        <w:rPr>
          <w:b/>
          <w:bCs/>
        </w:rPr>
        <w:t xml:space="preserve">Conclusion </w:t>
      </w:r>
    </w:p>
    <w:p w14:paraId="183FF0AA">
      <w:pPr>
        <w:spacing w:before="240" w:after="240"/>
      </w:pPr>
      <w:r>
        <w:t xml:space="preserve">The overall reflection has successfully demonstrated my learnings, existing strengths and weaknesses in the current scenario. Further, being part of this module has been immensely useful in evolving my learning of human resource management from an operational function to a strategic discipline. I also gained insights into critically evaluating the HR practices and their role in influencing organisational performance. In addition, secured how to align the theoretical frameworks to real-world scenarios, and recommended effective mitigation measures. I have intensely improved my analytical and critical thinking skills despite encountering challenges while linking theory with practice. It is further observed that the setbacks can be transformed into potential strengths with patience and perseverance. </w:t>
      </w:r>
    </w:p>
    <w:p w14:paraId="68006C97">
      <w:pPr>
        <w:spacing w:before="240" w:after="240"/>
        <w:rPr>
          <w:b/>
          <w:bCs/>
        </w:rPr>
      </w:pPr>
      <w:r>
        <w:rPr>
          <w:b/>
          <w:bCs/>
        </w:rPr>
        <w:t xml:space="preserve">Action plan </w:t>
      </w:r>
    </w:p>
    <w:p w14:paraId="4D19D892">
      <w:pPr>
        <w:spacing w:before="240" w:after="240"/>
      </w:pPr>
      <w:r>
        <w:t xml:space="preserve">The limitations have the potential to cause hurdles for the optimum growth and development of any individual. It is therefore necessary to take appropriate actions to overcome these limitations at the earliest to be well eligible for a future career. I aim to further develop my expertise in strategic human resource management by engaging in continuous professional development. In addition, I also intend to improve my leadership skills by engaging in group tasks with leading responsibilities for gaining relevant experience. Moreover, by attending academic literature and applying HR theories to practical scenarios, I plan to systematically develop my analytical skills. </w:t>
      </w:r>
    </w:p>
    <w:p w14:paraId="7396277C">
      <w:pPr>
        <w:pStyle w:val="3"/>
      </w:pPr>
      <w:bookmarkStart w:id="8" w:name="_Toc224832172"/>
      <w:r>
        <w:t>Future work</w:t>
      </w:r>
      <w:bookmarkEnd w:id="8"/>
    </w:p>
    <w:p w14:paraId="6275C711">
      <w:pPr>
        <w:spacing w:before="240" w:after="240"/>
      </w:pPr>
      <w:r>
        <w:t xml:space="preserve">The role of human resource management and the nature of work have been rapidly evolving due to the frequent improvement of artificial intelligence (AI). Organisations are able to perform tasks automatically and improve decision-making and data analysis with the adoption of AI technologies. Considering the case of HR, using these technologies helps in employee analytics, recruitment and tracking the candidates' performance. This, in turn, aids in improving the accuracy rate and overall efficiency in the HR settings. However, it possesses various challenges like job displacement and increased employee anxiety in the industry. </w:t>
      </w:r>
    </w:p>
    <w:p w14:paraId="5B62BD4D">
      <w:pPr>
        <w:spacing w:before="240" w:after="240"/>
      </w:pPr>
      <w:r>
        <w:t xml:space="preserve">It is because the employees of the organisation tend to rely on data-driven systems, eventually excluding the human element in terms of the decision-making process. This absence emerges as a major setback to implementing AI technologies completely in the organisation. It cannot basically replicate emotional intelligence, ethical judgment, and creativity. Kareem and Kummitha, (2025), have further informed that for organisational cultural development, it is crucial to secure these competencies for leadership and conflict resolution capability. In such circumstances, HR management utilises AI for taking informed strategic decisions by employing data-driven insights and HR analytics. It is further secured by ensuring robust emphasis on employee engagement and interpersonal skills. Eventually aiding me take more efficient decisions while including the human touch in the assessment and analysis. </w:t>
      </w:r>
    </w:p>
    <w:p w14:paraId="760522EA">
      <w:pPr>
        <w:spacing w:before="240" w:after="240"/>
      </w:pPr>
      <w:r>
        <w:t xml:space="preserve">Moreover, based on the current position, I intend to improve my competencies by including leadership, strong communication, flexibility and critical thinking. As it will be significant for being less susceptible to automation in the HR settings. As organisations increasingly adopt digital transformation, HR professionals need to act as strategic partners. Furthermore, bridging the gap between people management and technology. Therefore, for future work, I intend to embrace a systematic approach to AI technologies that serve as supportive tools in the market. </w:t>
      </w:r>
    </w:p>
    <w:p w14:paraId="4FCC7697">
      <w:pPr>
        <w:rPr>
          <w:b/>
          <w:sz w:val="28"/>
          <w:szCs w:val="40"/>
        </w:rPr>
      </w:pPr>
      <w:bookmarkStart w:id="9" w:name="_Toc224832173"/>
      <w:r>
        <w:br w:type="page"/>
      </w:r>
    </w:p>
    <w:p w14:paraId="3E195315">
      <w:pPr>
        <w:pStyle w:val="2"/>
      </w:pPr>
      <w:r>
        <w:t>References</w:t>
      </w:r>
      <w:bookmarkEnd w:id="9"/>
    </w:p>
    <w:p w14:paraId="6C953201">
      <w:pPr>
        <w:spacing w:before="240" w:after="240"/>
      </w:pPr>
      <w:r>
        <w:t xml:space="preserve">Alam, A., (2022). Impact of university’s human resources practices on professors’ occupational performance: empirical evidence from India’s higher education sector. In Inclusive businesses in developing economies: Converging people, profit, and corporate citizenship (pp. 107-131). Cham: Springer International Publishing.[Available at: </w:t>
      </w:r>
      <w:r>
        <w:fldChar w:fldCharType="begin"/>
      </w:r>
      <w:r>
        <w:instrText xml:space="preserve"> HYPERLINK "https://link.springer.com/chapter/10.1007/978-3-031-12217-0_6" \h </w:instrText>
      </w:r>
      <w:r>
        <w:fldChar w:fldCharType="separate"/>
      </w:r>
      <w:r>
        <w:rPr>
          <w:color w:val="1155CC"/>
          <w:u w:val="single"/>
        </w:rPr>
        <w:t>https://link.springer.com/chapter/10.1007/978-3-031-12217-0_6</w:t>
      </w:r>
      <w:r>
        <w:rPr>
          <w:color w:val="1155CC"/>
          <w:u w:val="single"/>
        </w:rPr>
        <w:fldChar w:fldCharType="end"/>
      </w:r>
      <w:r>
        <w:t>]</w:t>
      </w:r>
    </w:p>
    <w:p w14:paraId="32AC475A">
      <w:r>
        <w:t xml:space="preserve">Atmaja, D.S., Fachrurazi, F., Abdullah, A., Fauziah, F., Zaroni, A.N. and Yusuf, M., (2022). Actualization of performance management models for the development of human resources quality, economic potential, and financial governance policy in Indonesia Ministry of Education. [Available at: </w:t>
      </w:r>
      <w:r>
        <w:fldChar w:fldCharType="begin"/>
      </w:r>
      <w:r>
        <w:instrText xml:space="preserve"> HYPERLINK "https://digilib.iainptk.ac.id/xmlui/bitstream/handle/123456789/3082/Artikel_Actualization.pdf" \h </w:instrText>
      </w:r>
      <w:r>
        <w:fldChar w:fldCharType="separate"/>
      </w:r>
      <w:r>
        <w:rPr>
          <w:color w:val="1155CC"/>
          <w:u w:val="single"/>
        </w:rPr>
        <w:t>https://digilib.iainptk.ac.id/xmlui/bitstream/handle/123456789/3082/Artikel_Actualization.pdf</w:t>
      </w:r>
      <w:r>
        <w:rPr>
          <w:color w:val="1155CC"/>
          <w:u w:val="single"/>
        </w:rPr>
        <w:fldChar w:fldCharType="end"/>
      </w:r>
      <w:r>
        <w:t xml:space="preserve">]. </w:t>
      </w:r>
    </w:p>
    <w:p w14:paraId="163A0C42">
      <w:pPr>
        <w:spacing w:before="240" w:after="240"/>
      </w:pPr>
      <w:r>
        <w:t xml:space="preserve">Benitez, J., Ruiz, L. and Popovic, A., (2022). Impact of mobile technology-enabled HR gamification on employee performance: An empirical investigation. Information &amp; Management, 59(4), p.103647. [Available at: </w:t>
      </w:r>
      <w:r>
        <w:fldChar w:fldCharType="begin"/>
      </w:r>
      <w:r>
        <w:instrText xml:space="preserve"> HYPERLINK "https://www.sciencedirect.com/science/article/pii/S0378720622000593" \h </w:instrText>
      </w:r>
      <w:r>
        <w:fldChar w:fldCharType="separate"/>
      </w:r>
      <w:r>
        <w:rPr>
          <w:color w:val="1155CC"/>
          <w:u w:val="single"/>
        </w:rPr>
        <w:t>https://www.sciencedirect.com/science/article/pii/S0378720622000593</w:t>
      </w:r>
      <w:r>
        <w:rPr>
          <w:color w:val="1155CC"/>
          <w:u w:val="single"/>
        </w:rPr>
        <w:fldChar w:fldCharType="end"/>
      </w:r>
      <w:r>
        <w:t xml:space="preserve">] </w:t>
      </w:r>
    </w:p>
    <w:p w14:paraId="4BF4FB2B">
      <w:r>
        <w:t xml:space="preserve">Çelik Ertuğrul, D. and Bitirim, S., (2025). Job recommender systems: a systematic literature review, applications, open issues, and challenges. Journal of Big Data, 12(1), p.140. [Available at: </w:t>
      </w:r>
      <w:r>
        <w:fldChar w:fldCharType="begin"/>
      </w:r>
      <w:r>
        <w:instrText xml:space="preserve"> HYPERLINK "https://link.springer.com/article/10.1186/s40537-025-01173-y" \h </w:instrText>
      </w:r>
      <w:r>
        <w:fldChar w:fldCharType="separate"/>
      </w:r>
      <w:r>
        <w:rPr>
          <w:color w:val="1155CC"/>
          <w:u w:val="single"/>
        </w:rPr>
        <w:t>https://link.springer.com/article/10.1186/s40537-025-01173-y</w:t>
      </w:r>
      <w:r>
        <w:rPr>
          <w:color w:val="1155CC"/>
          <w:u w:val="single"/>
        </w:rPr>
        <w:fldChar w:fldCharType="end"/>
      </w:r>
      <w:r>
        <w:t xml:space="preserve">] </w:t>
      </w:r>
    </w:p>
    <w:p w14:paraId="10548D7F">
      <w:pPr>
        <w:spacing w:before="240" w:after="240"/>
      </w:pPr>
      <w:r>
        <w:t xml:space="preserve">Charlwood, A. and Guenole, N., (2022). Can HR adapt to the paradoxes of artificial intelligence?. Human Resource Management Journal, 32(4), pp.729-742. [Available at: </w:t>
      </w:r>
      <w:r>
        <w:fldChar w:fldCharType="begin"/>
      </w:r>
      <w:r>
        <w:instrText xml:space="preserve"> HYPERLINK "https://onlinelibrary.wiley.com/doi/full/10.1111/1748-8583.12433" \h </w:instrText>
      </w:r>
      <w:r>
        <w:fldChar w:fldCharType="separate"/>
      </w:r>
      <w:r>
        <w:rPr>
          <w:color w:val="1155CC"/>
          <w:u w:val="single"/>
        </w:rPr>
        <w:t>https://onlinelibrary.wiley.com/doi/full/10.1111/1748-8583.12433</w:t>
      </w:r>
      <w:r>
        <w:rPr>
          <w:color w:val="1155CC"/>
          <w:u w:val="single"/>
        </w:rPr>
        <w:fldChar w:fldCharType="end"/>
      </w:r>
      <w:r>
        <w:t xml:space="preserve">] </w:t>
      </w:r>
    </w:p>
    <w:p w14:paraId="16C4F1B1">
      <w:r>
        <w:t xml:space="preserve">Cipd.org, (2025), hr model appraisals. [Available at: </w:t>
      </w:r>
      <w:r>
        <w:fldChar w:fldCharType="begin"/>
      </w:r>
      <w:r>
        <w:instrText xml:space="preserve"> HYPERLINK "https://www.cipd.org/en/" </w:instrText>
      </w:r>
      <w:r>
        <w:fldChar w:fldCharType="separate"/>
      </w:r>
      <w:r>
        <w:rPr>
          <w:rStyle w:val="11"/>
        </w:rPr>
        <w:t>https://www.cipd.org/en/</w:t>
      </w:r>
      <w:r>
        <w:rPr>
          <w:rStyle w:val="11"/>
        </w:rPr>
        <w:fldChar w:fldCharType="end"/>
      </w:r>
      <w:r>
        <w:t>]   [Accessed on: 15.03.2026]</w:t>
      </w:r>
    </w:p>
    <w:p w14:paraId="1C78E1C1">
      <w:pPr>
        <w:spacing w:before="240" w:after="240"/>
      </w:pPr>
      <w:r>
        <w:t>Demerouti, E. (2025). Job demands-resources and conservation of resources theories: How do they help to explain employee well-being and future job design?. Journal of Business Research, 192, 115296. [Available at:</w:t>
      </w:r>
      <w:r>
        <w:fldChar w:fldCharType="begin"/>
      </w:r>
      <w:r>
        <w:instrText xml:space="preserve"> HYPERLINK "https://www.sciencedirect.com/science/article/pii/S0148296325001195" \h </w:instrText>
      </w:r>
      <w:r>
        <w:fldChar w:fldCharType="separate"/>
      </w:r>
      <w:r>
        <w:rPr>
          <w:color w:val="1155CC"/>
          <w:u w:val="single"/>
        </w:rPr>
        <w:t>https://www.sciencedirect.com/science/article/pii/S0148296325001195</w:t>
      </w:r>
      <w:r>
        <w:rPr>
          <w:color w:val="1155CC"/>
          <w:u w:val="single"/>
        </w:rPr>
        <w:fldChar w:fldCharType="end"/>
      </w:r>
      <w:r>
        <w:t xml:space="preserve">] </w:t>
      </w:r>
    </w:p>
    <w:p w14:paraId="64796368">
      <w:r>
        <w:rPr>
          <w:color w:val="222222"/>
          <w:highlight w:val="white"/>
        </w:rPr>
        <w:t xml:space="preserve">Hackman, J.R. and Oldham, G.R., (1976). Motivation through the design of work: Test of a theory. </w:t>
      </w:r>
      <w:r>
        <w:rPr>
          <w:i/>
          <w:iCs/>
          <w:color w:val="222222"/>
          <w:highlight w:val="white"/>
        </w:rPr>
        <w:t>Organizational behavior and human performance</w:t>
      </w:r>
      <w:r>
        <w:rPr>
          <w:color w:val="222222"/>
          <w:highlight w:val="white"/>
        </w:rPr>
        <w:t xml:space="preserve">, </w:t>
      </w:r>
      <w:r>
        <w:rPr>
          <w:i/>
          <w:iCs/>
          <w:color w:val="222222"/>
          <w:highlight w:val="white"/>
        </w:rPr>
        <w:t>16</w:t>
      </w:r>
      <w:r>
        <w:rPr>
          <w:color w:val="222222"/>
          <w:highlight w:val="white"/>
        </w:rPr>
        <w:t xml:space="preserve">(2), pp.250-279. [Available at: </w:t>
      </w:r>
      <w:r>
        <w:fldChar w:fldCharType="begin"/>
      </w:r>
      <w:r>
        <w:instrText xml:space="preserve"> HYPERLINK "https://www.academia.edu/download/27072096/jrh1976_3.pdf" \h </w:instrText>
      </w:r>
      <w:r>
        <w:fldChar w:fldCharType="separate"/>
      </w:r>
      <w:r>
        <w:rPr>
          <w:color w:val="1155CC"/>
          <w:highlight w:val="white"/>
          <w:u w:val="single"/>
        </w:rPr>
        <w:t>https://www.academia.edu/download/27072096/jrh1976_3.pdf</w:t>
      </w:r>
      <w:r>
        <w:rPr>
          <w:color w:val="1155CC"/>
          <w:highlight w:val="white"/>
          <w:u w:val="single"/>
        </w:rPr>
        <w:fldChar w:fldCharType="end"/>
      </w:r>
      <w:r>
        <w:rPr>
          <w:color w:val="222222"/>
          <w:highlight w:val="white"/>
        </w:rPr>
        <w:t xml:space="preserve">] </w:t>
      </w:r>
      <w:r>
        <w:t xml:space="preserve"> </w:t>
      </w:r>
    </w:p>
    <w:p w14:paraId="1FE772C3">
      <w:pPr>
        <w:spacing w:before="240" w:after="240"/>
      </w:pPr>
      <w:r>
        <w:t xml:space="preserve">Hernaus, T., Černe, M., Sitar, A.S., Marić, M. and Melkić, S., (2025). Contextualizing job design for individual work performance: The role of organizational strategy and structure. Technology in society, p.103147. [Available at: </w:t>
      </w:r>
      <w:r>
        <w:fldChar w:fldCharType="begin"/>
      </w:r>
      <w:r>
        <w:instrText xml:space="preserve"> HYPERLINK "https://www.sciencedirect.com/science/article/pii/S0160791X25003379" \h </w:instrText>
      </w:r>
      <w:r>
        <w:fldChar w:fldCharType="separate"/>
      </w:r>
      <w:r>
        <w:rPr>
          <w:color w:val="1155CC"/>
          <w:u w:val="single"/>
        </w:rPr>
        <w:t>https://www.sciencedirect.com/science/article/pii/S0160791X25003379</w:t>
      </w:r>
      <w:r>
        <w:rPr>
          <w:color w:val="1155CC"/>
          <w:u w:val="single"/>
        </w:rPr>
        <w:fldChar w:fldCharType="end"/>
      </w:r>
      <w:r>
        <w:t xml:space="preserve">] </w:t>
      </w:r>
    </w:p>
    <w:p w14:paraId="0D2A5E7C">
      <w:pPr>
        <w:spacing w:before="240" w:after="240"/>
      </w:pPr>
      <w:r>
        <w:t xml:space="preserve">Kareem, M.A. and Kummitha, H.R., (2025). Impact of sustainable leadership practices on green innovation: the mediating role of green organisational culture. Discover Sustainability, 6(1), p.1077. [Available at: </w:t>
      </w:r>
      <w:r>
        <w:fldChar w:fldCharType="begin"/>
      </w:r>
      <w:r>
        <w:instrText xml:space="preserve"> HYPERLINK "https://link.springer.com/article/10.1007/s43621-025-01810-9" \h </w:instrText>
      </w:r>
      <w:r>
        <w:fldChar w:fldCharType="separate"/>
      </w:r>
      <w:r>
        <w:rPr>
          <w:color w:val="1155CC"/>
          <w:u w:val="single"/>
        </w:rPr>
        <w:t>https://link.springer.com/article/10.1007/s43621-025-01810-9</w:t>
      </w:r>
      <w:r>
        <w:rPr>
          <w:color w:val="1155CC"/>
          <w:u w:val="single"/>
        </w:rPr>
        <w:fldChar w:fldCharType="end"/>
      </w:r>
      <w:r>
        <w:t xml:space="preserve">] </w:t>
      </w:r>
    </w:p>
    <w:p w14:paraId="2D778501">
      <w:r>
        <w:t xml:space="preserve">Mahardiko, M.S.U. and Wahyuningtyas, R., (2025). Effect of Flexible Working Arrangement and Work–Life Balance on Employee Work Motivation. International Journal of Entrepreneurship and Business Management, 4(2), pp.162-172. [Available at: </w:t>
      </w:r>
      <w:r>
        <w:fldChar w:fldCharType="begin"/>
      </w:r>
      <w:r>
        <w:instrText xml:space="preserve"> HYPERLINK "https://www.frontiersin.org/journals/psychology/articles/10.3389/fpsyg.2023.1053242/pdf" \h </w:instrText>
      </w:r>
      <w:r>
        <w:fldChar w:fldCharType="separate"/>
      </w:r>
      <w:r>
        <w:rPr>
          <w:color w:val="1155CC"/>
          <w:u w:val="single"/>
        </w:rPr>
        <w:t>https://www.frontiersin.org/journals/psychology/articles/10.3389/fpsyg.2023.1053242/pdf</w:t>
      </w:r>
      <w:r>
        <w:rPr>
          <w:color w:val="1155CC"/>
          <w:u w:val="single"/>
        </w:rPr>
        <w:fldChar w:fldCharType="end"/>
      </w:r>
      <w:r>
        <w:t>].</w:t>
      </w:r>
    </w:p>
    <w:p w14:paraId="5D36358D">
      <w:r>
        <w:t xml:space="preserve">Mahdi, S. and Atifa, Y., (2025). Integrating Continuous Performance Management (CPM) into Organizational People Practices. [Available at: </w:t>
      </w:r>
      <w:r>
        <w:fldChar w:fldCharType="begin"/>
      </w:r>
      <w:r>
        <w:instrText xml:space="preserve"> HYPERLINK "https://www.intechopen.com/online-first/1213239" \h </w:instrText>
      </w:r>
      <w:r>
        <w:fldChar w:fldCharType="separate"/>
      </w:r>
      <w:r>
        <w:rPr>
          <w:color w:val="1155CC"/>
          <w:u w:val="single"/>
        </w:rPr>
        <w:t>https://www.intechopen.com/online-first/1213239</w:t>
      </w:r>
      <w:r>
        <w:rPr>
          <w:color w:val="1155CC"/>
          <w:u w:val="single"/>
        </w:rPr>
        <w:fldChar w:fldCharType="end"/>
      </w:r>
      <w:r>
        <w:t xml:space="preserve">]. </w:t>
      </w:r>
    </w:p>
    <w:p w14:paraId="03B1594A">
      <w:pPr>
        <w:spacing w:before="240" w:after="240"/>
      </w:pPr>
      <w:r>
        <w:t xml:space="preserve">Mukhanova, A. and Seitimova, A., (2025). Reimagining Differentiation: A Reflective Inquiry Using Gibbs’ Model. [Available at: </w:t>
      </w:r>
      <w:r>
        <w:fldChar w:fldCharType="begin"/>
      </w:r>
      <w:r>
        <w:instrText xml:space="preserve"> HYPERLINK "https://library.camtree.org/entities/publication/ba66a815-270a-4cd2-86de-dad9f2d1b44c" \h </w:instrText>
      </w:r>
      <w:r>
        <w:fldChar w:fldCharType="separate"/>
      </w:r>
      <w:r>
        <w:rPr>
          <w:color w:val="1155CC"/>
          <w:u w:val="single"/>
        </w:rPr>
        <w:t>https://library.camtree.org/entities/publication/ba66a815-270a-4cd2-86de-dad9f2d1b44c</w:t>
      </w:r>
      <w:r>
        <w:rPr>
          <w:color w:val="1155CC"/>
          <w:u w:val="single"/>
        </w:rPr>
        <w:fldChar w:fldCharType="end"/>
      </w:r>
      <w:r>
        <w:t xml:space="preserve">] </w:t>
      </w:r>
    </w:p>
    <w:p w14:paraId="45BB110C">
      <w:pPr>
        <w:spacing w:before="240" w:after="240"/>
      </w:pPr>
      <w:r>
        <w:t xml:space="preserve">Parker, S.K., Tims, M. and Sonnentag, S., (2025). Top-down and bottom-up work design: A multilevel perspective on how job crafting and work characteristics interrelate. Journal of Business and Psychology, pp.1-18. [Available at: </w:t>
      </w:r>
      <w:r>
        <w:fldChar w:fldCharType="begin"/>
      </w:r>
      <w:r>
        <w:instrText xml:space="preserve"> HYPERLINK "https://link.springer.com/article/10.1007/s10869-025-10010-1" \h </w:instrText>
      </w:r>
      <w:r>
        <w:fldChar w:fldCharType="separate"/>
      </w:r>
      <w:r>
        <w:rPr>
          <w:color w:val="1155CC"/>
          <w:u w:val="single"/>
        </w:rPr>
        <w:t>https://link.springer.com/article/10.1007/s10869-025-10010-1</w:t>
      </w:r>
      <w:r>
        <w:rPr>
          <w:color w:val="1155CC"/>
          <w:u w:val="single"/>
        </w:rPr>
        <w:fldChar w:fldCharType="end"/>
      </w:r>
      <w:r>
        <w:t xml:space="preserve">] </w:t>
      </w:r>
    </w:p>
    <w:p w14:paraId="3489D6CC">
      <w:r>
        <w:t xml:space="preserve">Sebastiao, G., (2022). Evaluating the Impact of Flexible Working Arrangements on Employee Satisfaction, Motivation, and Performance (Master's thesis, University of Pretoria (South Africa)). [Available at: </w:t>
      </w:r>
      <w:r>
        <w:fldChar w:fldCharType="begin"/>
      </w:r>
      <w:r>
        <w:instrText xml:space="preserve"> HYPERLINK "https://repository.up.ac.za/bitstream/handle/2263/91644/Sebastiao_Evaluating_2022.pdf?sequence=3" \h </w:instrText>
      </w:r>
      <w:r>
        <w:fldChar w:fldCharType="separate"/>
      </w:r>
      <w:r>
        <w:rPr>
          <w:color w:val="1155CC"/>
          <w:u w:val="single"/>
        </w:rPr>
        <w:t>https://repository.up.ac.za/bitstream/handle/2263/91644/Sebastiao_Evaluating_2022.pdf?sequence=3</w:t>
      </w:r>
      <w:r>
        <w:rPr>
          <w:color w:val="1155CC"/>
          <w:u w:val="single"/>
        </w:rPr>
        <w:fldChar w:fldCharType="end"/>
      </w:r>
      <w:r>
        <w:t xml:space="preserve">]. </w:t>
      </w:r>
    </w:p>
    <w:p w14:paraId="270216FE">
      <w:pPr>
        <w:spacing w:before="240" w:after="240"/>
      </w:pPr>
      <w:r>
        <w:t xml:space="preserve">Stirpe, L., Profili, S. and Sammarra, A., (2022). Satisfaction with HR practices and employee performance: A moderated mediation model of engagement and health. European Management Journal, 40(2), pp.295-305. [Available at: </w:t>
      </w:r>
      <w:r>
        <w:fldChar w:fldCharType="begin"/>
      </w:r>
      <w:r>
        <w:instrText xml:space="preserve"> HYPERLINK "https://www.sciencedirect.com/science/article/pii/S0263237321000797" \h </w:instrText>
      </w:r>
      <w:r>
        <w:fldChar w:fldCharType="separate"/>
      </w:r>
      <w:r>
        <w:rPr>
          <w:color w:val="1155CC"/>
          <w:u w:val="single"/>
        </w:rPr>
        <w:t>https://www.sciencedirect.com/science/article/pii/S0263237321000797</w:t>
      </w:r>
      <w:r>
        <w:rPr>
          <w:color w:val="1155CC"/>
          <w:u w:val="single"/>
        </w:rPr>
        <w:fldChar w:fldCharType="end"/>
      </w:r>
      <w:r>
        <w:t xml:space="preserve">] </w:t>
      </w:r>
    </w:p>
    <w:p w14:paraId="1638E1AC">
      <w:r>
        <w:t xml:space="preserve">Van Beurden, J., Van Veldhoven, M. and Van De Voorde, K., (2025). How employee perceptions of HR practices in schools relate to employee work engagement and job performance. Journal of Management &amp; Organization, 31(4), pp.1872-1890. [Available at: </w:t>
      </w:r>
      <w:r>
        <w:fldChar w:fldCharType="begin"/>
      </w:r>
      <w:r>
        <w:instrText xml:space="preserve"> HYPERLINK "https://www.cambridge.org/core/journals/journal-of-management-and-organization/article/how-employee-perceptions-of-hr-practices-in-schools-relate-to-employee-work-engagement-and-job-performance/3D981A7C9D1D6C1C582F57159FCC04B6" \h </w:instrText>
      </w:r>
      <w:r>
        <w:fldChar w:fldCharType="separate"/>
      </w:r>
      <w:r>
        <w:rPr>
          <w:color w:val="1155CC"/>
          <w:u w:val="single"/>
        </w:rPr>
        <w:t>https://www.cambridge.org/core/journals/journal-of-management-and-organization/article/how-employee-perceptions-of-hr-practices-in-schools-relate-to-employee-work-engagement-and-job-performance/3D981A7C9D1D6C1C582F57159FCC04B6</w:t>
      </w:r>
      <w:r>
        <w:rPr>
          <w:color w:val="1155CC"/>
          <w:u w:val="single"/>
        </w:rPr>
        <w:fldChar w:fldCharType="end"/>
      </w:r>
      <w:r>
        <w:t xml:space="preserve">] </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E88C80C7-9DE9-4160-93F5-F77A1180640D}"/>
  </w:font>
  <w:font w:name="Arial">
    <w:panose1 w:val="020B0604020202020204"/>
    <w:charset w:val="00"/>
    <w:family w:val="swiss"/>
    <w:pitch w:val="default"/>
    <w:sig w:usb0="E0002EFF" w:usb1="C000785B" w:usb2="00000009" w:usb3="00000000" w:csb0="400001FF" w:csb1="FFFF0000"/>
    <w:embedRegular r:id="rId2" w:fontKey="{4162E341-B783-4E81-A4F3-56D2FEB00576}"/>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96DAC008-7CFC-4E3B-B8AD-0BA23E2C0D1A}"/>
  </w:font>
  <w:font w:name="Wingdings">
    <w:panose1 w:val="05000000000000000000"/>
    <w:charset w:val="02"/>
    <w:family w:val="auto"/>
    <w:pitch w:val="default"/>
    <w:sig w:usb0="00000000" w:usb1="00000000" w:usb2="00000000" w:usb3="00000000" w:csb0="80000000" w:csb1="00000000"/>
    <w:embedRegular r:id="rId4" w:fontKey="{F91981CB-9A01-4B0F-90AE-AE8FC6B78819}"/>
  </w:font>
  <w:font w:name="Calibri">
    <w:panose1 w:val="020F0502020204030204"/>
    <w:charset w:val="00"/>
    <w:family w:val="swiss"/>
    <w:pitch w:val="default"/>
    <w:sig w:usb0="E4002EFF" w:usb1="C200247B" w:usb2="00000009" w:usb3="00000000" w:csb0="200001FF" w:csb1="00000000"/>
    <w:embedRegular r:id="rId5" w:fontKey="{D7DE2DD9-FFDC-42FF-874B-90839A4D5FFB}"/>
  </w:font>
  <w:font w:name="Tahoma">
    <w:panose1 w:val="020B0604030504040204"/>
    <w:charset w:val="00"/>
    <w:family w:val="swiss"/>
    <w:pitch w:val="default"/>
    <w:sig w:usb0="E1002EFF" w:usb1="C000605B" w:usb2="00000029" w:usb3="00000000" w:csb0="200101FF" w:csb1="20280000"/>
    <w:embedRegular r:id="rId6" w:fontKey="{DB0D2581-EF26-4A0F-9938-A6716B6C8218}"/>
  </w:font>
  <w:font w:name="Cambria">
    <w:panose1 w:val="02040503050406030204"/>
    <w:charset w:val="00"/>
    <w:family w:val="roman"/>
    <w:pitch w:val="default"/>
    <w:sig w:usb0="E00006FF" w:usb1="420024FF" w:usb2="02000000" w:usb3="00000000" w:csb0="2000019F" w:csb1="00000000"/>
    <w:embedRegular r:id="rId7" w:fontKey="{78B5F985-01B6-41AA-8513-CD82A06CE23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56F9FA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8E85F4A"/>
    <w:multiLevelType w:val="multilevel"/>
    <w:tmpl w:val="68E85F4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6ACA1A02"/>
    <w:multiLevelType w:val="multilevel"/>
    <w:tmpl w:val="6ACA1A0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710B725B"/>
    <w:multiLevelType w:val="multilevel"/>
    <w:tmpl w:val="710B725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262"/>
    <w:rsid w:val="00044262"/>
    <w:rsid w:val="00524F72"/>
    <w:rsid w:val="0061232F"/>
    <w:rsid w:val="00DD0A08"/>
    <w:rsid w:val="00DE7C6E"/>
    <w:rsid w:val="00EC4FDD"/>
    <w:rsid w:val="36D5721E"/>
    <w:rsid w:val="4D88209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00" w:after="200"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qFormat/>
    <w:uiPriority w:val="0"/>
    <w:pPr>
      <w:keepNext/>
      <w:keepLines/>
      <w:spacing w:before="400" w:after="120"/>
      <w:outlineLvl w:val="0"/>
    </w:pPr>
    <w:rPr>
      <w:b/>
      <w:sz w:val="28"/>
      <w:szCs w:val="40"/>
    </w:rPr>
  </w:style>
  <w:style w:type="paragraph" w:styleId="3">
    <w:name w:val="heading 2"/>
    <w:basedOn w:val="1"/>
    <w:next w:val="1"/>
    <w:qFormat/>
    <w:uiPriority w:val="0"/>
    <w:pPr>
      <w:keepNext/>
      <w:keepLines/>
      <w:spacing w:before="360" w:after="120"/>
      <w:outlineLvl w:val="1"/>
    </w:pPr>
    <w:rPr>
      <w:b/>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qFormat/>
    <w:uiPriority w:val="0"/>
    <w:pPr>
      <w:keepNext/>
      <w:keepLines/>
      <w:spacing w:before="280" w:after="80"/>
      <w:outlineLvl w:val="3"/>
    </w:pPr>
    <w:rPr>
      <w:color w:val="666666"/>
    </w:rPr>
  </w:style>
  <w:style w:type="paragraph" w:styleId="6">
    <w:name w:val="heading 5"/>
    <w:basedOn w:val="1"/>
    <w:next w:val="1"/>
    <w:qFormat/>
    <w:uiPriority w:val="0"/>
    <w:pPr>
      <w:keepNext/>
      <w:keepLines/>
      <w:spacing w:before="240" w:after="80"/>
      <w:outlineLvl w:val="4"/>
    </w:pPr>
    <w:rPr>
      <w:color w:val="666666"/>
      <w:sz w:val="22"/>
      <w:szCs w:val="22"/>
    </w:rPr>
  </w:style>
  <w:style w:type="paragraph" w:styleId="7">
    <w:name w:val="heading 6"/>
    <w:basedOn w:val="1"/>
    <w:next w:val="1"/>
    <w:qFormat/>
    <w:uiPriority w:val="0"/>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19"/>
    <w:semiHidden/>
    <w:unhideWhenUsed/>
    <w:qFormat/>
    <w:uiPriority w:val="99"/>
    <w:pPr>
      <w:spacing w:before="0" w:after="0" w:line="240" w:lineRule="auto"/>
    </w:pPr>
    <w:rPr>
      <w:rFonts w:ascii="Tahoma" w:hAnsi="Tahoma" w:cs="Tahoma"/>
      <w:sz w:val="16"/>
      <w:szCs w:val="16"/>
    </w:rPr>
  </w:style>
  <w:style w:type="character" w:styleId="11">
    <w:name w:val="Hyperlink"/>
    <w:basedOn w:val="8"/>
    <w:unhideWhenUsed/>
    <w:qFormat/>
    <w:uiPriority w:val="99"/>
    <w:rPr>
      <w:color w:val="0000FF" w:themeColor="hyperlink"/>
      <w:u w:val="single"/>
      <w14:textFill>
        <w14:solidFill>
          <w14:schemeClr w14:val="hlink"/>
        </w14:solidFill>
      </w14:textFill>
    </w:rPr>
  </w:style>
  <w:style w:type="paragraph" w:styleId="12">
    <w:name w:val="Subtitle"/>
    <w:basedOn w:val="1"/>
    <w:next w:val="1"/>
    <w:qFormat/>
    <w:uiPriority w:val="0"/>
    <w:pPr>
      <w:keepNext/>
      <w:keepLines/>
      <w:spacing w:before="0" w:after="320"/>
    </w:pPr>
    <w:rPr>
      <w:rFonts w:ascii="Arial" w:hAnsi="Arial" w:eastAsia="Arial" w:cs="Arial"/>
      <w:color w:val="666666"/>
      <w:sz w:val="30"/>
      <w:szCs w:val="30"/>
    </w:rPr>
  </w:style>
  <w:style w:type="paragraph" w:styleId="13">
    <w:name w:val="Title"/>
    <w:basedOn w:val="1"/>
    <w:next w:val="1"/>
    <w:qFormat/>
    <w:uiPriority w:val="0"/>
    <w:pPr>
      <w:keepNext/>
      <w:keepLines/>
      <w:spacing w:before="0" w:after="60"/>
    </w:pPr>
    <w:rPr>
      <w:sz w:val="52"/>
      <w:szCs w:val="52"/>
    </w:rPr>
  </w:style>
  <w:style w:type="paragraph" w:styleId="14">
    <w:name w:val="toc 1"/>
    <w:basedOn w:val="1"/>
    <w:next w:val="1"/>
    <w:autoRedefine/>
    <w:unhideWhenUsed/>
    <w:qFormat/>
    <w:uiPriority w:val="39"/>
    <w:pPr>
      <w:spacing w:after="100"/>
    </w:pPr>
  </w:style>
  <w:style w:type="paragraph" w:styleId="15">
    <w:name w:val="toc 2"/>
    <w:basedOn w:val="1"/>
    <w:next w:val="1"/>
    <w:autoRedefine/>
    <w:unhideWhenUsed/>
    <w:qFormat/>
    <w:uiPriority w:val="39"/>
    <w:pPr>
      <w:spacing w:after="100"/>
      <w:ind w:left="240"/>
    </w:pPr>
  </w:style>
  <w:style w:type="table" w:customStyle="1" w:styleId="16">
    <w:name w:val="TableNormal"/>
    <w:qFormat/>
    <w:uiPriority w:val="0"/>
    <w:tblPr>
      <w:tblCellMar>
        <w:top w:w="100" w:type="dxa"/>
        <w:left w:w="100" w:type="dxa"/>
        <w:bottom w:w="100" w:type="dxa"/>
        <w:right w:w="100" w:type="dxa"/>
      </w:tblCellMar>
    </w:tblPr>
  </w:style>
  <w:style w:type="table" w:customStyle="1" w:styleId="17">
    <w:name w:val="_Style 12"/>
    <w:basedOn w:val="16"/>
    <w:qFormat/>
    <w:uiPriority w:val="0"/>
  </w:style>
  <w:style w:type="paragraph" w:customStyle="1" w:styleId="18">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Cs w:val="28"/>
      <w:lang w:val="en-US" w:eastAsia="ja-JP"/>
    </w:rPr>
  </w:style>
  <w:style w:type="character" w:customStyle="1" w:styleId="19">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E1AD2D-92F5-4491-9AB0-23112F293196}">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3260</Words>
  <Characters>21480</Characters>
  <Lines>190</Lines>
  <Paragraphs>53</Paragraphs>
  <TotalTime>1</TotalTime>
  <ScaleCrop>false</ScaleCrop>
  <LinksUpToDate>false</LinksUpToDate>
  <CharactersWithSpaces>24665</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2026-03-19T12:38:00Z</dcterms:created>
  <dc:creator>Kavya</dc:creator>
  <cp:lastModifiedBy>ranjith ravivarman</cp:lastModifiedBy>
  <dcterms:modified xsi:type="dcterms:W3CDTF">2026-03-20T23:19:21Z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713dbce0-9c75-4ef9-b952-5dc99734ef08</vt:lpwstr>
  </property>
  <property fmtid="{D5CDD505-2E9C-101B-9397-08002B2CF9AE}" pid="3" name="KSOTemplateDocerSaveRecord">
    <vt:lpwstr>eyJoZGlkIjoiMGNmOGNlOTMwYzVjMDYwYmFiYTdiYTUwZmRhMTg0YzYiLCJ1c2VySWQiOiIzODY2MTM3NDk5NTYwIn0=</vt:lpwstr>
  </property>
  <property fmtid="{D5CDD505-2E9C-101B-9397-08002B2CF9AE}" pid="4" name="KSOProductBuildVer">
    <vt:lpwstr>1033-12.1.0.25242</vt:lpwstr>
  </property>
  <property fmtid="{D5CDD505-2E9C-101B-9397-08002B2CF9AE}" pid="5" name="ICV">
    <vt:lpwstr>D1886F65CB95422D8FF709C7B709C863_12</vt:lpwstr>
  </property>
</Properties>
</file>