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44358" w14:textId="633E5067" w:rsidR="00B151A8" w:rsidRPr="00C13D60" w:rsidRDefault="00C13D60" w:rsidP="00C13D60">
      <w:pPr>
        <w:pBdr>
          <w:bottom w:val="single" w:sz="4" w:space="1" w:color="auto"/>
        </w:pBdr>
        <w:spacing w:line="360" w:lineRule="auto"/>
        <w:jc w:val="center"/>
        <w:rPr>
          <w:rFonts w:ascii="Arial" w:hAnsi="Arial" w:cs="Arial"/>
          <w:b/>
          <w:bCs/>
          <w:sz w:val="32"/>
          <w:szCs w:val="32"/>
        </w:rPr>
      </w:pPr>
      <w:r w:rsidRPr="00C13D60">
        <w:rPr>
          <w:rFonts w:ascii="Arial" w:hAnsi="Arial" w:cs="Arial"/>
          <w:b/>
          <w:bCs/>
          <w:sz w:val="32"/>
          <w:szCs w:val="32"/>
        </w:rPr>
        <w:t>Accounting Fundamentals</w:t>
      </w:r>
    </w:p>
    <w:p w14:paraId="43C92D8A" w14:textId="5311A2CC" w:rsidR="00C13D60" w:rsidRDefault="00C13D60" w:rsidP="00C13D60">
      <w:pPr>
        <w:pBdr>
          <w:bottom w:val="single" w:sz="4" w:space="1" w:color="auto"/>
        </w:pBdr>
        <w:spacing w:line="360" w:lineRule="auto"/>
        <w:jc w:val="center"/>
        <w:rPr>
          <w:rFonts w:ascii="Arial" w:hAnsi="Arial" w:cs="Arial"/>
          <w:b/>
          <w:bCs/>
          <w:sz w:val="32"/>
          <w:szCs w:val="32"/>
        </w:rPr>
      </w:pPr>
      <w:r w:rsidRPr="00C13D60">
        <w:rPr>
          <w:rFonts w:ascii="Arial" w:hAnsi="Arial" w:cs="Arial"/>
          <w:b/>
          <w:bCs/>
          <w:sz w:val="32"/>
          <w:szCs w:val="32"/>
        </w:rPr>
        <w:t>LCBB4001</w:t>
      </w:r>
    </w:p>
    <w:p w14:paraId="72091986" w14:textId="7DE2E818" w:rsidR="00C13D60" w:rsidRDefault="00C13D60" w:rsidP="00C13D60">
      <w:pPr>
        <w:pBdr>
          <w:bottom w:val="single" w:sz="4" w:space="1" w:color="auto"/>
        </w:pBdr>
        <w:spacing w:line="360" w:lineRule="auto"/>
        <w:jc w:val="center"/>
        <w:rPr>
          <w:rFonts w:ascii="Arial" w:hAnsi="Arial" w:cs="Arial"/>
          <w:sz w:val="28"/>
          <w:szCs w:val="28"/>
        </w:rPr>
      </w:pPr>
      <w:r w:rsidRPr="00C13D60">
        <w:rPr>
          <w:rFonts w:ascii="Arial" w:hAnsi="Arial" w:cs="Arial"/>
          <w:sz w:val="28"/>
          <w:szCs w:val="28"/>
        </w:rPr>
        <w:t>Essay</w:t>
      </w:r>
    </w:p>
    <w:p w14:paraId="2ABA4A1C" w14:textId="77777777" w:rsidR="00C13D60" w:rsidRDefault="00C13D60" w:rsidP="00C13D60">
      <w:pPr>
        <w:jc w:val="center"/>
        <w:rPr>
          <w:rFonts w:ascii="Arial" w:hAnsi="Arial" w:cs="Arial"/>
          <w:sz w:val="24"/>
          <w:szCs w:val="24"/>
        </w:rPr>
      </w:pPr>
    </w:p>
    <w:p w14:paraId="3E2711BA" w14:textId="0BFD0467" w:rsidR="00C13D60" w:rsidRPr="00C13D60" w:rsidRDefault="00B22B1C" w:rsidP="00B22B1C">
      <w:pPr>
        <w:tabs>
          <w:tab w:val="left" w:pos="1550"/>
        </w:tabs>
        <w:spacing w:line="360" w:lineRule="auto"/>
        <w:rPr>
          <w:rFonts w:ascii="Arial" w:hAnsi="Arial" w:cs="Arial"/>
          <w:sz w:val="28"/>
          <w:szCs w:val="28"/>
        </w:rPr>
      </w:pPr>
      <w:r>
        <w:rPr>
          <w:rFonts w:ascii="Arial" w:hAnsi="Arial" w:cs="Arial"/>
          <w:sz w:val="28"/>
          <w:szCs w:val="28"/>
        </w:rPr>
        <w:tab/>
      </w:r>
    </w:p>
    <w:p w14:paraId="3F41B9A3" w14:textId="3139DE61" w:rsidR="00C13D60" w:rsidRPr="00C13D60" w:rsidRDefault="00C13D60" w:rsidP="00C13D60">
      <w:pPr>
        <w:spacing w:line="360" w:lineRule="auto"/>
        <w:jc w:val="center"/>
        <w:rPr>
          <w:rFonts w:ascii="Arial" w:hAnsi="Arial" w:cs="Arial"/>
          <w:sz w:val="28"/>
          <w:szCs w:val="28"/>
        </w:rPr>
      </w:pPr>
      <w:r w:rsidRPr="00C13D60">
        <w:rPr>
          <w:rFonts w:ascii="Arial" w:hAnsi="Arial" w:cs="Arial"/>
          <w:sz w:val="28"/>
          <w:szCs w:val="28"/>
        </w:rPr>
        <w:t xml:space="preserve">Module leader: </w:t>
      </w:r>
      <w:r w:rsidR="00BE082A">
        <w:rPr>
          <w:rFonts w:ascii="Arial" w:hAnsi="Arial" w:cs="Arial"/>
          <w:sz w:val="28"/>
          <w:szCs w:val="28"/>
        </w:rPr>
        <w:t>Konstantina</w:t>
      </w:r>
      <w:r w:rsidR="0069263A">
        <w:rPr>
          <w:rFonts w:ascii="Arial" w:hAnsi="Arial" w:cs="Arial"/>
          <w:sz w:val="28"/>
          <w:szCs w:val="28"/>
        </w:rPr>
        <w:t xml:space="preserve"> Mari</w:t>
      </w:r>
    </w:p>
    <w:p w14:paraId="267B0CC8" w14:textId="4F424D66" w:rsidR="00C13D60" w:rsidRPr="00C13D60" w:rsidRDefault="00C13D60" w:rsidP="00C13D60">
      <w:pPr>
        <w:spacing w:line="360" w:lineRule="auto"/>
        <w:jc w:val="center"/>
        <w:rPr>
          <w:rFonts w:ascii="Arial" w:hAnsi="Arial" w:cs="Arial"/>
          <w:sz w:val="28"/>
          <w:szCs w:val="28"/>
        </w:rPr>
      </w:pPr>
      <w:r w:rsidRPr="00C13D60">
        <w:rPr>
          <w:rFonts w:ascii="Arial" w:hAnsi="Arial" w:cs="Arial"/>
          <w:sz w:val="28"/>
          <w:szCs w:val="28"/>
        </w:rPr>
        <w:t>Student id:</w:t>
      </w:r>
      <w:r w:rsidR="00CB4899">
        <w:rPr>
          <w:rFonts w:ascii="Arial" w:hAnsi="Arial" w:cs="Arial"/>
          <w:sz w:val="28"/>
          <w:szCs w:val="28"/>
        </w:rPr>
        <w:t xml:space="preserve"> </w:t>
      </w:r>
      <w:r w:rsidR="0069263A">
        <w:rPr>
          <w:rFonts w:ascii="Arial" w:hAnsi="Arial" w:cs="Arial"/>
          <w:sz w:val="28"/>
          <w:szCs w:val="28"/>
        </w:rPr>
        <w:t>2246853</w:t>
      </w:r>
    </w:p>
    <w:p w14:paraId="7A666C2C" w14:textId="2C37286A" w:rsidR="00C13D60" w:rsidRPr="00C13D60" w:rsidRDefault="00C13D60" w:rsidP="00C13D60">
      <w:pPr>
        <w:spacing w:line="360" w:lineRule="auto"/>
        <w:jc w:val="center"/>
        <w:rPr>
          <w:rFonts w:ascii="Arial" w:hAnsi="Arial" w:cs="Arial"/>
          <w:sz w:val="28"/>
          <w:szCs w:val="28"/>
        </w:rPr>
      </w:pPr>
      <w:r w:rsidRPr="00C13D60">
        <w:rPr>
          <w:rFonts w:ascii="Arial" w:hAnsi="Arial" w:cs="Arial"/>
          <w:sz w:val="28"/>
          <w:szCs w:val="28"/>
        </w:rPr>
        <w:t>Student name:</w:t>
      </w:r>
      <w:r w:rsidR="0069263A">
        <w:rPr>
          <w:rFonts w:ascii="Arial" w:hAnsi="Arial" w:cs="Arial"/>
          <w:sz w:val="28"/>
          <w:szCs w:val="28"/>
        </w:rPr>
        <w:t xml:space="preserve"> Ioana Girigan</w:t>
      </w:r>
    </w:p>
    <w:p w14:paraId="6CFFE292" w14:textId="66CCC05C" w:rsidR="00C13D60" w:rsidRDefault="00C13D60" w:rsidP="00C13D60">
      <w:pPr>
        <w:spacing w:line="360" w:lineRule="auto"/>
        <w:jc w:val="center"/>
        <w:rPr>
          <w:rFonts w:ascii="Arial" w:hAnsi="Arial" w:cs="Arial"/>
          <w:sz w:val="28"/>
          <w:szCs w:val="28"/>
        </w:rPr>
      </w:pPr>
      <w:r w:rsidRPr="00C13D60">
        <w:rPr>
          <w:rFonts w:ascii="Arial" w:hAnsi="Arial" w:cs="Arial"/>
          <w:sz w:val="28"/>
          <w:szCs w:val="28"/>
        </w:rPr>
        <w:t>Word count:</w:t>
      </w:r>
      <w:r w:rsidR="000960FE">
        <w:rPr>
          <w:rFonts w:ascii="Arial" w:hAnsi="Arial" w:cs="Arial"/>
          <w:sz w:val="28"/>
          <w:szCs w:val="28"/>
        </w:rPr>
        <w:t xml:space="preserve"> 2426</w:t>
      </w:r>
    </w:p>
    <w:p w14:paraId="00F45DA4" w14:textId="77777777" w:rsidR="00C13D60" w:rsidRDefault="00C13D60" w:rsidP="00C13D60">
      <w:pPr>
        <w:spacing w:line="360" w:lineRule="auto"/>
        <w:jc w:val="center"/>
        <w:rPr>
          <w:rFonts w:ascii="Arial" w:hAnsi="Arial" w:cs="Arial"/>
          <w:sz w:val="28"/>
          <w:szCs w:val="28"/>
        </w:rPr>
      </w:pPr>
    </w:p>
    <w:p w14:paraId="0D6D0675" w14:textId="77777777" w:rsidR="00C13D60" w:rsidRDefault="00C13D60" w:rsidP="00C13D60">
      <w:pPr>
        <w:spacing w:line="360" w:lineRule="auto"/>
        <w:jc w:val="center"/>
        <w:rPr>
          <w:rFonts w:ascii="Arial" w:hAnsi="Arial" w:cs="Arial"/>
          <w:sz w:val="28"/>
          <w:szCs w:val="28"/>
        </w:rPr>
      </w:pPr>
    </w:p>
    <w:p w14:paraId="766477EB" w14:textId="77777777" w:rsidR="00C13D60" w:rsidRDefault="00C13D60" w:rsidP="00C13D60">
      <w:pPr>
        <w:spacing w:line="360" w:lineRule="auto"/>
        <w:jc w:val="center"/>
        <w:rPr>
          <w:rFonts w:ascii="Arial" w:hAnsi="Arial" w:cs="Arial"/>
          <w:sz w:val="28"/>
          <w:szCs w:val="28"/>
        </w:rPr>
      </w:pPr>
    </w:p>
    <w:p w14:paraId="0C511161" w14:textId="77777777" w:rsidR="00C13D60" w:rsidRDefault="00C13D60" w:rsidP="00C13D60">
      <w:pPr>
        <w:spacing w:line="360" w:lineRule="auto"/>
        <w:jc w:val="center"/>
        <w:rPr>
          <w:rFonts w:ascii="Arial" w:hAnsi="Arial" w:cs="Arial"/>
          <w:sz w:val="28"/>
          <w:szCs w:val="28"/>
        </w:rPr>
      </w:pPr>
    </w:p>
    <w:p w14:paraId="3314440F" w14:textId="77777777" w:rsidR="00C13D60" w:rsidRDefault="00C13D60" w:rsidP="00C13D60">
      <w:pPr>
        <w:spacing w:line="360" w:lineRule="auto"/>
        <w:jc w:val="center"/>
        <w:rPr>
          <w:rFonts w:ascii="Arial" w:hAnsi="Arial" w:cs="Arial"/>
          <w:sz w:val="28"/>
          <w:szCs w:val="28"/>
        </w:rPr>
      </w:pPr>
    </w:p>
    <w:p w14:paraId="1850D0AE" w14:textId="77777777" w:rsidR="00C13D60" w:rsidRDefault="00C13D60" w:rsidP="00C13D60">
      <w:pPr>
        <w:spacing w:line="360" w:lineRule="auto"/>
        <w:jc w:val="center"/>
        <w:rPr>
          <w:rFonts w:ascii="Arial" w:hAnsi="Arial" w:cs="Arial"/>
          <w:sz w:val="28"/>
          <w:szCs w:val="28"/>
        </w:rPr>
      </w:pPr>
    </w:p>
    <w:p w14:paraId="2A81F12A" w14:textId="77777777" w:rsidR="00C13D60" w:rsidRDefault="00C13D60" w:rsidP="00C13D60">
      <w:pPr>
        <w:spacing w:line="360" w:lineRule="auto"/>
        <w:jc w:val="center"/>
        <w:rPr>
          <w:rFonts w:ascii="Arial" w:hAnsi="Arial" w:cs="Arial"/>
          <w:sz w:val="28"/>
          <w:szCs w:val="28"/>
        </w:rPr>
      </w:pPr>
    </w:p>
    <w:p w14:paraId="62546A58" w14:textId="77777777" w:rsidR="00C13D60" w:rsidRDefault="00C13D60" w:rsidP="00C13D60">
      <w:pPr>
        <w:spacing w:line="360" w:lineRule="auto"/>
        <w:jc w:val="center"/>
        <w:rPr>
          <w:rFonts w:ascii="Arial" w:hAnsi="Arial" w:cs="Arial"/>
          <w:sz w:val="28"/>
          <w:szCs w:val="28"/>
        </w:rPr>
      </w:pPr>
    </w:p>
    <w:p w14:paraId="707CF378" w14:textId="77777777" w:rsidR="00C13D60" w:rsidRDefault="00C13D60" w:rsidP="00C13D60">
      <w:pPr>
        <w:spacing w:line="360" w:lineRule="auto"/>
        <w:jc w:val="center"/>
        <w:rPr>
          <w:rFonts w:ascii="Arial" w:hAnsi="Arial" w:cs="Arial"/>
          <w:sz w:val="28"/>
          <w:szCs w:val="28"/>
        </w:rPr>
      </w:pPr>
    </w:p>
    <w:p w14:paraId="69D204A7" w14:textId="77777777" w:rsidR="00C13D60" w:rsidRDefault="00C13D60" w:rsidP="00C13D60">
      <w:pPr>
        <w:spacing w:line="360" w:lineRule="auto"/>
        <w:jc w:val="center"/>
        <w:rPr>
          <w:rFonts w:ascii="Arial" w:hAnsi="Arial" w:cs="Arial"/>
          <w:sz w:val="28"/>
          <w:szCs w:val="28"/>
        </w:rPr>
      </w:pPr>
    </w:p>
    <w:p w14:paraId="384356A5" w14:textId="77777777" w:rsidR="00C13D60" w:rsidRDefault="00C13D60" w:rsidP="00C13D60">
      <w:pPr>
        <w:spacing w:line="360" w:lineRule="auto"/>
        <w:jc w:val="center"/>
        <w:rPr>
          <w:rFonts w:ascii="Arial" w:hAnsi="Arial" w:cs="Arial"/>
          <w:sz w:val="28"/>
          <w:szCs w:val="28"/>
        </w:rPr>
      </w:pPr>
    </w:p>
    <w:p w14:paraId="1A0B0B4E" w14:textId="77777777" w:rsidR="00C13D60" w:rsidRDefault="00C13D60" w:rsidP="00C13D60">
      <w:pPr>
        <w:spacing w:line="360" w:lineRule="auto"/>
        <w:jc w:val="center"/>
        <w:rPr>
          <w:rFonts w:ascii="Arial" w:hAnsi="Arial" w:cs="Arial"/>
          <w:sz w:val="28"/>
          <w:szCs w:val="28"/>
        </w:rPr>
      </w:pPr>
    </w:p>
    <w:p w14:paraId="6081B75D" w14:textId="77777777" w:rsidR="00C13D60" w:rsidRDefault="00C13D60" w:rsidP="00C13D60">
      <w:pPr>
        <w:spacing w:line="360" w:lineRule="auto"/>
        <w:jc w:val="center"/>
        <w:rPr>
          <w:rFonts w:ascii="Arial" w:hAnsi="Arial" w:cs="Arial"/>
          <w:sz w:val="28"/>
          <w:szCs w:val="28"/>
        </w:rPr>
      </w:pPr>
    </w:p>
    <w:p w14:paraId="763DCC88" w14:textId="38B15462" w:rsidR="00C13D60" w:rsidRPr="008E5C0D" w:rsidRDefault="00CB4899" w:rsidP="00C13D60">
      <w:pPr>
        <w:spacing w:line="360" w:lineRule="auto"/>
        <w:jc w:val="both"/>
        <w:rPr>
          <w:rFonts w:ascii="Arial" w:hAnsi="Arial" w:cs="Arial"/>
          <w:sz w:val="24"/>
          <w:szCs w:val="24"/>
        </w:rPr>
      </w:pPr>
      <w:r>
        <w:rPr>
          <w:rFonts w:ascii="Arial" w:hAnsi="Arial" w:cs="Arial"/>
          <w:sz w:val="24"/>
          <w:szCs w:val="24"/>
        </w:rPr>
        <w:lastRenderedPageBreak/>
        <w:t xml:space="preserve">    </w:t>
      </w:r>
      <w:r w:rsidR="002215B9" w:rsidRPr="008E5C0D">
        <w:rPr>
          <w:rFonts w:ascii="Arial" w:hAnsi="Arial" w:cs="Arial"/>
          <w:sz w:val="24"/>
          <w:szCs w:val="24"/>
        </w:rPr>
        <w:t>Accounting, which is fundamental to business administration, consists of the methodical documentation, examination, and interpretation of monetary transactions. It assists organisations in evaluating their financial health, which helps with informed decision-making and guaranteeing adherence to regulatory requirements</w:t>
      </w:r>
      <w:r w:rsidR="008F73C6" w:rsidRPr="008E5C0D">
        <w:rPr>
          <w:rFonts w:ascii="Arial" w:hAnsi="Arial" w:cs="Arial"/>
          <w:sz w:val="24"/>
          <w:szCs w:val="24"/>
        </w:rPr>
        <w:t xml:space="preserve"> (Mott, 2012). </w:t>
      </w:r>
      <w:r w:rsidR="002215B9" w:rsidRPr="008E5C0D">
        <w:rPr>
          <w:rFonts w:ascii="Arial" w:hAnsi="Arial" w:cs="Arial"/>
          <w:sz w:val="24"/>
          <w:szCs w:val="24"/>
        </w:rPr>
        <w:t xml:space="preserve">This essay, based on the foundational principles of accounting, will examine three critical domains. To begin, this analysis will examine the process of interpreting critical accounting statements, elucidating the importance of asset management, financial statements, and regulatory obligations. Additionally, the task will involve implementing these principles in practice by creating an income statement for Wales plc, which will provide a view of the company's financial performance during a designated </w:t>
      </w:r>
      <w:proofErr w:type="gramStart"/>
      <w:r w:rsidR="002215B9" w:rsidRPr="008E5C0D">
        <w:rPr>
          <w:rFonts w:ascii="Arial" w:hAnsi="Arial" w:cs="Arial"/>
          <w:sz w:val="24"/>
          <w:szCs w:val="24"/>
        </w:rPr>
        <w:t>time frame</w:t>
      </w:r>
      <w:proofErr w:type="gramEnd"/>
      <w:r w:rsidR="002215B9" w:rsidRPr="008E5C0D">
        <w:rPr>
          <w:rFonts w:ascii="Arial" w:hAnsi="Arial" w:cs="Arial"/>
          <w:sz w:val="24"/>
          <w:szCs w:val="24"/>
        </w:rPr>
        <w:t>.</w:t>
      </w:r>
    </w:p>
    <w:p w14:paraId="4DF47ACC" w14:textId="63726C0A" w:rsidR="00870BAE" w:rsidRPr="008E5C0D" w:rsidRDefault="00CB4899" w:rsidP="00870BAE">
      <w:pPr>
        <w:spacing w:line="360" w:lineRule="auto"/>
        <w:jc w:val="both"/>
        <w:rPr>
          <w:rFonts w:ascii="Arial" w:hAnsi="Arial" w:cs="Arial"/>
          <w:sz w:val="24"/>
          <w:szCs w:val="24"/>
        </w:rPr>
      </w:pPr>
      <w:r>
        <w:rPr>
          <w:rFonts w:ascii="Arial" w:hAnsi="Arial" w:cs="Arial"/>
          <w:sz w:val="24"/>
          <w:szCs w:val="24"/>
        </w:rPr>
        <w:t xml:space="preserve">    </w:t>
      </w:r>
      <w:r w:rsidR="003F64C8" w:rsidRPr="008E5C0D">
        <w:rPr>
          <w:rFonts w:ascii="Arial" w:hAnsi="Arial" w:cs="Arial"/>
          <w:sz w:val="24"/>
          <w:szCs w:val="24"/>
        </w:rPr>
        <w:t xml:space="preserve">Firstly, a common misperception concerning the statement of financial position </w:t>
      </w:r>
      <w:proofErr w:type="gramStart"/>
      <w:r w:rsidR="003F64C8" w:rsidRPr="008E5C0D">
        <w:rPr>
          <w:rFonts w:ascii="Arial" w:hAnsi="Arial" w:cs="Arial"/>
          <w:sz w:val="24"/>
          <w:szCs w:val="24"/>
        </w:rPr>
        <w:t>is stated</w:t>
      </w:r>
      <w:proofErr w:type="gramEnd"/>
      <w:r w:rsidR="003F64C8" w:rsidRPr="008E5C0D">
        <w:rPr>
          <w:rFonts w:ascii="Arial" w:hAnsi="Arial" w:cs="Arial"/>
          <w:sz w:val="24"/>
          <w:szCs w:val="24"/>
        </w:rPr>
        <w:t xml:space="preserve"> in the scenario provided. The SFP, often known as the balance sheet, fails to show the movement of cash into and out of the firm throughout the course of the accounting period. It instead gives a snapshot of what a corporation has (its assets) and obligations (its liabilities) at a certain point in time</w:t>
      </w:r>
      <w:r w:rsidR="00141436" w:rsidRPr="008E5C0D">
        <w:rPr>
          <w:rFonts w:ascii="Arial" w:hAnsi="Arial" w:cs="Arial"/>
          <w:sz w:val="24"/>
          <w:szCs w:val="24"/>
        </w:rPr>
        <w:t xml:space="preserve"> (Fabozzi and Peterson Drake, </w:t>
      </w:r>
      <w:r w:rsidR="0057379F" w:rsidRPr="008E5C0D">
        <w:rPr>
          <w:rFonts w:ascii="Arial" w:hAnsi="Arial" w:cs="Arial"/>
          <w:sz w:val="24"/>
          <w:szCs w:val="24"/>
        </w:rPr>
        <w:t>2010).</w:t>
      </w:r>
      <w:r w:rsidR="00870BAE" w:rsidRPr="008E5C0D">
        <w:rPr>
          <w:rFonts w:ascii="Arial" w:hAnsi="Arial" w:cs="Arial"/>
          <w:sz w:val="24"/>
          <w:szCs w:val="24"/>
        </w:rPr>
        <w:t xml:space="preserve"> The statement of cash flows should </w:t>
      </w:r>
      <w:proofErr w:type="gramStart"/>
      <w:r w:rsidR="00870BAE" w:rsidRPr="008E5C0D">
        <w:rPr>
          <w:rFonts w:ascii="Arial" w:hAnsi="Arial" w:cs="Arial"/>
          <w:sz w:val="24"/>
          <w:szCs w:val="24"/>
        </w:rPr>
        <w:t>be used</w:t>
      </w:r>
      <w:proofErr w:type="gramEnd"/>
      <w:r w:rsidR="00870BAE" w:rsidRPr="008E5C0D">
        <w:rPr>
          <w:rFonts w:ascii="Arial" w:hAnsi="Arial" w:cs="Arial"/>
          <w:sz w:val="24"/>
          <w:szCs w:val="24"/>
        </w:rPr>
        <w:t xml:space="preserve"> to understand cash flows. This financial statement specifies how </w:t>
      </w:r>
      <w:proofErr w:type="gramStart"/>
      <w:r w:rsidR="00870BAE" w:rsidRPr="008E5C0D">
        <w:rPr>
          <w:rFonts w:ascii="Arial" w:hAnsi="Arial" w:cs="Arial"/>
          <w:sz w:val="24"/>
          <w:szCs w:val="24"/>
        </w:rPr>
        <w:t>much</w:t>
      </w:r>
      <w:proofErr w:type="gramEnd"/>
      <w:r w:rsidR="00870BAE" w:rsidRPr="008E5C0D">
        <w:rPr>
          <w:rFonts w:ascii="Arial" w:hAnsi="Arial" w:cs="Arial"/>
          <w:sz w:val="24"/>
          <w:szCs w:val="24"/>
        </w:rPr>
        <w:t xml:space="preserve"> cash is earned and spent in three major categories such as operating activities, investment activities, and financing activities. It displays the net cash rise or reduction during the term as well as the cash balance at the conclusion of the period</w:t>
      </w:r>
      <w:r w:rsidR="00594DD2" w:rsidRPr="008E5C0D">
        <w:rPr>
          <w:rFonts w:ascii="Arial" w:hAnsi="Arial" w:cs="Arial"/>
          <w:sz w:val="24"/>
          <w:szCs w:val="24"/>
        </w:rPr>
        <w:t xml:space="preserve"> (Horner,</w:t>
      </w:r>
      <w:r w:rsidR="003C4761" w:rsidRPr="008E5C0D">
        <w:rPr>
          <w:rFonts w:ascii="Arial" w:hAnsi="Arial" w:cs="Arial"/>
          <w:sz w:val="24"/>
          <w:szCs w:val="24"/>
        </w:rPr>
        <w:t xml:space="preserve"> </w:t>
      </w:r>
      <w:r w:rsidR="00594DD2" w:rsidRPr="008E5C0D">
        <w:rPr>
          <w:rFonts w:ascii="Arial" w:hAnsi="Arial" w:cs="Arial"/>
          <w:sz w:val="24"/>
          <w:szCs w:val="24"/>
        </w:rPr>
        <w:t>2020).</w:t>
      </w:r>
      <w:r w:rsidR="00870BAE" w:rsidRPr="008E5C0D">
        <w:rPr>
          <w:rFonts w:ascii="Arial" w:hAnsi="Arial" w:cs="Arial"/>
          <w:sz w:val="24"/>
          <w:szCs w:val="24"/>
        </w:rPr>
        <w:t xml:space="preserve"> Stakeholders may gain a full understanding of how a firm generates and uses cash by comparing cash flows from operating, investment, and financing operations.</w:t>
      </w:r>
      <w:r w:rsidR="00A27BDA" w:rsidRPr="008E5C0D">
        <w:rPr>
          <w:rFonts w:ascii="Arial" w:hAnsi="Arial" w:cs="Arial"/>
          <w:sz w:val="24"/>
          <w:szCs w:val="24"/>
        </w:rPr>
        <w:t xml:space="preserve"> The misunderstanding may originate from the fact that while both statements </w:t>
      </w:r>
      <w:proofErr w:type="gramStart"/>
      <w:r w:rsidR="00A27BDA" w:rsidRPr="008E5C0D">
        <w:rPr>
          <w:rFonts w:ascii="Arial" w:hAnsi="Arial" w:cs="Arial"/>
          <w:sz w:val="24"/>
          <w:szCs w:val="24"/>
        </w:rPr>
        <w:t>are required</w:t>
      </w:r>
      <w:proofErr w:type="gramEnd"/>
      <w:r w:rsidR="00A27BDA" w:rsidRPr="008E5C0D">
        <w:rPr>
          <w:rFonts w:ascii="Arial" w:hAnsi="Arial" w:cs="Arial"/>
          <w:sz w:val="24"/>
          <w:szCs w:val="24"/>
        </w:rPr>
        <w:t xml:space="preserve"> in a company's financial reporting, they perform distinct functions. The SFP offers a snapshot of the company's financial condition at a certain point in time, whereas the statement of cash flows offers information about cash management throughout time</w:t>
      </w:r>
      <w:r w:rsidR="00594DD2" w:rsidRPr="008E5C0D">
        <w:rPr>
          <w:rFonts w:ascii="Arial" w:hAnsi="Arial" w:cs="Arial"/>
          <w:sz w:val="24"/>
          <w:szCs w:val="24"/>
        </w:rPr>
        <w:t xml:space="preserve"> (Fabozzi and Peterson Drake, 2010).</w:t>
      </w:r>
    </w:p>
    <w:p w14:paraId="128C5A8E" w14:textId="0DA913E5" w:rsidR="00AA442B" w:rsidRPr="008E5C0D" w:rsidRDefault="00CB4899" w:rsidP="00AA442B">
      <w:pPr>
        <w:spacing w:line="360" w:lineRule="auto"/>
        <w:jc w:val="both"/>
        <w:rPr>
          <w:rFonts w:ascii="Arial" w:hAnsi="Arial" w:cs="Arial"/>
          <w:sz w:val="24"/>
          <w:szCs w:val="24"/>
        </w:rPr>
      </w:pPr>
      <w:r>
        <w:rPr>
          <w:rFonts w:ascii="Arial" w:hAnsi="Arial" w:cs="Arial"/>
          <w:sz w:val="24"/>
          <w:szCs w:val="24"/>
        </w:rPr>
        <w:t xml:space="preserve">   </w:t>
      </w:r>
      <w:r w:rsidR="00E769CA" w:rsidRPr="008E5C0D">
        <w:rPr>
          <w:rFonts w:ascii="Arial" w:hAnsi="Arial" w:cs="Arial"/>
          <w:sz w:val="24"/>
          <w:szCs w:val="24"/>
        </w:rPr>
        <w:t xml:space="preserve">Secondly, it is a common misperception that non-current assets are items that cannot </w:t>
      </w:r>
      <w:proofErr w:type="gramStart"/>
      <w:r w:rsidR="00E769CA" w:rsidRPr="008E5C0D">
        <w:rPr>
          <w:rFonts w:ascii="Arial" w:hAnsi="Arial" w:cs="Arial"/>
          <w:sz w:val="24"/>
          <w:szCs w:val="24"/>
        </w:rPr>
        <w:t>be transferred</w:t>
      </w:r>
      <w:proofErr w:type="gramEnd"/>
      <w:r w:rsidR="00E769CA" w:rsidRPr="008E5C0D">
        <w:rPr>
          <w:rFonts w:ascii="Arial" w:hAnsi="Arial" w:cs="Arial"/>
          <w:sz w:val="24"/>
          <w:szCs w:val="24"/>
        </w:rPr>
        <w:t xml:space="preserve">. Non-current assets are resources that a corporation plans to </w:t>
      </w:r>
      <w:proofErr w:type="gramStart"/>
      <w:r w:rsidR="00E769CA" w:rsidRPr="008E5C0D">
        <w:rPr>
          <w:rFonts w:ascii="Arial" w:hAnsi="Arial" w:cs="Arial"/>
          <w:sz w:val="24"/>
          <w:szCs w:val="24"/>
        </w:rPr>
        <w:t>utilise</w:t>
      </w:r>
      <w:proofErr w:type="gramEnd"/>
      <w:r w:rsidR="00E769CA" w:rsidRPr="008E5C0D">
        <w:rPr>
          <w:rFonts w:ascii="Arial" w:hAnsi="Arial" w:cs="Arial"/>
          <w:sz w:val="24"/>
          <w:szCs w:val="24"/>
        </w:rPr>
        <w:t xml:space="preserve"> for longer than a year. They </w:t>
      </w:r>
      <w:proofErr w:type="gramStart"/>
      <w:r w:rsidR="00E769CA" w:rsidRPr="008E5C0D">
        <w:rPr>
          <w:rFonts w:ascii="Arial" w:hAnsi="Arial" w:cs="Arial"/>
          <w:sz w:val="24"/>
          <w:szCs w:val="24"/>
        </w:rPr>
        <w:t>are referred</w:t>
      </w:r>
      <w:proofErr w:type="gramEnd"/>
      <w:r w:rsidR="00E769CA" w:rsidRPr="008E5C0D">
        <w:rPr>
          <w:rFonts w:ascii="Arial" w:hAnsi="Arial" w:cs="Arial"/>
          <w:sz w:val="24"/>
          <w:szCs w:val="24"/>
        </w:rPr>
        <w:t xml:space="preserve"> to as fixed assets or long-term assets. They include both tangible and intangible items </w:t>
      </w:r>
      <w:proofErr w:type="gramStart"/>
      <w:r w:rsidR="00E769CA" w:rsidRPr="008E5C0D">
        <w:rPr>
          <w:rFonts w:ascii="Arial" w:hAnsi="Arial" w:cs="Arial"/>
          <w:sz w:val="24"/>
          <w:szCs w:val="24"/>
        </w:rPr>
        <w:t>utilised</w:t>
      </w:r>
      <w:proofErr w:type="gramEnd"/>
      <w:r w:rsidR="00E769CA" w:rsidRPr="008E5C0D">
        <w:rPr>
          <w:rFonts w:ascii="Arial" w:hAnsi="Arial" w:cs="Arial"/>
          <w:sz w:val="24"/>
          <w:szCs w:val="24"/>
        </w:rPr>
        <w:t xml:space="preserve"> in business operations but not designated for resale</w:t>
      </w:r>
      <w:r w:rsidR="003C4761" w:rsidRPr="008E5C0D">
        <w:rPr>
          <w:rFonts w:ascii="Arial" w:hAnsi="Arial" w:cs="Arial"/>
          <w:sz w:val="24"/>
          <w:szCs w:val="24"/>
        </w:rPr>
        <w:t xml:space="preserve"> (Higgins, 2016).</w:t>
      </w:r>
      <w:r w:rsidR="007455B8" w:rsidRPr="008E5C0D">
        <w:rPr>
          <w:rFonts w:ascii="Arial" w:hAnsi="Arial" w:cs="Arial"/>
          <w:sz w:val="24"/>
          <w:szCs w:val="24"/>
        </w:rPr>
        <w:t xml:space="preserve"> Non-current tangible assets can be both </w:t>
      </w:r>
      <w:r w:rsidR="007455B8" w:rsidRPr="008E5C0D">
        <w:rPr>
          <w:rFonts w:ascii="Arial" w:hAnsi="Arial" w:cs="Arial"/>
          <w:sz w:val="24"/>
          <w:szCs w:val="24"/>
        </w:rPr>
        <w:lastRenderedPageBreak/>
        <w:t xml:space="preserve">moveable and immovable. They include goods such as machinery, automobiles, furniture, and structures. While certain non-current assets, such as buildings, cannot </w:t>
      </w:r>
      <w:proofErr w:type="gramStart"/>
      <w:r w:rsidR="007455B8" w:rsidRPr="008E5C0D">
        <w:rPr>
          <w:rFonts w:ascii="Arial" w:hAnsi="Arial" w:cs="Arial"/>
          <w:sz w:val="24"/>
          <w:szCs w:val="24"/>
        </w:rPr>
        <w:t>be transferred</w:t>
      </w:r>
      <w:proofErr w:type="gramEnd"/>
      <w:r w:rsidR="007455B8" w:rsidRPr="008E5C0D">
        <w:rPr>
          <w:rFonts w:ascii="Arial" w:hAnsi="Arial" w:cs="Arial"/>
          <w:sz w:val="24"/>
          <w:szCs w:val="24"/>
        </w:rPr>
        <w:t>, others, such as cars and machinery, may</w:t>
      </w:r>
      <w:r w:rsidR="003C4761" w:rsidRPr="008E5C0D">
        <w:rPr>
          <w:rFonts w:ascii="Arial" w:hAnsi="Arial" w:cs="Arial"/>
          <w:sz w:val="24"/>
          <w:szCs w:val="24"/>
        </w:rPr>
        <w:t xml:space="preserve"> (Horner, 2020).</w:t>
      </w:r>
      <w:r w:rsidR="007455B8" w:rsidRPr="008E5C0D">
        <w:rPr>
          <w:rFonts w:ascii="Arial" w:hAnsi="Arial" w:cs="Arial"/>
          <w:sz w:val="24"/>
          <w:szCs w:val="24"/>
        </w:rPr>
        <w:t xml:space="preserve"> Patents, trademarks, copyrights, and goodwill, on the other hand, are examples of intangible non-current assets. These are non-physical assets that </w:t>
      </w:r>
      <w:proofErr w:type="gramStart"/>
      <w:r w:rsidR="007455B8" w:rsidRPr="008E5C0D">
        <w:rPr>
          <w:rFonts w:ascii="Arial" w:hAnsi="Arial" w:cs="Arial"/>
          <w:sz w:val="24"/>
          <w:szCs w:val="24"/>
        </w:rPr>
        <w:t>are valued</w:t>
      </w:r>
      <w:proofErr w:type="gramEnd"/>
      <w:r w:rsidR="007455B8" w:rsidRPr="008E5C0D">
        <w:rPr>
          <w:rFonts w:ascii="Arial" w:hAnsi="Arial" w:cs="Arial"/>
          <w:sz w:val="24"/>
          <w:szCs w:val="24"/>
        </w:rPr>
        <w:t xml:space="preserve"> because of the rights or advantages they provide to a firm.</w:t>
      </w:r>
      <w:r w:rsidR="00AA442B" w:rsidRPr="008E5C0D">
        <w:rPr>
          <w:rFonts w:ascii="Arial" w:hAnsi="Arial" w:cs="Arial"/>
          <w:sz w:val="24"/>
          <w:szCs w:val="24"/>
        </w:rPr>
        <w:t xml:space="preserve"> Non-current assets are critical for long-term financial planning and understanding a company's investment in resources that will provide future advantages</w:t>
      </w:r>
      <w:r w:rsidR="00245D1F" w:rsidRPr="008E5C0D">
        <w:rPr>
          <w:rFonts w:ascii="Arial" w:hAnsi="Arial" w:cs="Arial"/>
          <w:sz w:val="24"/>
          <w:szCs w:val="24"/>
        </w:rPr>
        <w:t xml:space="preserve"> (Burns et al., 2013).</w:t>
      </w:r>
    </w:p>
    <w:p w14:paraId="3E8DAAC1" w14:textId="51577C70" w:rsidR="00AA442B" w:rsidRPr="008E5C0D" w:rsidRDefault="00CB4899" w:rsidP="00AA442B">
      <w:pPr>
        <w:spacing w:line="360" w:lineRule="auto"/>
        <w:jc w:val="both"/>
        <w:rPr>
          <w:rFonts w:ascii="Arial" w:hAnsi="Arial" w:cs="Arial"/>
          <w:sz w:val="24"/>
          <w:szCs w:val="24"/>
        </w:rPr>
      </w:pPr>
      <w:r>
        <w:rPr>
          <w:rFonts w:ascii="Arial" w:hAnsi="Arial" w:cs="Arial"/>
          <w:sz w:val="24"/>
          <w:szCs w:val="24"/>
        </w:rPr>
        <w:t xml:space="preserve">    </w:t>
      </w:r>
      <w:r w:rsidR="004D7F15" w:rsidRPr="008E5C0D">
        <w:rPr>
          <w:rFonts w:ascii="Arial" w:hAnsi="Arial" w:cs="Arial"/>
          <w:sz w:val="24"/>
          <w:szCs w:val="24"/>
        </w:rPr>
        <w:t xml:space="preserve">Furthermore, the idea that managers should only provide financial information to firms' present shareholders is not </w:t>
      </w:r>
      <w:proofErr w:type="gramStart"/>
      <w:r w:rsidR="004D7F15" w:rsidRPr="008E5C0D">
        <w:rPr>
          <w:rFonts w:ascii="Arial" w:hAnsi="Arial" w:cs="Arial"/>
          <w:sz w:val="24"/>
          <w:szCs w:val="24"/>
        </w:rPr>
        <w:t>totally correct</w:t>
      </w:r>
      <w:proofErr w:type="gramEnd"/>
      <w:r w:rsidR="004D7F15" w:rsidRPr="008E5C0D">
        <w:rPr>
          <w:rFonts w:ascii="Arial" w:hAnsi="Arial" w:cs="Arial"/>
          <w:sz w:val="24"/>
          <w:szCs w:val="24"/>
        </w:rPr>
        <w:t xml:space="preserve">. </w:t>
      </w:r>
      <w:proofErr w:type="gramStart"/>
      <w:r w:rsidR="004D7F15" w:rsidRPr="008E5C0D">
        <w:rPr>
          <w:rFonts w:ascii="Arial" w:hAnsi="Arial" w:cs="Arial"/>
          <w:sz w:val="24"/>
          <w:szCs w:val="24"/>
        </w:rPr>
        <w:t>In reality, financial</w:t>
      </w:r>
      <w:proofErr w:type="gramEnd"/>
      <w:r w:rsidR="004D7F15" w:rsidRPr="008E5C0D">
        <w:rPr>
          <w:rFonts w:ascii="Arial" w:hAnsi="Arial" w:cs="Arial"/>
          <w:sz w:val="24"/>
          <w:szCs w:val="24"/>
        </w:rPr>
        <w:t xml:space="preserve"> information disclosure is part of a bigger picture. Companies must disclose financial information not just to present shareholders, but also to potential investors, creditors, and other stakeholders. This is critical for sustaining financial market openness and confidence.</w:t>
      </w:r>
      <w:r w:rsidR="00417F38" w:rsidRPr="008E5C0D">
        <w:rPr>
          <w:rFonts w:ascii="Arial" w:hAnsi="Arial" w:cs="Arial"/>
          <w:sz w:val="24"/>
          <w:szCs w:val="24"/>
        </w:rPr>
        <w:t xml:space="preserve"> Financial information on publicly listed firms </w:t>
      </w:r>
      <w:proofErr w:type="gramStart"/>
      <w:r w:rsidR="00417F38" w:rsidRPr="008E5C0D">
        <w:rPr>
          <w:rFonts w:ascii="Arial" w:hAnsi="Arial" w:cs="Arial"/>
          <w:sz w:val="24"/>
          <w:szCs w:val="24"/>
        </w:rPr>
        <w:t>is required</w:t>
      </w:r>
      <w:proofErr w:type="gramEnd"/>
      <w:r w:rsidR="00417F38" w:rsidRPr="008E5C0D">
        <w:rPr>
          <w:rFonts w:ascii="Arial" w:hAnsi="Arial" w:cs="Arial"/>
          <w:sz w:val="24"/>
          <w:szCs w:val="24"/>
        </w:rPr>
        <w:t xml:space="preserve"> by law to be disclosed in regular reports, such as annual and quarterly statements, </w:t>
      </w:r>
      <w:r w:rsidR="007E039E" w:rsidRPr="008E5C0D">
        <w:rPr>
          <w:rFonts w:ascii="Arial" w:hAnsi="Arial" w:cs="Arial"/>
          <w:sz w:val="24"/>
          <w:szCs w:val="24"/>
        </w:rPr>
        <w:t>which</w:t>
      </w:r>
      <w:r w:rsidR="00417F38" w:rsidRPr="008E5C0D">
        <w:rPr>
          <w:rFonts w:ascii="Arial" w:hAnsi="Arial" w:cs="Arial"/>
          <w:sz w:val="24"/>
          <w:szCs w:val="24"/>
        </w:rPr>
        <w:t xml:space="preserve"> are available to the public</w:t>
      </w:r>
      <w:r w:rsidR="00245D1F" w:rsidRPr="008E5C0D">
        <w:rPr>
          <w:rFonts w:ascii="Arial" w:hAnsi="Arial" w:cs="Arial"/>
          <w:sz w:val="24"/>
          <w:szCs w:val="24"/>
        </w:rPr>
        <w:t xml:space="preserve"> (Higgins, 2016). </w:t>
      </w:r>
      <w:r w:rsidR="00417F38" w:rsidRPr="008E5C0D">
        <w:rPr>
          <w:rFonts w:ascii="Arial" w:hAnsi="Arial" w:cs="Arial"/>
          <w:sz w:val="24"/>
          <w:szCs w:val="24"/>
        </w:rPr>
        <w:t>This comprises present stockholders as well as future investors and analysts.</w:t>
      </w:r>
      <w:r w:rsidR="00A97E09" w:rsidRPr="008E5C0D">
        <w:rPr>
          <w:rFonts w:ascii="Arial" w:hAnsi="Arial" w:cs="Arial"/>
          <w:sz w:val="24"/>
          <w:szCs w:val="24"/>
        </w:rPr>
        <w:t xml:space="preserve"> In addition, ethical and corporate governance norms require managers to be open and honest in their financial reporting. This transparency helps to maintain the integrity of financial markets by allowing stakeholders to make informed decisions about investments, credit, and other commercial relationships</w:t>
      </w:r>
      <w:r w:rsidR="00245D1F" w:rsidRPr="008E5C0D">
        <w:rPr>
          <w:rFonts w:ascii="Arial" w:hAnsi="Arial" w:cs="Arial"/>
          <w:sz w:val="24"/>
          <w:szCs w:val="24"/>
        </w:rPr>
        <w:t xml:space="preserve"> (Burns et al., 2013). </w:t>
      </w:r>
      <w:r w:rsidR="00A97E09" w:rsidRPr="008E5C0D">
        <w:rPr>
          <w:rFonts w:ascii="Arial" w:hAnsi="Arial" w:cs="Arial"/>
          <w:sz w:val="24"/>
          <w:szCs w:val="24"/>
        </w:rPr>
        <w:t>As a result, restricting financial information to present owners would contradict the values of openness and equal access to information, which are essential to the operation of fair and effective markets.</w:t>
      </w:r>
    </w:p>
    <w:p w14:paraId="42C5C292" w14:textId="4F1EF6F9" w:rsidR="00A97E09" w:rsidRPr="008E5C0D" w:rsidRDefault="00CB4899" w:rsidP="00AA442B">
      <w:pPr>
        <w:spacing w:line="360" w:lineRule="auto"/>
        <w:jc w:val="both"/>
        <w:rPr>
          <w:rFonts w:ascii="Arial" w:hAnsi="Arial" w:cs="Arial"/>
          <w:sz w:val="24"/>
          <w:szCs w:val="24"/>
        </w:rPr>
      </w:pPr>
      <w:r>
        <w:rPr>
          <w:rFonts w:ascii="Arial" w:hAnsi="Arial" w:cs="Arial"/>
          <w:sz w:val="24"/>
          <w:szCs w:val="24"/>
        </w:rPr>
        <w:t xml:space="preserve">    </w:t>
      </w:r>
      <w:r w:rsidR="00814B11" w:rsidRPr="008E5C0D">
        <w:rPr>
          <w:rFonts w:ascii="Arial" w:hAnsi="Arial" w:cs="Arial"/>
          <w:sz w:val="24"/>
          <w:szCs w:val="24"/>
        </w:rPr>
        <w:t xml:space="preserve">Additionally, prepayments and accruals must </w:t>
      </w:r>
      <w:proofErr w:type="gramStart"/>
      <w:r w:rsidR="00814B11" w:rsidRPr="008E5C0D">
        <w:rPr>
          <w:rFonts w:ascii="Arial" w:hAnsi="Arial" w:cs="Arial"/>
          <w:sz w:val="24"/>
          <w:szCs w:val="24"/>
        </w:rPr>
        <w:t>be included</w:t>
      </w:r>
      <w:proofErr w:type="gramEnd"/>
      <w:r w:rsidR="00814B11" w:rsidRPr="008E5C0D">
        <w:rPr>
          <w:rFonts w:ascii="Arial" w:hAnsi="Arial" w:cs="Arial"/>
          <w:sz w:val="24"/>
          <w:szCs w:val="24"/>
        </w:rPr>
        <w:t xml:space="preserve"> in the balance sheet for correct financial reporting. The balance sheet depicts the financial condition of a business at a certain </w:t>
      </w:r>
      <w:proofErr w:type="gramStart"/>
      <w:r w:rsidR="00814B11" w:rsidRPr="008E5C0D">
        <w:rPr>
          <w:rFonts w:ascii="Arial" w:hAnsi="Arial" w:cs="Arial"/>
          <w:sz w:val="24"/>
          <w:szCs w:val="24"/>
        </w:rPr>
        <w:t>period in time</w:t>
      </w:r>
      <w:proofErr w:type="gramEnd"/>
      <w:r w:rsidR="00814B11" w:rsidRPr="008E5C0D">
        <w:rPr>
          <w:rFonts w:ascii="Arial" w:hAnsi="Arial" w:cs="Arial"/>
          <w:sz w:val="24"/>
          <w:szCs w:val="24"/>
        </w:rPr>
        <w:t>, including assets, obligations, and equity.</w:t>
      </w:r>
      <w:r w:rsidR="00A941A1" w:rsidRPr="008E5C0D">
        <w:rPr>
          <w:rFonts w:ascii="Arial" w:hAnsi="Arial" w:cs="Arial"/>
          <w:sz w:val="24"/>
          <w:szCs w:val="24"/>
        </w:rPr>
        <w:t xml:space="preserve"> Prepayments, often known as prepaid costs, are payments made for future products or services</w:t>
      </w:r>
      <w:r w:rsidR="00EE743C" w:rsidRPr="008E5C0D">
        <w:rPr>
          <w:rFonts w:ascii="Arial" w:hAnsi="Arial" w:cs="Arial"/>
          <w:sz w:val="24"/>
          <w:szCs w:val="24"/>
        </w:rPr>
        <w:t xml:space="preserve"> </w:t>
      </w:r>
      <w:r w:rsidR="00EE743C" w:rsidRPr="008E5C0D">
        <w:rPr>
          <w:rFonts w:ascii="Arial" w:hAnsi="Arial" w:cs="Arial"/>
          <w:sz w:val="24"/>
          <w:szCs w:val="24"/>
          <w:shd w:val="clear" w:color="auto" w:fill="FFFFFF"/>
        </w:rPr>
        <w:t xml:space="preserve">(Schroeder, </w:t>
      </w:r>
      <w:proofErr w:type="gramStart"/>
      <w:r w:rsidR="00EE743C" w:rsidRPr="008E5C0D">
        <w:rPr>
          <w:rFonts w:ascii="Arial" w:hAnsi="Arial" w:cs="Arial"/>
          <w:sz w:val="24"/>
          <w:szCs w:val="24"/>
          <w:shd w:val="clear" w:color="auto" w:fill="FFFFFF"/>
        </w:rPr>
        <w:t>Clark</w:t>
      </w:r>
      <w:proofErr w:type="gramEnd"/>
      <w:r w:rsidR="00EE743C" w:rsidRPr="008E5C0D">
        <w:rPr>
          <w:rFonts w:ascii="Arial" w:hAnsi="Arial" w:cs="Arial"/>
          <w:sz w:val="24"/>
          <w:szCs w:val="24"/>
          <w:shd w:val="clear" w:color="auto" w:fill="FFFFFF"/>
        </w:rPr>
        <w:t xml:space="preserve"> and Cathey, 2022). </w:t>
      </w:r>
      <w:r w:rsidR="00A941A1" w:rsidRPr="008E5C0D">
        <w:rPr>
          <w:rFonts w:ascii="Arial" w:hAnsi="Arial" w:cs="Arial"/>
          <w:sz w:val="24"/>
          <w:szCs w:val="24"/>
        </w:rPr>
        <w:t xml:space="preserve">On the statement of financial status, they </w:t>
      </w:r>
      <w:proofErr w:type="gramStart"/>
      <w:r w:rsidR="00A941A1" w:rsidRPr="008E5C0D">
        <w:rPr>
          <w:rFonts w:ascii="Arial" w:hAnsi="Arial" w:cs="Arial"/>
          <w:sz w:val="24"/>
          <w:szCs w:val="24"/>
        </w:rPr>
        <w:t>are represented</w:t>
      </w:r>
      <w:proofErr w:type="gramEnd"/>
      <w:r w:rsidR="00A941A1" w:rsidRPr="008E5C0D">
        <w:rPr>
          <w:rFonts w:ascii="Arial" w:hAnsi="Arial" w:cs="Arial"/>
          <w:sz w:val="24"/>
          <w:szCs w:val="24"/>
        </w:rPr>
        <w:t xml:space="preserve"> as current assets. Prepayments are necessary because they reflect resources that </w:t>
      </w:r>
      <w:proofErr w:type="gramStart"/>
      <w:r w:rsidR="00A941A1" w:rsidRPr="008E5C0D">
        <w:rPr>
          <w:rFonts w:ascii="Arial" w:hAnsi="Arial" w:cs="Arial"/>
          <w:sz w:val="24"/>
          <w:szCs w:val="24"/>
        </w:rPr>
        <w:t>were previously purchased</w:t>
      </w:r>
      <w:proofErr w:type="gramEnd"/>
      <w:r w:rsidR="00A941A1" w:rsidRPr="008E5C0D">
        <w:rPr>
          <w:rFonts w:ascii="Arial" w:hAnsi="Arial" w:cs="Arial"/>
          <w:sz w:val="24"/>
          <w:szCs w:val="24"/>
        </w:rPr>
        <w:t xml:space="preserve"> and are projected to provide advantages in the future. Prepaid rent, insurance, and subscriptions are examples of such items.</w:t>
      </w:r>
      <w:r w:rsidR="00D71182" w:rsidRPr="008E5C0D">
        <w:rPr>
          <w:rFonts w:ascii="Arial" w:hAnsi="Arial" w:cs="Arial"/>
          <w:sz w:val="24"/>
          <w:szCs w:val="24"/>
        </w:rPr>
        <w:t xml:space="preserve"> Accruals, on the other hand, represent costs that have </w:t>
      </w:r>
      <w:proofErr w:type="gramStart"/>
      <w:r w:rsidR="00D71182" w:rsidRPr="008E5C0D">
        <w:rPr>
          <w:rFonts w:ascii="Arial" w:hAnsi="Arial" w:cs="Arial"/>
          <w:sz w:val="24"/>
          <w:szCs w:val="24"/>
        </w:rPr>
        <w:t>been made</w:t>
      </w:r>
      <w:proofErr w:type="gramEnd"/>
      <w:r w:rsidR="00D71182" w:rsidRPr="008E5C0D">
        <w:rPr>
          <w:rFonts w:ascii="Arial" w:hAnsi="Arial" w:cs="Arial"/>
          <w:sz w:val="24"/>
          <w:szCs w:val="24"/>
        </w:rPr>
        <w:t xml:space="preserve"> but are still unpaid, or revenues that were generated but have yet to be received. They </w:t>
      </w:r>
      <w:r w:rsidR="00D71182" w:rsidRPr="008E5C0D">
        <w:rPr>
          <w:rFonts w:ascii="Arial" w:hAnsi="Arial" w:cs="Arial"/>
          <w:sz w:val="24"/>
          <w:szCs w:val="24"/>
        </w:rPr>
        <w:lastRenderedPageBreak/>
        <w:t xml:space="preserve">guarantee that financial statements are created on an accrual basis, which means that revenues and costs are matched in the </w:t>
      </w:r>
      <w:proofErr w:type="gramStart"/>
      <w:r w:rsidR="00D71182" w:rsidRPr="008E5C0D">
        <w:rPr>
          <w:rFonts w:ascii="Arial" w:hAnsi="Arial" w:cs="Arial"/>
          <w:sz w:val="24"/>
          <w:szCs w:val="24"/>
        </w:rPr>
        <w:t>time frame</w:t>
      </w:r>
      <w:proofErr w:type="gramEnd"/>
      <w:r w:rsidR="00D71182" w:rsidRPr="008E5C0D">
        <w:rPr>
          <w:rFonts w:ascii="Arial" w:hAnsi="Arial" w:cs="Arial"/>
          <w:sz w:val="24"/>
          <w:szCs w:val="24"/>
        </w:rPr>
        <w:t xml:space="preserve"> in which they take place, no matter when cash transactions happen</w:t>
      </w:r>
      <w:r w:rsidR="008A1020" w:rsidRPr="008E5C0D">
        <w:rPr>
          <w:rFonts w:ascii="Arial" w:hAnsi="Arial" w:cs="Arial"/>
          <w:sz w:val="24"/>
          <w:szCs w:val="24"/>
        </w:rPr>
        <w:t xml:space="preserve"> (Burns et al., 2013). </w:t>
      </w:r>
      <w:r w:rsidR="00D71182" w:rsidRPr="008E5C0D">
        <w:rPr>
          <w:rFonts w:ascii="Arial" w:hAnsi="Arial" w:cs="Arial"/>
          <w:sz w:val="24"/>
          <w:szCs w:val="24"/>
        </w:rPr>
        <w:t xml:space="preserve"> Accruals are important for evaluating a company's real financial condition because they involve commitments and resources that </w:t>
      </w:r>
      <w:proofErr w:type="gramStart"/>
      <w:r w:rsidR="00D71182" w:rsidRPr="008E5C0D">
        <w:rPr>
          <w:rFonts w:ascii="Arial" w:hAnsi="Arial" w:cs="Arial"/>
          <w:sz w:val="24"/>
          <w:szCs w:val="24"/>
        </w:rPr>
        <w:t>are not currently reflected</w:t>
      </w:r>
      <w:proofErr w:type="gramEnd"/>
      <w:r w:rsidR="00D71182" w:rsidRPr="008E5C0D">
        <w:rPr>
          <w:rFonts w:ascii="Arial" w:hAnsi="Arial" w:cs="Arial"/>
          <w:sz w:val="24"/>
          <w:szCs w:val="24"/>
        </w:rPr>
        <w:t xml:space="preserve"> in cash but will be resolved in the future.</w:t>
      </w:r>
      <w:r w:rsidR="00966472" w:rsidRPr="008E5C0D">
        <w:rPr>
          <w:rFonts w:ascii="Arial" w:hAnsi="Arial" w:cs="Arial"/>
          <w:sz w:val="24"/>
          <w:szCs w:val="24"/>
        </w:rPr>
        <w:t xml:space="preserve"> Excluding prepayments and accruals could result in insufficient and </w:t>
      </w:r>
      <w:proofErr w:type="gramStart"/>
      <w:r w:rsidR="00966472" w:rsidRPr="008E5C0D">
        <w:rPr>
          <w:rFonts w:ascii="Arial" w:hAnsi="Arial" w:cs="Arial"/>
          <w:sz w:val="24"/>
          <w:szCs w:val="24"/>
        </w:rPr>
        <w:t>perhaps deceptive</w:t>
      </w:r>
      <w:proofErr w:type="gramEnd"/>
      <w:r w:rsidR="00966472" w:rsidRPr="008E5C0D">
        <w:rPr>
          <w:rFonts w:ascii="Arial" w:hAnsi="Arial" w:cs="Arial"/>
          <w:sz w:val="24"/>
          <w:szCs w:val="24"/>
        </w:rPr>
        <w:t xml:space="preserve"> financial information since the company's current assets and obligations would not be completely reflected. This might bias investors', creditors', and other stakeholders' view of the business's financial performance and overall health</w:t>
      </w:r>
      <w:r w:rsidR="00BA703D" w:rsidRPr="008E5C0D">
        <w:rPr>
          <w:rFonts w:ascii="Arial" w:hAnsi="Arial" w:cs="Arial"/>
          <w:sz w:val="24"/>
          <w:szCs w:val="24"/>
        </w:rPr>
        <w:t xml:space="preserve"> (Deegan and </w:t>
      </w:r>
      <w:proofErr w:type="spellStart"/>
      <w:r w:rsidR="00BA703D" w:rsidRPr="008E5C0D">
        <w:rPr>
          <w:rFonts w:ascii="Arial" w:hAnsi="Arial" w:cs="Arial"/>
          <w:sz w:val="24"/>
          <w:szCs w:val="24"/>
        </w:rPr>
        <w:t>Unerman</w:t>
      </w:r>
      <w:proofErr w:type="spellEnd"/>
      <w:r w:rsidR="00BA703D" w:rsidRPr="008E5C0D">
        <w:rPr>
          <w:rFonts w:ascii="Arial" w:hAnsi="Arial" w:cs="Arial"/>
          <w:sz w:val="24"/>
          <w:szCs w:val="24"/>
        </w:rPr>
        <w:t xml:space="preserve">, 2011). </w:t>
      </w:r>
    </w:p>
    <w:p w14:paraId="4F091B9C" w14:textId="06597068" w:rsidR="00CB19D0" w:rsidRPr="008E5C0D" w:rsidRDefault="00CB4899" w:rsidP="00CB19D0">
      <w:pPr>
        <w:spacing w:line="360" w:lineRule="auto"/>
        <w:jc w:val="both"/>
        <w:rPr>
          <w:rFonts w:ascii="Arial" w:hAnsi="Arial" w:cs="Arial"/>
          <w:sz w:val="24"/>
          <w:szCs w:val="24"/>
        </w:rPr>
      </w:pPr>
      <w:r>
        <w:rPr>
          <w:rFonts w:ascii="Arial" w:hAnsi="Arial" w:cs="Arial"/>
          <w:sz w:val="24"/>
          <w:szCs w:val="24"/>
        </w:rPr>
        <w:t xml:space="preserve">    </w:t>
      </w:r>
      <w:r w:rsidR="002861BA" w:rsidRPr="008E5C0D">
        <w:rPr>
          <w:rFonts w:ascii="Arial" w:hAnsi="Arial" w:cs="Arial"/>
          <w:sz w:val="24"/>
          <w:szCs w:val="24"/>
        </w:rPr>
        <w:t>On the other hand,</w:t>
      </w:r>
      <w:r w:rsidR="006541A8" w:rsidRPr="008E5C0D">
        <w:rPr>
          <w:rFonts w:ascii="Arial" w:hAnsi="Arial" w:cs="Arial"/>
          <w:sz w:val="24"/>
          <w:szCs w:val="24"/>
        </w:rPr>
        <w:t xml:space="preserve"> financial accounting regulation are critical for </w:t>
      </w:r>
      <w:proofErr w:type="gramStart"/>
      <w:r w:rsidR="006541A8" w:rsidRPr="008E5C0D">
        <w:rPr>
          <w:rFonts w:ascii="Arial" w:hAnsi="Arial" w:cs="Arial"/>
          <w:sz w:val="24"/>
          <w:szCs w:val="24"/>
        </w:rPr>
        <w:t>various reasons</w:t>
      </w:r>
      <w:proofErr w:type="gramEnd"/>
      <w:r w:rsidR="006541A8" w:rsidRPr="008E5C0D">
        <w:rPr>
          <w:rFonts w:ascii="Arial" w:hAnsi="Arial" w:cs="Arial"/>
          <w:sz w:val="24"/>
          <w:szCs w:val="24"/>
        </w:rPr>
        <w:t>. For example, it assures financial reporting accuracy and uniformity. Companies must adhere to standardised accounting rules, which aids in the creation of credible and comparable financial accounts</w:t>
      </w:r>
      <w:r w:rsidR="00055F98" w:rsidRPr="008E5C0D">
        <w:rPr>
          <w:rFonts w:ascii="Arial" w:hAnsi="Arial" w:cs="Arial"/>
          <w:sz w:val="24"/>
          <w:szCs w:val="24"/>
        </w:rPr>
        <w:t xml:space="preserve"> (</w:t>
      </w:r>
      <w:r w:rsidR="00055F98" w:rsidRPr="008E5C0D">
        <w:rPr>
          <w:rFonts w:ascii="Arial" w:hAnsi="Arial" w:cs="Arial"/>
          <w:sz w:val="24"/>
          <w:szCs w:val="24"/>
          <w:shd w:val="clear" w:color="auto" w:fill="FFFFFF"/>
        </w:rPr>
        <w:t xml:space="preserve">Schroeder, </w:t>
      </w:r>
      <w:proofErr w:type="gramStart"/>
      <w:r w:rsidR="00055F98" w:rsidRPr="008E5C0D">
        <w:rPr>
          <w:rFonts w:ascii="Arial" w:hAnsi="Arial" w:cs="Arial"/>
          <w:sz w:val="24"/>
          <w:szCs w:val="24"/>
          <w:shd w:val="clear" w:color="auto" w:fill="FFFFFF"/>
        </w:rPr>
        <w:t>Clark</w:t>
      </w:r>
      <w:proofErr w:type="gramEnd"/>
      <w:r w:rsidR="00055F98" w:rsidRPr="008E5C0D">
        <w:rPr>
          <w:rFonts w:ascii="Arial" w:hAnsi="Arial" w:cs="Arial"/>
          <w:sz w:val="24"/>
          <w:szCs w:val="24"/>
          <w:shd w:val="clear" w:color="auto" w:fill="FFFFFF"/>
        </w:rPr>
        <w:t xml:space="preserve"> and Cathey, 2022). </w:t>
      </w:r>
      <w:r w:rsidR="006541A8" w:rsidRPr="008E5C0D">
        <w:rPr>
          <w:rFonts w:ascii="Arial" w:hAnsi="Arial" w:cs="Arial"/>
          <w:sz w:val="24"/>
          <w:szCs w:val="24"/>
        </w:rPr>
        <w:t xml:space="preserve">Without these standards, businesses may adopt uneven techniques, resulting in difficult-to-compare and </w:t>
      </w:r>
      <w:proofErr w:type="gramStart"/>
      <w:r w:rsidR="006541A8" w:rsidRPr="008E5C0D">
        <w:rPr>
          <w:rFonts w:ascii="Arial" w:hAnsi="Arial" w:cs="Arial"/>
          <w:sz w:val="24"/>
          <w:szCs w:val="24"/>
        </w:rPr>
        <w:t>perhaps deceptive</w:t>
      </w:r>
      <w:proofErr w:type="gramEnd"/>
      <w:r w:rsidR="006541A8" w:rsidRPr="008E5C0D">
        <w:rPr>
          <w:rFonts w:ascii="Arial" w:hAnsi="Arial" w:cs="Arial"/>
          <w:sz w:val="24"/>
          <w:szCs w:val="24"/>
        </w:rPr>
        <w:t xml:space="preserve"> financial statements.</w:t>
      </w:r>
      <w:r w:rsidR="00CB19D0" w:rsidRPr="008E5C0D">
        <w:rPr>
          <w:rFonts w:ascii="Arial" w:hAnsi="Arial" w:cs="Arial"/>
          <w:sz w:val="24"/>
          <w:szCs w:val="24"/>
        </w:rPr>
        <w:t xml:space="preserve"> Second, financial regulation safeguards stakeholders such as investors, creditors, and the </w:t>
      </w:r>
      <w:proofErr w:type="gramStart"/>
      <w:r w:rsidR="00CB19D0" w:rsidRPr="008E5C0D">
        <w:rPr>
          <w:rFonts w:ascii="Arial" w:hAnsi="Arial" w:cs="Arial"/>
          <w:sz w:val="24"/>
          <w:szCs w:val="24"/>
        </w:rPr>
        <w:t>general public</w:t>
      </w:r>
      <w:proofErr w:type="gramEnd"/>
      <w:r w:rsidR="00CB19D0" w:rsidRPr="008E5C0D">
        <w:rPr>
          <w:rFonts w:ascii="Arial" w:hAnsi="Arial" w:cs="Arial"/>
          <w:sz w:val="24"/>
          <w:szCs w:val="24"/>
        </w:rPr>
        <w:t xml:space="preserve"> by guaranteeing the financial data given by corporations is accurate and open. Transparency is essential for investors and creditors to make sound judgements</w:t>
      </w:r>
      <w:r w:rsidR="00440D68" w:rsidRPr="008E5C0D">
        <w:rPr>
          <w:rFonts w:ascii="Arial" w:hAnsi="Arial" w:cs="Arial"/>
          <w:sz w:val="24"/>
          <w:szCs w:val="24"/>
        </w:rPr>
        <w:t xml:space="preserve"> (Deegan and </w:t>
      </w:r>
      <w:proofErr w:type="spellStart"/>
      <w:r w:rsidR="00440D68" w:rsidRPr="008E5C0D">
        <w:rPr>
          <w:rFonts w:ascii="Arial" w:hAnsi="Arial" w:cs="Arial"/>
          <w:sz w:val="24"/>
          <w:szCs w:val="24"/>
        </w:rPr>
        <w:t>Unerman</w:t>
      </w:r>
      <w:proofErr w:type="spellEnd"/>
      <w:r w:rsidR="00440D68" w:rsidRPr="008E5C0D">
        <w:rPr>
          <w:rFonts w:ascii="Arial" w:hAnsi="Arial" w:cs="Arial"/>
          <w:sz w:val="24"/>
          <w:szCs w:val="24"/>
        </w:rPr>
        <w:t>, 2011).</w:t>
      </w:r>
      <w:r w:rsidR="00D93FF7" w:rsidRPr="008E5C0D">
        <w:rPr>
          <w:rFonts w:ascii="Arial" w:hAnsi="Arial" w:cs="Arial"/>
          <w:sz w:val="24"/>
          <w:szCs w:val="24"/>
        </w:rPr>
        <w:t xml:space="preserve"> Furthermore, regulation aids in the prevention of theft and scandals involving finances. In the past, a lack of regulation has resulted in unethical acts and major financial catastrophes. Authorities may hold firms accountable for their financial activities by enforcing legislation, fostering ethical behaviour and financial stability.</w:t>
      </w:r>
      <w:r w:rsidR="006270EC" w:rsidRPr="008E5C0D">
        <w:rPr>
          <w:rFonts w:ascii="Arial" w:hAnsi="Arial" w:cs="Arial"/>
          <w:sz w:val="24"/>
          <w:szCs w:val="24"/>
        </w:rPr>
        <w:t xml:space="preserve"> As a result, denying the necessity for financial account regulation ignores the vital role these rules play in preserving the stability and reliability of financial markets and defending the interests of </w:t>
      </w:r>
      <w:proofErr w:type="gramStart"/>
      <w:r w:rsidR="006270EC" w:rsidRPr="008E5C0D">
        <w:rPr>
          <w:rFonts w:ascii="Arial" w:hAnsi="Arial" w:cs="Arial"/>
          <w:sz w:val="24"/>
          <w:szCs w:val="24"/>
        </w:rPr>
        <w:t>numerous</w:t>
      </w:r>
      <w:proofErr w:type="gramEnd"/>
      <w:r w:rsidR="006270EC" w:rsidRPr="008E5C0D">
        <w:rPr>
          <w:rFonts w:ascii="Arial" w:hAnsi="Arial" w:cs="Arial"/>
          <w:sz w:val="24"/>
          <w:szCs w:val="24"/>
        </w:rPr>
        <w:t xml:space="preserve"> stakeholders</w:t>
      </w:r>
      <w:r w:rsidR="00A72A8A" w:rsidRPr="008E5C0D">
        <w:rPr>
          <w:rFonts w:ascii="Arial" w:hAnsi="Arial" w:cs="Arial"/>
          <w:sz w:val="24"/>
          <w:szCs w:val="24"/>
        </w:rPr>
        <w:t xml:space="preserve"> (ACCA, n.d.).</w:t>
      </w:r>
    </w:p>
    <w:p w14:paraId="295D7AEB" w14:textId="2E6F1A89" w:rsidR="006270EC" w:rsidRPr="008E5C0D" w:rsidRDefault="00CB4899" w:rsidP="00CB19D0">
      <w:pPr>
        <w:spacing w:line="360" w:lineRule="auto"/>
        <w:jc w:val="both"/>
        <w:rPr>
          <w:rFonts w:ascii="Arial" w:hAnsi="Arial" w:cs="Arial"/>
          <w:sz w:val="24"/>
          <w:szCs w:val="24"/>
        </w:rPr>
      </w:pPr>
      <w:r>
        <w:rPr>
          <w:rFonts w:ascii="Arial" w:hAnsi="Arial" w:cs="Arial"/>
          <w:sz w:val="24"/>
          <w:szCs w:val="24"/>
        </w:rPr>
        <w:t xml:space="preserve">    </w:t>
      </w:r>
      <w:r w:rsidR="00406F4B" w:rsidRPr="008E5C0D">
        <w:rPr>
          <w:rFonts w:ascii="Arial" w:hAnsi="Arial" w:cs="Arial"/>
          <w:sz w:val="24"/>
          <w:szCs w:val="24"/>
        </w:rPr>
        <w:t xml:space="preserve">Lastly, before compiling financial statements, balancing ledger </w:t>
      </w:r>
      <w:proofErr w:type="gramStart"/>
      <w:r w:rsidR="00406F4B" w:rsidRPr="008E5C0D">
        <w:rPr>
          <w:rFonts w:ascii="Arial" w:hAnsi="Arial" w:cs="Arial"/>
          <w:sz w:val="24"/>
          <w:szCs w:val="24"/>
        </w:rPr>
        <w:t>accounts</w:t>
      </w:r>
      <w:proofErr w:type="gramEnd"/>
      <w:r w:rsidR="00406F4B" w:rsidRPr="008E5C0D">
        <w:rPr>
          <w:rFonts w:ascii="Arial" w:hAnsi="Arial" w:cs="Arial"/>
          <w:sz w:val="24"/>
          <w:szCs w:val="24"/>
        </w:rPr>
        <w:t xml:space="preserve"> and creating a trial balance is a fundamental and crucial stage in the accounting process. To guarantee that all financial transactions are correctly documented, ledger accounts must </w:t>
      </w:r>
      <w:proofErr w:type="gramStart"/>
      <w:r w:rsidR="00406F4B" w:rsidRPr="008E5C0D">
        <w:rPr>
          <w:rFonts w:ascii="Arial" w:hAnsi="Arial" w:cs="Arial"/>
          <w:sz w:val="24"/>
          <w:szCs w:val="24"/>
        </w:rPr>
        <w:t>be balanced</w:t>
      </w:r>
      <w:proofErr w:type="gramEnd"/>
      <w:r w:rsidR="00406F4B" w:rsidRPr="008E5C0D">
        <w:rPr>
          <w:rFonts w:ascii="Arial" w:hAnsi="Arial" w:cs="Arial"/>
          <w:sz w:val="24"/>
          <w:szCs w:val="24"/>
        </w:rPr>
        <w:t>. These ledgers provide precise transactions for all accounts, including assets, liabilities, equity, income, and costs</w:t>
      </w:r>
      <w:r w:rsidR="008C3A7C" w:rsidRPr="008E5C0D">
        <w:rPr>
          <w:rFonts w:ascii="Arial" w:hAnsi="Arial" w:cs="Arial"/>
          <w:sz w:val="24"/>
          <w:szCs w:val="24"/>
        </w:rPr>
        <w:t xml:space="preserve"> </w:t>
      </w:r>
      <w:r w:rsidR="008C3A7C" w:rsidRPr="008E5C0D">
        <w:rPr>
          <w:rFonts w:ascii="Arial" w:hAnsi="Arial" w:cs="Arial"/>
          <w:sz w:val="24"/>
          <w:szCs w:val="24"/>
          <w:shd w:val="clear" w:color="auto" w:fill="FFFFFF"/>
        </w:rPr>
        <w:t>(Gurskaya, Kuter and Bagdasaryan, 2019)</w:t>
      </w:r>
      <w:r w:rsidR="00265683" w:rsidRPr="008E5C0D">
        <w:rPr>
          <w:rFonts w:ascii="Arial" w:hAnsi="Arial" w:cs="Arial"/>
          <w:sz w:val="24"/>
          <w:szCs w:val="24"/>
        </w:rPr>
        <w:t xml:space="preserve">. </w:t>
      </w:r>
      <w:r w:rsidR="00406F4B" w:rsidRPr="008E5C0D">
        <w:rPr>
          <w:rFonts w:ascii="Arial" w:hAnsi="Arial" w:cs="Arial"/>
          <w:sz w:val="24"/>
          <w:szCs w:val="24"/>
        </w:rPr>
        <w:t xml:space="preserve">Accountants may verify the correctness of entries for each account and confirm that the total of the debits equal the total credits by balancing </w:t>
      </w:r>
      <w:r w:rsidR="00406F4B" w:rsidRPr="008E5C0D">
        <w:rPr>
          <w:rFonts w:ascii="Arial" w:hAnsi="Arial" w:cs="Arial"/>
          <w:sz w:val="24"/>
          <w:szCs w:val="24"/>
        </w:rPr>
        <w:lastRenderedPageBreak/>
        <w:t>these accounts.</w:t>
      </w:r>
      <w:r w:rsidR="0007249B" w:rsidRPr="008E5C0D">
        <w:rPr>
          <w:rFonts w:ascii="Arial" w:hAnsi="Arial" w:cs="Arial"/>
          <w:sz w:val="24"/>
          <w:szCs w:val="24"/>
        </w:rPr>
        <w:t xml:space="preserve"> The trial balance then aggregates all ledger account balances into a single page. This is </w:t>
      </w:r>
      <w:proofErr w:type="gramStart"/>
      <w:r w:rsidR="0007249B" w:rsidRPr="008E5C0D">
        <w:rPr>
          <w:rFonts w:ascii="Arial" w:hAnsi="Arial" w:cs="Arial"/>
          <w:sz w:val="24"/>
          <w:szCs w:val="24"/>
        </w:rPr>
        <w:t>an important step</w:t>
      </w:r>
      <w:proofErr w:type="gramEnd"/>
      <w:r w:rsidR="0007249B" w:rsidRPr="008E5C0D">
        <w:rPr>
          <w:rFonts w:ascii="Arial" w:hAnsi="Arial" w:cs="Arial"/>
          <w:sz w:val="24"/>
          <w:szCs w:val="24"/>
        </w:rPr>
        <w:t xml:space="preserve"> since it double-checks the ledger accounts for mathematical correctness. It aids in the detection of anomalies or mistakes in the double-entry accounting system, in which each transaction must </w:t>
      </w:r>
      <w:proofErr w:type="gramStart"/>
      <w:r w:rsidR="0007249B" w:rsidRPr="008E5C0D">
        <w:rPr>
          <w:rFonts w:ascii="Arial" w:hAnsi="Arial" w:cs="Arial"/>
          <w:sz w:val="24"/>
          <w:szCs w:val="24"/>
        </w:rPr>
        <w:t>be accompanied</w:t>
      </w:r>
      <w:proofErr w:type="gramEnd"/>
      <w:r w:rsidR="0007249B" w:rsidRPr="008E5C0D">
        <w:rPr>
          <w:rFonts w:ascii="Arial" w:hAnsi="Arial" w:cs="Arial"/>
          <w:sz w:val="24"/>
          <w:szCs w:val="24"/>
        </w:rPr>
        <w:t xml:space="preserve"> by a debit and credit entry</w:t>
      </w:r>
      <w:r w:rsidR="00874812" w:rsidRPr="008E5C0D">
        <w:rPr>
          <w:rFonts w:ascii="Arial" w:hAnsi="Arial" w:cs="Arial"/>
          <w:sz w:val="24"/>
          <w:szCs w:val="24"/>
        </w:rPr>
        <w:t xml:space="preserve"> </w:t>
      </w:r>
      <w:r w:rsidR="00874812" w:rsidRPr="008E5C0D">
        <w:rPr>
          <w:rFonts w:ascii="Arial" w:hAnsi="Arial" w:cs="Arial"/>
          <w:sz w:val="24"/>
          <w:szCs w:val="24"/>
          <w:shd w:val="clear" w:color="auto" w:fill="FFFFFF"/>
        </w:rPr>
        <w:t>(Zulaiha, Miraza and Muda, 2022).</w:t>
      </w:r>
      <w:r w:rsidR="00A92EF3" w:rsidRPr="008E5C0D">
        <w:rPr>
          <w:rFonts w:ascii="Arial" w:hAnsi="Arial" w:cs="Arial"/>
          <w:sz w:val="24"/>
          <w:szCs w:val="24"/>
        </w:rPr>
        <w:t xml:space="preserve"> The integrity of ledger accounts and the trial balance is critical in preparing accurate financial statements such as the income statement, balance sheet, and cash flow statement. These statements are critical for informing stakeholders about the company's financial performance and situation.</w:t>
      </w:r>
    </w:p>
    <w:p w14:paraId="09E918C7" w14:textId="77777777" w:rsidR="000854DD" w:rsidRPr="008E5C0D" w:rsidRDefault="000854DD" w:rsidP="00CB19D0">
      <w:pPr>
        <w:spacing w:line="360" w:lineRule="auto"/>
        <w:jc w:val="both"/>
        <w:rPr>
          <w:rFonts w:ascii="Arial" w:hAnsi="Arial" w:cs="Arial"/>
          <w:sz w:val="24"/>
          <w:szCs w:val="24"/>
        </w:rPr>
      </w:pPr>
    </w:p>
    <w:p w14:paraId="10A639C6" w14:textId="1A7B9E50" w:rsidR="000854DD" w:rsidRPr="008E5C0D" w:rsidRDefault="00CB4899" w:rsidP="00CB19D0">
      <w:pPr>
        <w:spacing w:line="360" w:lineRule="auto"/>
        <w:jc w:val="both"/>
        <w:rPr>
          <w:rFonts w:ascii="Arial" w:hAnsi="Arial" w:cs="Arial"/>
          <w:sz w:val="24"/>
          <w:szCs w:val="24"/>
        </w:rPr>
      </w:pPr>
      <w:r>
        <w:rPr>
          <w:rFonts w:ascii="Arial" w:hAnsi="Arial" w:cs="Arial"/>
          <w:sz w:val="24"/>
          <w:szCs w:val="24"/>
        </w:rPr>
        <w:t xml:space="preserve">    </w:t>
      </w:r>
      <w:r w:rsidR="00B409D2" w:rsidRPr="008E5C0D">
        <w:rPr>
          <w:rFonts w:ascii="Arial" w:hAnsi="Arial" w:cs="Arial"/>
          <w:sz w:val="24"/>
          <w:szCs w:val="24"/>
        </w:rPr>
        <w:t xml:space="preserve">To critically examine </w:t>
      </w:r>
      <w:proofErr w:type="gramStart"/>
      <w:r w:rsidR="00B409D2" w:rsidRPr="008E5C0D">
        <w:rPr>
          <w:rFonts w:ascii="Arial" w:hAnsi="Arial" w:cs="Arial"/>
          <w:sz w:val="24"/>
          <w:szCs w:val="24"/>
        </w:rPr>
        <w:t>Sweets</w:t>
      </w:r>
      <w:proofErr w:type="gramEnd"/>
      <w:r w:rsidR="00B409D2" w:rsidRPr="008E5C0D">
        <w:rPr>
          <w:rFonts w:ascii="Arial" w:hAnsi="Arial" w:cs="Arial"/>
          <w:sz w:val="24"/>
          <w:szCs w:val="24"/>
        </w:rPr>
        <w:t xml:space="preserve"> plc, it is necessary to look into the many parts of their financial statements and ratios for the years 2021 and 2022.</w:t>
      </w:r>
      <w:r w:rsidR="00F801BC" w:rsidRPr="008E5C0D">
        <w:rPr>
          <w:rFonts w:ascii="Arial" w:hAnsi="Arial" w:cs="Arial"/>
          <w:sz w:val="24"/>
          <w:szCs w:val="24"/>
        </w:rPr>
        <w:t xml:space="preserve"> Sweets plc recorded sales of £6,441m in 2021, which climbed to £6,738m in 2022. This expansion, which represents an increasing market presence, may show effective marketing and sales methods. In the competitive confectionery sector, a rising trend in revenue indicates effective market penetration and probable customer preference for the company's products</w:t>
      </w:r>
      <w:r w:rsidR="000D6CF7" w:rsidRPr="008E5C0D">
        <w:rPr>
          <w:rFonts w:ascii="Arial" w:hAnsi="Arial" w:cs="Arial"/>
          <w:sz w:val="24"/>
          <w:szCs w:val="24"/>
        </w:rPr>
        <w:t xml:space="preserve"> </w:t>
      </w:r>
      <w:r w:rsidR="000D6CF7" w:rsidRPr="008E5C0D">
        <w:rPr>
          <w:rFonts w:ascii="Arial" w:hAnsi="Arial" w:cs="Arial"/>
          <w:sz w:val="24"/>
          <w:szCs w:val="24"/>
          <w:shd w:val="clear" w:color="auto" w:fill="FFFFFF"/>
        </w:rPr>
        <w:t>(</w:t>
      </w:r>
      <w:proofErr w:type="spellStart"/>
      <w:r w:rsidR="000D6CF7" w:rsidRPr="008E5C0D">
        <w:rPr>
          <w:rFonts w:ascii="Arial" w:hAnsi="Arial" w:cs="Arial"/>
          <w:sz w:val="24"/>
          <w:szCs w:val="24"/>
          <w:shd w:val="clear" w:color="auto" w:fill="FFFFFF"/>
        </w:rPr>
        <w:t>Fridson</w:t>
      </w:r>
      <w:proofErr w:type="spellEnd"/>
      <w:r w:rsidR="000D6CF7" w:rsidRPr="008E5C0D">
        <w:rPr>
          <w:rFonts w:ascii="Arial" w:hAnsi="Arial" w:cs="Arial"/>
          <w:sz w:val="24"/>
          <w:szCs w:val="24"/>
          <w:shd w:val="clear" w:color="auto" w:fill="FFFFFF"/>
        </w:rPr>
        <w:t xml:space="preserve"> and Alvarez, 2022).</w:t>
      </w:r>
    </w:p>
    <w:p w14:paraId="6594846E" w14:textId="2DCA9301" w:rsidR="002F536B" w:rsidRPr="008E5C0D" w:rsidRDefault="00CB4899" w:rsidP="00CB19D0">
      <w:pPr>
        <w:spacing w:line="360" w:lineRule="auto"/>
        <w:jc w:val="both"/>
        <w:rPr>
          <w:rFonts w:ascii="Arial" w:hAnsi="Arial" w:cs="Arial"/>
          <w:sz w:val="24"/>
          <w:szCs w:val="24"/>
        </w:rPr>
      </w:pPr>
      <w:r>
        <w:rPr>
          <w:rFonts w:ascii="Arial" w:hAnsi="Arial" w:cs="Arial"/>
          <w:sz w:val="24"/>
          <w:szCs w:val="24"/>
        </w:rPr>
        <w:t xml:space="preserve">    </w:t>
      </w:r>
      <w:r w:rsidR="002F536B" w:rsidRPr="008E5C0D">
        <w:rPr>
          <w:rFonts w:ascii="Arial" w:hAnsi="Arial" w:cs="Arial"/>
          <w:sz w:val="24"/>
          <w:szCs w:val="24"/>
        </w:rPr>
        <w:t xml:space="preserve">The Net Profit Margin, a crucial profitability measure, increased from 5.68% in 2021 to 6.40% in 2022. This rise indicates improved cost management or an efficient pricing strategy, which is critical in a market where product differentiation is frequently restricted. The </w:t>
      </w:r>
      <w:proofErr w:type="gramStart"/>
      <w:r w:rsidR="002F536B" w:rsidRPr="008E5C0D">
        <w:rPr>
          <w:rFonts w:ascii="Arial" w:hAnsi="Arial" w:cs="Arial"/>
          <w:sz w:val="24"/>
          <w:szCs w:val="24"/>
        </w:rPr>
        <w:t>very small</w:t>
      </w:r>
      <w:proofErr w:type="gramEnd"/>
      <w:r w:rsidR="002F536B" w:rsidRPr="008E5C0D">
        <w:rPr>
          <w:rFonts w:ascii="Arial" w:hAnsi="Arial" w:cs="Arial"/>
          <w:sz w:val="24"/>
          <w:szCs w:val="24"/>
        </w:rPr>
        <w:t xml:space="preserve"> margins, on the other hand, show the industry's fierce rivalry, probably due to price sensitivity among customers and high operational expenses</w:t>
      </w:r>
      <w:r w:rsidR="00511334" w:rsidRPr="008E5C0D">
        <w:rPr>
          <w:rFonts w:ascii="Arial" w:hAnsi="Arial" w:cs="Arial"/>
          <w:sz w:val="24"/>
          <w:szCs w:val="24"/>
        </w:rPr>
        <w:t xml:space="preserve"> (Higgins, 2016).</w:t>
      </w:r>
    </w:p>
    <w:p w14:paraId="05586742" w14:textId="05C07238" w:rsidR="00804F51" w:rsidRPr="008E5C0D" w:rsidRDefault="00CB4899" w:rsidP="00CB19D0">
      <w:pPr>
        <w:spacing w:line="360" w:lineRule="auto"/>
        <w:jc w:val="both"/>
        <w:rPr>
          <w:rFonts w:ascii="Arial" w:hAnsi="Arial" w:cs="Arial"/>
          <w:sz w:val="24"/>
          <w:szCs w:val="24"/>
        </w:rPr>
      </w:pPr>
      <w:r>
        <w:rPr>
          <w:rFonts w:ascii="Arial" w:hAnsi="Arial" w:cs="Arial"/>
          <w:sz w:val="24"/>
          <w:szCs w:val="24"/>
        </w:rPr>
        <w:t xml:space="preserve">    </w:t>
      </w:r>
      <w:r w:rsidR="00804F51" w:rsidRPr="008E5C0D">
        <w:rPr>
          <w:rFonts w:ascii="Arial" w:hAnsi="Arial" w:cs="Arial"/>
          <w:sz w:val="24"/>
          <w:szCs w:val="24"/>
        </w:rPr>
        <w:t xml:space="preserve">The Asset Turnover ratio, a measure of efficiency, increased from 0.6384 in 2021 to 0.6796 in 2022, showing greater asset utilisation in producing income. This minor improvement implies that the firm has made gains in more efficiently </w:t>
      </w:r>
      <w:proofErr w:type="gramStart"/>
      <w:r w:rsidR="00804F51" w:rsidRPr="008E5C0D">
        <w:rPr>
          <w:rFonts w:ascii="Arial" w:hAnsi="Arial" w:cs="Arial"/>
          <w:sz w:val="24"/>
          <w:szCs w:val="24"/>
        </w:rPr>
        <w:t>utilising</w:t>
      </w:r>
      <w:proofErr w:type="gramEnd"/>
      <w:r w:rsidR="00804F51" w:rsidRPr="008E5C0D">
        <w:rPr>
          <w:rFonts w:ascii="Arial" w:hAnsi="Arial" w:cs="Arial"/>
          <w:sz w:val="24"/>
          <w:szCs w:val="24"/>
        </w:rPr>
        <w:t xml:space="preserve"> its assets, which is crucial in an industry where substantial capital investments are prevalent</w:t>
      </w:r>
      <w:r w:rsidR="001F4FDC" w:rsidRPr="008E5C0D">
        <w:rPr>
          <w:rFonts w:ascii="Arial" w:hAnsi="Arial" w:cs="Arial"/>
          <w:sz w:val="24"/>
          <w:szCs w:val="24"/>
        </w:rPr>
        <w:t xml:space="preserve"> </w:t>
      </w:r>
      <w:r w:rsidR="001F4FDC" w:rsidRPr="008E5C0D">
        <w:rPr>
          <w:rFonts w:ascii="Arial" w:hAnsi="Arial" w:cs="Arial"/>
          <w:sz w:val="24"/>
          <w:szCs w:val="24"/>
          <w:shd w:val="clear" w:color="auto" w:fill="FFFFFF"/>
        </w:rPr>
        <w:t>(Palepu et al., 2020).</w:t>
      </w:r>
    </w:p>
    <w:p w14:paraId="20CB80A2" w14:textId="529EBED2" w:rsidR="00804F51" w:rsidRPr="008E5C0D" w:rsidRDefault="00CB4899" w:rsidP="00CB19D0">
      <w:pPr>
        <w:spacing w:line="360" w:lineRule="auto"/>
        <w:jc w:val="both"/>
        <w:rPr>
          <w:rFonts w:ascii="Arial" w:hAnsi="Arial" w:cs="Arial"/>
          <w:sz w:val="24"/>
          <w:szCs w:val="24"/>
        </w:rPr>
      </w:pPr>
      <w:r>
        <w:rPr>
          <w:rFonts w:ascii="Arial" w:hAnsi="Arial" w:cs="Arial"/>
          <w:sz w:val="24"/>
          <w:szCs w:val="24"/>
        </w:rPr>
        <w:t xml:space="preserve">    </w:t>
      </w:r>
      <w:r w:rsidR="00804F51" w:rsidRPr="008E5C0D">
        <w:rPr>
          <w:rFonts w:ascii="Arial" w:hAnsi="Arial" w:cs="Arial"/>
          <w:sz w:val="24"/>
          <w:szCs w:val="24"/>
        </w:rPr>
        <w:t xml:space="preserve">A little rise in Stock Holding Days from 76.65 days in 2021 to 80.3 days in 2022, on the other hand, suggests a slower inventory turnover. In the fast-paced consumer products industry, such a tendency might result in tying up cash and probable stock </w:t>
      </w:r>
      <w:r w:rsidR="00804F51" w:rsidRPr="008E5C0D">
        <w:rPr>
          <w:rFonts w:ascii="Arial" w:hAnsi="Arial" w:cs="Arial"/>
          <w:sz w:val="24"/>
          <w:szCs w:val="24"/>
        </w:rPr>
        <w:lastRenderedPageBreak/>
        <w:t>obsolescence, demanding efficient inventory management to ensure liquidity and operational efficiency</w:t>
      </w:r>
      <w:r w:rsidR="000D6CF7" w:rsidRPr="008E5C0D">
        <w:rPr>
          <w:rFonts w:ascii="Arial" w:hAnsi="Arial" w:cs="Arial"/>
          <w:sz w:val="24"/>
          <w:szCs w:val="24"/>
        </w:rPr>
        <w:t xml:space="preserve"> </w:t>
      </w:r>
      <w:r w:rsidR="000D6CF7" w:rsidRPr="008E5C0D">
        <w:rPr>
          <w:rFonts w:ascii="Arial" w:hAnsi="Arial" w:cs="Arial"/>
          <w:sz w:val="24"/>
          <w:szCs w:val="24"/>
          <w:shd w:val="clear" w:color="auto" w:fill="FFFFFF"/>
        </w:rPr>
        <w:t>(</w:t>
      </w:r>
      <w:proofErr w:type="spellStart"/>
      <w:r w:rsidR="000D6CF7" w:rsidRPr="008E5C0D">
        <w:rPr>
          <w:rFonts w:ascii="Arial" w:hAnsi="Arial" w:cs="Arial"/>
          <w:sz w:val="24"/>
          <w:szCs w:val="24"/>
          <w:shd w:val="clear" w:color="auto" w:fill="FFFFFF"/>
        </w:rPr>
        <w:t>Fridson</w:t>
      </w:r>
      <w:proofErr w:type="spellEnd"/>
      <w:r w:rsidR="000D6CF7" w:rsidRPr="008E5C0D">
        <w:rPr>
          <w:rFonts w:ascii="Arial" w:hAnsi="Arial" w:cs="Arial"/>
          <w:sz w:val="24"/>
          <w:szCs w:val="24"/>
          <w:shd w:val="clear" w:color="auto" w:fill="FFFFFF"/>
        </w:rPr>
        <w:t xml:space="preserve"> and Alvarez, 2022)</w:t>
      </w:r>
    </w:p>
    <w:p w14:paraId="1E11D4DF" w14:textId="77777777" w:rsidR="00CB4899" w:rsidRDefault="00CB4899" w:rsidP="00CB19D0">
      <w:pPr>
        <w:spacing w:line="360" w:lineRule="auto"/>
        <w:jc w:val="both"/>
        <w:rPr>
          <w:rFonts w:ascii="Arial" w:hAnsi="Arial" w:cs="Arial"/>
          <w:sz w:val="24"/>
          <w:szCs w:val="24"/>
        </w:rPr>
      </w:pPr>
      <w:r>
        <w:rPr>
          <w:rFonts w:ascii="Arial" w:hAnsi="Arial" w:cs="Arial"/>
          <w:sz w:val="24"/>
          <w:szCs w:val="24"/>
        </w:rPr>
        <w:t xml:space="preserve">    </w:t>
      </w:r>
      <w:r w:rsidR="00804F51" w:rsidRPr="008E5C0D">
        <w:rPr>
          <w:rFonts w:ascii="Arial" w:hAnsi="Arial" w:cs="Arial"/>
          <w:sz w:val="24"/>
          <w:szCs w:val="24"/>
        </w:rPr>
        <w:t xml:space="preserve">Furthermore, the Debtors Collection Period </w:t>
      </w:r>
      <w:proofErr w:type="gramStart"/>
      <w:r w:rsidR="00804F51" w:rsidRPr="008E5C0D">
        <w:rPr>
          <w:rFonts w:ascii="Arial" w:hAnsi="Arial" w:cs="Arial"/>
          <w:sz w:val="24"/>
          <w:szCs w:val="24"/>
        </w:rPr>
        <w:t>was reduced</w:t>
      </w:r>
      <w:proofErr w:type="gramEnd"/>
      <w:r w:rsidR="00804F51" w:rsidRPr="008E5C0D">
        <w:rPr>
          <w:rFonts w:ascii="Arial" w:hAnsi="Arial" w:cs="Arial"/>
          <w:sz w:val="24"/>
          <w:szCs w:val="24"/>
        </w:rPr>
        <w:t xml:space="preserve"> from 73 days in 2021 to 69.35 days in 2022. This modest increase in receivables collection is encouraging, but it underscores the need for more effective credit management to boost cash flow, particularly in an industry where cash conversion cycles might be essential</w:t>
      </w:r>
      <w:r w:rsidR="001F4FDC" w:rsidRPr="008E5C0D">
        <w:rPr>
          <w:rFonts w:ascii="Arial" w:hAnsi="Arial" w:cs="Arial"/>
          <w:sz w:val="24"/>
          <w:szCs w:val="24"/>
        </w:rPr>
        <w:t xml:space="preserve"> (Higgins, 2016).</w:t>
      </w:r>
    </w:p>
    <w:p w14:paraId="346E0D80" w14:textId="6C567FD0" w:rsidR="00E37B6E" w:rsidRPr="008E5C0D" w:rsidRDefault="00FB0D9B" w:rsidP="00CB19D0">
      <w:pPr>
        <w:spacing w:line="360" w:lineRule="auto"/>
        <w:jc w:val="both"/>
        <w:rPr>
          <w:rFonts w:ascii="Arial" w:hAnsi="Arial" w:cs="Arial"/>
          <w:sz w:val="24"/>
          <w:szCs w:val="24"/>
        </w:rPr>
      </w:pPr>
      <w:r>
        <w:rPr>
          <w:rFonts w:ascii="Arial" w:hAnsi="Arial" w:cs="Arial"/>
          <w:sz w:val="24"/>
          <w:szCs w:val="24"/>
        </w:rPr>
        <w:t xml:space="preserve">    Sweets</w:t>
      </w:r>
      <w:r w:rsidR="00E37B6E" w:rsidRPr="008E5C0D">
        <w:rPr>
          <w:rFonts w:ascii="Arial" w:hAnsi="Arial" w:cs="Arial"/>
          <w:sz w:val="24"/>
          <w:szCs w:val="24"/>
        </w:rPr>
        <w:t xml:space="preserve"> plc's Gearing Ratio, which measures financial leverage, fell slightly from 58.64% in 2021 to 57.25% in 2022. While this represents a less leveraged capital structure, the comparatively </w:t>
      </w:r>
      <w:proofErr w:type="gramStart"/>
      <w:r w:rsidR="00E37B6E" w:rsidRPr="008E5C0D">
        <w:rPr>
          <w:rFonts w:ascii="Arial" w:hAnsi="Arial" w:cs="Arial"/>
          <w:sz w:val="24"/>
          <w:szCs w:val="24"/>
        </w:rPr>
        <w:t>large percentage</w:t>
      </w:r>
      <w:proofErr w:type="gramEnd"/>
      <w:r w:rsidR="00E37B6E" w:rsidRPr="008E5C0D">
        <w:rPr>
          <w:rFonts w:ascii="Arial" w:hAnsi="Arial" w:cs="Arial"/>
          <w:sz w:val="24"/>
          <w:szCs w:val="24"/>
        </w:rPr>
        <w:t xml:space="preserve"> shows a significant dependence on debt</w:t>
      </w:r>
      <w:r w:rsidR="001F4FDC" w:rsidRPr="008E5C0D">
        <w:rPr>
          <w:rFonts w:ascii="Arial" w:hAnsi="Arial" w:cs="Arial"/>
          <w:sz w:val="24"/>
          <w:szCs w:val="24"/>
        </w:rPr>
        <w:t xml:space="preserve"> </w:t>
      </w:r>
      <w:r w:rsidR="001F4FDC" w:rsidRPr="008E5C0D">
        <w:rPr>
          <w:rFonts w:ascii="Arial" w:hAnsi="Arial" w:cs="Arial"/>
          <w:sz w:val="24"/>
          <w:szCs w:val="24"/>
          <w:shd w:val="clear" w:color="auto" w:fill="FFFFFF"/>
        </w:rPr>
        <w:t>(Palepu et al., 2020).</w:t>
      </w:r>
      <w:r w:rsidR="00E37B6E" w:rsidRPr="008E5C0D">
        <w:rPr>
          <w:rFonts w:ascii="Arial" w:hAnsi="Arial" w:cs="Arial"/>
          <w:sz w:val="24"/>
          <w:szCs w:val="24"/>
        </w:rPr>
        <w:t xml:space="preserve"> This dependency may have dual effects, providing potential for expansion but also raising financial risk owing to fixed interest commitments.</w:t>
      </w:r>
    </w:p>
    <w:p w14:paraId="42F2B79F" w14:textId="3CB52051" w:rsidR="00A92EF3" w:rsidRPr="008E5C0D" w:rsidRDefault="00FB0D9B" w:rsidP="00CB19D0">
      <w:pPr>
        <w:spacing w:line="360" w:lineRule="auto"/>
        <w:jc w:val="both"/>
        <w:rPr>
          <w:rFonts w:ascii="Arial" w:hAnsi="Arial" w:cs="Arial"/>
          <w:sz w:val="24"/>
          <w:szCs w:val="24"/>
        </w:rPr>
      </w:pPr>
      <w:r>
        <w:rPr>
          <w:rFonts w:ascii="Arial" w:hAnsi="Arial" w:cs="Arial"/>
          <w:sz w:val="24"/>
          <w:szCs w:val="24"/>
        </w:rPr>
        <w:t xml:space="preserve">    </w:t>
      </w:r>
      <w:r w:rsidR="00286F4D" w:rsidRPr="008E5C0D">
        <w:rPr>
          <w:rFonts w:ascii="Arial" w:hAnsi="Arial" w:cs="Arial"/>
          <w:sz w:val="24"/>
          <w:szCs w:val="24"/>
        </w:rPr>
        <w:t xml:space="preserve">The drop in the Interest Cover ratio from 3.86 in 2021 to 3.56 in 2022 raises worries regarding </w:t>
      </w:r>
      <w:proofErr w:type="gramStart"/>
      <w:r w:rsidR="00286F4D" w:rsidRPr="008E5C0D">
        <w:rPr>
          <w:rFonts w:ascii="Arial" w:hAnsi="Arial" w:cs="Arial"/>
          <w:sz w:val="24"/>
          <w:szCs w:val="24"/>
        </w:rPr>
        <w:t>Sweets</w:t>
      </w:r>
      <w:proofErr w:type="gramEnd"/>
      <w:r w:rsidR="00286F4D" w:rsidRPr="008E5C0D">
        <w:rPr>
          <w:rFonts w:ascii="Arial" w:hAnsi="Arial" w:cs="Arial"/>
          <w:sz w:val="24"/>
          <w:szCs w:val="24"/>
        </w:rPr>
        <w:t xml:space="preserve"> plc's ability to properly manage its interest commitments. This decrease in the interest coverage buffer might indicate increased financial fragility, especially if earnings are volatile. Such a tendency needs an organised approach to </w:t>
      </w:r>
      <w:proofErr w:type="gramStart"/>
      <w:r w:rsidR="00286F4D" w:rsidRPr="008E5C0D">
        <w:rPr>
          <w:rFonts w:ascii="Arial" w:hAnsi="Arial" w:cs="Arial"/>
          <w:sz w:val="24"/>
          <w:szCs w:val="24"/>
        </w:rPr>
        <w:t>financial management</w:t>
      </w:r>
      <w:proofErr w:type="gramEnd"/>
      <w:r w:rsidR="00286F4D" w:rsidRPr="008E5C0D">
        <w:rPr>
          <w:rFonts w:ascii="Arial" w:hAnsi="Arial" w:cs="Arial"/>
          <w:sz w:val="24"/>
          <w:szCs w:val="24"/>
        </w:rPr>
        <w:t>, highlighting the importance of diligent debt monitoring and cost control</w:t>
      </w:r>
      <w:r w:rsidR="005426F7" w:rsidRPr="008E5C0D">
        <w:rPr>
          <w:rFonts w:ascii="Arial" w:hAnsi="Arial" w:cs="Arial"/>
          <w:sz w:val="24"/>
          <w:szCs w:val="24"/>
        </w:rPr>
        <w:t xml:space="preserve"> (Fabozzi and Peterson Drake, 20</w:t>
      </w:r>
      <w:r w:rsidR="008E5C0D" w:rsidRPr="008E5C0D">
        <w:rPr>
          <w:rFonts w:ascii="Arial" w:hAnsi="Arial" w:cs="Arial"/>
          <w:sz w:val="24"/>
          <w:szCs w:val="24"/>
        </w:rPr>
        <w:t>10</w:t>
      </w:r>
      <w:r w:rsidR="005426F7" w:rsidRPr="008E5C0D">
        <w:rPr>
          <w:rFonts w:ascii="Arial" w:hAnsi="Arial" w:cs="Arial"/>
          <w:sz w:val="24"/>
          <w:szCs w:val="24"/>
        </w:rPr>
        <w:t>).</w:t>
      </w:r>
      <w:r w:rsidR="00286F4D" w:rsidRPr="008E5C0D">
        <w:rPr>
          <w:rFonts w:ascii="Arial" w:hAnsi="Arial" w:cs="Arial"/>
          <w:sz w:val="24"/>
          <w:szCs w:val="24"/>
        </w:rPr>
        <w:t xml:space="preserve"> Maintaining financial health and investor trust will require ensuring a consistent profits stream while managing debt commitments.</w:t>
      </w:r>
    </w:p>
    <w:p w14:paraId="26E7EB4B" w14:textId="092BE355" w:rsidR="002B5602" w:rsidRPr="008E5C0D" w:rsidRDefault="00FB0D9B" w:rsidP="00CB19D0">
      <w:pPr>
        <w:spacing w:line="360" w:lineRule="auto"/>
        <w:jc w:val="both"/>
        <w:rPr>
          <w:rFonts w:ascii="Arial" w:hAnsi="Arial" w:cs="Arial"/>
          <w:sz w:val="24"/>
          <w:szCs w:val="24"/>
        </w:rPr>
      </w:pPr>
      <w:r>
        <w:rPr>
          <w:rFonts w:ascii="Arial" w:hAnsi="Arial" w:cs="Arial"/>
          <w:sz w:val="24"/>
          <w:szCs w:val="24"/>
        </w:rPr>
        <w:t xml:space="preserve">    </w:t>
      </w:r>
      <w:r w:rsidR="002B5602" w:rsidRPr="008E5C0D">
        <w:rPr>
          <w:rFonts w:ascii="Arial" w:hAnsi="Arial" w:cs="Arial"/>
          <w:sz w:val="24"/>
          <w:szCs w:val="24"/>
        </w:rPr>
        <w:t xml:space="preserve">Earnings Per Share increased from £0.6100 in 2021 to £0.7183 in 2022, which is an important indicator for shareholders since it reflects improved profitability and operational efficiency for </w:t>
      </w:r>
      <w:proofErr w:type="gramStart"/>
      <w:r w:rsidR="002B5602" w:rsidRPr="008E5C0D">
        <w:rPr>
          <w:rFonts w:ascii="Arial" w:hAnsi="Arial" w:cs="Arial"/>
          <w:sz w:val="24"/>
          <w:szCs w:val="24"/>
        </w:rPr>
        <w:t>Sweets</w:t>
      </w:r>
      <w:proofErr w:type="gramEnd"/>
      <w:r w:rsidR="002B5602" w:rsidRPr="008E5C0D">
        <w:rPr>
          <w:rFonts w:ascii="Arial" w:hAnsi="Arial" w:cs="Arial"/>
          <w:sz w:val="24"/>
          <w:szCs w:val="24"/>
        </w:rPr>
        <w:t xml:space="preserve"> plc. This increase in earnings per share demonstrates the company's achievement in creating larger profits from each share, making it a more appealing investment. For investors, EPS growth not only indicates financial health, but it may also signal bigger dividend payouts and a better market valuation of the firm, boosting shareholder returns and confidence in the company's development trajectory</w:t>
      </w:r>
      <w:r w:rsidR="00C64D90" w:rsidRPr="008E5C0D">
        <w:rPr>
          <w:rFonts w:ascii="Arial" w:hAnsi="Arial" w:cs="Arial"/>
          <w:sz w:val="24"/>
          <w:szCs w:val="24"/>
        </w:rPr>
        <w:t xml:space="preserve"> </w:t>
      </w:r>
      <w:r w:rsidR="00C64D90" w:rsidRPr="008E5C0D">
        <w:rPr>
          <w:rFonts w:ascii="Arial" w:hAnsi="Arial" w:cs="Arial"/>
          <w:sz w:val="24"/>
          <w:szCs w:val="24"/>
          <w:shd w:val="clear" w:color="auto" w:fill="FFFFFF"/>
        </w:rPr>
        <w:t>(</w:t>
      </w:r>
      <w:proofErr w:type="spellStart"/>
      <w:r w:rsidR="00C64D90" w:rsidRPr="008E5C0D">
        <w:rPr>
          <w:rFonts w:ascii="Arial" w:hAnsi="Arial" w:cs="Arial"/>
          <w:sz w:val="24"/>
          <w:szCs w:val="24"/>
          <w:shd w:val="clear" w:color="auto" w:fill="FFFFFF"/>
        </w:rPr>
        <w:t>Vernimmen</w:t>
      </w:r>
      <w:proofErr w:type="spellEnd"/>
      <w:r w:rsidR="00C64D90" w:rsidRPr="008E5C0D">
        <w:rPr>
          <w:rFonts w:ascii="Arial" w:hAnsi="Arial" w:cs="Arial"/>
          <w:sz w:val="24"/>
          <w:szCs w:val="24"/>
          <w:shd w:val="clear" w:color="auto" w:fill="FFFFFF"/>
        </w:rPr>
        <w:t xml:space="preserve">, </w:t>
      </w:r>
      <w:proofErr w:type="spellStart"/>
      <w:r w:rsidR="00C64D90" w:rsidRPr="008E5C0D">
        <w:rPr>
          <w:rFonts w:ascii="Arial" w:hAnsi="Arial" w:cs="Arial"/>
          <w:sz w:val="24"/>
          <w:szCs w:val="24"/>
          <w:shd w:val="clear" w:color="auto" w:fill="FFFFFF"/>
        </w:rPr>
        <w:t>Quiry</w:t>
      </w:r>
      <w:proofErr w:type="spellEnd"/>
      <w:r w:rsidR="00C64D90" w:rsidRPr="008E5C0D">
        <w:rPr>
          <w:rFonts w:ascii="Arial" w:hAnsi="Arial" w:cs="Arial"/>
          <w:sz w:val="24"/>
          <w:szCs w:val="24"/>
          <w:shd w:val="clear" w:color="auto" w:fill="FFFFFF"/>
        </w:rPr>
        <w:t xml:space="preserve"> and Fur, 2022).</w:t>
      </w:r>
    </w:p>
    <w:p w14:paraId="0069A47B" w14:textId="1FF021AF" w:rsidR="0013232D" w:rsidRPr="008E5C0D" w:rsidRDefault="00FB0D9B" w:rsidP="00CB19D0">
      <w:pPr>
        <w:spacing w:line="360" w:lineRule="auto"/>
        <w:jc w:val="both"/>
        <w:rPr>
          <w:rFonts w:ascii="Arial" w:hAnsi="Arial" w:cs="Arial"/>
          <w:sz w:val="24"/>
          <w:szCs w:val="24"/>
        </w:rPr>
      </w:pPr>
      <w:r>
        <w:rPr>
          <w:rFonts w:ascii="Arial" w:hAnsi="Arial" w:cs="Arial"/>
          <w:sz w:val="24"/>
          <w:szCs w:val="24"/>
        </w:rPr>
        <w:t xml:space="preserve">    </w:t>
      </w:r>
      <w:r w:rsidR="00485298" w:rsidRPr="008E5C0D">
        <w:rPr>
          <w:rFonts w:ascii="Arial" w:hAnsi="Arial" w:cs="Arial"/>
          <w:sz w:val="24"/>
          <w:szCs w:val="24"/>
        </w:rPr>
        <w:t xml:space="preserve">The rise in Return on </w:t>
      </w:r>
      <w:r w:rsidR="00BB65BE" w:rsidRPr="008E5C0D">
        <w:rPr>
          <w:rFonts w:ascii="Arial" w:hAnsi="Arial" w:cs="Arial"/>
          <w:sz w:val="24"/>
          <w:szCs w:val="24"/>
        </w:rPr>
        <w:t>Equity from</w:t>
      </w:r>
      <w:r w:rsidR="00485298" w:rsidRPr="008E5C0D">
        <w:rPr>
          <w:rFonts w:ascii="Arial" w:hAnsi="Arial" w:cs="Arial"/>
          <w:sz w:val="24"/>
          <w:szCs w:val="24"/>
        </w:rPr>
        <w:t xml:space="preserve"> 12.57% in 2021 to 13.96% in 2022 demonstrates </w:t>
      </w:r>
      <w:proofErr w:type="gramStart"/>
      <w:r w:rsidR="00485298" w:rsidRPr="008E5C0D">
        <w:rPr>
          <w:rFonts w:ascii="Arial" w:hAnsi="Arial" w:cs="Arial"/>
          <w:sz w:val="24"/>
          <w:szCs w:val="24"/>
        </w:rPr>
        <w:t>Sweets</w:t>
      </w:r>
      <w:proofErr w:type="gramEnd"/>
      <w:r w:rsidR="00485298" w:rsidRPr="008E5C0D">
        <w:rPr>
          <w:rFonts w:ascii="Arial" w:hAnsi="Arial" w:cs="Arial"/>
          <w:sz w:val="24"/>
          <w:szCs w:val="24"/>
        </w:rPr>
        <w:t xml:space="preserve"> plc's improved efficiency in generating profits from shareholders' equity. This </w:t>
      </w:r>
      <w:proofErr w:type="gramStart"/>
      <w:r w:rsidR="00485298" w:rsidRPr="008E5C0D">
        <w:rPr>
          <w:rFonts w:ascii="Arial" w:hAnsi="Arial" w:cs="Arial"/>
          <w:sz w:val="24"/>
          <w:szCs w:val="24"/>
        </w:rPr>
        <w:t>large improvement</w:t>
      </w:r>
      <w:proofErr w:type="gramEnd"/>
      <w:r w:rsidR="00485298" w:rsidRPr="008E5C0D">
        <w:rPr>
          <w:rFonts w:ascii="Arial" w:hAnsi="Arial" w:cs="Arial"/>
          <w:sz w:val="24"/>
          <w:szCs w:val="24"/>
        </w:rPr>
        <w:t xml:space="preserve"> reflects the company's increasing ability in directing investor funds into successful activities</w:t>
      </w:r>
      <w:r w:rsidR="00F92E07" w:rsidRPr="008E5C0D">
        <w:rPr>
          <w:rFonts w:ascii="Arial" w:hAnsi="Arial" w:cs="Arial"/>
          <w:sz w:val="24"/>
          <w:szCs w:val="24"/>
        </w:rPr>
        <w:t xml:space="preserve"> (Higgins, 2016).</w:t>
      </w:r>
      <w:r w:rsidR="00485298" w:rsidRPr="008E5C0D">
        <w:rPr>
          <w:rFonts w:ascii="Arial" w:hAnsi="Arial" w:cs="Arial"/>
          <w:sz w:val="24"/>
          <w:szCs w:val="24"/>
        </w:rPr>
        <w:t xml:space="preserve"> A favourable change like this not only boosts </w:t>
      </w:r>
      <w:r w:rsidR="00485298" w:rsidRPr="008E5C0D">
        <w:rPr>
          <w:rFonts w:ascii="Arial" w:hAnsi="Arial" w:cs="Arial"/>
          <w:sz w:val="24"/>
          <w:szCs w:val="24"/>
        </w:rPr>
        <w:lastRenderedPageBreak/>
        <w:t xml:space="preserve">investor confidence but also plays an important part in increasing the company's market worth. If this trend continues, it may result in increasing investor interest and perhaps higher stock prices, further consolidating </w:t>
      </w:r>
      <w:proofErr w:type="gramStart"/>
      <w:r w:rsidR="00485298" w:rsidRPr="008E5C0D">
        <w:rPr>
          <w:rFonts w:ascii="Arial" w:hAnsi="Arial" w:cs="Arial"/>
          <w:sz w:val="24"/>
          <w:szCs w:val="24"/>
        </w:rPr>
        <w:t>Sweets</w:t>
      </w:r>
      <w:proofErr w:type="gramEnd"/>
      <w:r w:rsidR="00485298" w:rsidRPr="008E5C0D">
        <w:rPr>
          <w:rFonts w:ascii="Arial" w:hAnsi="Arial" w:cs="Arial"/>
          <w:sz w:val="24"/>
          <w:szCs w:val="24"/>
        </w:rPr>
        <w:t xml:space="preserve"> plc's market position and appeal as an investment opportunity.</w:t>
      </w:r>
    </w:p>
    <w:p w14:paraId="2557D010" w14:textId="26597FE0" w:rsidR="006415DA" w:rsidRPr="008E5C0D" w:rsidRDefault="00FB0D9B" w:rsidP="00CB19D0">
      <w:pPr>
        <w:spacing w:line="360" w:lineRule="auto"/>
        <w:jc w:val="both"/>
        <w:rPr>
          <w:rFonts w:ascii="Arial" w:hAnsi="Arial" w:cs="Arial"/>
          <w:sz w:val="24"/>
          <w:szCs w:val="24"/>
        </w:rPr>
      </w:pPr>
      <w:r>
        <w:rPr>
          <w:rFonts w:ascii="Arial" w:hAnsi="Arial" w:cs="Arial"/>
          <w:sz w:val="24"/>
          <w:szCs w:val="24"/>
        </w:rPr>
        <w:t xml:space="preserve">    </w:t>
      </w:r>
      <w:r w:rsidR="006415DA" w:rsidRPr="008E5C0D">
        <w:rPr>
          <w:rFonts w:ascii="Arial" w:hAnsi="Arial" w:cs="Arial"/>
          <w:sz w:val="24"/>
          <w:szCs w:val="24"/>
        </w:rPr>
        <w:t xml:space="preserve">The little increase of </w:t>
      </w:r>
      <w:proofErr w:type="gramStart"/>
      <w:r w:rsidR="006415DA" w:rsidRPr="008E5C0D">
        <w:rPr>
          <w:rFonts w:ascii="Arial" w:hAnsi="Arial" w:cs="Arial"/>
          <w:sz w:val="24"/>
          <w:szCs w:val="24"/>
        </w:rPr>
        <w:t>Sweets</w:t>
      </w:r>
      <w:proofErr w:type="gramEnd"/>
      <w:r w:rsidR="006415DA" w:rsidRPr="008E5C0D">
        <w:rPr>
          <w:rFonts w:ascii="Arial" w:hAnsi="Arial" w:cs="Arial"/>
          <w:sz w:val="24"/>
          <w:szCs w:val="24"/>
        </w:rPr>
        <w:t xml:space="preserve"> plc's Current Ratio from 0.7729 to 0.9172 is a positive step towards improving liquidity, although the result remains below the optimal level of 1.0. It signifies that the corporation may have difficulty fulfilling its short-term commitments on time. This situation emphasises the need of effective working capital management in guaranteeing operational </w:t>
      </w:r>
      <w:r w:rsidR="00BB65BE" w:rsidRPr="008E5C0D">
        <w:rPr>
          <w:rFonts w:ascii="Arial" w:hAnsi="Arial" w:cs="Arial"/>
          <w:sz w:val="24"/>
          <w:szCs w:val="24"/>
        </w:rPr>
        <w:t xml:space="preserve">agility </w:t>
      </w:r>
      <w:r w:rsidR="00BB65BE" w:rsidRPr="008E5C0D">
        <w:rPr>
          <w:rFonts w:ascii="Arial" w:hAnsi="Arial" w:cs="Arial"/>
          <w:sz w:val="24"/>
          <w:szCs w:val="24"/>
          <w:shd w:val="clear" w:color="auto" w:fill="FFFFFF"/>
        </w:rPr>
        <w:t>(</w:t>
      </w:r>
      <w:r w:rsidR="007300AC" w:rsidRPr="008E5C0D">
        <w:rPr>
          <w:rFonts w:ascii="Arial" w:hAnsi="Arial" w:cs="Arial"/>
          <w:sz w:val="24"/>
          <w:szCs w:val="24"/>
          <w:shd w:val="clear" w:color="auto" w:fill="FFFFFF"/>
        </w:rPr>
        <w:t xml:space="preserve">Aruna and </w:t>
      </w:r>
      <w:proofErr w:type="spellStart"/>
      <w:r w:rsidR="007300AC" w:rsidRPr="008E5C0D">
        <w:rPr>
          <w:rFonts w:ascii="Arial" w:hAnsi="Arial" w:cs="Arial"/>
          <w:sz w:val="24"/>
          <w:szCs w:val="24"/>
          <w:shd w:val="clear" w:color="auto" w:fill="FFFFFF"/>
        </w:rPr>
        <w:t>Warokka</w:t>
      </w:r>
      <w:proofErr w:type="spellEnd"/>
      <w:r w:rsidR="007300AC" w:rsidRPr="008E5C0D">
        <w:rPr>
          <w:rFonts w:ascii="Arial" w:hAnsi="Arial" w:cs="Arial"/>
          <w:sz w:val="24"/>
          <w:szCs w:val="24"/>
          <w:shd w:val="clear" w:color="auto" w:fill="FFFFFF"/>
        </w:rPr>
        <w:t>, 2013)</w:t>
      </w:r>
      <w:proofErr w:type="gramStart"/>
      <w:r w:rsidR="007300AC" w:rsidRPr="008E5C0D">
        <w:rPr>
          <w:rFonts w:ascii="Arial" w:hAnsi="Arial" w:cs="Arial"/>
          <w:sz w:val="24"/>
          <w:szCs w:val="24"/>
          <w:shd w:val="clear" w:color="auto" w:fill="FFFFFF"/>
        </w:rPr>
        <w:t xml:space="preserve">. </w:t>
      </w:r>
      <w:r w:rsidR="006415DA" w:rsidRPr="008E5C0D">
        <w:rPr>
          <w:rFonts w:ascii="Arial" w:hAnsi="Arial" w:cs="Arial"/>
          <w:sz w:val="24"/>
          <w:szCs w:val="24"/>
        </w:rPr>
        <w:t xml:space="preserve"> Proactive</w:t>
      </w:r>
      <w:proofErr w:type="gramEnd"/>
      <w:r w:rsidR="006415DA" w:rsidRPr="008E5C0D">
        <w:rPr>
          <w:rFonts w:ascii="Arial" w:hAnsi="Arial" w:cs="Arial"/>
          <w:sz w:val="24"/>
          <w:szCs w:val="24"/>
        </w:rPr>
        <w:t xml:space="preserve"> tactics for optimising inventory levels, accelerating receivables collection, and prudent payables management are critical. These efforts not only increase liquidity, but also protect the firm from financial hardship at times of unforeseen market volatility or operational setbacks, assuring long-term business </w:t>
      </w:r>
      <w:r w:rsidR="00BB65BE" w:rsidRPr="008E5C0D">
        <w:rPr>
          <w:rFonts w:ascii="Arial" w:hAnsi="Arial" w:cs="Arial"/>
          <w:sz w:val="24"/>
          <w:szCs w:val="24"/>
        </w:rPr>
        <w:t xml:space="preserve">operations </w:t>
      </w:r>
      <w:r w:rsidR="00BB65BE" w:rsidRPr="008E5C0D">
        <w:rPr>
          <w:rFonts w:ascii="Arial" w:hAnsi="Arial" w:cs="Arial"/>
          <w:sz w:val="24"/>
          <w:szCs w:val="24"/>
          <w:shd w:val="clear" w:color="auto" w:fill="FFFFFF"/>
        </w:rPr>
        <w:t>(</w:t>
      </w:r>
      <w:r w:rsidR="007300AC" w:rsidRPr="008E5C0D">
        <w:rPr>
          <w:rFonts w:ascii="Arial" w:hAnsi="Arial" w:cs="Arial"/>
          <w:sz w:val="24"/>
          <w:szCs w:val="24"/>
          <w:shd w:val="clear" w:color="auto" w:fill="FFFFFF"/>
        </w:rPr>
        <w:t xml:space="preserve">Aruna and </w:t>
      </w:r>
      <w:proofErr w:type="spellStart"/>
      <w:r w:rsidR="007300AC" w:rsidRPr="008E5C0D">
        <w:rPr>
          <w:rFonts w:ascii="Arial" w:hAnsi="Arial" w:cs="Arial"/>
          <w:sz w:val="24"/>
          <w:szCs w:val="24"/>
          <w:shd w:val="clear" w:color="auto" w:fill="FFFFFF"/>
        </w:rPr>
        <w:t>Warokka</w:t>
      </w:r>
      <w:proofErr w:type="spellEnd"/>
      <w:r w:rsidR="007300AC" w:rsidRPr="008E5C0D">
        <w:rPr>
          <w:rFonts w:ascii="Arial" w:hAnsi="Arial" w:cs="Arial"/>
          <w:sz w:val="24"/>
          <w:szCs w:val="24"/>
          <w:shd w:val="clear" w:color="auto" w:fill="FFFFFF"/>
        </w:rPr>
        <w:t>, 2013).</w:t>
      </w:r>
    </w:p>
    <w:p w14:paraId="2F230506" w14:textId="502FB31B" w:rsidR="006F1EFD" w:rsidRPr="008E5C0D" w:rsidRDefault="00FB0D9B" w:rsidP="00CB19D0">
      <w:pPr>
        <w:spacing w:line="360" w:lineRule="auto"/>
        <w:jc w:val="both"/>
        <w:rPr>
          <w:rFonts w:ascii="Arial" w:hAnsi="Arial" w:cs="Arial"/>
          <w:sz w:val="24"/>
          <w:szCs w:val="24"/>
        </w:rPr>
      </w:pPr>
      <w:r>
        <w:rPr>
          <w:rFonts w:ascii="Arial" w:hAnsi="Arial" w:cs="Arial"/>
          <w:sz w:val="24"/>
          <w:szCs w:val="24"/>
        </w:rPr>
        <w:t xml:space="preserve">    </w:t>
      </w:r>
      <w:r w:rsidR="006F1EFD" w:rsidRPr="008E5C0D">
        <w:rPr>
          <w:rFonts w:ascii="Arial" w:hAnsi="Arial" w:cs="Arial"/>
          <w:sz w:val="24"/>
          <w:szCs w:val="24"/>
        </w:rPr>
        <w:t xml:space="preserve">The significant rise in ROCE from 9.92% to 11.14% represents a great improvement in </w:t>
      </w:r>
      <w:proofErr w:type="gramStart"/>
      <w:r w:rsidR="006F1EFD" w:rsidRPr="008E5C0D">
        <w:rPr>
          <w:rFonts w:ascii="Arial" w:hAnsi="Arial" w:cs="Arial"/>
          <w:sz w:val="24"/>
          <w:szCs w:val="24"/>
        </w:rPr>
        <w:t>Sweets</w:t>
      </w:r>
      <w:proofErr w:type="gramEnd"/>
      <w:r w:rsidR="006F1EFD" w:rsidRPr="008E5C0D">
        <w:rPr>
          <w:rFonts w:ascii="Arial" w:hAnsi="Arial" w:cs="Arial"/>
          <w:sz w:val="24"/>
          <w:szCs w:val="24"/>
        </w:rPr>
        <w:t xml:space="preserve"> plc's ability to use capital efficiently. This statistic, which reflects the company's increased profitability in comparison to capital used, is an excellent sign of financial savvy and smart operational management. It demonstrates the company's ability to properly allocate resources, optimise asset utilisation, and maintain a balance between equity and debt</w:t>
      </w:r>
      <w:r w:rsidR="00C72BFC" w:rsidRPr="008E5C0D">
        <w:rPr>
          <w:rFonts w:ascii="Arial" w:hAnsi="Arial" w:cs="Arial"/>
          <w:sz w:val="24"/>
          <w:szCs w:val="24"/>
        </w:rPr>
        <w:t xml:space="preserve"> (Deegan and </w:t>
      </w:r>
      <w:proofErr w:type="spellStart"/>
      <w:r w:rsidR="00C72BFC" w:rsidRPr="008E5C0D">
        <w:rPr>
          <w:rFonts w:ascii="Arial" w:hAnsi="Arial" w:cs="Arial"/>
          <w:sz w:val="24"/>
          <w:szCs w:val="24"/>
        </w:rPr>
        <w:t>Unerman</w:t>
      </w:r>
      <w:proofErr w:type="spellEnd"/>
      <w:r w:rsidR="00C72BFC" w:rsidRPr="008E5C0D">
        <w:rPr>
          <w:rFonts w:ascii="Arial" w:hAnsi="Arial" w:cs="Arial"/>
          <w:sz w:val="24"/>
          <w:szCs w:val="24"/>
        </w:rPr>
        <w:t xml:space="preserve">, 2011). </w:t>
      </w:r>
      <w:r w:rsidR="006F1EFD" w:rsidRPr="008E5C0D">
        <w:rPr>
          <w:rFonts w:ascii="Arial" w:hAnsi="Arial" w:cs="Arial"/>
          <w:sz w:val="24"/>
          <w:szCs w:val="24"/>
        </w:rPr>
        <w:t xml:space="preserve">This increased efficiency not only contributes to </w:t>
      </w:r>
      <w:proofErr w:type="gramStart"/>
      <w:r w:rsidR="006F1EFD" w:rsidRPr="008E5C0D">
        <w:rPr>
          <w:rFonts w:ascii="Arial" w:hAnsi="Arial" w:cs="Arial"/>
          <w:sz w:val="24"/>
          <w:szCs w:val="24"/>
        </w:rPr>
        <w:t>Sweets</w:t>
      </w:r>
      <w:proofErr w:type="gramEnd"/>
      <w:r w:rsidR="006F1EFD" w:rsidRPr="008E5C0D">
        <w:rPr>
          <w:rFonts w:ascii="Arial" w:hAnsi="Arial" w:cs="Arial"/>
          <w:sz w:val="24"/>
          <w:szCs w:val="24"/>
        </w:rPr>
        <w:t xml:space="preserve"> plc's long-term financial sustainability, but also increases the company's competitive position in the dynamic confectionery industry, setting the groundwork for future development and investor trust</w:t>
      </w:r>
      <w:r w:rsidR="00F8717F" w:rsidRPr="008E5C0D">
        <w:rPr>
          <w:rFonts w:ascii="Arial" w:hAnsi="Arial" w:cs="Arial"/>
          <w:sz w:val="24"/>
          <w:szCs w:val="24"/>
        </w:rPr>
        <w:t xml:space="preserve"> (Burns et al., 2013).</w:t>
      </w:r>
    </w:p>
    <w:p w14:paraId="496BD9D7" w14:textId="5DED8D54" w:rsidR="006F1EFD" w:rsidRPr="008E5C0D" w:rsidRDefault="00FB0D9B" w:rsidP="00CB19D0">
      <w:pPr>
        <w:spacing w:line="360" w:lineRule="auto"/>
        <w:jc w:val="both"/>
        <w:rPr>
          <w:rFonts w:ascii="Arial" w:hAnsi="Arial" w:cs="Arial"/>
          <w:sz w:val="24"/>
          <w:szCs w:val="24"/>
        </w:rPr>
      </w:pPr>
      <w:r>
        <w:rPr>
          <w:rFonts w:ascii="Arial" w:hAnsi="Arial" w:cs="Arial"/>
          <w:sz w:val="24"/>
          <w:szCs w:val="24"/>
        </w:rPr>
        <w:t xml:space="preserve">    </w:t>
      </w:r>
      <w:r w:rsidR="006F1EFD" w:rsidRPr="008E5C0D">
        <w:rPr>
          <w:rFonts w:ascii="Arial" w:hAnsi="Arial" w:cs="Arial"/>
          <w:sz w:val="24"/>
          <w:szCs w:val="24"/>
        </w:rPr>
        <w:t xml:space="preserve">Therefore, </w:t>
      </w:r>
      <w:proofErr w:type="gramStart"/>
      <w:r w:rsidR="00577EFE" w:rsidRPr="008E5C0D">
        <w:rPr>
          <w:rFonts w:ascii="Arial" w:hAnsi="Arial" w:cs="Arial"/>
          <w:sz w:val="24"/>
          <w:szCs w:val="24"/>
        </w:rPr>
        <w:t>Sweets</w:t>
      </w:r>
      <w:proofErr w:type="gramEnd"/>
      <w:r w:rsidR="00577EFE" w:rsidRPr="008E5C0D">
        <w:rPr>
          <w:rFonts w:ascii="Arial" w:hAnsi="Arial" w:cs="Arial"/>
          <w:sz w:val="24"/>
          <w:szCs w:val="24"/>
        </w:rPr>
        <w:t xml:space="preserve"> plc's financial performance has been strong, with increasing profitability, efficiency, and a slightly better cash position. </w:t>
      </w:r>
      <w:r w:rsidR="00F8717F" w:rsidRPr="008E5C0D">
        <w:rPr>
          <w:rFonts w:ascii="Arial" w:hAnsi="Arial" w:cs="Arial"/>
          <w:sz w:val="24"/>
          <w:szCs w:val="24"/>
        </w:rPr>
        <w:t>Even so</w:t>
      </w:r>
      <w:r w:rsidR="00577EFE" w:rsidRPr="008E5C0D">
        <w:rPr>
          <w:rFonts w:ascii="Arial" w:hAnsi="Arial" w:cs="Arial"/>
          <w:sz w:val="24"/>
          <w:szCs w:val="24"/>
        </w:rPr>
        <w:t xml:space="preserve">, the competitive climate poses persistent problems, as shown by thin profit margins and high gearing. Maintaining the company's growth pace while controlling operating costs and the dangers associated with </w:t>
      </w:r>
      <w:proofErr w:type="gramStart"/>
      <w:r w:rsidR="00577EFE" w:rsidRPr="008E5C0D">
        <w:rPr>
          <w:rFonts w:ascii="Arial" w:hAnsi="Arial" w:cs="Arial"/>
          <w:sz w:val="24"/>
          <w:szCs w:val="24"/>
        </w:rPr>
        <w:t>a high level</w:t>
      </w:r>
      <w:proofErr w:type="gramEnd"/>
      <w:r w:rsidR="00577EFE" w:rsidRPr="008E5C0D">
        <w:rPr>
          <w:rFonts w:ascii="Arial" w:hAnsi="Arial" w:cs="Arial"/>
          <w:sz w:val="24"/>
          <w:szCs w:val="24"/>
        </w:rPr>
        <w:t xml:space="preserve"> of debt is critical</w:t>
      </w:r>
      <w:r w:rsidR="008548EE" w:rsidRPr="008E5C0D">
        <w:rPr>
          <w:rFonts w:ascii="Arial" w:hAnsi="Arial" w:cs="Arial"/>
          <w:sz w:val="24"/>
          <w:szCs w:val="24"/>
        </w:rPr>
        <w:t xml:space="preserve"> (Fabozzi and Peterson Drake, 2010). </w:t>
      </w:r>
      <w:r w:rsidR="00577EFE" w:rsidRPr="008E5C0D">
        <w:rPr>
          <w:rFonts w:ascii="Arial" w:hAnsi="Arial" w:cs="Arial"/>
          <w:sz w:val="24"/>
          <w:szCs w:val="24"/>
        </w:rPr>
        <w:t xml:space="preserve"> Strategic marketing and operational efficiency initiatives will be critical in driving future growth and profitability.</w:t>
      </w:r>
      <w:r w:rsidR="00045334" w:rsidRPr="008E5C0D">
        <w:rPr>
          <w:rFonts w:ascii="Arial" w:hAnsi="Arial" w:cs="Arial"/>
          <w:sz w:val="24"/>
          <w:szCs w:val="24"/>
        </w:rPr>
        <w:t xml:space="preserve"> However, </w:t>
      </w:r>
      <w:proofErr w:type="gramStart"/>
      <w:r w:rsidR="00045334" w:rsidRPr="008E5C0D">
        <w:rPr>
          <w:rFonts w:ascii="Arial" w:hAnsi="Arial" w:cs="Arial"/>
          <w:sz w:val="24"/>
          <w:szCs w:val="24"/>
        </w:rPr>
        <w:t>Sweets</w:t>
      </w:r>
      <w:proofErr w:type="gramEnd"/>
      <w:r w:rsidR="00045334" w:rsidRPr="008E5C0D">
        <w:rPr>
          <w:rFonts w:ascii="Arial" w:hAnsi="Arial" w:cs="Arial"/>
          <w:sz w:val="24"/>
          <w:szCs w:val="24"/>
        </w:rPr>
        <w:t xml:space="preserve"> plc has demonstrated endurance and development potential in a highly competitive business. In the future years, its management's strategic decisions will be critical in exploiting the company's </w:t>
      </w:r>
      <w:r w:rsidR="00045334" w:rsidRPr="008E5C0D">
        <w:rPr>
          <w:rFonts w:ascii="Arial" w:hAnsi="Arial" w:cs="Arial"/>
          <w:sz w:val="24"/>
          <w:szCs w:val="24"/>
        </w:rPr>
        <w:lastRenderedPageBreak/>
        <w:t xml:space="preserve">strengths and reducing problems. The focus should be on increasing shareholder value and preserving financial stability </w:t>
      </w:r>
      <w:proofErr w:type="gramStart"/>
      <w:r w:rsidR="00045334" w:rsidRPr="008E5C0D">
        <w:rPr>
          <w:rFonts w:ascii="Arial" w:hAnsi="Arial" w:cs="Arial"/>
          <w:sz w:val="24"/>
          <w:szCs w:val="24"/>
        </w:rPr>
        <w:t>in order to</w:t>
      </w:r>
      <w:proofErr w:type="gramEnd"/>
      <w:r w:rsidR="00045334" w:rsidRPr="008E5C0D">
        <w:rPr>
          <w:rFonts w:ascii="Arial" w:hAnsi="Arial" w:cs="Arial"/>
          <w:sz w:val="24"/>
          <w:szCs w:val="24"/>
        </w:rPr>
        <w:t xml:space="preserve"> ensure the company's future success</w:t>
      </w:r>
      <w:r w:rsidR="007E2BAD" w:rsidRPr="008E5C0D">
        <w:rPr>
          <w:rFonts w:ascii="Arial" w:hAnsi="Arial" w:cs="Arial"/>
          <w:sz w:val="24"/>
          <w:szCs w:val="24"/>
        </w:rPr>
        <w:t>.</w:t>
      </w:r>
    </w:p>
    <w:p w14:paraId="4727BEDF" w14:textId="77777777" w:rsidR="007E2BAD" w:rsidRPr="008E5C0D" w:rsidRDefault="007E2BAD" w:rsidP="00CB19D0">
      <w:pPr>
        <w:spacing w:line="360" w:lineRule="auto"/>
        <w:jc w:val="both"/>
        <w:rPr>
          <w:rFonts w:ascii="Arial" w:hAnsi="Arial" w:cs="Arial"/>
          <w:sz w:val="24"/>
          <w:szCs w:val="24"/>
        </w:rPr>
      </w:pPr>
    </w:p>
    <w:p w14:paraId="747F798B" w14:textId="31599660" w:rsidR="008E5C0D" w:rsidRPr="004A709D" w:rsidRDefault="00FB0D9B" w:rsidP="004A709D">
      <w:pPr>
        <w:spacing w:line="360" w:lineRule="auto"/>
        <w:jc w:val="both"/>
        <w:rPr>
          <w:rFonts w:ascii="Arial" w:hAnsi="Arial" w:cs="Arial"/>
          <w:sz w:val="24"/>
          <w:szCs w:val="24"/>
        </w:rPr>
      </w:pPr>
      <w:r>
        <w:rPr>
          <w:rFonts w:ascii="Arial" w:hAnsi="Arial" w:cs="Arial"/>
          <w:sz w:val="24"/>
          <w:szCs w:val="24"/>
        </w:rPr>
        <w:t xml:space="preserve">    </w:t>
      </w:r>
      <w:r w:rsidR="00552018" w:rsidRPr="008E5C0D">
        <w:rPr>
          <w:rFonts w:ascii="Arial" w:hAnsi="Arial" w:cs="Arial"/>
          <w:sz w:val="24"/>
          <w:szCs w:val="24"/>
        </w:rPr>
        <w:t xml:space="preserve">In conclusion, using </w:t>
      </w:r>
      <w:proofErr w:type="gramStart"/>
      <w:r w:rsidR="00552018" w:rsidRPr="008E5C0D">
        <w:rPr>
          <w:rFonts w:ascii="Arial" w:hAnsi="Arial" w:cs="Arial"/>
          <w:sz w:val="24"/>
          <w:szCs w:val="24"/>
        </w:rPr>
        <w:t>Sweets</w:t>
      </w:r>
      <w:proofErr w:type="gramEnd"/>
      <w:r w:rsidR="00552018" w:rsidRPr="008E5C0D">
        <w:rPr>
          <w:rFonts w:ascii="Arial" w:hAnsi="Arial" w:cs="Arial"/>
          <w:sz w:val="24"/>
          <w:szCs w:val="24"/>
        </w:rPr>
        <w:t xml:space="preserve"> plc as a practical example to explain crucial principles, this paper has effectively shown the critical function of accounting in business management. It began by clarifying typical financial statement myths, emphasising the unique goals of the Statement of Financial Position and the Statement of Cash Flows. The investigation then focused on the characteristics of non-current assets, clarifying their function in long-term financial planning. This </w:t>
      </w:r>
      <w:proofErr w:type="gramStart"/>
      <w:r w:rsidR="00552018" w:rsidRPr="008E5C0D">
        <w:rPr>
          <w:rFonts w:ascii="Arial" w:hAnsi="Arial" w:cs="Arial"/>
          <w:sz w:val="24"/>
          <w:szCs w:val="24"/>
        </w:rPr>
        <w:t>was followed</w:t>
      </w:r>
      <w:proofErr w:type="gramEnd"/>
      <w:r w:rsidR="00552018" w:rsidRPr="008E5C0D">
        <w:rPr>
          <w:rFonts w:ascii="Arial" w:hAnsi="Arial" w:cs="Arial"/>
          <w:sz w:val="24"/>
          <w:szCs w:val="24"/>
        </w:rPr>
        <w:t xml:space="preserve"> by a debate on the significance of wide financial information disclosure, including potential investors and other stakeholders as well as present shareholders, emphasising the value of openness in financial reporting.</w:t>
      </w:r>
      <w:r w:rsidR="00975BB3" w:rsidRPr="008E5C0D">
        <w:rPr>
          <w:rFonts w:ascii="Arial" w:hAnsi="Arial" w:cs="Arial"/>
          <w:sz w:val="24"/>
          <w:szCs w:val="24"/>
        </w:rPr>
        <w:t xml:space="preserve"> To highlight correct financial depiction, the inclusion of prepayments and accruals in financial reporting </w:t>
      </w:r>
      <w:proofErr w:type="gramStart"/>
      <w:r w:rsidR="00975BB3" w:rsidRPr="008E5C0D">
        <w:rPr>
          <w:rFonts w:ascii="Arial" w:hAnsi="Arial" w:cs="Arial"/>
          <w:sz w:val="24"/>
          <w:szCs w:val="24"/>
        </w:rPr>
        <w:t>was addressed</w:t>
      </w:r>
      <w:proofErr w:type="gramEnd"/>
      <w:r w:rsidR="00975BB3" w:rsidRPr="008E5C0D">
        <w:rPr>
          <w:rFonts w:ascii="Arial" w:hAnsi="Arial" w:cs="Arial"/>
          <w:sz w:val="24"/>
          <w:szCs w:val="24"/>
        </w:rPr>
        <w:t>. Furthermore, the essay addressed the importance of financial accounting standards in assuring reporting accuracy and safeguarding stakeholder interests.</w:t>
      </w:r>
      <w:r w:rsidR="00C14DCB" w:rsidRPr="008E5C0D">
        <w:rPr>
          <w:rFonts w:ascii="Arial" w:hAnsi="Arial" w:cs="Arial"/>
          <w:sz w:val="24"/>
          <w:szCs w:val="24"/>
        </w:rPr>
        <w:t xml:space="preserve"> The practical application of these ideas was illustrated by the production of an income statement for Wales plc and a careful review of the financial accounts of </w:t>
      </w:r>
      <w:proofErr w:type="gramStart"/>
      <w:r w:rsidR="00C14DCB" w:rsidRPr="008E5C0D">
        <w:rPr>
          <w:rFonts w:ascii="Arial" w:hAnsi="Arial" w:cs="Arial"/>
          <w:sz w:val="24"/>
          <w:szCs w:val="24"/>
        </w:rPr>
        <w:t>Sweets</w:t>
      </w:r>
      <w:proofErr w:type="gramEnd"/>
      <w:r w:rsidR="00C14DCB" w:rsidRPr="008E5C0D">
        <w:rPr>
          <w:rFonts w:ascii="Arial" w:hAnsi="Arial" w:cs="Arial"/>
          <w:sz w:val="24"/>
          <w:szCs w:val="24"/>
        </w:rPr>
        <w:t xml:space="preserve"> plc. Sweets plc's growth, operational problems, and resilience in a competitive market were brought out in this report, which highlighted significant financial measures and patterns</w:t>
      </w:r>
      <w:r>
        <w:rPr>
          <w:rFonts w:ascii="Arial" w:hAnsi="Arial" w:cs="Arial"/>
          <w:sz w:val="24"/>
          <w:szCs w:val="24"/>
        </w:rPr>
        <w:t>.</w:t>
      </w:r>
    </w:p>
    <w:p w14:paraId="049C87E3" w14:textId="77777777" w:rsidR="004A709D" w:rsidRDefault="004A709D" w:rsidP="00CB19D0">
      <w:pPr>
        <w:spacing w:line="360" w:lineRule="auto"/>
        <w:jc w:val="both"/>
        <w:rPr>
          <w:rFonts w:ascii="Arial" w:hAnsi="Arial" w:cs="Arial"/>
          <w:b/>
          <w:bCs/>
          <w:sz w:val="24"/>
          <w:szCs w:val="24"/>
        </w:rPr>
      </w:pPr>
    </w:p>
    <w:p w14:paraId="540690A6" w14:textId="77777777" w:rsidR="004A709D" w:rsidRDefault="004A709D" w:rsidP="00CB19D0">
      <w:pPr>
        <w:spacing w:line="360" w:lineRule="auto"/>
        <w:jc w:val="both"/>
        <w:rPr>
          <w:rFonts w:ascii="Arial" w:hAnsi="Arial" w:cs="Arial"/>
          <w:b/>
          <w:bCs/>
          <w:sz w:val="24"/>
          <w:szCs w:val="24"/>
        </w:rPr>
      </w:pPr>
    </w:p>
    <w:p w14:paraId="562CD8D5" w14:textId="77777777" w:rsidR="004A709D" w:rsidRDefault="004A709D" w:rsidP="00CB19D0">
      <w:pPr>
        <w:spacing w:line="360" w:lineRule="auto"/>
        <w:jc w:val="both"/>
        <w:rPr>
          <w:rFonts w:ascii="Arial" w:hAnsi="Arial" w:cs="Arial"/>
          <w:b/>
          <w:bCs/>
          <w:sz w:val="24"/>
          <w:szCs w:val="24"/>
        </w:rPr>
      </w:pPr>
    </w:p>
    <w:p w14:paraId="0D5E1258" w14:textId="77777777" w:rsidR="004A709D" w:rsidRDefault="004A709D" w:rsidP="00CB19D0">
      <w:pPr>
        <w:spacing w:line="360" w:lineRule="auto"/>
        <w:jc w:val="both"/>
        <w:rPr>
          <w:rFonts w:ascii="Arial" w:hAnsi="Arial" w:cs="Arial"/>
          <w:b/>
          <w:bCs/>
          <w:sz w:val="24"/>
          <w:szCs w:val="24"/>
        </w:rPr>
      </w:pPr>
    </w:p>
    <w:p w14:paraId="2E03E191" w14:textId="77777777" w:rsidR="004A709D" w:rsidRDefault="004A709D" w:rsidP="00CB19D0">
      <w:pPr>
        <w:spacing w:line="360" w:lineRule="auto"/>
        <w:jc w:val="both"/>
        <w:rPr>
          <w:rFonts w:ascii="Arial" w:hAnsi="Arial" w:cs="Arial"/>
          <w:b/>
          <w:bCs/>
          <w:sz w:val="24"/>
          <w:szCs w:val="24"/>
        </w:rPr>
      </w:pPr>
    </w:p>
    <w:p w14:paraId="73C01E6B" w14:textId="77777777" w:rsidR="004A709D" w:rsidRDefault="004A709D" w:rsidP="00CB19D0">
      <w:pPr>
        <w:spacing w:line="360" w:lineRule="auto"/>
        <w:jc w:val="both"/>
        <w:rPr>
          <w:rFonts w:ascii="Arial" w:hAnsi="Arial" w:cs="Arial"/>
          <w:b/>
          <w:bCs/>
          <w:sz w:val="24"/>
          <w:szCs w:val="24"/>
        </w:rPr>
      </w:pPr>
    </w:p>
    <w:p w14:paraId="5C854DF1" w14:textId="77777777" w:rsidR="004A709D" w:rsidRDefault="004A709D" w:rsidP="00CB19D0">
      <w:pPr>
        <w:spacing w:line="360" w:lineRule="auto"/>
        <w:jc w:val="both"/>
        <w:rPr>
          <w:rFonts w:ascii="Arial" w:hAnsi="Arial" w:cs="Arial"/>
          <w:b/>
          <w:bCs/>
          <w:sz w:val="24"/>
          <w:szCs w:val="24"/>
        </w:rPr>
      </w:pPr>
    </w:p>
    <w:p w14:paraId="461FAF50" w14:textId="77777777" w:rsidR="004A709D" w:rsidRDefault="004A709D" w:rsidP="00CB19D0">
      <w:pPr>
        <w:spacing w:line="360" w:lineRule="auto"/>
        <w:jc w:val="both"/>
        <w:rPr>
          <w:rFonts w:ascii="Arial" w:hAnsi="Arial" w:cs="Arial"/>
          <w:b/>
          <w:bCs/>
          <w:sz w:val="24"/>
          <w:szCs w:val="24"/>
        </w:rPr>
      </w:pPr>
    </w:p>
    <w:p w14:paraId="28403238" w14:textId="77777777" w:rsidR="004A709D" w:rsidRDefault="004A709D" w:rsidP="00CB19D0">
      <w:pPr>
        <w:spacing w:line="360" w:lineRule="auto"/>
        <w:jc w:val="both"/>
        <w:rPr>
          <w:rFonts w:ascii="Arial" w:hAnsi="Arial" w:cs="Arial"/>
          <w:b/>
          <w:bCs/>
          <w:sz w:val="24"/>
          <w:szCs w:val="24"/>
        </w:rPr>
      </w:pPr>
    </w:p>
    <w:p w14:paraId="6C7731C6" w14:textId="489571EB" w:rsidR="00DB1E75" w:rsidRDefault="00DB1E75" w:rsidP="00CB19D0">
      <w:pPr>
        <w:spacing w:line="360" w:lineRule="auto"/>
        <w:jc w:val="both"/>
        <w:rPr>
          <w:rFonts w:ascii="Arial" w:hAnsi="Arial" w:cs="Arial"/>
          <w:b/>
          <w:bCs/>
          <w:sz w:val="24"/>
          <w:szCs w:val="24"/>
        </w:rPr>
      </w:pPr>
      <w:r w:rsidRPr="00DB1E75">
        <w:rPr>
          <w:rFonts w:ascii="Arial" w:hAnsi="Arial" w:cs="Arial"/>
          <w:b/>
          <w:bCs/>
          <w:sz w:val="24"/>
          <w:szCs w:val="24"/>
        </w:rPr>
        <w:lastRenderedPageBreak/>
        <w:t xml:space="preserve">Appendix </w:t>
      </w:r>
    </w:p>
    <w:p w14:paraId="05644FF8" w14:textId="15C26F65" w:rsidR="00DB1E75" w:rsidRDefault="005B3BFD" w:rsidP="00CB19D0">
      <w:pPr>
        <w:spacing w:line="360" w:lineRule="auto"/>
        <w:jc w:val="both"/>
        <w:rPr>
          <w:rFonts w:ascii="Arial" w:hAnsi="Arial" w:cs="Arial"/>
          <w:b/>
          <w:bCs/>
          <w:sz w:val="24"/>
          <w:szCs w:val="24"/>
        </w:rPr>
      </w:pPr>
      <w:r>
        <w:rPr>
          <w:rFonts w:ascii="Arial" w:hAnsi="Arial" w:cs="Arial"/>
          <w:b/>
          <w:bCs/>
          <w:sz w:val="24"/>
          <w:szCs w:val="24"/>
        </w:rPr>
        <w:t>Question 2</w:t>
      </w:r>
      <w:r w:rsidR="000854DD">
        <w:rPr>
          <w:rFonts w:ascii="Arial" w:hAnsi="Arial" w:cs="Arial"/>
          <w:b/>
          <w:bCs/>
          <w:sz w:val="24"/>
          <w:szCs w:val="24"/>
        </w:rPr>
        <w:t>. Wales plc</w:t>
      </w:r>
    </w:p>
    <w:tbl>
      <w:tblPr>
        <w:tblW w:w="7180" w:type="dxa"/>
        <w:tblLook w:val="04A0" w:firstRow="1" w:lastRow="0" w:firstColumn="1" w:lastColumn="0" w:noHBand="0" w:noVBand="1"/>
      </w:tblPr>
      <w:tblGrid>
        <w:gridCol w:w="3800"/>
        <w:gridCol w:w="1680"/>
        <w:gridCol w:w="1700"/>
      </w:tblGrid>
      <w:tr w:rsidR="00FD6A1B" w:rsidRPr="00FD6A1B" w14:paraId="64FE8403" w14:textId="77777777" w:rsidTr="00FD6A1B">
        <w:trPr>
          <w:trHeight w:val="290"/>
        </w:trPr>
        <w:tc>
          <w:tcPr>
            <w:tcW w:w="3800" w:type="dxa"/>
            <w:tcBorders>
              <w:top w:val="single" w:sz="8" w:space="0" w:color="auto"/>
              <w:left w:val="single" w:sz="8" w:space="0" w:color="auto"/>
              <w:bottom w:val="nil"/>
              <w:right w:val="nil"/>
            </w:tcBorders>
            <w:shd w:val="clear" w:color="000000" w:fill="E7E6E6"/>
            <w:noWrap/>
            <w:vAlign w:val="bottom"/>
            <w:hideMark/>
          </w:tcPr>
          <w:p w14:paraId="3DFFA588"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Wales plc</w:t>
            </w:r>
          </w:p>
        </w:tc>
        <w:tc>
          <w:tcPr>
            <w:tcW w:w="1680" w:type="dxa"/>
            <w:tcBorders>
              <w:top w:val="single" w:sz="8" w:space="0" w:color="auto"/>
              <w:left w:val="nil"/>
              <w:bottom w:val="nil"/>
              <w:right w:val="nil"/>
            </w:tcBorders>
            <w:shd w:val="clear" w:color="000000" w:fill="E7E6E6"/>
            <w:noWrap/>
            <w:vAlign w:val="bottom"/>
            <w:hideMark/>
          </w:tcPr>
          <w:p w14:paraId="137E3145"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single" w:sz="8" w:space="0" w:color="auto"/>
              <w:left w:val="nil"/>
              <w:bottom w:val="nil"/>
              <w:right w:val="single" w:sz="8" w:space="0" w:color="auto"/>
            </w:tcBorders>
            <w:shd w:val="clear" w:color="000000" w:fill="E7E6E6"/>
            <w:noWrap/>
            <w:vAlign w:val="bottom"/>
            <w:hideMark/>
          </w:tcPr>
          <w:p w14:paraId="6B34D5E4"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7E41D4BE"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131B4E6B"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Income Statement</w:t>
            </w:r>
          </w:p>
        </w:tc>
        <w:tc>
          <w:tcPr>
            <w:tcW w:w="1680" w:type="dxa"/>
            <w:tcBorders>
              <w:top w:val="nil"/>
              <w:left w:val="nil"/>
              <w:bottom w:val="nil"/>
              <w:right w:val="nil"/>
            </w:tcBorders>
            <w:shd w:val="clear" w:color="000000" w:fill="E7E6E6"/>
            <w:noWrap/>
            <w:vAlign w:val="bottom"/>
            <w:hideMark/>
          </w:tcPr>
          <w:p w14:paraId="199C24D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163EB210"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1E81F2FB"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3E8B816C"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For the Year Ended 31st December 2022</w:t>
            </w:r>
          </w:p>
        </w:tc>
        <w:tc>
          <w:tcPr>
            <w:tcW w:w="1680" w:type="dxa"/>
            <w:tcBorders>
              <w:top w:val="nil"/>
              <w:left w:val="nil"/>
              <w:bottom w:val="nil"/>
              <w:right w:val="nil"/>
            </w:tcBorders>
            <w:shd w:val="clear" w:color="000000" w:fill="E7E6E6"/>
            <w:noWrap/>
            <w:vAlign w:val="bottom"/>
            <w:hideMark/>
          </w:tcPr>
          <w:p w14:paraId="08F0E494"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1C7DBB2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548BCCE2"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7A534DE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68E0F5D4"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1943AE8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1A81006A"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123FD165"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 xml:space="preserve">Revenue </w:t>
            </w:r>
          </w:p>
        </w:tc>
        <w:tc>
          <w:tcPr>
            <w:tcW w:w="1680" w:type="dxa"/>
            <w:tcBorders>
              <w:top w:val="nil"/>
              <w:left w:val="nil"/>
              <w:bottom w:val="nil"/>
              <w:right w:val="nil"/>
            </w:tcBorders>
            <w:shd w:val="clear" w:color="000000" w:fill="E7E6E6"/>
            <w:noWrap/>
            <w:vAlign w:val="bottom"/>
            <w:hideMark/>
          </w:tcPr>
          <w:p w14:paraId="3550DA9F"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79DFD1D0"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2B979832"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1F9B30E"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Sales</w:t>
            </w:r>
          </w:p>
        </w:tc>
        <w:tc>
          <w:tcPr>
            <w:tcW w:w="1680" w:type="dxa"/>
            <w:tcBorders>
              <w:top w:val="nil"/>
              <w:left w:val="nil"/>
              <w:bottom w:val="nil"/>
              <w:right w:val="nil"/>
            </w:tcBorders>
            <w:shd w:val="clear" w:color="000000" w:fill="E7E6E6"/>
            <w:noWrap/>
            <w:vAlign w:val="bottom"/>
            <w:hideMark/>
          </w:tcPr>
          <w:p w14:paraId="4357040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7C42D94F"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£900,000</w:t>
            </w:r>
          </w:p>
        </w:tc>
      </w:tr>
      <w:tr w:rsidR="00FD6A1B" w:rsidRPr="00FD6A1B" w14:paraId="067A14FD"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71B6909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03D64701"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4E6EA9EF"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172439B0"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1483D540" w14:textId="55D87540"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 xml:space="preserve">Cost of goods sold </w:t>
            </w:r>
          </w:p>
        </w:tc>
        <w:tc>
          <w:tcPr>
            <w:tcW w:w="1680" w:type="dxa"/>
            <w:tcBorders>
              <w:top w:val="nil"/>
              <w:left w:val="nil"/>
              <w:bottom w:val="nil"/>
              <w:right w:val="nil"/>
            </w:tcBorders>
            <w:shd w:val="clear" w:color="000000" w:fill="E7E6E6"/>
            <w:noWrap/>
            <w:vAlign w:val="bottom"/>
            <w:hideMark/>
          </w:tcPr>
          <w:p w14:paraId="2098B997"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1E149852"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47E3C9FC"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3C5DBBE"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Cost of sales</w:t>
            </w:r>
          </w:p>
        </w:tc>
        <w:tc>
          <w:tcPr>
            <w:tcW w:w="1680" w:type="dxa"/>
            <w:tcBorders>
              <w:top w:val="nil"/>
              <w:left w:val="nil"/>
              <w:bottom w:val="nil"/>
              <w:right w:val="nil"/>
            </w:tcBorders>
            <w:shd w:val="clear" w:color="000000" w:fill="E7E6E6"/>
            <w:noWrap/>
            <w:vAlign w:val="bottom"/>
            <w:hideMark/>
          </w:tcPr>
          <w:p w14:paraId="388BFAD0"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£578,650</w:t>
            </w:r>
          </w:p>
        </w:tc>
        <w:tc>
          <w:tcPr>
            <w:tcW w:w="1700" w:type="dxa"/>
            <w:tcBorders>
              <w:top w:val="nil"/>
              <w:left w:val="nil"/>
              <w:bottom w:val="nil"/>
              <w:right w:val="single" w:sz="8" w:space="0" w:color="auto"/>
            </w:tcBorders>
            <w:shd w:val="clear" w:color="000000" w:fill="E7E6E6"/>
            <w:noWrap/>
            <w:vAlign w:val="bottom"/>
            <w:hideMark/>
          </w:tcPr>
          <w:p w14:paraId="6D21E1E4"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6D673AAA"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08C8A097"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xml:space="preserve">Depreciation on the equipment </w:t>
            </w:r>
          </w:p>
        </w:tc>
        <w:tc>
          <w:tcPr>
            <w:tcW w:w="1680" w:type="dxa"/>
            <w:tcBorders>
              <w:top w:val="nil"/>
              <w:left w:val="nil"/>
              <w:bottom w:val="nil"/>
              <w:right w:val="nil"/>
            </w:tcBorders>
            <w:shd w:val="clear" w:color="000000" w:fill="E7E6E6"/>
            <w:noWrap/>
            <w:vAlign w:val="bottom"/>
            <w:hideMark/>
          </w:tcPr>
          <w:p w14:paraId="13C584BE"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£65,000</w:t>
            </w:r>
          </w:p>
        </w:tc>
        <w:tc>
          <w:tcPr>
            <w:tcW w:w="1700" w:type="dxa"/>
            <w:tcBorders>
              <w:top w:val="nil"/>
              <w:left w:val="nil"/>
              <w:bottom w:val="nil"/>
              <w:right w:val="single" w:sz="8" w:space="0" w:color="auto"/>
            </w:tcBorders>
            <w:shd w:val="clear" w:color="000000" w:fill="E7E6E6"/>
            <w:noWrap/>
            <w:vAlign w:val="bottom"/>
            <w:hideMark/>
          </w:tcPr>
          <w:p w14:paraId="1B82363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6DD04043"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2C4285AB" w14:textId="38C29D2E"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 xml:space="preserve">Total costs of goods sold </w:t>
            </w:r>
          </w:p>
        </w:tc>
        <w:tc>
          <w:tcPr>
            <w:tcW w:w="1680" w:type="dxa"/>
            <w:tcBorders>
              <w:top w:val="nil"/>
              <w:left w:val="nil"/>
              <w:bottom w:val="nil"/>
              <w:right w:val="nil"/>
            </w:tcBorders>
            <w:shd w:val="clear" w:color="000000" w:fill="E7E6E6"/>
            <w:noWrap/>
            <w:vAlign w:val="bottom"/>
            <w:hideMark/>
          </w:tcPr>
          <w:p w14:paraId="0F0EB8F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42DB3014"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£643,650</w:t>
            </w:r>
          </w:p>
        </w:tc>
      </w:tr>
      <w:tr w:rsidR="00FD6A1B" w:rsidRPr="00FD6A1B" w14:paraId="3F869533"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93E31BD"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120712F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346FC934"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30489A43"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2916A00B"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 xml:space="preserve">Gross Profit </w:t>
            </w:r>
          </w:p>
        </w:tc>
        <w:tc>
          <w:tcPr>
            <w:tcW w:w="1680" w:type="dxa"/>
            <w:tcBorders>
              <w:top w:val="nil"/>
              <w:left w:val="nil"/>
              <w:bottom w:val="nil"/>
              <w:right w:val="nil"/>
            </w:tcBorders>
            <w:shd w:val="clear" w:color="000000" w:fill="E7E6E6"/>
            <w:noWrap/>
            <w:vAlign w:val="bottom"/>
            <w:hideMark/>
          </w:tcPr>
          <w:p w14:paraId="640689A8"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69DBCCB1"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£256,350</w:t>
            </w:r>
          </w:p>
        </w:tc>
      </w:tr>
      <w:tr w:rsidR="00FD6A1B" w:rsidRPr="00FD6A1B" w14:paraId="1489364C"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C52CEC2"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3FD2E130"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1815B9E5"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032A54B4"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EF4CC9C"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Operating expenses</w:t>
            </w:r>
          </w:p>
        </w:tc>
        <w:tc>
          <w:tcPr>
            <w:tcW w:w="1680" w:type="dxa"/>
            <w:tcBorders>
              <w:top w:val="nil"/>
              <w:left w:val="nil"/>
              <w:bottom w:val="nil"/>
              <w:right w:val="nil"/>
            </w:tcBorders>
            <w:shd w:val="clear" w:color="000000" w:fill="E7E6E6"/>
            <w:noWrap/>
            <w:vAlign w:val="bottom"/>
            <w:hideMark/>
          </w:tcPr>
          <w:p w14:paraId="405A760E"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696FDAD0"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1D91085A"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0A002987"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Administrative expenses</w:t>
            </w:r>
          </w:p>
        </w:tc>
        <w:tc>
          <w:tcPr>
            <w:tcW w:w="1680" w:type="dxa"/>
            <w:tcBorders>
              <w:top w:val="nil"/>
              <w:left w:val="nil"/>
              <w:bottom w:val="nil"/>
              <w:right w:val="nil"/>
            </w:tcBorders>
            <w:shd w:val="clear" w:color="000000" w:fill="E7E6E6"/>
            <w:noWrap/>
            <w:vAlign w:val="bottom"/>
            <w:hideMark/>
          </w:tcPr>
          <w:p w14:paraId="4345D2FF"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£160,000</w:t>
            </w:r>
          </w:p>
        </w:tc>
        <w:tc>
          <w:tcPr>
            <w:tcW w:w="1700" w:type="dxa"/>
            <w:tcBorders>
              <w:top w:val="nil"/>
              <w:left w:val="nil"/>
              <w:bottom w:val="nil"/>
              <w:right w:val="single" w:sz="8" w:space="0" w:color="auto"/>
            </w:tcBorders>
            <w:shd w:val="clear" w:color="000000" w:fill="E7E6E6"/>
            <w:noWrap/>
            <w:vAlign w:val="bottom"/>
            <w:hideMark/>
          </w:tcPr>
          <w:p w14:paraId="68BC5EE3"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0321A24F"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5FFA2F06"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Unpaid salaries</w:t>
            </w:r>
          </w:p>
        </w:tc>
        <w:tc>
          <w:tcPr>
            <w:tcW w:w="1680" w:type="dxa"/>
            <w:tcBorders>
              <w:top w:val="nil"/>
              <w:left w:val="nil"/>
              <w:bottom w:val="nil"/>
              <w:right w:val="nil"/>
            </w:tcBorders>
            <w:shd w:val="clear" w:color="000000" w:fill="E7E6E6"/>
            <w:noWrap/>
            <w:vAlign w:val="bottom"/>
            <w:hideMark/>
          </w:tcPr>
          <w:p w14:paraId="1BEADA37"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£10,000</w:t>
            </w:r>
          </w:p>
        </w:tc>
        <w:tc>
          <w:tcPr>
            <w:tcW w:w="1700" w:type="dxa"/>
            <w:tcBorders>
              <w:top w:val="nil"/>
              <w:left w:val="nil"/>
              <w:bottom w:val="nil"/>
              <w:right w:val="single" w:sz="8" w:space="0" w:color="auto"/>
            </w:tcBorders>
            <w:shd w:val="clear" w:color="000000" w:fill="E7E6E6"/>
            <w:noWrap/>
            <w:vAlign w:val="bottom"/>
            <w:hideMark/>
          </w:tcPr>
          <w:p w14:paraId="1BC22C13"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7A093ADB"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3C5C562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proofErr w:type="gramStart"/>
            <w:r w:rsidRPr="00FD6A1B">
              <w:rPr>
                <w:rFonts w:ascii="Calibri" w:eastAsia="Times New Roman" w:hAnsi="Calibri" w:cs="Calibri"/>
                <w:color w:val="000000"/>
                <w:kern w:val="0"/>
                <w:lang w:eastAsia="en-GB"/>
                <w14:ligatures w14:val="none"/>
              </w:rPr>
              <w:t>Directors</w:t>
            </w:r>
            <w:proofErr w:type="gramEnd"/>
            <w:r w:rsidRPr="00FD6A1B">
              <w:rPr>
                <w:rFonts w:ascii="Calibri" w:eastAsia="Times New Roman" w:hAnsi="Calibri" w:cs="Calibri"/>
                <w:color w:val="000000"/>
                <w:kern w:val="0"/>
                <w:lang w:eastAsia="en-GB"/>
                <w14:ligatures w14:val="none"/>
              </w:rPr>
              <w:t xml:space="preserve"> remuneration</w:t>
            </w:r>
          </w:p>
        </w:tc>
        <w:tc>
          <w:tcPr>
            <w:tcW w:w="1680" w:type="dxa"/>
            <w:tcBorders>
              <w:top w:val="nil"/>
              <w:left w:val="nil"/>
              <w:bottom w:val="nil"/>
              <w:right w:val="nil"/>
            </w:tcBorders>
            <w:shd w:val="clear" w:color="000000" w:fill="E7E6E6"/>
            <w:noWrap/>
            <w:vAlign w:val="bottom"/>
            <w:hideMark/>
          </w:tcPr>
          <w:p w14:paraId="3D625C35"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£5,000</w:t>
            </w:r>
          </w:p>
        </w:tc>
        <w:tc>
          <w:tcPr>
            <w:tcW w:w="1700" w:type="dxa"/>
            <w:tcBorders>
              <w:top w:val="nil"/>
              <w:left w:val="nil"/>
              <w:bottom w:val="nil"/>
              <w:right w:val="single" w:sz="8" w:space="0" w:color="auto"/>
            </w:tcBorders>
            <w:shd w:val="clear" w:color="000000" w:fill="E7E6E6"/>
            <w:noWrap/>
            <w:vAlign w:val="bottom"/>
            <w:hideMark/>
          </w:tcPr>
          <w:p w14:paraId="01782AA9"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5EBF50CE"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4F23DCDE"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Distribution costs</w:t>
            </w:r>
          </w:p>
        </w:tc>
        <w:tc>
          <w:tcPr>
            <w:tcW w:w="1680" w:type="dxa"/>
            <w:tcBorders>
              <w:top w:val="nil"/>
              <w:left w:val="nil"/>
              <w:bottom w:val="nil"/>
              <w:right w:val="nil"/>
            </w:tcBorders>
            <w:shd w:val="clear" w:color="000000" w:fill="E7E6E6"/>
            <w:noWrap/>
            <w:vAlign w:val="bottom"/>
            <w:hideMark/>
          </w:tcPr>
          <w:p w14:paraId="2DDD1906"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£28,000</w:t>
            </w:r>
          </w:p>
        </w:tc>
        <w:tc>
          <w:tcPr>
            <w:tcW w:w="1700" w:type="dxa"/>
            <w:tcBorders>
              <w:top w:val="nil"/>
              <w:left w:val="nil"/>
              <w:bottom w:val="nil"/>
              <w:right w:val="single" w:sz="8" w:space="0" w:color="auto"/>
            </w:tcBorders>
            <w:shd w:val="clear" w:color="000000" w:fill="E7E6E6"/>
            <w:noWrap/>
            <w:vAlign w:val="bottom"/>
            <w:hideMark/>
          </w:tcPr>
          <w:p w14:paraId="1615D5FF"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139C1C4A"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C8BDF60"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 xml:space="preserve">Total operating expenses </w:t>
            </w:r>
          </w:p>
        </w:tc>
        <w:tc>
          <w:tcPr>
            <w:tcW w:w="1680" w:type="dxa"/>
            <w:tcBorders>
              <w:top w:val="nil"/>
              <w:left w:val="nil"/>
              <w:bottom w:val="nil"/>
              <w:right w:val="nil"/>
            </w:tcBorders>
            <w:shd w:val="clear" w:color="000000" w:fill="E7E6E6"/>
            <w:noWrap/>
            <w:vAlign w:val="bottom"/>
            <w:hideMark/>
          </w:tcPr>
          <w:p w14:paraId="4D055F55"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62272AA6"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£203,000</w:t>
            </w:r>
          </w:p>
        </w:tc>
      </w:tr>
      <w:tr w:rsidR="00FD6A1B" w:rsidRPr="00FD6A1B" w14:paraId="0FC8F535"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6F611A1"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090F4A06"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2A977750"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576DA6F6"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2B73AE20"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 xml:space="preserve">Operating profit </w:t>
            </w:r>
          </w:p>
        </w:tc>
        <w:tc>
          <w:tcPr>
            <w:tcW w:w="1680" w:type="dxa"/>
            <w:tcBorders>
              <w:top w:val="nil"/>
              <w:left w:val="nil"/>
              <w:bottom w:val="nil"/>
              <w:right w:val="nil"/>
            </w:tcBorders>
            <w:shd w:val="clear" w:color="000000" w:fill="E7E6E6"/>
            <w:noWrap/>
            <w:vAlign w:val="bottom"/>
            <w:hideMark/>
          </w:tcPr>
          <w:p w14:paraId="0FEBBA20"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61500F73"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£53,350</w:t>
            </w:r>
          </w:p>
        </w:tc>
      </w:tr>
      <w:tr w:rsidR="00FD6A1B" w:rsidRPr="00FD6A1B" w14:paraId="41ED2222"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24AB12B2"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51F8FCA5"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580138CE"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01188BEB"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41435063"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Other expenses</w:t>
            </w:r>
          </w:p>
        </w:tc>
        <w:tc>
          <w:tcPr>
            <w:tcW w:w="1680" w:type="dxa"/>
            <w:tcBorders>
              <w:top w:val="nil"/>
              <w:left w:val="nil"/>
              <w:bottom w:val="nil"/>
              <w:right w:val="nil"/>
            </w:tcBorders>
            <w:shd w:val="clear" w:color="000000" w:fill="E7E6E6"/>
            <w:noWrap/>
            <w:vAlign w:val="bottom"/>
            <w:hideMark/>
          </w:tcPr>
          <w:p w14:paraId="4E6FBE3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2FE1B63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579F9C4E"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25BC565E"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Interest paid</w:t>
            </w:r>
          </w:p>
        </w:tc>
        <w:tc>
          <w:tcPr>
            <w:tcW w:w="1680" w:type="dxa"/>
            <w:tcBorders>
              <w:top w:val="nil"/>
              <w:left w:val="nil"/>
              <w:bottom w:val="nil"/>
              <w:right w:val="nil"/>
            </w:tcBorders>
            <w:shd w:val="clear" w:color="000000" w:fill="E7E6E6"/>
            <w:noWrap/>
            <w:vAlign w:val="bottom"/>
            <w:hideMark/>
          </w:tcPr>
          <w:p w14:paraId="454A1D21"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£2,000</w:t>
            </w:r>
          </w:p>
        </w:tc>
        <w:tc>
          <w:tcPr>
            <w:tcW w:w="1700" w:type="dxa"/>
            <w:tcBorders>
              <w:top w:val="nil"/>
              <w:left w:val="nil"/>
              <w:bottom w:val="nil"/>
              <w:right w:val="single" w:sz="8" w:space="0" w:color="auto"/>
            </w:tcBorders>
            <w:shd w:val="clear" w:color="000000" w:fill="E7E6E6"/>
            <w:noWrap/>
            <w:vAlign w:val="bottom"/>
            <w:hideMark/>
          </w:tcPr>
          <w:p w14:paraId="474C5D2F"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7544BD05"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213C3A13"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 xml:space="preserve">Profit before taxes </w:t>
            </w:r>
          </w:p>
        </w:tc>
        <w:tc>
          <w:tcPr>
            <w:tcW w:w="1680" w:type="dxa"/>
            <w:tcBorders>
              <w:top w:val="nil"/>
              <w:left w:val="nil"/>
              <w:bottom w:val="nil"/>
              <w:right w:val="nil"/>
            </w:tcBorders>
            <w:shd w:val="clear" w:color="000000" w:fill="E7E6E6"/>
            <w:noWrap/>
            <w:vAlign w:val="bottom"/>
            <w:hideMark/>
          </w:tcPr>
          <w:p w14:paraId="1E8CA74C"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14FAD186"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£51,350</w:t>
            </w:r>
          </w:p>
        </w:tc>
      </w:tr>
      <w:tr w:rsidR="00FD6A1B" w:rsidRPr="00FD6A1B" w14:paraId="218E0BFE"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914639F"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4E3EBFE0"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5853CA8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733173A7"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616ECC6A"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Adjustments</w:t>
            </w:r>
          </w:p>
        </w:tc>
        <w:tc>
          <w:tcPr>
            <w:tcW w:w="1680" w:type="dxa"/>
            <w:tcBorders>
              <w:top w:val="nil"/>
              <w:left w:val="nil"/>
              <w:bottom w:val="nil"/>
              <w:right w:val="nil"/>
            </w:tcBorders>
            <w:shd w:val="clear" w:color="000000" w:fill="E7E6E6"/>
            <w:noWrap/>
            <w:vAlign w:val="bottom"/>
            <w:hideMark/>
          </w:tcPr>
          <w:p w14:paraId="72A4E0BC"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3A4E9185"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62D40CC1"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4B2ED3CA" w14:textId="704D04C6"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Salesperson commission</w:t>
            </w:r>
          </w:p>
        </w:tc>
        <w:tc>
          <w:tcPr>
            <w:tcW w:w="1680" w:type="dxa"/>
            <w:tcBorders>
              <w:top w:val="nil"/>
              <w:left w:val="nil"/>
              <w:bottom w:val="nil"/>
              <w:right w:val="nil"/>
            </w:tcBorders>
            <w:shd w:val="clear" w:color="000000" w:fill="E7E6E6"/>
            <w:noWrap/>
            <w:vAlign w:val="bottom"/>
            <w:hideMark/>
          </w:tcPr>
          <w:p w14:paraId="5E7FCB9D"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£2,000</w:t>
            </w:r>
          </w:p>
        </w:tc>
        <w:tc>
          <w:tcPr>
            <w:tcW w:w="1700" w:type="dxa"/>
            <w:tcBorders>
              <w:top w:val="nil"/>
              <w:left w:val="nil"/>
              <w:bottom w:val="nil"/>
              <w:right w:val="single" w:sz="8" w:space="0" w:color="auto"/>
            </w:tcBorders>
            <w:shd w:val="clear" w:color="000000" w:fill="E7E6E6"/>
            <w:noWrap/>
            <w:vAlign w:val="bottom"/>
            <w:hideMark/>
          </w:tcPr>
          <w:p w14:paraId="67B34111"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3CD19ECE"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7BFA314F"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Goods sent to customers</w:t>
            </w:r>
          </w:p>
        </w:tc>
        <w:tc>
          <w:tcPr>
            <w:tcW w:w="1680" w:type="dxa"/>
            <w:tcBorders>
              <w:top w:val="nil"/>
              <w:left w:val="nil"/>
              <w:bottom w:val="nil"/>
              <w:right w:val="nil"/>
            </w:tcBorders>
            <w:shd w:val="clear" w:color="000000" w:fill="E7E6E6"/>
            <w:noWrap/>
            <w:vAlign w:val="bottom"/>
            <w:hideMark/>
          </w:tcPr>
          <w:p w14:paraId="4842A4CD"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£1,000</w:t>
            </w:r>
          </w:p>
        </w:tc>
        <w:tc>
          <w:tcPr>
            <w:tcW w:w="1700" w:type="dxa"/>
            <w:tcBorders>
              <w:top w:val="nil"/>
              <w:left w:val="nil"/>
              <w:bottom w:val="nil"/>
              <w:right w:val="single" w:sz="8" w:space="0" w:color="auto"/>
            </w:tcBorders>
            <w:shd w:val="clear" w:color="000000" w:fill="E7E6E6"/>
            <w:noWrap/>
            <w:vAlign w:val="bottom"/>
            <w:hideMark/>
          </w:tcPr>
          <w:p w14:paraId="3FB9251D"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27E2FE91"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50C6136F"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Adjusted profit before taxes</w:t>
            </w:r>
          </w:p>
        </w:tc>
        <w:tc>
          <w:tcPr>
            <w:tcW w:w="1680" w:type="dxa"/>
            <w:tcBorders>
              <w:top w:val="nil"/>
              <w:left w:val="nil"/>
              <w:bottom w:val="nil"/>
              <w:right w:val="nil"/>
            </w:tcBorders>
            <w:shd w:val="clear" w:color="000000" w:fill="E7E6E6"/>
            <w:noWrap/>
            <w:vAlign w:val="bottom"/>
            <w:hideMark/>
          </w:tcPr>
          <w:p w14:paraId="59E477E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2CD9501C"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£52,350</w:t>
            </w:r>
          </w:p>
        </w:tc>
      </w:tr>
      <w:tr w:rsidR="00FD6A1B" w:rsidRPr="00FD6A1B" w14:paraId="2DF8C235"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4A4CC396"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7DF83332"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35D0FFF9"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5D90FB22"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3B3F416C"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Corporation tax</w:t>
            </w:r>
          </w:p>
        </w:tc>
        <w:tc>
          <w:tcPr>
            <w:tcW w:w="1680" w:type="dxa"/>
            <w:tcBorders>
              <w:top w:val="nil"/>
              <w:left w:val="nil"/>
              <w:bottom w:val="nil"/>
              <w:right w:val="nil"/>
            </w:tcBorders>
            <w:shd w:val="clear" w:color="000000" w:fill="E7E6E6"/>
            <w:noWrap/>
            <w:vAlign w:val="bottom"/>
            <w:hideMark/>
          </w:tcPr>
          <w:p w14:paraId="04BDA1B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79F24012"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45BF7758"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1DFF264A"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Estimated corporation tax</w:t>
            </w:r>
          </w:p>
        </w:tc>
        <w:tc>
          <w:tcPr>
            <w:tcW w:w="1680" w:type="dxa"/>
            <w:tcBorders>
              <w:top w:val="nil"/>
              <w:left w:val="nil"/>
              <w:bottom w:val="nil"/>
              <w:right w:val="nil"/>
            </w:tcBorders>
            <w:shd w:val="clear" w:color="000000" w:fill="E7E6E6"/>
            <w:noWrap/>
            <w:vAlign w:val="bottom"/>
            <w:hideMark/>
          </w:tcPr>
          <w:p w14:paraId="606C9DAD" w14:textId="77777777" w:rsidR="00FD6A1B" w:rsidRPr="00FD6A1B" w:rsidRDefault="00FD6A1B" w:rsidP="00FD6A1B">
            <w:pPr>
              <w:spacing w:after="0" w:line="240" w:lineRule="auto"/>
              <w:jc w:val="right"/>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£15,000</w:t>
            </w:r>
          </w:p>
        </w:tc>
        <w:tc>
          <w:tcPr>
            <w:tcW w:w="1700" w:type="dxa"/>
            <w:tcBorders>
              <w:top w:val="nil"/>
              <w:left w:val="nil"/>
              <w:bottom w:val="nil"/>
              <w:right w:val="single" w:sz="8" w:space="0" w:color="auto"/>
            </w:tcBorders>
            <w:shd w:val="clear" w:color="000000" w:fill="E7E6E6"/>
            <w:noWrap/>
            <w:vAlign w:val="bottom"/>
            <w:hideMark/>
          </w:tcPr>
          <w:p w14:paraId="41E9E9E9"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6CC5F432"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5D5253CB"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3A657102"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60AD2088"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05F14167" w14:textId="77777777" w:rsidTr="00FD6A1B">
        <w:trPr>
          <w:trHeight w:val="290"/>
        </w:trPr>
        <w:tc>
          <w:tcPr>
            <w:tcW w:w="3800" w:type="dxa"/>
            <w:tcBorders>
              <w:top w:val="nil"/>
              <w:left w:val="single" w:sz="8" w:space="0" w:color="auto"/>
              <w:bottom w:val="nil"/>
              <w:right w:val="nil"/>
            </w:tcBorders>
            <w:shd w:val="clear" w:color="000000" w:fill="E7E6E6"/>
            <w:noWrap/>
            <w:vAlign w:val="bottom"/>
            <w:hideMark/>
          </w:tcPr>
          <w:p w14:paraId="0136067F"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680" w:type="dxa"/>
            <w:tcBorders>
              <w:top w:val="nil"/>
              <w:left w:val="nil"/>
              <w:bottom w:val="nil"/>
              <w:right w:val="nil"/>
            </w:tcBorders>
            <w:shd w:val="clear" w:color="000000" w:fill="E7E6E6"/>
            <w:noWrap/>
            <w:vAlign w:val="bottom"/>
            <w:hideMark/>
          </w:tcPr>
          <w:p w14:paraId="10A3F202"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nil"/>
              <w:right w:val="single" w:sz="8" w:space="0" w:color="auto"/>
            </w:tcBorders>
            <w:shd w:val="clear" w:color="000000" w:fill="E7E6E6"/>
            <w:noWrap/>
            <w:vAlign w:val="bottom"/>
            <w:hideMark/>
          </w:tcPr>
          <w:p w14:paraId="7C87EF38"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r>
      <w:tr w:rsidR="00FD6A1B" w:rsidRPr="00FD6A1B" w14:paraId="0BAD1553" w14:textId="77777777" w:rsidTr="00FD6A1B">
        <w:trPr>
          <w:trHeight w:val="300"/>
        </w:trPr>
        <w:tc>
          <w:tcPr>
            <w:tcW w:w="3800" w:type="dxa"/>
            <w:tcBorders>
              <w:top w:val="nil"/>
              <w:left w:val="single" w:sz="8" w:space="0" w:color="auto"/>
              <w:bottom w:val="single" w:sz="8" w:space="0" w:color="auto"/>
              <w:right w:val="nil"/>
            </w:tcBorders>
            <w:shd w:val="clear" w:color="000000" w:fill="E7E6E6"/>
            <w:noWrap/>
            <w:vAlign w:val="bottom"/>
            <w:hideMark/>
          </w:tcPr>
          <w:p w14:paraId="1366C6A4" w14:textId="77777777" w:rsidR="00FD6A1B" w:rsidRPr="00FD6A1B" w:rsidRDefault="00FD6A1B" w:rsidP="00FD6A1B">
            <w:pPr>
              <w:spacing w:after="0" w:line="240" w:lineRule="auto"/>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Net Profit</w:t>
            </w:r>
          </w:p>
        </w:tc>
        <w:tc>
          <w:tcPr>
            <w:tcW w:w="1680" w:type="dxa"/>
            <w:tcBorders>
              <w:top w:val="nil"/>
              <w:left w:val="nil"/>
              <w:bottom w:val="single" w:sz="8" w:space="0" w:color="auto"/>
              <w:right w:val="nil"/>
            </w:tcBorders>
            <w:shd w:val="clear" w:color="000000" w:fill="E7E6E6"/>
            <w:noWrap/>
            <w:vAlign w:val="bottom"/>
            <w:hideMark/>
          </w:tcPr>
          <w:p w14:paraId="68DF3A39" w14:textId="77777777" w:rsidR="00FD6A1B" w:rsidRPr="00FD6A1B" w:rsidRDefault="00FD6A1B" w:rsidP="00FD6A1B">
            <w:pPr>
              <w:spacing w:after="0" w:line="240" w:lineRule="auto"/>
              <w:rPr>
                <w:rFonts w:ascii="Calibri" w:eastAsia="Times New Roman" w:hAnsi="Calibri" w:cs="Calibri"/>
                <w:color w:val="000000"/>
                <w:kern w:val="0"/>
                <w:lang w:eastAsia="en-GB"/>
                <w14:ligatures w14:val="none"/>
              </w:rPr>
            </w:pPr>
            <w:r w:rsidRPr="00FD6A1B">
              <w:rPr>
                <w:rFonts w:ascii="Calibri" w:eastAsia="Times New Roman" w:hAnsi="Calibri" w:cs="Calibri"/>
                <w:color w:val="000000"/>
                <w:kern w:val="0"/>
                <w:lang w:eastAsia="en-GB"/>
                <w14:ligatures w14:val="none"/>
              </w:rPr>
              <w:t> </w:t>
            </w:r>
          </w:p>
        </w:tc>
        <w:tc>
          <w:tcPr>
            <w:tcW w:w="1700" w:type="dxa"/>
            <w:tcBorders>
              <w:top w:val="nil"/>
              <w:left w:val="nil"/>
              <w:bottom w:val="single" w:sz="8" w:space="0" w:color="auto"/>
              <w:right w:val="single" w:sz="8" w:space="0" w:color="auto"/>
            </w:tcBorders>
            <w:shd w:val="clear" w:color="000000" w:fill="E7E6E6"/>
            <w:noWrap/>
            <w:vAlign w:val="bottom"/>
            <w:hideMark/>
          </w:tcPr>
          <w:p w14:paraId="56C982D5" w14:textId="77777777" w:rsidR="00FD6A1B" w:rsidRPr="00FD6A1B" w:rsidRDefault="00FD6A1B" w:rsidP="00FD6A1B">
            <w:pPr>
              <w:spacing w:after="0" w:line="240" w:lineRule="auto"/>
              <w:jc w:val="right"/>
              <w:rPr>
                <w:rFonts w:ascii="Calibri" w:eastAsia="Times New Roman" w:hAnsi="Calibri" w:cs="Calibri"/>
                <w:b/>
                <w:bCs/>
                <w:color w:val="000000"/>
                <w:kern w:val="0"/>
                <w:lang w:eastAsia="en-GB"/>
                <w14:ligatures w14:val="none"/>
              </w:rPr>
            </w:pPr>
            <w:r w:rsidRPr="00FD6A1B">
              <w:rPr>
                <w:rFonts w:ascii="Calibri" w:eastAsia="Times New Roman" w:hAnsi="Calibri" w:cs="Calibri"/>
                <w:b/>
                <w:bCs/>
                <w:color w:val="000000"/>
                <w:kern w:val="0"/>
                <w:lang w:eastAsia="en-GB"/>
                <w14:ligatures w14:val="none"/>
              </w:rPr>
              <w:t>£37,350</w:t>
            </w:r>
          </w:p>
        </w:tc>
      </w:tr>
    </w:tbl>
    <w:p w14:paraId="61E9884E" w14:textId="77777777" w:rsidR="005B3BFD" w:rsidRDefault="005B3BFD" w:rsidP="00CB19D0">
      <w:pPr>
        <w:spacing w:line="360" w:lineRule="auto"/>
        <w:jc w:val="both"/>
        <w:rPr>
          <w:rFonts w:ascii="Arial" w:hAnsi="Arial" w:cs="Arial"/>
          <w:b/>
          <w:bCs/>
          <w:sz w:val="24"/>
          <w:szCs w:val="24"/>
        </w:rPr>
      </w:pPr>
    </w:p>
    <w:p w14:paraId="5B87DFA3" w14:textId="77777777" w:rsidR="005B3BFD" w:rsidRDefault="005B3BFD" w:rsidP="00CB19D0">
      <w:pPr>
        <w:spacing w:line="360" w:lineRule="auto"/>
        <w:jc w:val="both"/>
        <w:rPr>
          <w:rFonts w:ascii="Arial" w:hAnsi="Arial" w:cs="Arial"/>
          <w:b/>
          <w:bCs/>
          <w:sz w:val="24"/>
          <w:szCs w:val="24"/>
        </w:rPr>
      </w:pPr>
    </w:p>
    <w:p w14:paraId="57D32415" w14:textId="77777777" w:rsidR="008E5C0D" w:rsidRPr="00DB1E75" w:rsidRDefault="008E5C0D" w:rsidP="00CB19D0">
      <w:pPr>
        <w:spacing w:line="360" w:lineRule="auto"/>
        <w:jc w:val="both"/>
        <w:rPr>
          <w:rFonts w:ascii="Arial" w:hAnsi="Arial" w:cs="Arial"/>
          <w:b/>
          <w:bCs/>
          <w:sz w:val="24"/>
          <w:szCs w:val="24"/>
        </w:rPr>
      </w:pPr>
    </w:p>
    <w:p w14:paraId="2859D5E5" w14:textId="118614C7" w:rsidR="006541A8" w:rsidRDefault="00FD6A1B" w:rsidP="006541A8">
      <w:pPr>
        <w:rPr>
          <w:rFonts w:ascii="Arial" w:hAnsi="Arial" w:cs="Arial"/>
          <w:b/>
          <w:bCs/>
          <w:sz w:val="24"/>
          <w:szCs w:val="24"/>
        </w:rPr>
      </w:pPr>
      <w:r w:rsidRPr="00FD6A1B">
        <w:rPr>
          <w:rFonts w:ascii="Arial" w:hAnsi="Arial" w:cs="Arial"/>
          <w:b/>
          <w:bCs/>
          <w:sz w:val="24"/>
          <w:szCs w:val="24"/>
        </w:rPr>
        <w:lastRenderedPageBreak/>
        <w:t>Calculations:</w:t>
      </w:r>
    </w:p>
    <w:p w14:paraId="6C67A53F" w14:textId="77777777" w:rsidR="00FD6A1B" w:rsidRDefault="00FD6A1B" w:rsidP="006541A8">
      <w:pPr>
        <w:rPr>
          <w:rFonts w:ascii="Arial" w:hAnsi="Arial" w:cs="Arial"/>
          <w:b/>
          <w:bCs/>
          <w:sz w:val="24"/>
          <w:szCs w:val="24"/>
        </w:rPr>
      </w:pPr>
    </w:p>
    <w:p w14:paraId="7B40E33F" w14:textId="1FD22C35" w:rsidR="005C34E5" w:rsidRPr="0014107F" w:rsidRDefault="005C34E5" w:rsidP="005C34E5">
      <w:pPr>
        <w:rPr>
          <w:rFonts w:ascii="Arial" w:hAnsi="Arial" w:cs="Arial"/>
          <w:sz w:val="24"/>
          <w:szCs w:val="24"/>
        </w:rPr>
      </w:pPr>
      <w:r w:rsidRPr="0014107F">
        <w:rPr>
          <w:rFonts w:ascii="Arial" w:hAnsi="Arial" w:cs="Arial"/>
          <w:sz w:val="24"/>
          <w:szCs w:val="24"/>
        </w:rPr>
        <w:t>C</w:t>
      </w:r>
      <w:r w:rsidR="0014107F">
        <w:rPr>
          <w:rFonts w:ascii="Arial" w:hAnsi="Arial" w:cs="Arial"/>
          <w:sz w:val="24"/>
          <w:szCs w:val="24"/>
        </w:rPr>
        <w:t>osts of goods sold</w:t>
      </w:r>
      <w:r w:rsidRPr="0014107F">
        <w:rPr>
          <w:rFonts w:ascii="Arial" w:hAnsi="Arial" w:cs="Arial"/>
          <w:sz w:val="24"/>
          <w:szCs w:val="24"/>
        </w:rPr>
        <w:t xml:space="preserve"> = Cost of Sales + Depreciation on Equipment</w:t>
      </w:r>
    </w:p>
    <w:p w14:paraId="035ADF54" w14:textId="77777777" w:rsidR="005C34E5" w:rsidRPr="005C34E5" w:rsidRDefault="005C34E5" w:rsidP="005C34E5">
      <w:pPr>
        <w:rPr>
          <w:rFonts w:ascii="Arial" w:hAnsi="Arial" w:cs="Arial"/>
          <w:sz w:val="24"/>
          <w:szCs w:val="24"/>
        </w:rPr>
      </w:pPr>
      <w:r w:rsidRPr="005C34E5">
        <w:rPr>
          <w:rFonts w:ascii="Arial" w:hAnsi="Arial" w:cs="Arial"/>
          <w:sz w:val="24"/>
          <w:szCs w:val="24"/>
        </w:rPr>
        <w:t>= £578,650 + £65,000</w:t>
      </w:r>
    </w:p>
    <w:p w14:paraId="02A22FF4" w14:textId="50363B4F" w:rsidR="00FD6A1B" w:rsidRDefault="005C34E5" w:rsidP="005C34E5">
      <w:pPr>
        <w:rPr>
          <w:rFonts w:ascii="Arial" w:hAnsi="Arial" w:cs="Arial"/>
          <w:sz w:val="24"/>
          <w:szCs w:val="24"/>
        </w:rPr>
      </w:pPr>
      <w:r w:rsidRPr="005C34E5">
        <w:rPr>
          <w:rFonts w:ascii="Arial" w:hAnsi="Arial" w:cs="Arial"/>
          <w:sz w:val="24"/>
          <w:szCs w:val="24"/>
        </w:rPr>
        <w:t>= £643,650</w:t>
      </w:r>
    </w:p>
    <w:p w14:paraId="1083C89A" w14:textId="77777777" w:rsidR="005C34E5" w:rsidRDefault="005C34E5" w:rsidP="005C34E5">
      <w:pPr>
        <w:rPr>
          <w:rFonts w:ascii="Arial" w:hAnsi="Arial" w:cs="Arial"/>
          <w:sz w:val="24"/>
          <w:szCs w:val="24"/>
        </w:rPr>
      </w:pPr>
    </w:p>
    <w:p w14:paraId="7D56FF0D" w14:textId="02C9B60B" w:rsidR="0014107F" w:rsidRPr="0014107F" w:rsidRDefault="0014107F" w:rsidP="0014107F">
      <w:pPr>
        <w:rPr>
          <w:rFonts w:ascii="Arial" w:hAnsi="Arial" w:cs="Arial"/>
          <w:sz w:val="24"/>
          <w:szCs w:val="24"/>
        </w:rPr>
      </w:pPr>
      <w:r w:rsidRPr="0014107F">
        <w:rPr>
          <w:rFonts w:ascii="Arial" w:hAnsi="Arial" w:cs="Arial"/>
          <w:sz w:val="24"/>
          <w:szCs w:val="24"/>
        </w:rPr>
        <w:t xml:space="preserve">Gross Profit = Sales </w:t>
      </w:r>
      <w:r>
        <w:rPr>
          <w:rFonts w:ascii="Arial" w:hAnsi="Arial" w:cs="Arial"/>
          <w:sz w:val="24"/>
          <w:szCs w:val="24"/>
        </w:rPr>
        <w:t>–</w:t>
      </w:r>
      <w:r w:rsidRPr="0014107F">
        <w:rPr>
          <w:rFonts w:ascii="Arial" w:hAnsi="Arial" w:cs="Arial"/>
          <w:sz w:val="24"/>
          <w:szCs w:val="24"/>
        </w:rPr>
        <w:t xml:space="preserve"> </w:t>
      </w:r>
      <w:r>
        <w:rPr>
          <w:rFonts w:ascii="Arial" w:hAnsi="Arial" w:cs="Arial"/>
          <w:sz w:val="24"/>
          <w:szCs w:val="24"/>
        </w:rPr>
        <w:t>Cost of goods sold</w:t>
      </w:r>
    </w:p>
    <w:p w14:paraId="0D83A1EB" w14:textId="77777777" w:rsidR="0014107F" w:rsidRPr="0014107F" w:rsidRDefault="0014107F" w:rsidP="0014107F">
      <w:pPr>
        <w:rPr>
          <w:rFonts w:ascii="Arial" w:hAnsi="Arial" w:cs="Arial"/>
          <w:sz w:val="24"/>
          <w:szCs w:val="24"/>
        </w:rPr>
      </w:pPr>
      <w:r w:rsidRPr="0014107F">
        <w:rPr>
          <w:rFonts w:ascii="Arial" w:hAnsi="Arial" w:cs="Arial"/>
          <w:sz w:val="24"/>
          <w:szCs w:val="24"/>
        </w:rPr>
        <w:t>= £900,000 - £643,650</w:t>
      </w:r>
    </w:p>
    <w:p w14:paraId="41D1A7E1" w14:textId="0DE76228" w:rsidR="005C34E5" w:rsidRPr="005C34E5" w:rsidRDefault="0014107F" w:rsidP="0014107F">
      <w:pPr>
        <w:rPr>
          <w:rFonts w:ascii="Arial" w:hAnsi="Arial" w:cs="Arial"/>
          <w:sz w:val="24"/>
          <w:szCs w:val="24"/>
        </w:rPr>
      </w:pPr>
      <w:r w:rsidRPr="0014107F">
        <w:rPr>
          <w:rFonts w:ascii="Arial" w:hAnsi="Arial" w:cs="Arial"/>
          <w:sz w:val="24"/>
          <w:szCs w:val="24"/>
        </w:rPr>
        <w:t>= £256,350</w:t>
      </w:r>
    </w:p>
    <w:p w14:paraId="77809869" w14:textId="77777777" w:rsidR="00FD6A1B" w:rsidRDefault="00FD6A1B" w:rsidP="006541A8">
      <w:pPr>
        <w:rPr>
          <w:rFonts w:ascii="Arial" w:hAnsi="Arial" w:cs="Arial"/>
          <w:sz w:val="24"/>
          <w:szCs w:val="24"/>
        </w:rPr>
      </w:pPr>
    </w:p>
    <w:p w14:paraId="35B69E4B" w14:textId="77777777" w:rsidR="00F17805" w:rsidRPr="00F17805" w:rsidRDefault="00F17805" w:rsidP="00F17805">
      <w:pPr>
        <w:rPr>
          <w:rFonts w:ascii="Arial" w:hAnsi="Arial" w:cs="Arial"/>
          <w:sz w:val="24"/>
          <w:szCs w:val="24"/>
        </w:rPr>
      </w:pPr>
      <w:r w:rsidRPr="00F17805">
        <w:rPr>
          <w:rFonts w:ascii="Arial" w:hAnsi="Arial" w:cs="Arial"/>
          <w:sz w:val="24"/>
          <w:szCs w:val="24"/>
        </w:rPr>
        <w:t>Operating Expenses = Administrative Expenses + Unpaid Salaries + Directors’ Remuneration + Distribution Costs</w:t>
      </w:r>
    </w:p>
    <w:p w14:paraId="39E3707F" w14:textId="77777777" w:rsidR="00F17805" w:rsidRPr="00F17805" w:rsidRDefault="00F17805" w:rsidP="00F17805">
      <w:pPr>
        <w:rPr>
          <w:rFonts w:ascii="Arial" w:hAnsi="Arial" w:cs="Arial"/>
          <w:sz w:val="24"/>
          <w:szCs w:val="24"/>
        </w:rPr>
      </w:pPr>
      <w:r w:rsidRPr="00F17805">
        <w:rPr>
          <w:rFonts w:ascii="Arial" w:hAnsi="Arial" w:cs="Arial"/>
          <w:sz w:val="24"/>
          <w:szCs w:val="24"/>
        </w:rPr>
        <w:t>= £160,000 + £10,000 + £5,000 + £28,000</w:t>
      </w:r>
    </w:p>
    <w:p w14:paraId="65F7DCC3" w14:textId="655F9C64" w:rsidR="00FD6A1B" w:rsidRDefault="00F17805" w:rsidP="00F17805">
      <w:pPr>
        <w:rPr>
          <w:rFonts w:ascii="Arial" w:hAnsi="Arial" w:cs="Arial"/>
          <w:sz w:val="24"/>
          <w:szCs w:val="24"/>
        </w:rPr>
      </w:pPr>
      <w:r w:rsidRPr="00F17805">
        <w:rPr>
          <w:rFonts w:ascii="Arial" w:hAnsi="Arial" w:cs="Arial"/>
          <w:sz w:val="24"/>
          <w:szCs w:val="24"/>
        </w:rPr>
        <w:t>= £203,000</w:t>
      </w:r>
    </w:p>
    <w:p w14:paraId="1BE9BF22" w14:textId="77777777" w:rsidR="00F17805" w:rsidRDefault="00F17805" w:rsidP="00F17805">
      <w:pPr>
        <w:rPr>
          <w:rFonts w:ascii="Arial" w:hAnsi="Arial" w:cs="Arial"/>
          <w:sz w:val="24"/>
          <w:szCs w:val="24"/>
        </w:rPr>
      </w:pPr>
    </w:p>
    <w:p w14:paraId="26789EB8" w14:textId="77777777" w:rsidR="00512B98" w:rsidRPr="00512B98" w:rsidRDefault="00512B98" w:rsidP="00512B98">
      <w:pPr>
        <w:rPr>
          <w:rFonts w:ascii="Arial" w:hAnsi="Arial" w:cs="Arial"/>
          <w:sz w:val="24"/>
          <w:szCs w:val="24"/>
        </w:rPr>
      </w:pPr>
      <w:r w:rsidRPr="00512B98">
        <w:rPr>
          <w:rFonts w:ascii="Arial" w:hAnsi="Arial" w:cs="Arial"/>
          <w:sz w:val="24"/>
          <w:szCs w:val="24"/>
        </w:rPr>
        <w:t>Operating Profit = Gross Profit - Operating Expenses</w:t>
      </w:r>
    </w:p>
    <w:p w14:paraId="7C6DBE13" w14:textId="77777777" w:rsidR="00512B98" w:rsidRPr="00512B98" w:rsidRDefault="00512B98" w:rsidP="00512B98">
      <w:pPr>
        <w:rPr>
          <w:rFonts w:ascii="Arial" w:hAnsi="Arial" w:cs="Arial"/>
          <w:sz w:val="24"/>
          <w:szCs w:val="24"/>
        </w:rPr>
      </w:pPr>
      <w:r w:rsidRPr="00512B98">
        <w:rPr>
          <w:rFonts w:ascii="Arial" w:hAnsi="Arial" w:cs="Arial"/>
          <w:sz w:val="24"/>
          <w:szCs w:val="24"/>
        </w:rPr>
        <w:t>= £256,350 - £203,000</w:t>
      </w:r>
    </w:p>
    <w:p w14:paraId="2D3F8D8E" w14:textId="1921D8D0" w:rsidR="00512B98" w:rsidRPr="006541A8" w:rsidRDefault="00512B98" w:rsidP="00512B98">
      <w:pPr>
        <w:rPr>
          <w:rFonts w:ascii="Arial" w:hAnsi="Arial" w:cs="Arial"/>
          <w:sz w:val="24"/>
          <w:szCs w:val="24"/>
        </w:rPr>
      </w:pPr>
      <w:r w:rsidRPr="00512B98">
        <w:rPr>
          <w:rFonts w:ascii="Arial" w:hAnsi="Arial" w:cs="Arial"/>
          <w:sz w:val="24"/>
          <w:szCs w:val="24"/>
        </w:rPr>
        <w:t>= £53,350</w:t>
      </w:r>
    </w:p>
    <w:p w14:paraId="737D35B2" w14:textId="196F85D0" w:rsidR="00966472" w:rsidRDefault="00966472" w:rsidP="00AA442B">
      <w:pPr>
        <w:spacing w:line="360" w:lineRule="auto"/>
        <w:jc w:val="both"/>
        <w:rPr>
          <w:rFonts w:ascii="Arial" w:hAnsi="Arial" w:cs="Arial"/>
          <w:sz w:val="24"/>
          <w:szCs w:val="24"/>
        </w:rPr>
      </w:pPr>
    </w:p>
    <w:p w14:paraId="7E57E24C" w14:textId="77777777" w:rsidR="00AE74A0" w:rsidRPr="00AE74A0" w:rsidRDefault="00AE74A0" w:rsidP="00AE74A0">
      <w:pPr>
        <w:spacing w:line="360" w:lineRule="auto"/>
        <w:jc w:val="both"/>
        <w:rPr>
          <w:rFonts w:ascii="Arial" w:hAnsi="Arial" w:cs="Arial"/>
          <w:sz w:val="24"/>
          <w:szCs w:val="24"/>
        </w:rPr>
      </w:pPr>
      <w:r w:rsidRPr="00AE74A0">
        <w:rPr>
          <w:rFonts w:ascii="Arial" w:hAnsi="Arial" w:cs="Arial"/>
          <w:sz w:val="24"/>
          <w:szCs w:val="24"/>
        </w:rPr>
        <w:t>Profit Before Tax = Operating Profit - Interest Paid</w:t>
      </w:r>
    </w:p>
    <w:p w14:paraId="0C91774C" w14:textId="77777777" w:rsidR="00AE74A0" w:rsidRPr="00AE74A0" w:rsidRDefault="00AE74A0" w:rsidP="00AE74A0">
      <w:pPr>
        <w:spacing w:line="360" w:lineRule="auto"/>
        <w:jc w:val="both"/>
        <w:rPr>
          <w:rFonts w:ascii="Arial" w:hAnsi="Arial" w:cs="Arial"/>
          <w:sz w:val="24"/>
          <w:szCs w:val="24"/>
        </w:rPr>
      </w:pPr>
      <w:r w:rsidRPr="00AE74A0">
        <w:rPr>
          <w:rFonts w:ascii="Arial" w:hAnsi="Arial" w:cs="Arial"/>
          <w:sz w:val="24"/>
          <w:szCs w:val="24"/>
        </w:rPr>
        <w:t>= £53,350 - £2,000</w:t>
      </w:r>
    </w:p>
    <w:p w14:paraId="61E7382A" w14:textId="439A517C" w:rsidR="00AE74A0" w:rsidRDefault="00AE74A0" w:rsidP="00AE74A0">
      <w:pPr>
        <w:spacing w:line="360" w:lineRule="auto"/>
        <w:jc w:val="both"/>
        <w:rPr>
          <w:rFonts w:ascii="Arial" w:hAnsi="Arial" w:cs="Arial"/>
          <w:sz w:val="24"/>
          <w:szCs w:val="24"/>
        </w:rPr>
      </w:pPr>
      <w:r w:rsidRPr="00AE74A0">
        <w:rPr>
          <w:rFonts w:ascii="Arial" w:hAnsi="Arial" w:cs="Arial"/>
          <w:sz w:val="24"/>
          <w:szCs w:val="24"/>
        </w:rPr>
        <w:t>= £51,350</w:t>
      </w:r>
    </w:p>
    <w:p w14:paraId="7D5EEB28" w14:textId="77777777" w:rsidR="00AE74A0" w:rsidRDefault="00AE74A0" w:rsidP="00AE74A0">
      <w:pPr>
        <w:spacing w:line="360" w:lineRule="auto"/>
        <w:jc w:val="both"/>
        <w:rPr>
          <w:rFonts w:ascii="Arial" w:hAnsi="Arial" w:cs="Arial"/>
          <w:sz w:val="24"/>
          <w:szCs w:val="24"/>
        </w:rPr>
      </w:pPr>
    </w:p>
    <w:p w14:paraId="12418AB1" w14:textId="77777777" w:rsidR="00AE74A0" w:rsidRPr="00AE74A0" w:rsidRDefault="00AE74A0" w:rsidP="00AE74A0">
      <w:pPr>
        <w:spacing w:line="360" w:lineRule="auto"/>
        <w:jc w:val="both"/>
        <w:rPr>
          <w:rFonts w:ascii="Arial" w:hAnsi="Arial" w:cs="Arial"/>
          <w:sz w:val="24"/>
          <w:szCs w:val="24"/>
        </w:rPr>
      </w:pPr>
      <w:r w:rsidRPr="00AE74A0">
        <w:rPr>
          <w:rFonts w:ascii="Arial" w:hAnsi="Arial" w:cs="Arial"/>
          <w:sz w:val="24"/>
          <w:szCs w:val="24"/>
        </w:rPr>
        <w:t>Adjusted Profit Before Tax = Profit Before Tax + Salesmen Commission - Goods sent to customers</w:t>
      </w:r>
    </w:p>
    <w:p w14:paraId="77727134" w14:textId="77777777" w:rsidR="00AE74A0" w:rsidRPr="00AE74A0" w:rsidRDefault="00AE74A0" w:rsidP="00AE74A0">
      <w:pPr>
        <w:spacing w:line="360" w:lineRule="auto"/>
        <w:jc w:val="both"/>
        <w:rPr>
          <w:rFonts w:ascii="Arial" w:hAnsi="Arial" w:cs="Arial"/>
          <w:sz w:val="24"/>
          <w:szCs w:val="24"/>
        </w:rPr>
      </w:pPr>
      <w:r w:rsidRPr="00AE74A0">
        <w:rPr>
          <w:rFonts w:ascii="Arial" w:hAnsi="Arial" w:cs="Arial"/>
          <w:sz w:val="24"/>
          <w:szCs w:val="24"/>
        </w:rPr>
        <w:t>= £51,350 + £2,000 - £1,000</w:t>
      </w:r>
    </w:p>
    <w:p w14:paraId="1819C5E1" w14:textId="7C6DCDF9" w:rsidR="00AE74A0" w:rsidRDefault="00AE74A0" w:rsidP="00AE74A0">
      <w:pPr>
        <w:spacing w:line="360" w:lineRule="auto"/>
        <w:jc w:val="both"/>
        <w:rPr>
          <w:rFonts w:ascii="Arial" w:hAnsi="Arial" w:cs="Arial"/>
          <w:sz w:val="24"/>
          <w:szCs w:val="24"/>
        </w:rPr>
      </w:pPr>
      <w:r w:rsidRPr="00AE74A0">
        <w:rPr>
          <w:rFonts w:ascii="Arial" w:hAnsi="Arial" w:cs="Arial"/>
          <w:sz w:val="24"/>
          <w:szCs w:val="24"/>
        </w:rPr>
        <w:t>= £52,350</w:t>
      </w:r>
    </w:p>
    <w:p w14:paraId="1548251C" w14:textId="77777777" w:rsidR="00AE74A0" w:rsidRDefault="00AE74A0" w:rsidP="00AE74A0">
      <w:pPr>
        <w:spacing w:line="360" w:lineRule="auto"/>
        <w:jc w:val="both"/>
        <w:rPr>
          <w:rFonts w:ascii="Arial" w:hAnsi="Arial" w:cs="Arial"/>
          <w:sz w:val="24"/>
          <w:szCs w:val="24"/>
        </w:rPr>
      </w:pPr>
    </w:p>
    <w:p w14:paraId="631F0900" w14:textId="77777777" w:rsidR="003A5EEA" w:rsidRDefault="003A5EEA" w:rsidP="00AE74A0">
      <w:pPr>
        <w:spacing w:line="360" w:lineRule="auto"/>
        <w:jc w:val="both"/>
        <w:rPr>
          <w:rFonts w:ascii="Arial" w:hAnsi="Arial" w:cs="Arial"/>
          <w:sz w:val="24"/>
          <w:szCs w:val="24"/>
        </w:rPr>
      </w:pPr>
    </w:p>
    <w:p w14:paraId="0A93FFF3" w14:textId="77777777" w:rsidR="003A5EEA" w:rsidRPr="003A5EEA" w:rsidRDefault="003A5EEA" w:rsidP="003A5EEA">
      <w:pPr>
        <w:spacing w:line="360" w:lineRule="auto"/>
        <w:jc w:val="both"/>
        <w:rPr>
          <w:rFonts w:ascii="Arial" w:hAnsi="Arial" w:cs="Arial"/>
          <w:sz w:val="24"/>
          <w:szCs w:val="24"/>
        </w:rPr>
      </w:pPr>
      <w:r w:rsidRPr="003A5EEA">
        <w:rPr>
          <w:rFonts w:ascii="Arial" w:hAnsi="Arial" w:cs="Arial"/>
          <w:sz w:val="24"/>
          <w:szCs w:val="24"/>
        </w:rPr>
        <w:lastRenderedPageBreak/>
        <w:t>Net Profit = Adjusted Profit Before Tax - Corporation Tax</w:t>
      </w:r>
    </w:p>
    <w:p w14:paraId="6ACECFE3" w14:textId="77777777" w:rsidR="003A5EEA" w:rsidRPr="003A5EEA" w:rsidRDefault="003A5EEA" w:rsidP="003A5EEA">
      <w:pPr>
        <w:spacing w:line="360" w:lineRule="auto"/>
        <w:jc w:val="both"/>
        <w:rPr>
          <w:rFonts w:ascii="Arial" w:hAnsi="Arial" w:cs="Arial"/>
          <w:sz w:val="24"/>
          <w:szCs w:val="24"/>
        </w:rPr>
      </w:pPr>
      <w:r w:rsidRPr="003A5EEA">
        <w:rPr>
          <w:rFonts w:ascii="Arial" w:hAnsi="Arial" w:cs="Arial"/>
          <w:sz w:val="24"/>
          <w:szCs w:val="24"/>
        </w:rPr>
        <w:t>= £52,350 - £15,000</w:t>
      </w:r>
    </w:p>
    <w:p w14:paraId="07E37CF8" w14:textId="1B0A23AA" w:rsidR="00AE74A0" w:rsidRPr="00AA442B" w:rsidRDefault="003A5EEA" w:rsidP="003A5EEA">
      <w:pPr>
        <w:spacing w:line="360" w:lineRule="auto"/>
        <w:jc w:val="both"/>
        <w:rPr>
          <w:rFonts w:ascii="Arial" w:hAnsi="Arial" w:cs="Arial"/>
          <w:sz w:val="24"/>
          <w:szCs w:val="24"/>
        </w:rPr>
      </w:pPr>
      <w:r w:rsidRPr="003A5EEA">
        <w:rPr>
          <w:rFonts w:ascii="Arial" w:hAnsi="Arial" w:cs="Arial"/>
          <w:sz w:val="24"/>
          <w:szCs w:val="24"/>
        </w:rPr>
        <w:t>= £37,350</w:t>
      </w:r>
    </w:p>
    <w:p w14:paraId="12BCFDFA" w14:textId="2D7ABC59" w:rsidR="00E769CA" w:rsidRPr="00E769CA" w:rsidRDefault="00E769CA" w:rsidP="00E769CA">
      <w:pPr>
        <w:rPr>
          <w:rFonts w:ascii="Arial" w:hAnsi="Arial" w:cs="Arial"/>
          <w:sz w:val="24"/>
          <w:szCs w:val="24"/>
        </w:rPr>
      </w:pPr>
    </w:p>
    <w:p w14:paraId="02FF253E" w14:textId="535FD684" w:rsidR="00A27BDA" w:rsidRPr="00223965" w:rsidRDefault="004972B8" w:rsidP="00223965">
      <w:pPr>
        <w:spacing w:line="360" w:lineRule="auto"/>
        <w:ind w:left="360"/>
        <w:jc w:val="both"/>
        <w:rPr>
          <w:rFonts w:ascii="Arial" w:hAnsi="Arial" w:cs="Arial"/>
          <w:b/>
          <w:bCs/>
          <w:sz w:val="24"/>
          <w:szCs w:val="24"/>
        </w:rPr>
      </w:pPr>
      <w:r w:rsidRPr="00223965">
        <w:rPr>
          <w:rFonts w:ascii="Arial" w:hAnsi="Arial" w:cs="Arial"/>
          <w:b/>
          <w:bCs/>
          <w:sz w:val="24"/>
          <w:szCs w:val="24"/>
        </w:rPr>
        <w:t>Question 3</w:t>
      </w:r>
      <w:r w:rsidR="000854DD" w:rsidRPr="00223965">
        <w:rPr>
          <w:rFonts w:ascii="Arial" w:hAnsi="Arial" w:cs="Arial"/>
          <w:b/>
          <w:bCs/>
          <w:sz w:val="24"/>
          <w:szCs w:val="24"/>
        </w:rPr>
        <w:t>.</w:t>
      </w:r>
      <w:r w:rsidR="00DE5D7E" w:rsidRPr="00223965">
        <w:rPr>
          <w:rFonts w:ascii="Arial" w:hAnsi="Arial" w:cs="Arial"/>
          <w:b/>
          <w:bCs/>
          <w:sz w:val="24"/>
          <w:szCs w:val="24"/>
        </w:rPr>
        <w:t xml:space="preserve"> S</w:t>
      </w:r>
      <w:r w:rsidR="000854DD" w:rsidRPr="00223965">
        <w:rPr>
          <w:rFonts w:ascii="Arial" w:hAnsi="Arial" w:cs="Arial"/>
          <w:b/>
          <w:bCs/>
          <w:sz w:val="24"/>
          <w:szCs w:val="24"/>
        </w:rPr>
        <w:t>weets plc</w:t>
      </w:r>
    </w:p>
    <w:p w14:paraId="2E3A027B" w14:textId="77777777" w:rsidR="00047EAD" w:rsidRDefault="00047EAD" w:rsidP="00223965">
      <w:pPr>
        <w:spacing w:line="360" w:lineRule="auto"/>
        <w:ind w:left="360"/>
        <w:jc w:val="both"/>
        <w:rPr>
          <w:rFonts w:ascii="Arial" w:hAnsi="Arial" w:cs="Arial"/>
          <w:b/>
          <w:bCs/>
          <w:sz w:val="24"/>
          <w:szCs w:val="24"/>
        </w:rPr>
      </w:pPr>
    </w:p>
    <w:p w14:paraId="65A94C15" w14:textId="1D284DB6" w:rsidR="00A95BC1" w:rsidRPr="00223965" w:rsidRDefault="00047EAD" w:rsidP="00223965">
      <w:pPr>
        <w:spacing w:line="360" w:lineRule="auto"/>
        <w:ind w:left="360"/>
        <w:jc w:val="both"/>
        <w:rPr>
          <w:rFonts w:ascii="Arial" w:hAnsi="Arial" w:cs="Arial"/>
          <w:b/>
          <w:bCs/>
          <w:sz w:val="24"/>
          <w:szCs w:val="24"/>
        </w:rPr>
      </w:pPr>
      <w:r>
        <w:rPr>
          <w:rFonts w:ascii="Arial" w:hAnsi="Arial" w:cs="Arial"/>
          <w:b/>
          <w:bCs/>
          <w:sz w:val="24"/>
          <w:szCs w:val="24"/>
        </w:rPr>
        <w:t>1.</w:t>
      </w:r>
    </w:p>
    <w:p w14:paraId="70B8D033" w14:textId="152F5DC1" w:rsidR="00CB340F" w:rsidRPr="00223965" w:rsidRDefault="00CB340F"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ROCE= Capital Employed/Operating Profit</w:t>
      </w:r>
    </w:p>
    <w:p w14:paraId="0632A7F8" w14:textId="6BA0097A" w:rsidR="00CB340F" w:rsidRPr="00223965" w:rsidRDefault="001E0F45"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Capital Employed=Total Assets−Current Liabilities</w:t>
      </w:r>
    </w:p>
    <w:p w14:paraId="6BB02F22" w14:textId="578516B1" w:rsidR="001E0F45" w:rsidRPr="00223965" w:rsidRDefault="00CB340F" w:rsidP="00223965">
      <w:pPr>
        <w:spacing w:line="360" w:lineRule="auto"/>
        <w:ind w:left="360"/>
        <w:jc w:val="both"/>
        <w:rPr>
          <w:rFonts w:ascii="Arial" w:hAnsi="Arial" w:cs="Arial"/>
          <w:sz w:val="24"/>
          <w:szCs w:val="24"/>
        </w:rPr>
      </w:pPr>
      <w:r w:rsidRPr="00223965">
        <w:rPr>
          <w:rFonts w:ascii="Arial" w:hAnsi="Arial" w:cs="Arial"/>
          <w:sz w:val="24"/>
          <w:szCs w:val="24"/>
        </w:rPr>
        <w:t>​</w:t>
      </w:r>
      <w:r w:rsidR="001E0F45" w:rsidRPr="00223965">
        <w:rPr>
          <w:rFonts w:ascii="Arial" w:hAnsi="Arial" w:cs="Arial"/>
          <w:b/>
          <w:bCs/>
          <w:sz w:val="24"/>
          <w:szCs w:val="24"/>
        </w:rPr>
        <w:t>Y</w:t>
      </w:r>
      <w:r w:rsidR="009C76BA" w:rsidRPr="00223965">
        <w:rPr>
          <w:rFonts w:ascii="Arial" w:hAnsi="Arial" w:cs="Arial"/>
          <w:b/>
          <w:bCs/>
          <w:sz w:val="24"/>
          <w:szCs w:val="24"/>
        </w:rPr>
        <w:t>ear</w:t>
      </w:r>
      <w:r w:rsidR="001E0F45" w:rsidRPr="00223965">
        <w:rPr>
          <w:rFonts w:ascii="Arial" w:hAnsi="Arial" w:cs="Arial"/>
          <w:b/>
          <w:bCs/>
          <w:sz w:val="24"/>
          <w:szCs w:val="24"/>
        </w:rPr>
        <w:t xml:space="preserve"> 2022:</w:t>
      </w:r>
    </w:p>
    <w:p w14:paraId="610D13BA" w14:textId="3DBED55E" w:rsidR="001E0F45" w:rsidRPr="00223965" w:rsidRDefault="001E0F45" w:rsidP="00223965">
      <w:pPr>
        <w:spacing w:line="360" w:lineRule="auto"/>
        <w:ind w:left="360"/>
        <w:jc w:val="both"/>
        <w:rPr>
          <w:rFonts w:ascii="Arial" w:hAnsi="Arial" w:cs="Arial"/>
          <w:sz w:val="24"/>
          <w:szCs w:val="24"/>
        </w:rPr>
      </w:pPr>
      <w:r w:rsidRPr="00223965">
        <w:rPr>
          <w:rFonts w:ascii="Arial" w:hAnsi="Arial" w:cs="Arial"/>
          <w:sz w:val="24"/>
          <w:szCs w:val="24"/>
        </w:rPr>
        <w:t>Capital Employed</w:t>
      </w:r>
      <w:r w:rsidR="00E34FF7" w:rsidRPr="00223965">
        <w:rPr>
          <w:rFonts w:ascii="Arial" w:hAnsi="Arial" w:cs="Arial"/>
          <w:sz w:val="24"/>
          <w:szCs w:val="24"/>
        </w:rPr>
        <w:t>=</w:t>
      </w:r>
      <w:r w:rsidRPr="00223965">
        <w:rPr>
          <w:rFonts w:ascii="Arial" w:hAnsi="Arial" w:cs="Arial"/>
          <w:sz w:val="24"/>
          <w:szCs w:val="24"/>
        </w:rPr>
        <w:t xml:space="preserve"> £9,736m - £2,511m = £7,225m</w:t>
      </w:r>
    </w:p>
    <w:p w14:paraId="5F906DDA" w14:textId="6DCD83CC" w:rsidR="002215B9" w:rsidRPr="00223965" w:rsidRDefault="001E0F45" w:rsidP="00223965">
      <w:pPr>
        <w:spacing w:line="360" w:lineRule="auto"/>
        <w:ind w:left="360"/>
        <w:jc w:val="both"/>
        <w:rPr>
          <w:rFonts w:ascii="Arial" w:hAnsi="Arial" w:cs="Arial"/>
          <w:sz w:val="24"/>
          <w:szCs w:val="24"/>
        </w:rPr>
      </w:pPr>
      <w:r w:rsidRPr="00223965">
        <w:rPr>
          <w:rFonts w:ascii="Arial" w:hAnsi="Arial" w:cs="Arial"/>
          <w:sz w:val="24"/>
          <w:szCs w:val="24"/>
        </w:rPr>
        <w:t>ROCE</w:t>
      </w:r>
      <w:r w:rsidR="00E34FF7" w:rsidRPr="00223965">
        <w:rPr>
          <w:rFonts w:ascii="Arial" w:hAnsi="Arial" w:cs="Arial"/>
          <w:sz w:val="24"/>
          <w:szCs w:val="24"/>
        </w:rPr>
        <w:t>=</w:t>
      </w:r>
      <w:r w:rsidRPr="00223965">
        <w:rPr>
          <w:rFonts w:ascii="Arial" w:hAnsi="Arial" w:cs="Arial"/>
          <w:sz w:val="24"/>
          <w:szCs w:val="24"/>
        </w:rPr>
        <w:t xml:space="preserve">£805m / £7,225m = 0.1114 </w:t>
      </w:r>
      <w:r w:rsidR="009C76BA" w:rsidRPr="00223965">
        <w:rPr>
          <w:rFonts w:ascii="Arial" w:hAnsi="Arial" w:cs="Arial"/>
          <w:sz w:val="24"/>
          <w:szCs w:val="24"/>
        </w:rPr>
        <w:t>=</w:t>
      </w:r>
      <w:r w:rsidRPr="00223965">
        <w:rPr>
          <w:rFonts w:ascii="Arial" w:hAnsi="Arial" w:cs="Arial"/>
          <w:sz w:val="24"/>
          <w:szCs w:val="24"/>
        </w:rPr>
        <w:t>11.14%</w:t>
      </w:r>
    </w:p>
    <w:p w14:paraId="4A18EE79" w14:textId="559B6426" w:rsidR="00A95BC1" w:rsidRPr="00223965" w:rsidRDefault="00A95BC1"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39817F95" w14:textId="1B3EFB55" w:rsidR="00A95BC1" w:rsidRPr="00223965" w:rsidRDefault="00A95BC1" w:rsidP="00223965">
      <w:pPr>
        <w:spacing w:line="360" w:lineRule="auto"/>
        <w:ind w:left="360"/>
        <w:jc w:val="both"/>
        <w:rPr>
          <w:rFonts w:ascii="Arial" w:hAnsi="Arial" w:cs="Arial"/>
          <w:sz w:val="24"/>
          <w:szCs w:val="24"/>
        </w:rPr>
      </w:pPr>
      <w:r w:rsidRPr="00223965">
        <w:rPr>
          <w:rFonts w:ascii="Arial" w:hAnsi="Arial" w:cs="Arial"/>
          <w:sz w:val="24"/>
          <w:szCs w:val="24"/>
        </w:rPr>
        <w:t>Capital Employed</w:t>
      </w:r>
      <w:r w:rsidR="00E34FF7" w:rsidRPr="00223965">
        <w:rPr>
          <w:rFonts w:ascii="Arial" w:hAnsi="Arial" w:cs="Arial"/>
          <w:sz w:val="24"/>
          <w:szCs w:val="24"/>
        </w:rPr>
        <w:t>=</w:t>
      </w:r>
      <w:r w:rsidRPr="00223965">
        <w:rPr>
          <w:rFonts w:ascii="Arial" w:hAnsi="Arial" w:cs="Arial"/>
          <w:sz w:val="24"/>
          <w:szCs w:val="24"/>
        </w:rPr>
        <w:t xml:space="preserve"> £10,087m - £3,046m = £7,041m</w:t>
      </w:r>
    </w:p>
    <w:p w14:paraId="3EBEF408" w14:textId="6363DE7C" w:rsidR="009C76BA" w:rsidRPr="00223965" w:rsidRDefault="00A95BC1" w:rsidP="00223965">
      <w:pPr>
        <w:spacing w:line="360" w:lineRule="auto"/>
        <w:ind w:left="360"/>
        <w:jc w:val="both"/>
        <w:rPr>
          <w:rFonts w:ascii="Arial" w:hAnsi="Arial" w:cs="Arial"/>
          <w:sz w:val="24"/>
          <w:szCs w:val="24"/>
        </w:rPr>
      </w:pPr>
      <w:r w:rsidRPr="00223965">
        <w:rPr>
          <w:rFonts w:ascii="Arial" w:hAnsi="Arial" w:cs="Arial"/>
          <w:sz w:val="24"/>
          <w:szCs w:val="24"/>
        </w:rPr>
        <w:t>ROCE</w:t>
      </w:r>
      <w:r w:rsidR="00E34FF7" w:rsidRPr="00223965">
        <w:rPr>
          <w:rFonts w:ascii="Arial" w:hAnsi="Arial" w:cs="Arial"/>
          <w:sz w:val="24"/>
          <w:szCs w:val="24"/>
        </w:rPr>
        <w:t>=</w:t>
      </w:r>
      <w:r w:rsidRPr="00223965">
        <w:rPr>
          <w:rFonts w:ascii="Arial" w:hAnsi="Arial" w:cs="Arial"/>
          <w:sz w:val="24"/>
          <w:szCs w:val="24"/>
        </w:rPr>
        <w:t xml:space="preserve"> £699m / £7,041m = 0.0992 = 9.92%</w:t>
      </w:r>
    </w:p>
    <w:p w14:paraId="3325EF0A" w14:textId="77777777" w:rsidR="00047EAD" w:rsidRDefault="00047EAD" w:rsidP="00223965">
      <w:pPr>
        <w:spacing w:line="360" w:lineRule="auto"/>
        <w:ind w:left="360"/>
        <w:jc w:val="both"/>
        <w:rPr>
          <w:rFonts w:ascii="Arial" w:hAnsi="Arial" w:cs="Arial"/>
          <w:b/>
          <w:bCs/>
          <w:sz w:val="24"/>
          <w:szCs w:val="24"/>
        </w:rPr>
      </w:pPr>
    </w:p>
    <w:p w14:paraId="62BFCE39" w14:textId="027DE77A" w:rsidR="00AE61CD" w:rsidRPr="00223965" w:rsidRDefault="003F28FA" w:rsidP="00223965">
      <w:pPr>
        <w:spacing w:line="360" w:lineRule="auto"/>
        <w:ind w:left="360"/>
        <w:jc w:val="both"/>
        <w:rPr>
          <w:rFonts w:ascii="Arial" w:hAnsi="Arial" w:cs="Arial"/>
          <w:b/>
          <w:bCs/>
          <w:color w:val="C00000"/>
          <w:sz w:val="24"/>
          <w:szCs w:val="24"/>
        </w:rPr>
      </w:pPr>
      <w:r w:rsidRPr="00223965">
        <w:rPr>
          <w:rFonts w:ascii="Arial" w:hAnsi="Arial" w:cs="Arial"/>
          <w:b/>
          <w:bCs/>
          <w:sz w:val="24"/>
          <w:szCs w:val="24"/>
        </w:rPr>
        <w:t>2.</w:t>
      </w:r>
      <w:r w:rsidR="00AE61CD" w:rsidRPr="00223965">
        <w:rPr>
          <w:rFonts w:ascii="Arial" w:hAnsi="Arial" w:cs="Arial"/>
          <w:b/>
          <w:bCs/>
          <w:color w:val="C00000"/>
          <w:sz w:val="24"/>
          <w:szCs w:val="24"/>
        </w:rPr>
        <w:t xml:space="preserve">          </w:t>
      </w:r>
    </w:p>
    <w:p w14:paraId="2884B981" w14:textId="769CAEF9" w:rsidR="00FF52A6" w:rsidRPr="00223965" w:rsidRDefault="00FF52A6"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ROE= Equity/Net Profit</w:t>
      </w:r>
    </w:p>
    <w:p w14:paraId="79F189F7" w14:textId="7D32D684" w:rsidR="0091360B" w:rsidRPr="00223965" w:rsidRDefault="0091360B"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2022:</w:t>
      </w:r>
    </w:p>
    <w:p w14:paraId="4246B47A" w14:textId="0942575A" w:rsidR="0091360B" w:rsidRPr="00223965" w:rsidRDefault="0091360B" w:rsidP="00223965">
      <w:pPr>
        <w:spacing w:line="360" w:lineRule="auto"/>
        <w:ind w:left="360"/>
        <w:jc w:val="both"/>
        <w:rPr>
          <w:rFonts w:ascii="Arial" w:hAnsi="Arial" w:cs="Arial"/>
          <w:sz w:val="24"/>
          <w:szCs w:val="24"/>
        </w:rPr>
      </w:pPr>
      <w:r w:rsidRPr="00223965">
        <w:rPr>
          <w:rFonts w:ascii="Arial" w:hAnsi="Arial" w:cs="Arial"/>
          <w:sz w:val="24"/>
          <w:szCs w:val="24"/>
        </w:rPr>
        <w:t>ROE</w:t>
      </w:r>
      <w:r w:rsidR="00E34FF7" w:rsidRPr="00223965">
        <w:rPr>
          <w:rFonts w:ascii="Arial" w:hAnsi="Arial" w:cs="Arial"/>
          <w:sz w:val="24"/>
          <w:szCs w:val="24"/>
        </w:rPr>
        <w:t>=</w:t>
      </w:r>
      <w:r w:rsidRPr="00223965">
        <w:rPr>
          <w:rFonts w:ascii="Arial" w:hAnsi="Arial" w:cs="Arial"/>
          <w:sz w:val="24"/>
          <w:szCs w:val="24"/>
        </w:rPr>
        <w:t xml:space="preserve"> £431m / £3,088m = 0.1396 = 13.96%</w:t>
      </w:r>
    </w:p>
    <w:p w14:paraId="2D868DF4" w14:textId="17726E1C" w:rsidR="0091360B" w:rsidRPr="00223965" w:rsidRDefault="0091360B"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14C1E7F8" w14:textId="7F8F4293" w:rsidR="00FF52A6" w:rsidRPr="00223965" w:rsidRDefault="0091360B" w:rsidP="00223965">
      <w:pPr>
        <w:spacing w:line="360" w:lineRule="auto"/>
        <w:ind w:left="360"/>
        <w:jc w:val="both"/>
        <w:rPr>
          <w:rFonts w:ascii="Arial" w:hAnsi="Arial" w:cs="Arial"/>
          <w:sz w:val="24"/>
          <w:szCs w:val="24"/>
        </w:rPr>
      </w:pPr>
      <w:r w:rsidRPr="00223965">
        <w:rPr>
          <w:rFonts w:ascii="Arial" w:hAnsi="Arial" w:cs="Arial"/>
          <w:sz w:val="24"/>
          <w:szCs w:val="24"/>
        </w:rPr>
        <w:t>ROE</w:t>
      </w:r>
      <w:r w:rsidR="00E34FF7" w:rsidRPr="00223965">
        <w:rPr>
          <w:rFonts w:ascii="Arial" w:hAnsi="Arial" w:cs="Arial"/>
          <w:sz w:val="24"/>
          <w:szCs w:val="24"/>
        </w:rPr>
        <w:t>=</w:t>
      </w:r>
      <w:r w:rsidRPr="00223965">
        <w:rPr>
          <w:rFonts w:ascii="Arial" w:hAnsi="Arial" w:cs="Arial"/>
          <w:sz w:val="24"/>
          <w:szCs w:val="24"/>
        </w:rPr>
        <w:t xml:space="preserve"> £366m / £2,912m = 0.1257 = 12.57%</w:t>
      </w:r>
    </w:p>
    <w:p w14:paraId="0A70F606" w14:textId="77777777" w:rsidR="00047EAD" w:rsidRDefault="00047EAD" w:rsidP="00223965">
      <w:pPr>
        <w:spacing w:line="360" w:lineRule="auto"/>
        <w:ind w:left="360"/>
        <w:jc w:val="both"/>
        <w:rPr>
          <w:rFonts w:ascii="Arial" w:hAnsi="Arial" w:cs="Arial"/>
          <w:b/>
          <w:bCs/>
          <w:sz w:val="24"/>
          <w:szCs w:val="24"/>
        </w:rPr>
      </w:pPr>
    </w:p>
    <w:p w14:paraId="14E548D9" w14:textId="5150238F" w:rsidR="00F17ECB" w:rsidRPr="00223965" w:rsidRDefault="0053765F" w:rsidP="00223965">
      <w:pPr>
        <w:spacing w:line="360" w:lineRule="auto"/>
        <w:ind w:left="360"/>
        <w:jc w:val="both"/>
        <w:rPr>
          <w:rFonts w:ascii="Arial" w:hAnsi="Arial" w:cs="Arial"/>
          <w:b/>
          <w:bCs/>
          <w:sz w:val="24"/>
          <w:szCs w:val="24"/>
        </w:rPr>
      </w:pPr>
      <w:r w:rsidRPr="00223965">
        <w:rPr>
          <w:rFonts w:ascii="Arial" w:hAnsi="Arial" w:cs="Arial"/>
          <w:b/>
          <w:bCs/>
          <w:sz w:val="24"/>
          <w:szCs w:val="24"/>
        </w:rPr>
        <w:t>3.</w:t>
      </w:r>
      <w:r w:rsidR="00F17ECB" w:rsidRPr="00223965">
        <w:rPr>
          <w:rFonts w:ascii="Arial" w:hAnsi="Arial" w:cs="Arial"/>
          <w:b/>
          <w:bCs/>
          <w:sz w:val="24"/>
          <w:szCs w:val="24"/>
        </w:rPr>
        <w:t xml:space="preserve">            </w:t>
      </w:r>
    </w:p>
    <w:p w14:paraId="4F2DE013" w14:textId="7946767D" w:rsidR="00F17ECB" w:rsidRPr="00223965" w:rsidRDefault="00760EFA"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EPS= Amount of Shares/Profit for the Year</w:t>
      </w:r>
    </w:p>
    <w:p w14:paraId="701DAD8A" w14:textId="6B6C259D" w:rsidR="00760EFA" w:rsidRPr="00223965" w:rsidRDefault="00760EFA"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lastRenderedPageBreak/>
        <w:t>Number of Shares = Ordinary Share Capital / Par Value per Share</w:t>
      </w:r>
    </w:p>
    <w:p w14:paraId="59647F57" w14:textId="129F0B3A" w:rsidR="00307D18" w:rsidRPr="00223965" w:rsidRDefault="00307D18" w:rsidP="00223965">
      <w:pPr>
        <w:spacing w:line="360" w:lineRule="auto"/>
        <w:ind w:left="360"/>
        <w:jc w:val="both"/>
        <w:rPr>
          <w:rFonts w:ascii="Arial" w:hAnsi="Arial" w:cs="Arial"/>
          <w:sz w:val="24"/>
          <w:szCs w:val="24"/>
        </w:rPr>
      </w:pPr>
      <w:r w:rsidRPr="00223965">
        <w:rPr>
          <w:rFonts w:ascii="Arial" w:hAnsi="Arial" w:cs="Arial"/>
          <w:sz w:val="24"/>
          <w:szCs w:val="24"/>
        </w:rPr>
        <w:t>Number of Shares= £300m / £0.50 = 600m shares</w:t>
      </w:r>
    </w:p>
    <w:p w14:paraId="4FD23E7C" w14:textId="77777777" w:rsidR="00307D18" w:rsidRPr="00223965" w:rsidRDefault="00307D18" w:rsidP="00223965">
      <w:pPr>
        <w:spacing w:line="360" w:lineRule="auto"/>
        <w:ind w:left="360"/>
        <w:jc w:val="both"/>
        <w:rPr>
          <w:rFonts w:ascii="Arial" w:hAnsi="Arial" w:cs="Arial"/>
          <w:b/>
          <w:bCs/>
          <w:sz w:val="24"/>
          <w:szCs w:val="24"/>
        </w:rPr>
      </w:pPr>
      <w:r w:rsidRPr="00223965">
        <w:rPr>
          <w:rFonts w:ascii="Arial" w:hAnsi="Arial" w:cs="Arial"/>
          <w:b/>
          <w:bCs/>
          <w:sz w:val="24"/>
          <w:szCs w:val="24"/>
        </w:rPr>
        <w:t xml:space="preserve">Year 2022 </w:t>
      </w:r>
    </w:p>
    <w:p w14:paraId="7F761307" w14:textId="52C34CFD" w:rsidR="00307D18" w:rsidRPr="00223965" w:rsidRDefault="00307D18" w:rsidP="00223965">
      <w:pPr>
        <w:spacing w:line="360" w:lineRule="auto"/>
        <w:ind w:left="360"/>
        <w:jc w:val="both"/>
        <w:rPr>
          <w:rFonts w:ascii="Arial" w:hAnsi="Arial" w:cs="Arial"/>
          <w:sz w:val="24"/>
          <w:szCs w:val="24"/>
        </w:rPr>
      </w:pPr>
      <w:r w:rsidRPr="00223965">
        <w:rPr>
          <w:rFonts w:ascii="Arial" w:hAnsi="Arial" w:cs="Arial"/>
          <w:sz w:val="24"/>
          <w:szCs w:val="24"/>
        </w:rPr>
        <w:t>EPS</w:t>
      </w:r>
      <w:r w:rsidR="00E34FF7" w:rsidRPr="00223965">
        <w:rPr>
          <w:rFonts w:ascii="Arial" w:hAnsi="Arial" w:cs="Arial"/>
          <w:sz w:val="24"/>
          <w:szCs w:val="24"/>
        </w:rPr>
        <w:t>=</w:t>
      </w:r>
      <w:r w:rsidRPr="00223965">
        <w:rPr>
          <w:rFonts w:ascii="Arial" w:hAnsi="Arial" w:cs="Arial"/>
          <w:sz w:val="24"/>
          <w:szCs w:val="24"/>
        </w:rPr>
        <w:t xml:space="preserve"> £431m / 600m = £0.7183 per share</w:t>
      </w:r>
    </w:p>
    <w:p w14:paraId="1A998816" w14:textId="77777777" w:rsidR="00307D18" w:rsidRPr="00223965" w:rsidRDefault="00307D18" w:rsidP="00223965">
      <w:pPr>
        <w:spacing w:line="360" w:lineRule="auto"/>
        <w:ind w:left="360"/>
        <w:jc w:val="both"/>
        <w:rPr>
          <w:rFonts w:ascii="Arial" w:hAnsi="Arial" w:cs="Arial"/>
          <w:sz w:val="24"/>
          <w:szCs w:val="24"/>
        </w:rPr>
      </w:pPr>
      <w:r w:rsidRPr="00223965">
        <w:rPr>
          <w:rFonts w:ascii="Arial" w:hAnsi="Arial" w:cs="Arial"/>
          <w:b/>
          <w:bCs/>
          <w:sz w:val="24"/>
          <w:szCs w:val="24"/>
        </w:rPr>
        <w:t>Year 2021</w:t>
      </w:r>
      <w:r w:rsidRPr="00223965">
        <w:rPr>
          <w:rFonts w:ascii="Arial" w:hAnsi="Arial" w:cs="Arial"/>
          <w:sz w:val="24"/>
          <w:szCs w:val="24"/>
        </w:rPr>
        <w:t xml:space="preserve"> </w:t>
      </w:r>
    </w:p>
    <w:p w14:paraId="6BCE2630" w14:textId="037AE6CE" w:rsidR="00307D18" w:rsidRPr="00223965" w:rsidRDefault="00307D18" w:rsidP="00223965">
      <w:pPr>
        <w:spacing w:line="360" w:lineRule="auto"/>
        <w:ind w:left="360"/>
        <w:jc w:val="both"/>
        <w:rPr>
          <w:rFonts w:ascii="Arial" w:hAnsi="Arial" w:cs="Arial"/>
          <w:sz w:val="24"/>
          <w:szCs w:val="24"/>
        </w:rPr>
      </w:pPr>
      <w:r w:rsidRPr="00223965">
        <w:rPr>
          <w:rFonts w:ascii="Arial" w:hAnsi="Arial" w:cs="Arial"/>
          <w:sz w:val="24"/>
          <w:szCs w:val="24"/>
        </w:rPr>
        <w:t>EPS</w:t>
      </w:r>
      <w:r w:rsidR="00E34FF7" w:rsidRPr="00223965">
        <w:rPr>
          <w:rFonts w:ascii="Arial" w:hAnsi="Arial" w:cs="Arial"/>
          <w:sz w:val="24"/>
          <w:szCs w:val="24"/>
        </w:rPr>
        <w:t>=</w:t>
      </w:r>
      <w:r w:rsidRPr="00223965">
        <w:rPr>
          <w:rFonts w:ascii="Arial" w:hAnsi="Arial" w:cs="Arial"/>
          <w:sz w:val="24"/>
          <w:szCs w:val="24"/>
        </w:rPr>
        <w:t>£366m / 600m = £0.6100 per share</w:t>
      </w:r>
    </w:p>
    <w:p w14:paraId="43D52971" w14:textId="77777777" w:rsidR="00047EAD" w:rsidRDefault="00047EAD" w:rsidP="00223965">
      <w:pPr>
        <w:spacing w:line="360" w:lineRule="auto"/>
        <w:ind w:left="360"/>
        <w:jc w:val="both"/>
        <w:rPr>
          <w:rFonts w:ascii="Arial" w:hAnsi="Arial" w:cs="Arial"/>
          <w:b/>
          <w:bCs/>
          <w:sz w:val="24"/>
          <w:szCs w:val="24"/>
        </w:rPr>
      </w:pPr>
    </w:p>
    <w:p w14:paraId="421C5464" w14:textId="480D5DD2" w:rsidR="00307D18" w:rsidRPr="00223965" w:rsidRDefault="00260735" w:rsidP="00223965">
      <w:pPr>
        <w:spacing w:line="360" w:lineRule="auto"/>
        <w:ind w:left="360"/>
        <w:jc w:val="both"/>
        <w:rPr>
          <w:rFonts w:ascii="Arial" w:hAnsi="Arial" w:cs="Arial"/>
          <w:b/>
          <w:bCs/>
          <w:sz w:val="24"/>
          <w:szCs w:val="24"/>
        </w:rPr>
      </w:pPr>
      <w:r w:rsidRPr="00223965">
        <w:rPr>
          <w:rFonts w:ascii="Arial" w:hAnsi="Arial" w:cs="Arial"/>
          <w:b/>
          <w:bCs/>
          <w:sz w:val="24"/>
          <w:szCs w:val="24"/>
        </w:rPr>
        <w:t>4.</w:t>
      </w:r>
      <w:r w:rsidR="00736BF7" w:rsidRPr="00223965">
        <w:rPr>
          <w:rFonts w:ascii="Arial" w:hAnsi="Arial" w:cs="Arial"/>
          <w:b/>
          <w:bCs/>
          <w:sz w:val="24"/>
          <w:szCs w:val="24"/>
        </w:rPr>
        <w:t xml:space="preserve">          </w:t>
      </w:r>
    </w:p>
    <w:p w14:paraId="6DA25EF3" w14:textId="09D3D248" w:rsidR="00736BF7" w:rsidRPr="00223965" w:rsidRDefault="00736BF7"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Net Profit Margin= Revenue/Net Profit</w:t>
      </w:r>
    </w:p>
    <w:p w14:paraId="4FDD936F" w14:textId="0F9CC4DB" w:rsidR="00B85360" w:rsidRPr="00223965" w:rsidRDefault="00B85360"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2022:</w:t>
      </w:r>
    </w:p>
    <w:p w14:paraId="026DFA78" w14:textId="048EDB99" w:rsidR="00B85360" w:rsidRPr="00223965" w:rsidRDefault="00B85360" w:rsidP="00223965">
      <w:pPr>
        <w:spacing w:line="360" w:lineRule="auto"/>
        <w:ind w:left="360"/>
        <w:jc w:val="both"/>
        <w:rPr>
          <w:rFonts w:ascii="Arial" w:hAnsi="Arial" w:cs="Arial"/>
          <w:sz w:val="24"/>
          <w:szCs w:val="24"/>
        </w:rPr>
      </w:pPr>
      <w:r w:rsidRPr="00223965">
        <w:rPr>
          <w:rFonts w:ascii="Arial" w:hAnsi="Arial" w:cs="Arial"/>
          <w:sz w:val="24"/>
          <w:szCs w:val="24"/>
        </w:rPr>
        <w:t>Net Profit Margin</w:t>
      </w:r>
      <w:r w:rsidR="00E34FF7" w:rsidRPr="00223965">
        <w:rPr>
          <w:rFonts w:ascii="Arial" w:hAnsi="Arial" w:cs="Arial"/>
          <w:sz w:val="24"/>
          <w:szCs w:val="24"/>
        </w:rPr>
        <w:t>=</w:t>
      </w:r>
      <w:r w:rsidRPr="00223965">
        <w:rPr>
          <w:rFonts w:ascii="Arial" w:hAnsi="Arial" w:cs="Arial"/>
          <w:sz w:val="24"/>
          <w:szCs w:val="24"/>
        </w:rPr>
        <w:t xml:space="preserve"> £431m / £6,738m = 0.0640 = 6.40%</w:t>
      </w:r>
    </w:p>
    <w:p w14:paraId="502E8BB5" w14:textId="42123AF9" w:rsidR="00B85360" w:rsidRPr="00223965" w:rsidRDefault="00B85360"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355651E1" w14:textId="6B70629F" w:rsidR="00736BF7" w:rsidRPr="00223965" w:rsidRDefault="00B85360" w:rsidP="00223965">
      <w:pPr>
        <w:spacing w:line="360" w:lineRule="auto"/>
        <w:ind w:left="360"/>
        <w:jc w:val="both"/>
        <w:rPr>
          <w:rFonts w:ascii="Arial" w:hAnsi="Arial" w:cs="Arial"/>
          <w:sz w:val="24"/>
          <w:szCs w:val="24"/>
        </w:rPr>
      </w:pPr>
      <w:r w:rsidRPr="00223965">
        <w:rPr>
          <w:rFonts w:ascii="Arial" w:hAnsi="Arial" w:cs="Arial"/>
          <w:sz w:val="24"/>
          <w:szCs w:val="24"/>
        </w:rPr>
        <w:t>Net Profit Margin</w:t>
      </w:r>
      <w:r w:rsidR="00E34FF7" w:rsidRPr="00223965">
        <w:rPr>
          <w:rFonts w:ascii="Arial" w:hAnsi="Arial" w:cs="Arial"/>
          <w:sz w:val="24"/>
          <w:szCs w:val="24"/>
        </w:rPr>
        <w:t>=</w:t>
      </w:r>
      <w:r w:rsidRPr="00223965">
        <w:rPr>
          <w:rFonts w:ascii="Arial" w:hAnsi="Arial" w:cs="Arial"/>
          <w:sz w:val="24"/>
          <w:szCs w:val="24"/>
        </w:rPr>
        <w:t>£366m / £6,441m = 0.0568 = 5.68%</w:t>
      </w:r>
    </w:p>
    <w:p w14:paraId="165637E7" w14:textId="77777777" w:rsidR="00047EAD" w:rsidRDefault="00047EAD" w:rsidP="00223965">
      <w:pPr>
        <w:spacing w:line="360" w:lineRule="auto"/>
        <w:ind w:left="360"/>
        <w:jc w:val="both"/>
        <w:rPr>
          <w:rFonts w:ascii="Arial" w:hAnsi="Arial" w:cs="Arial"/>
          <w:b/>
          <w:bCs/>
          <w:sz w:val="24"/>
          <w:szCs w:val="24"/>
        </w:rPr>
      </w:pPr>
    </w:p>
    <w:p w14:paraId="46212443" w14:textId="63A399F5" w:rsidR="00B85360" w:rsidRPr="00223965" w:rsidRDefault="00BA382A" w:rsidP="00223965">
      <w:pPr>
        <w:spacing w:line="360" w:lineRule="auto"/>
        <w:ind w:left="360"/>
        <w:jc w:val="both"/>
        <w:rPr>
          <w:rFonts w:ascii="Arial" w:hAnsi="Arial" w:cs="Arial"/>
          <w:b/>
          <w:bCs/>
          <w:sz w:val="24"/>
          <w:szCs w:val="24"/>
        </w:rPr>
      </w:pPr>
      <w:r w:rsidRPr="00223965">
        <w:rPr>
          <w:rFonts w:ascii="Arial" w:hAnsi="Arial" w:cs="Arial"/>
          <w:b/>
          <w:bCs/>
          <w:sz w:val="24"/>
          <w:szCs w:val="24"/>
        </w:rPr>
        <w:t>5.</w:t>
      </w:r>
      <w:r w:rsidR="0006508A" w:rsidRPr="00223965">
        <w:rPr>
          <w:rFonts w:ascii="Arial" w:hAnsi="Arial" w:cs="Arial"/>
          <w:b/>
          <w:bCs/>
          <w:sz w:val="24"/>
          <w:szCs w:val="24"/>
        </w:rPr>
        <w:t xml:space="preserve">          </w:t>
      </w:r>
    </w:p>
    <w:p w14:paraId="744037A7" w14:textId="204A09EA" w:rsidR="0006508A" w:rsidRPr="00223965" w:rsidRDefault="0006508A"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Asset Turnover= Average Total Assets/Revenue</w:t>
      </w:r>
    </w:p>
    <w:p w14:paraId="504E5E11" w14:textId="2CEFDCB7" w:rsidR="0006508A" w:rsidRPr="00223965" w:rsidRDefault="00F826D9"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Average Total Assets = (Current Year Total Assets + Previous Year Total Assets) / 2</w:t>
      </w:r>
    </w:p>
    <w:p w14:paraId="7F0E449A" w14:textId="0C44D8D8" w:rsidR="00DE4E13" w:rsidRPr="00223965" w:rsidRDefault="00DE4E13"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2022:</w:t>
      </w:r>
    </w:p>
    <w:p w14:paraId="616AB856" w14:textId="7503481A" w:rsidR="00DE4E13" w:rsidRPr="00223965" w:rsidRDefault="00DE4E13" w:rsidP="00223965">
      <w:pPr>
        <w:spacing w:line="360" w:lineRule="auto"/>
        <w:ind w:left="360"/>
        <w:jc w:val="both"/>
        <w:rPr>
          <w:rFonts w:ascii="Arial" w:hAnsi="Arial" w:cs="Arial"/>
          <w:sz w:val="24"/>
          <w:szCs w:val="24"/>
        </w:rPr>
      </w:pPr>
      <w:r w:rsidRPr="00223965">
        <w:rPr>
          <w:rFonts w:ascii="Arial" w:hAnsi="Arial" w:cs="Arial"/>
          <w:sz w:val="24"/>
          <w:szCs w:val="24"/>
        </w:rPr>
        <w:t>Average Total Assets</w:t>
      </w:r>
      <w:r w:rsidR="00E34FF7" w:rsidRPr="00223965">
        <w:rPr>
          <w:rFonts w:ascii="Arial" w:hAnsi="Arial" w:cs="Arial"/>
          <w:sz w:val="24"/>
          <w:szCs w:val="24"/>
        </w:rPr>
        <w:t>=</w:t>
      </w:r>
      <w:r w:rsidRPr="00223965">
        <w:rPr>
          <w:rFonts w:ascii="Arial" w:hAnsi="Arial" w:cs="Arial"/>
          <w:sz w:val="24"/>
          <w:szCs w:val="24"/>
        </w:rPr>
        <w:t xml:space="preserve"> (£9,736m + £10,087m) / 2 =</w:t>
      </w:r>
      <w:r w:rsidR="00430CB8" w:rsidRPr="00223965">
        <w:rPr>
          <w:rFonts w:ascii="Arial" w:hAnsi="Arial" w:cs="Arial"/>
          <w:sz w:val="24"/>
          <w:szCs w:val="24"/>
        </w:rPr>
        <w:t>1</w:t>
      </w:r>
      <w:r w:rsidR="00095E13" w:rsidRPr="00223965">
        <w:rPr>
          <w:rFonts w:ascii="Arial" w:hAnsi="Arial" w:cs="Arial"/>
          <w:sz w:val="24"/>
          <w:szCs w:val="24"/>
        </w:rPr>
        <w:t>9,823/2=</w:t>
      </w:r>
      <w:r w:rsidRPr="00223965">
        <w:rPr>
          <w:rFonts w:ascii="Arial" w:hAnsi="Arial" w:cs="Arial"/>
          <w:sz w:val="24"/>
          <w:szCs w:val="24"/>
        </w:rPr>
        <w:t xml:space="preserve"> £9,911.5m</w:t>
      </w:r>
    </w:p>
    <w:p w14:paraId="562EA6C3" w14:textId="55894499" w:rsidR="00DE4E13" w:rsidRPr="00223965" w:rsidRDefault="00DE4E13" w:rsidP="00223965">
      <w:pPr>
        <w:spacing w:line="360" w:lineRule="auto"/>
        <w:ind w:left="360"/>
        <w:jc w:val="both"/>
        <w:rPr>
          <w:rFonts w:ascii="Arial" w:hAnsi="Arial" w:cs="Arial"/>
          <w:sz w:val="24"/>
          <w:szCs w:val="24"/>
        </w:rPr>
      </w:pPr>
      <w:r w:rsidRPr="00223965">
        <w:rPr>
          <w:rFonts w:ascii="Arial" w:hAnsi="Arial" w:cs="Arial"/>
          <w:sz w:val="24"/>
          <w:szCs w:val="24"/>
        </w:rPr>
        <w:t>Asset Turnover</w:t>
      </w:r>
      <w:r w:rsidR="00E34FF7" w:rsidRPr="00223965">
        <w:rPr>
          <w:rFonts w:ascii="Arial" w:hAnsi="Arial" w:cs="Arial"/>
          <w:sz w:val="24"/>
          <w:szCs w:val="24"/>
        </w:rPr>
        <w:t>=</w:t>
      </w:r>
      <w:r w:rsidRPr="00223965">
        <w:rPr>
          <w:rFonts w:ascii="Arial" w:hAnsi="Arial" w:cs="Arial"/>
          <w:sz w:val="24"/>
          <w:szCs w:val="24"/>
        </w:rPr>
        <w:t xml:space="preserve"> £6,738m / £9,911.5m = 0.6796</w:t>
      </w:r>
    </w:p>
    <w:p w14:paraId="04A7DE49" w14:textId="77777777" w:rsidR="00223965" w:rsidRDefault="00223965" w:rsidP="00223965">
      <w:pPr>
        <w:spacing w:line="360" w:lineRule="auto"/>
        <w:ind w:left="360"/>
        <w:jc w:val="both"/>
        <w:rPr>
          <w:rFonts w:ascii="Arial" w:hAnsi="Arial" w:cs="Arial"/>
          <w:b/>
          <w:bCs/>
          <w:sz w:val="24"/>
          <w:szCs w:val="24"/>
        </w:rPr>
      </w:pPr>
    </w:p>
    <w:p w14:paraId="459F9D4A" w14:textId="6D0F727C" w:rsidR="00FC7BB3" w:rsidRPr="00223965" w:rsidRDefault="00BA382A" w:rsidP="00223965">
      <w:pPr>
        <w:spacing w:line="360" w:lineRule="auto"/>
        <w:ind w:left="360"/>
        <w:jc w:val="both"/>
        <w:rPr>
          <w:rFonts w:ascii="Arial" w:hAnsi="Arial" w:cs="Arial"/>
          <w:b/>
          <w:bCs/>
          <w:sz w:val="24"/>
          <w:szCs w:val="24"/>
        </w:rPr>
      </w:pPr>
      <w:r w:rsidRPr="00223965">
        <w:rPr>
          <w:rFonts w:ascii="Arial" w:hAnsi="Arial" w:cs="Arial"/>
          <w:b/>
          <w:bCs/>
          <w:sz w:val="24"/>
          <w:szCs w:val="24"/>
        </w:rPr>
        <w:t>6.</w:t>
      </w:r>
      <w:r w:rsidR="00FC7BB3" w:rsidRPr="00223965">
        <w:rPr>
          <w:rFonts w:ascii="Arial" w:hAnsi="Arial" w:cs="Arial"/>
          <w:b/>
          <w:bCs/>
          <w:sz w:val="24"/>
          <w:szCs w:val="24"/>
        </w:rPr>
        <w:t xml:space="preserve">        </w:t>
      </w:r>
    </w:p>
    <w:p w14:paraId="5717389F" w14:textId="6C6001F9" w:rsidR="00BD3A1C" w:rsidRPr="00223965" w:rsidRDefault="00BD3A1C"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Stock Holding Days= Inventory/ Cost of sales x 365</w:t>
      </w:r>
    </w:p>
    <w:p w14:paraId="6F385823" w14:textId="2F985A9A" w:rsidR="0003384C" w:rsidRPr="00223965" w:rsidRDefault="00BD3A1C" w:rsidP="00223965">
      <w:pPr>
        <w:spacing w:line="360" w:lineRule="auto"/>
        <w:ind w:left="360"/>
        <w:jc w:val="both"/>
        <w:rPr>
          <w:rFonts w:ascii="Arial" w:hAnsi="Arial" w:cs="Arial"/>
          <w:sz w:val="24"/>
          <w:szCs w:val="24"/>
        </w:rPr>
      </w:pPr>
      <w:r w:rsidRPr="00223965">
        <w:rPr>
          <w:rFonts w:ascii="Arial" w:hAnsi="Arial" w:cs="Arial"/>
          <w:sz w:val="24"/>
          <w:szCs w:val="24"/>
        </w:rPr>
        <w:t>​</w:t>
      </w:r>
      <w:r w:rsidR="0003384C" w:rsidRPr="00223965">
        <w:rPr>
          <w:rFonts w:ascii="Arial" w:hAnsi="Arial" w:cs="Arial"/>
          <w:b/>
          <w:bCs/>
          <w:sz w:val="24"/>
          <w:szCs w:val="24"/>
        </w:rPr>
        <w:t>Year 2022:</w:t>
      </w:r>
    </w:p>
    <w:p w14:paraId="5F9A2FA6" w14:textId="69C6078F" w:rsidR="0003384C" w:rsidRPr="00223965" w:rsidRDefault="0003384C" w:rsidP="00223965">
      <w:pPr>
        <w:spacing w:line="360" w:lineRule="auto"/>
        <w:ind w:left="360"/>
        <w:jc w:val="both"/>
        <w:rPr>
          <w:rFonts w:ascii="Arial" w:hAnsi="Arial" w:cs="Arial"/>
          <w:sz w:val="24"/>
          <w:szCs w:val="24"/>
        </w:rPr>
      </w:pPr>
      <w:r w:rsidRPr="00223965">
        <w:rPr>
          <w:rFonts w:ascii="Arial" w:hAnsi="Arial" w:cs="Arial"/>
          <w:sz w:val="24"/>
          <w:szCs w:val="24"/>
        </w:rPr>
        <w:lastRenderedPageBreak/>
        <w:t>Stock Holding Days</w:t>
      </w:r>
      <w:r w:rsidR="00C24CB9" w:rsidRPr="00223965">
        <w:rPr>
          <w:rFonts w:ascii="Arial" w:hAnsi="Arial" w:cs="Arial"/>
          <w:sz w:val="24"/>
          <w:szCs w:val="24"/>
        </w:rPr>
        <w:t>=</w:t>
      </w:r>
      <w:r w:rsidRPr="00223965">
        <w:rPr>
          <w:rFonts w:ascii="Arial" w:hAnsi="Arial" w:cs="Arial"/>
          <w:sz w:val="24"/>
          <w:szCs w:val="24"/>
        </w:rPr>
        <w:t xml:space="preserve"> £708m / £3,235m × 365 =</w:t>
      </w:r>
      <w:r w:rsidR="001E30D5" w:rsidRPr="00223965">
        <w:rPr>
          <w:rFonts w:ascii="Arial" w:hAnsi="Arial" w:cs="Arial"/>
          <w:sz w:val="24"/>
          <w:szCs w:val="24"/>
        </w:rPr>
        <w:t>0.2</w:t>
      </w:r>
      <w:r w:rsidR="001F7E6F" w:rsidRPr="00223965">
        <w:rPr>
          <w:rFonts w:ascii="Arial" w:hAnsi="Arial" w:cs="Arial"/>
          <w:sz w:val="24"/>
          <w:szCs w:val="24"/>
        </w:rPr>
        <w:t>2</w:t>
      </w:r>
      <w:r w:rsidR="001E30D5" w:rsidRPr="00223965">
        <w:rPr>
          <w:rFonts w:ascii="Arial" w:hAnsi="Arial" w:cs="Arial"/>
          <w:sz w:val="24"/>
          <w:szCs w:val="24"/>
        </w:rPr>
        <w:t>x365=</w:t>
      </w:r>
      <w:r w:rsidRPr="00223965">
        <w:rPr>
          <w:rFonts w:ascii="Arial" w:hAnsi="Arial" w:cs="Arial"/>
          <w:sz w:val="24"/>
          <w:szCs w:val="24"/>
        </w:rPr>
        <w:t xml:space="preserve"> </w:t>
      </w:r>
      <w:r w:rsidR="004133F7" w:rsidRPr="00223965">
        <w:rPr>
          <w:rFonts w:ascii="Arial" w:hAnsi="Arial" w:cs="Arial"/>
          <w:sz w:val="24"/>
          <w:szCs w:val="24"/>
        </w:rPr>
        <w:t>80</w:t>
      </w:r>
      <w:r w:rsidRPr="00223965">
        <w:rPr>
          <w:rFonts w:ascii="Arial" w:hAnsi="Arial" w:cs="Arial"/>
          <w:sz w:val="24"/>
          <w:szCs w:val="24"/>
        </w:rPr>
        <w:t>.</w:t>
      </w:r>
      <w:r w:rsidR="004133F7" w:rsidRPr="00223965">
        <w:rPr>
          <w:rFonts w:ascii="Arial" w:hAnsi="Arial" w:cs="Arial"/>
          <w:sz w:val="24"/>
          <w:szCs w:val="24"/>
        </w:rPr>
        <w:t>3</w:t>
      </w:r>
      <w:r w:rsidRPr="00223965">
        <w:rPr>
          <w:rFonts w:ascii="Arial" w:hAnsi="Arial" w:cs="Arial"/>
          <w:sz w:val="24"/>
          <w:szCs w:val="24"/>
        </w:rPr>
        <w:t xml:space="preserve"> days</w:t>
      </w:r>
    </w:p>
    <w:p w14:paraId="3922D3BD" w14:textId="7941452E" w:rsidR="0003384C" w:rsidRPr="00223965" w:rsidRDefault="0003384C"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65A05169" w14:textId="135F715F" w:rsidR="00AE61CD" w:rsidRPr="00223965" w:rsidRDefault="0003384C" w:rsidP="00223965">
      <w:pPr>
        <w:spacing w:line="360" w:lineRule="auto"/>
        <w:ind w:left="360"/>
        <w:jc w:val="both"/>
        <w:rPr>
          <w:rFonts w:ascii="Arial" w:hAnsi="Arial" w:cs="Arial"/>
          <w:sz w:val="24"/>
          <w:szCs w:val="24"/>
        </w:rPr>
      </w:pPr>
      <w:r w:rsidRPr="00223965">
        <w:rPr>
          <w:rFonts w:ascii="Arial" w:hAnsi="Arial" w:cs="Arial"/>
          <w:sz w:val="24"/>
          <w:szCs w:val="24"/>
        </w:rPr>
        <w:t>Stock Holding Days</w:t>
      </w:r>
      <w:r w:rsidR="00C24CB9" w:rsidRPr="00223965">
        <w:rPr>
          <w:rFonts w:ascii="Arial" w:hAnsi="Arial" w:cs="Arial"/>
          <w:sz w:val="24"/>
          <w:szCs w:val="24"/>
        </w:rPr>
        <w:t>=</w:t>
      </w:r>
      <w:r w:rsidRPr="00223965">
        <w:rPr>
          <w:rFonts w:ascii="Arial" w:hAnsi="Arial" w:cs="Arial"/>
          <w:sz w:val="24"/>
          <w:szCs w:val="24"/>
        </w:rPr>
        <w:t xml:space="preserve"> £659m / £3,096m × 365 = </w:t>
      </w:r>
      <w:r w:rsidR="005900E7" w:rsidRPr="00223965">
        <w:rPr>
          <w:rFonts w:ascii="Arial" w:hAnsi="Arial" w:cs="Arial"/>
          <w:sz w:val="24"/>
          <w:szCs w:val="24"/>
        </w:rPr>
        <w:t>0.21x365=</w:t>
      </w:r>
      <w:r w:rsidRPr="00223965">
        <w:rPr>
          <w:rFonts w:ascii="Arial" w:hAnsi="Arial" w:cs="Arial"/>
          <w:sz w:val="24"/>
          <w:szCs w:val="24"/>
        </w:rPr>
        <w:t>7</w:t>
      </w:r>
      <w:r w:rsidR="004C1494" w:rsidRPr="00223965">
        <w:rPr>
          <w:rFonts w:ascii="Arial" w:hAnsi="Arial" w:cs="Arial"/>
          <w:sz w:val="24"/>
          <w:szCs w:val="24"/>
        </w:rPr>
        <w:t>6</w:t>
      </w:r>
      <w:r w:rsidRPr="00223965">
        <w:rPr>
          <w:rFonts w:ascii="Arial" w:hAnsi="Arial" w:cs="Arial"/>
          <w:sz w:val="24"/>
          <w:szCs w:val="24"/>
        </w:rPr>
        <w:t>.</w:t>
      </w:r>
      <w:r w:rsidR="00895F49" w:rsidRPr="00223965">
        <w:rPr>
          <w:rFonts w:ascii="Arial" w:hAnsi="Arial" w:cs="Arial"/>
          <w:sz w:val="24"/>
          <w:szCs w:val="24"/>
        </w:rPr>
        <w:t>65</w:t>
      </w:r>
      <w:r w:rsidRPr="00223965">
        <w:rPr>
          <w:rFonts w:ascii="Arial" w:hAnsi="Arial" w:cs="Arial"/>
          <w:sz w:val="24"/>
          <w:szCs w:val="24"/>
        </w:rPr>
        <w:t xml:space="preserve"> days</w:t>
      </w:r>
    </w:p>
    <w:p w14:paraId="6D353287" w14:textId="77777777" w:rsidR="00F653AA" w:rsidRDefault="00F653AA" w:rsidP="00223965">
      <w:pPr>
        <w:spacing w:line="360" w:lineRule="auto"/>
        <w:ind w:left="360"/>
        <w:jc w:val="both"/>
        <w:rPr>
          <w:rFonts w:ascii="Arial" w:hAnsi="Arial" w:cs="Arial"/>
          <w:sz w:val="24"/>
          <w:szCs w:val="24"/>
        </w:rPr>
      </w:pPr>
    </w:p>
    <w:p w14:paraId="53780835" w14:textId="6AC04573" w:rsidR="00CE5CA9" w:rsidRPr="00223965" w:rsidRDefault="00BA382A" w:rsidP="00223965">
      <w:pPr>
        <w:spacing w:line="360" w:lineRule="auto"/>
        <w:ind w:left="360"/>
        <w:jc w:val="both"/>
        <w:rPr>
          <w:rFonts w:ascii="Arial" w:hAnsi="Arial" w:cs="Arial"/>
          <w:b/>
          <w:bCs/>
          <w:sz w:val="24"/>
          <w:szCs w:val="24"/>
        </w:rPr>
      </w:pPr>
      <w:r w:rsidRPr="00223965">
        <w:rPr>
          <w:rFonts w:ascii="Arial" w:hAnsi="Arial" w:cs="Arial"/>
          <w:b/>
          <w:bCs/>
          <w:sz w:val="24"/>
          <w:szCs w:val="24"/>
        </w:rPr>
        <w:t>7.</w:t>
      </w:r>
      <w:r w:rsidR="00CE5CA9" w:rsidRPr="00223965">
        <w:rPr>
          <w:rFonts w:ascii="Arial" w:hAnsi="Arial" w:cs="Arial"/>
          <w:b/>
          <w:bCs/>
          <w:sz w:val="24"/>
          <w:szCs w:val="24"/>
        </w:rPr>
        <w:t xml:space="preserve">           </w:t>
      </w:r>
    </w:p>
    <w:p w14:paraId="05801DE7" w14:textId="0CF2E843" w:rsidR="00CE5CA9" w:rsidRPr="00223965" w:rsidRDefault="005A6B8B" w:rsidP="00223965">
      <w:pPr>
        <w:spacing w:line="360" w:lineRule="auto"/>
        <w:ind w:left="360"/>
        <w:jc w:val="both"/>
        <w:rPr>
          <w:rFonts w:ascii="Arial" w:hAnsi="Arial" w:cs="Arial"/>
          <w:b/>
          <w:bCs/>
          <w:color w:val="0070C0"/>
          <w:sz w:val="24"/>
          <w:szCs w:val="24"/>
        </w:rPr>
      </w:pPr>
      <w:proofErr w:type="gramStart"/>
      <w:r w:rsidRPr="00223965">
        <w:rPr>
          <w:rFonts w:ascii="Arial" w:hAnsi="Arial" w:cs="Arial"/>
          <w:b/>
          <w:bCs/>
          <w:color w:val="0070C0"/>
          <w:sz w:val="24"/>
          <w:szCs w:val="24"/>
        </w:rPr>
        <w:t>Debtor</w:t>
      </w:r>
      <w:r w:rsidR="00C24CB9" w:rsidRPr="00223965">
        <w:rPr>
          <w:rFonts w:ascii="Arial" w:hAnsi="Arial" w:cs="Arial"/>
          <w:b/>
          <w:bCs/>
          <w:color w:val="0070C0"/>
          <w:sz w:val="24"/>
          <w:szCs w:val="24"/>
        </w:rPr>
        <w:t>s</w:t>
      </w:r>
      <w:proofErr w:type="gramEnd"/>
      <w:r w:rsidRPr="00223965">
        <w:rPr>
          <w:rFonts w:ascii="Arial" w:hAnsi="Arial" w:cs="Arial"/>
          <w:b/>
          <w:bCs/>
          <w:color w:val="0070C0"/>
          <w:sz w:val="24"/>
          <w:szCs w:val="24"/>
        </w:rPr>
        <w:t xml:space="preserve"> collection period=Trade receivables x365</w:t>
      </w:r>
    </w:p>
    <w:p w14:paraId="09585C46" w14:textId="7215CEDD" w:rsidR="00C24CB9" w:rsidRPr="00223965" w:rsidRDefault="00C24CB9"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2022:</w:t>
      </w:r>
    </w:p>
    <w:p w14:paraId="1DD89E55" w14:textId="73954AFE" w:rsidR="00C24CB9" w:rsidRPr="00223965" w:rsidRDefault="00C24CB9" w:rsidP="00223965">
      <w:pPr>
        <w:spacing w:line="360" w:lineRule="auto"/>
        <w:ind w:left="360"/>
        <w:jc w:val="both"/>
        <w:rPr>
          <w:rFonts w:ascii="Arial" w:hAnsi="Arial" w:cs="Arial"/>
          <w:sz w:val="24"/>
          <w:szCs w:val="24"/>
        </w:rPr>
      </w:pPr>
      <w:r w:rsidRPr="00223965">
        <w:rPr>
          <w:rFonts w:ascii="Arial" w:hAnsi="Arial" w:cs="Arial"/>
          <w:sz w:val="24"/>
          <w:szCs w:val="24"/>
        </w:rPr>
        <w:t xml:space="preserve">Debtors Collection Period= £1,249m / £6,738m × 365 = </w:t>
      </w:r>
      <w:r w:rsidR="002C7A58" w:rsidRPr="00223965">
        <w:rPr>
          <w:rFonts w:ascii="Arial" w:hAnsi="Arial" w:cs="Arial"/>
          <w:sz w:val="24"/>
          <w:szCs w:val="24"/>
        </w:rPr>
        <w:t>0.19x365=</w:t>
      </w:r>
      <w:r w:rsidRPr="00223965">
        <w:rPr>
          <w:rFonts w:ascii="Arial" w:hAnsi="Arial" w:cs="Arial"/>
          <w:sz w:val="24"/>
          <w:szCs w:val="24"/>
        </w:rPr>
        <w:t>6</w:t>
      </w:r>
      <w:r w:rsidR="002C7A58" w:rsidRPr="00223965">
        <w:rPr>
          <w:rFonts w:ascii="Arial" w:hAnsi="Arial" w:cs="Arial"/>
          <w:sz w:val="24"/>
          <w:szCs w:val="24"/>
        </w:rPr>
        <w:t>9</w:t>
      </w:r>
      <w:r w:rsidRPr="00223965">
        <w:rPr>
          <w:rFonts w:ascii="Arial" w:hAnsi="Arial" w:cs="Arial"/>
          <w:sz w:val="24"/>
          <w:szCs w:val="24"/>
        </w:rPr>
        <w:t>.</w:t>
      </w:r>
      <w:r w:rsidR="002C7A58" w:rsidRPr="00223965">
        <w:rPr>
          <w:rFonts w:ascii="Arial" w:hAnsi="Arial" w:cs="Arial"/>
          <w:sz w:val="24"/>
          <w:szCs w:val="24"/>
        </w:rPr>
        <w:t>35</w:t>
      </w:r>
      <w:r w:rsidRPr="00223965">
        <w:rPr>
          <w:rFonts w:ascii="Arial" w:hAnsi="Arial" w:cs="Arial"/>
          <w:sz w:val="24"/>
          <w:szCs w:val="24"/>
        </w:rPr>
        <w:t xml:space="preserve"> days</w:t>
      </w:r>
    </w:p>
    <w:p w14:paraId="1A3EDF80" w14:textId="068B4BC0" w:rsidR="00C24CB9" w:rsidRPr="00223965" w:rsidRDefault="00C24CB9"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6CF83804" w14:textId="392A5E90" w:rsidR="00C24CB9" w:rsidRPr="00223965" w:rsidRDefault="00C24CB9" w:rsidP="00223965">
      <w:pPr>
        <w:spacing w:line="360" w:lineRule="auto"/>
        <w:ind w:left="360"/>
        <w:jc w:val="both"/>
        <w:rPr>
          <w:rFonts w:ascii="Arial" w:hAnsi="Arial" w:cs="Arial"/>
          <w:sz w:val="24"/>
          <w:szCs w:val="24"/>
        </w:rPr>
      </w:pPr>
      <w:r w:rsidRPr="00223965">
        <w:rPr>
          <w:rFonts w:ascii="Arial" w:hAnsi="Arial" w:cs="Arial"/>
          <w:sz w:val="24"/>
          <w:szCs w:val="24"/>
        </w:rPr>
        <w:t>Debtors Collection Period= £1,287m / £6,441m × 365 =</w:t>
      </w:r>
      <w:r w:rsidR="008A2AE4" w:rsidRPr="00223965">
        <w:rPr>
          <w:rFonts w:ascii="Arial" w:hAnsi="Arial" w:cs="Arial"/>
          <w:sz w:val="24"/>
          <w:szCs w:val="24"/>
        </w:rPr>
        <w:t>0.20x365=</w:t>
      </w:r>
      <w:r w:rsidRPr="00223965">
        <w:rPr>
          <w:rFonts w:ascii="Arial" w:hAnsi="Arial" w:cs="Arial"/>
          <w:sz w:val="24"/>
          <w:szCs w:val="24"/>
        </w:rPr>
        <w:t xml:space="preserve"> 7</w:t>
      </w:r>
      <w:r w:rsidR="008A2AE4" w:rsidRPr="00223965">
        <w:rPr>
          <w:rFonts w:ascii="Arial" w:hAnsi="Arial" w:cs="Arial"/>
          <w:sz w:val="24"/>
          <w:szCs w:val="24"/>
        </w:rPr>
        <w:t>3</w:t>
      </w:r>
      <w:r w:rsidRPr="00223965">
        <w:rPr>
          <w:rFonts w:ascii="Arial" w:hAnsi="Arial" w:cs="Arial"/>
          <w:sz w:val="24"/>
          <w:szCs w:val="24"/>
        </w:rPr>
        <w:t xml:space="preserve"> days</w:t>
      </w:r>
    </w:p>
    <w:p w14:paraId="749E78D0" w14:textId="77777777" w:rsidR="004F71C2" w:rsidRDefault="004F71C2" w:rsidP="00223965">
      <w:pPr>
        <w:spacing w:line="360" w:lineRule="auto"/>
        <w:jc w:val="both"/>
        <w:rPr>
          <w:rFonts w:ascii="Arial" w:hAnsi="Arial" w:cs="Arial"/>
          <w:sz w:val="24"/>
          <w:szCs w:val="24"/>
        </w:rPr>
      </w:pPr>
    </w:p>
    <w:p w14:paraId="1F03AEE2" w14:textId="7BE37B48" w:rsidR="004F71C2" w:rsidRPr="00223965" w:rsidRDefault="00BA382A" w:rsidP="00223965">
      <w:pPr>
        <w:spacing w:line="360" w:lineRule="auto"/>
        <w:ind w:left="360"/>
        <w:jc w:val="both"/>
        <w:rPr>
          <w:rFonts w:ascii="Arial" w:hAnsi="Arial" w:cs="Arial"/>
          <w:b/>
          <w:bCs/>
          <w:sz w:val="24"/>
          <w:szCs w:val="24"/>
        </w:rPr>
      </w:pPr>
      <w:r w:rsidRPr="00223965">
        <w:rPr>
          <w:rFonts w:ascii="Arial" w:hAnsi="Arial" w:cs="Arial"/>
          <w:b/>
          <w:bCs/>
          <w:sz w:val="24"/>
          <w:szCs w:val="24"/>
        </w:rPr>
        <w:t>8.</w:t>
      </w:r>
      <w:r w:rsidR="004F71C2" w:rsidRPr="00223965">
        <w:rPr>
          <w:rFonts w:ascii="Arial" w:hAnsi="Arial" w:cs="Arial"/>
          <w:b/>
          <w:bCs/>
          <w:sz w:val="24"/>
          <w:szCs w:val="24"/>
        </w:rPr>
        <w:t xml:space="preserve">    </w:t>
      </w:r>
    </w:p>
    <w:p w14:paraId="47F2DB1A" w14:textId="742B97F0" w:rsidR="004F71C2" w:rsidRPr="00223965" w:rsidRDefault="004F71C2"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Current ratio=</w:t>
      </w:r>
      <w:r w:rsidR="006A6086" w:rsidRPr="00223965">
        <w:rPr>
          <w:rFonts w:ascii="Arial" w:hAnsi="Arial" w:cs="Arial"/>
          <w:b/>
          <w:bCs/>
          <w:color w:val="0070C0"/>
          <w:sz w:val="24"/>
          <w:szCs w:val="24"/>
        </w:rPr>
        <w:t>Current assets/ Current liabilities</w:t>
      </w:r>
    </w:p>
    <w:p w14:paraId="43287CB6" w14:textId="071FF920" w:rsidR="001C3660" w:rsidRPr="00223965" w:rsidRDefault="001C3660"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2022:</w:t>
      </w:r>
    </w:p>
    <w:p w14:paraId="034539E6" w14:textId="310E6846" w:rsidR="001C3660" w:rsidRPr="00223965" w:rsidRDefault="001C3660" w:rsidP="00223965">
      <w:pPr>
        <w:spacing w:line="360" w:lineRule="auto"/>
        <w:ind w:left="360"/>
        <w:jc w:val="both"/>
        <w:rPr>
          <w:rFonts w:ascii="Arial" w:hAnsi="Arial" w:cs="Arial"/>
          <w:sz w:val="24"/>
          <w:szCs w:val="24"/>
        </w:rPr>
      </w:pPr>
      <w:r w:rsidRPr="00223965">
        <w:rPr>
          <w:rFonts w:ascii="Arial" w:hAnsi="Arial" w:cs="Arial"/>
          <w:sz w:val="24"/>
          <w:szCs w:val="24"/>
        </w:rPr>
        <w:t>Current Ratio= £2,303m / £2,511m = 0.9172</w:t>
      </w:r>
    </w:p>
    <w:p w14:paraId="11CACFA0" w14:textId="572F407B" w:rsidR="001C3660" w:rsidRPr="00223965" w:rsidRDefault="001C3660"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4DA03F85" w14:textId="283A4FC0" w:rsidR="006A6086" w:rsidRPr="00223965" w:rsidRDefault="001C3660" w:rsidP="00223965">
      <w:pPr>
        <w:spacing w:line="360" w:lineRule="auto"/>
        <w:ind w:left="360"/>
        <w:jc w:val="both"/>
        <w:rPr>
          <w:rFonts w:ascii="Arial" w:hAnsi="Arial" w:cs="Arial"/>
          <w:sz w:val="24"/>
          <w:szCs w:val="24"/>
        </w:rPr>
      </w:pPr>
      <w:r w:rsidRPr="00223965">
        <w:rPr>
          <w:rFonts w:ascii="Arial" w:hAnsi="Arial" w:cs="Arial"/>
          <w:sz w:val="24"/>
          <w:szCs w:val="24"/>
        </w:rPr>
        <w:t>Current Ratio= £2,355m / £3,046m = 0.7729</w:t>
      </w:r>
    </w:p>
    <w:p w14:paraId="3CDB8581" w14:textId="532D178F" w:rsidR="00875EC9" w:rsidRDefault="00875EC9" w:rsidP="00223965">
      <w:pPr>
        <w:spacing w:line="360" w:lineRule="auto"/>
        <w:jc w:val="both"/>
        <w:rPr>
          <w:rFonts w:ascii="Arial" w:hAnsi="Arial" w:cs="Arial"/>
          <w:sz w:val="24"/>
          <w:szCs w:val="24"/>
        </w:rPr>
      </w:pPr>
    </w:p>
    <w:p w14:paraId="51F98A5D" w14:textId="42984B75" w:rsidR="00875EC9" w:rsidRPr="00223965" w:rsidRDefault="00BA382A" w:rsidP="00223965">
      <w:pPr>
        <w:spacing w:line="360" w:lineRule="auto"/>
        <w:ind w:left="360"/>
        <w:jc w:val="both"/>
        <w:rPr>
          <w:rFonts w:ascii="Arial" w:hAnsi="Arial" w:cs="Arial"/>
          <w:b/>
          <w:bCs/>
          <w:sz w:val="24"/>
          <w:szCs w:val="24"/>
        </w:rPr>
      </w:pPr>
      <w:r w:rsidRPr="00223965">
        <w:rPr>
          <w:rFonts w:ascii="Arial" w:hAnsi="Arial" w:cs="Arial"/>
          <w:b/>
          <w:bCs/>
          <w:sz w:val="24"/>
          <w:szCs w:val="24"/>
        </w:rPr>
        <w:t>9.</w:t>
      </w:r>
      <w:r w:rsidR="00875EC9" w:rsidRPr="00223965">
        <w:rPr>
          <w:rFonts w:ascii="Arial" w:hAnsi="Arial" w:cs="Arial"/>
          <w:b/>
          <w:bCs/>
          <w:sz w:val="24"/>
          <w:szCs w:val="24"/>
        </w:rPr>
        <w:t xml:space="preserve">  </w:t>
      </w:r>
    </w:p>
    <w:p w14:paraId="694734C0" w14:textId="77794A8D" w:rsidR="00875EC9" w:rsidRPr="00223965" w:rsidRDefault="00875EC9"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Gearing ratio=</w:t>
      </w:r>
      <w:proofErr w:type="gramStart"/>
      <w:r w:rsidR="00416456" w:rsidRPr="00223965">
        <w:rPr>
          <w:rFonts w:ascii="Arial" w:hAnsi="Arial" w:cs="Arial"/>
          <w:b/>
          <w:bCs/>
          <w:color w:val="0070C0"/>
          <w:sz w:val="24"/>
          <w:szCs w:val="24"/>
        </w:rPr>
        <w:t>Non-current</w:t>
      </w:r>
      <w:proofErr w:type="gramEnd"/>
      <w:r w:rsidR="00416456" w:rsidRPr="00223965">
        <w:rPr>
          <w:rFonts w:ascii="Arial" w:hAnsi="Arial" w:cs="Arial"/>
          <w:b/>
          <w:bCs/>
          <w:color w:val="0070C0"/>
          <w:sz w:val="24"/>
          <w:szCs w:val="24"/>
        </w:rPr>
        <w:t xml:space="preserve"> liabilities/ Total equity +Non-current liabilities</w:t>
      </w:r>
    </w:p>
    <w:p w14:paraId="649A4691" w14:textId="5C50F6EE" w:rsidR="0000397E" w:rsidRPr="00223965" w:rsidRDefault="0000397E"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2022:</w:t>
      </w:r>
    </w:p>
    <w:p w14:paraId="0D920C8F" w14:textId="4460E4B0" w:rsidR="0000397E" w:rsidRPr="00223965" w:rsidRDefault="0000397E" w:rsidP="00223965">
      <w:pPr>
        <w:spacing w:line="360" w:lineRule="auto"/>
        <w:ind w:left="360"/>
        <w:jc w:val="both"/>
        <w:rPr>
          <w:rFonts w:ascii="Arial" w:hAnsi="Arial" w:cs="Arial"/>
          <w:sz w:val="24"/>
          <w:szCs w:val="24"/>
        </w:rPr>
      </w:pPr>
      <w:r w:rsidRPr="00223965">
        <w:rPr>
          <w:rFonts w:ascii="Arial" w:hAnsi="Arial" w:cs="Arial"/>
          <w:sz w:val="24"/>
          <w:szCs w:val="24"/>
        </w:rPr>
        <w:t>Gearing Ratio= £4,137m / (£3,088m + £4,137m) =</w:t>
      </w:r>
      <w:r w:rsidR="00A857DE" w:rsidRPr="00223965">
        <w:rPr>
          <w:rFonts w:ascii="Arial" w:hAnsi="Arial" w:cs="Arial"/>
          <w:sz w:val="24"/>
          <w:szCs w:val="24"/>
        </w:rPr>
        <w:t>£4,137/</w:t>
      </w:r>
      <w:r w:rsidR="00C93F12" w:rsidRPr="00223965">
        <w:rPr>
          <w:rFonts w:ascii="Arial" w:hAnsi="Arial" w:cs="Arial"/>
          <w:sz w:val="24"/>
          <w:szCs w:val="24"/>
        </w:rPr>
        <w:t>£</w:t>
      </w:r>
      <w:r w:rsidR="00D24938" w:rsidRPr="00223965">
        <w:rPr>
          <w:rFonts w:ascii="Arial" w:hAnsi="Arial" w:cs="Arial"/>
          <w:sz w:val="24"/>
          <w:szCs w:val="24"/>
        </w:rPr>
        <w:t>7225=</w:t>
      </w:r>
      <w:r w:rsidRPr="00223965">
        <w:rPr>
          <w:rFonts w:ascii="Arial" w:hAnsi="Arial" w:cs="Arial"/>
          <w:sz w:val="24"/>
          <w:szCs w:val="24"/>
        </w:rPr>
        <w:t xml:space="preserve"> 0.57</w:t>
      </w:r>
      <w:r w:rsidR="00D24938" w:rsidRPr="00223965">
        <w:rPr>
          <w:rFonts w:ascii="Arial" w:hAnsi="Arial" w:cs="Arial"/>
          <w:sz w:val="24"/>
          <w:szCs w:val="24"/>
        </w:rPr>
        <w:t>25</w:t>
      </w:r>
      <w:r w:rsidRPr="00223965">
        <w:rPr>
          <w:rFonts w:ascii="Arial" w:hAnsi="Arial" w:cs="Arial"/>
          <w:sz w:val="24"/>
          <w:szCs w:val="24"/>
        </w:rPr>
        <w:t>= 57.2</w:t>
      </w:r>
      <w:r w:rsidR="00C93F12" w:rsidRPr="00223965">
        <w:rPr>
          <w:rFonts w:ascii="Arial" w:hAnsi="Arial" w:cs="Arial"/>
          <w:sz w:val="24"/>
          <w:szCs w:val="24"/>
        </w:rPr>
        <w:t>5</w:t>
      </w:r>
      <w:r w:rsidRPr="00223965">
        <w:rPr>
          <w:rFonts w:ascii="Arial" w:hAnsi="Arial" w:cs="Arial"/>
          <w:sz w:val="24"/>
          <w:szCs w:val="24"/>
        </w:rPr>
        <w:t>%</w:t>
      </w:r>
    </w:p>
    <w:p w14:paraId="36F8824C" w14:textId="2E7257A5" w:rsidR="0000397E" w:rsidRPr="00223965" w:rsidRDefault="0000397E"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6DDDAC56" w14:textId="77777777" w:rsidR="00F653AA" w:rsidRDefault="0000397E" w:rsidP="00F653AA">
      <w:pPr>
        <w:spacing w:line="360" w:lineRule="auto"/>
        <w:ind w:left="360"/>
        <w:jc w:val="both"/>
        <w:rPr>
          <w:rFonts w:ascii="Arial" w:hAnsi="Arial" w:cs="Arial"/>
          <w:sz w:val="24"/>
          <w:szCs w:val="24"/>
        </w:rPr>
      </w:pPr>
      <w:r w:rsidRPr="00223965">
        <w:rPr>
          <w:rFonts w:ascii="Arial" w:hAnsi="Arial" w:cs="Arial"/>
          <w:sz w:val="24"/>
          <w:szCs w:val="24"/>
        </w:rPr>
        <w:t>Gearing Ratio= £4,129m / (£2,912m + £4,129m) =</w:t>
      </w:r>
      <w:r w:rsidR="00C93F12" w:rsidRPr="00223965">
        <w:rPr>
          <w:rFonts w:ascii="Arial" w:hAnsi="Arial" w:cs="Arial"/>
          <w:sz w:val="24"/>
          <w:szCs w:val="24"/>
        </w:rPr>
        <w:t>£4,129/</w:t>
      </w:r>
      <w:r w:rsidR="00DE3317" w:rsidRPr="00223965">
        <w:rPr>
          <w:rFonts w:ascii="Arial" w:hAnsi="Arial" w:cs="Arial"/>
          <w:sz w:val="24"/>
          <w:szCs w:val="24"/>
        </w:rPr>
        <w:t>7041=</w:t>
      </w:r>
      <w:r w:rsidRPr="00223965">
        <w:rPr>
          <w:rFonts w:ascii="Arial" w:hAnsi="Arial" w:cs="Arial"/>
          <w:sz w:val="24"/>
          <w:szCs w:val="24"/>
        </w:rPr>
        <w:t xml:space="preserve"> 0.586</w:t>
      </w:r>
      <w:r w:rsidR="009E5527" w:rsidRPr="00223965">
        <w:rPr>
          <w:rFonts w:ascii="Arial" w:hAnsi="Arial" w:cs="Arial"/>
          <w:sz w:val="24"/>
          <w:szCs w:val="24"/>
        </w:rPr>
        <w:t>4</w:t>
      </w:r>
      <w:r w:rsidRPr="00223965">
        <w:rPr>
          <w:rFonts w:ascii="Arial" w:hAnsi="Arial" w:cs="Arial"/>
          <w:sz w:val="24"/>
          <w:szCs w:val="24"/>
        </w:rPr>
        <w:t>=58.6</w:t>
      </w:r>
      <w:r w:rsidR="009E5527" w:rsidRPr="00223965">
        <w:rPr>
          <w:rFonts w:ascii="Arial" w:hAnsi="Arial" w:cs="Arial"/>
          <w:sz w:val="24"/>
          <w:szCs w:val="24"/>
        </w:rPr>
        <w:t>4</w:t>
      </w:r>
      <w:r w:rsidRPr="00223965">
        <w:rPr>
          <w:rFonts w:ascii="Arial" w:hAnsi="Arial" w:cs="Arial"/>
          <w:sz w:val="24"/>
          <w:szCs w:val="24"/>
        </w:rPr>
        <w:t>%</w:t>
      </w:r>
    </w:p>
    <w:p w14:paraId="3FAF5957" w14:textId="20C2D7CE" w:rsidR="00C24CB9" w:rsidRPr="00F653AA" w:rsidRDefault="00BA382A" w:rsidP="00F653AA">
      <w:pPr>
        <w:spacing w:line="360" w:lineRule="auto"/>
        <w:ind w:left="360"/>
        <w:jc w:val="both"/>
        <w:rPr>
          <w:rFonts w:ascii="Arial" w:hAnsi="Arial" w:cs="Arial"/>
          <w:sz w:val="24"/>
          <w:szCs w:val="24"/>
        </w:rPr>
      </w:pPr>
      <w:r w:rsidRPr="00223965">
        <w:rPr>
          <w:rFonts w:ascii="Arial" w:hAnsi="Arial" w:cs="Arial"/>
          <w:b/>
          <w:bCs/>
          <w:sz w:val="24"/>
          <w:szCs w:val="24"/>
        </w:rPr>
        <w:lastRenderedPageBreak/>
        <w:t>10.</w:t>
      </w:r>
      <w:r w:rsidR="008577F9" w:rsidRPr="00223965">
        <w:rPr>
          <w:rFonts w:ascii="Arial" w:hAnsi="Arial" w:cs="Arial"/>
          <w:b/>
          <w:bCs/>
          <w:sz w:val="24"/>
          <w:szCs w:val="24"/>
        </w:rPr>
        <w:t xml:space="preserve">          </w:t>
      </w:r>
    </w:p>
    <w:p w14:paraId="0FAC38ED" w14:textId="24B80677" w:rsidR="008577F9" w:rsidRPr="00223965" w:rsidRDefault="008577F9" w:rsidP="00223965">
      <w:pPr>
        <w:spacing w:line="360" w:lineRule="auto"/>
        <w:ind w:left="360"/>
        <w:jc w:val="both"/>
        <w:rPr>
          <w:rFonts w:ascii="Arial" w:hAnsi="Arial" w:cs="Arial"/>
          <w:b/>
          <w:bCs/>
          <w:color w:val="0070C0"/>
          <w:sz w:val="24"/>
          <w:szCs w:val="24"/>
        </w:rPr>
      </w:pPr>
      <w:r w:rsidRPr="00223965">
        <w:rPr>
          <w:rFonts w:ascii="Arial" w:hAnsi="Arial" w:cs="Arial"/>
          <w:b/>
          <w:bCs/>
          <w:color w:val="0070C0"/>
          <w:sz w:val="24"/>
          <w:szCs w:val="24"/>
        </w:rPr>
        <w:t>Interest cover=Operating profit/</w:t>
      </w:r>
      <w:r w:rsidR="001334E1" w:rsidRPr="00223965">
        <w:rPr>
          <w:rFonts w:ascii="Arial" w:hAnsi="Arial" w:cs="Arial"/>
          <w:b/>
          <w:bCs/>
          <w:color w:val="0070C0"/>
          <w:sz w:val="24"/>
          <w:szCs w:val="24"/>
        </w:rPr>
        <w:t>Interest payable</w:t>
      </w:r>
    </w:p>
    <w:p w14:paraId="06EDB847" w14:textId="557E5BD4" w:rsidR="00344840" w:rsidRPr="00223965" w:rsidRDefault="00344840"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2022:</w:t>
      </w:r>
    </w:p>
    <w:p w14:paraId="68C3399B" w14:textId="091780B3" w:rsidR="00344840" w:rsidRPr="00223965" w:rsidRDefault="00344840" w:rsidP="00223965">
      <w:pPr>
        <w:spacing w:line="360" w:lineRule="auto"/>
        <w:ind w:left="360"/>
        <w:jc w:val="both"/>
        <w:rPr>
          <w:rFonts w:ascii="Arial" w:hAnsi="Arial" w:cs="Arial"/>
          <w:sz w:val="24"/>
          <w:szCs w:val="24"/>
        </w:rPr>
      </w:pPr>
      <w:r w:rsidRPr="00223965">
        <w:rPr>
          <w:rFonts w:ascii="Arial" w:hAnsi="Arial" w:cs="Arial"/>
          <w:sz w:val="24"/>
          <w:szCs w:val="24"/>
        </w:rPr>
        <w:t>Interest Cover=£805m / £226m = 3.56 times</w:t>
      </w:r>
    </w:p>
    <w:p w14:paraId="2485E9E5" w14:textId="435A67A4" w:rsidR="00344840" w:rsidRPr="00223965" w:rsidRDefault="00344840" w:rsidP="00223965">
      <w:pPr>
        <w:spacing w:line="360" w:lineRule="auto"/>
        <w:ind w:left="360"/>
        <w:jc w:val="both"/>
        <w:rPr>
          <w:rFonts w:ascii="Arial" w:hAnsi="Arial" w:cs="Arial"/>
          <w:b/>
          <w:bCs/>
          <w:sz w:val="24"/>
          <w:szCs w:val="24"/>
        </w:rPr>
      </w:pPr>
      <w:r w:rsidRPr="00223965">
        <w:rPr>
          <w:rFonts w:ascii="Arial" w:hAnsi="Arial" w:cs="Arial"/>
          <w:b/>
          <w:bCs/>
          <w:sz w:val="24"/>
          <w:szCs w:val="24"/>
        </w:rPr>
        <w:t>Year 2021:</w:t>
      </w:r>
    </w:p>
    <w:p w14:paraId="2CA41E06" w14:textId="7C908D92" w:rsidR="001334E1" w:rsidRPr="00223965" w:rsidRDefault="00344840" w:rsidP="00223965">
      <w:pPr>
        <w:spacing w:line="360" w:lineRule="auto"/>
        <w:ind w:left="360"/>
        <w:jc w:val="both"/>
        <w:rPr>
          <w:rFonts w:ascii="Arial" w:hAnsi="Arial" w:cs="Arial"/>
          <w:sz w:val="24"/>
          <w:szCs w:val="24"/>
        </w:rPr>
      </w:pPr>
      <w:r w:rsidRPr="00223965">
        <w:rPr>
          <w:rFonts w:ascii="Arial" w:hAnsi="Arial" w:cs="Arial"/>
          <w:sz w:val="24"/>
          <w:szCs w:val="24"/>
        </w:rPr>
        <w:t>Interest Cover= £699m / £181m = 3.86 times</w:t>
      </w:r>
    </w:p>
    <w:p w14:paraId="7803A7B1" w14:textId="77777777" w:rsidR="00B95FA9" w:rsidRDefault="00B95FA9" w:rsidP="00223965">
      <w:pPr>
        <w:spacing w:line="360" w:lineRule="auto"/>
        <w:jc w:val="both"/>
        <w:rPr>
          <w:rFonts w:ascii="Arial" w:hAnsi="Arial" w:cs="Arial"/>
          <w:b/>
          <w:bCs/>
          <w:sz w:val="24"/>
          <w:szCs w:val="24"/>
        </w:rPr>
      </w:pPr>
    </w:p>
    <w:p w14:paraId="592A9A68" w14:textId="77777777" w:rsidR="00B95FA9" w:rsidRDefault="00B95FA9" w:rsidP="00E909C1">
      <w:pPr>
        <w:spacing w:line="360" w:lineRule="auto"/>
        <w:jc w:val="both"/>
        <w:rPr>
          <w:rFonts w:ascii="Arial" w:hAnsi="Arial" w:cs="Arial"/>
          <w:b/>
          <w:bCs/>
          <w:sz w:val="24"/>
          <w:szCs w:val="24"/>
        </w:rPr>
      </w:pPr>
    </w:p>
    <w:p w14:paraId="0B5F682F" w14:textId="77777777" w:rsidR="00B95FA9" w:rsidRDefault="00B95FA9" w:rsidP="00E909C1">
      <w:pPr>
        <w:spacing w:line="360" w:lineRule="auto"/>
        <w:jc w:val="both"/>
        <w:rPr>
          <w:rFonts w:ascii="Arial" w:hAnsi="Arial" w:cs="Arial"/>
          <w:b/>
          <w:bCs/>
          <w:sz w:val="24"/>
          <w:szCs w:val="24"/>
        </w:rPr>
      </w:pPr>
    </w:p>
    <w:p w14:paraId="563DF4DE" w14:textId="77777777" w:rsidR="00B95FA9" w:rsidRDefault="00B95FA9" w:rsidP="00E909C1">
      <w:pPr>
        <w:spacing w:line="360" w:lineRule="auto"/>
        <w:jc w:val="both"/>
        <w:rPr>
          <w:rFonts w:ascii="Arial" w:hAnsi="Arial" w:cs="Arial"/>
          <w:b/>
          <w:bCs/>
          <w:sz w:val="24"/>
          <w:szCs w:val="24"/>
        </w:rPr>
      </w:pPr>
    </w:p>
    <w:p w14:paraId="531A2736" w14:textId="77777777" w:rsidR="00B95FA9" w:rsidRDefault="00B95FA9" w:rsidP="00E909C1">
      <w:pPr>
        <w:spacing w:line="360" w:lineRule="auto"/>
        <w:jc w:val="both"/>
        <w:rPr>
          <w:rFonts w:ascii="Arial" w:hAnsi="Arial" w:cs="Arial"/>
          <w:b/>
          <w:bCs/>
          <w:sz w:val="24"/>
          <w:szCs w:val="24"/>
        </w:rPr>
      </w:pPr>
    </w:p>
    <w:p w14:paraId="35605FD7" w14:textId="77777777" w:rsidR="00B95FA9" w:rsidRDefault="00B95FA9" w:rsidP="00E909C1">
      <w:pPr>
        <w:spacing w:line="360" w:lineRule="auto"/>
        <w:jc w:val="both"/>
        <w:rPr>
          <w:rFonts w:ascii="Arial" w:hAnsi="Arial" w:cs="Arial"/>
          <w:b/>
          <w:bCs/>
          <w:sz w:val="24"/>
          <w:szCs w:val="24"/>
        </w:rPr>
      </w:pPr>
    </w:p>
    <w:p w14:paraId="194E8BD3" w14:textId="77777777" w:rsidR="00B95FA9" w:rsidRDefault="00B95FA9" w:rsidP="00E909C1">
      <w:pPr>
        <w:spacing w:line="360" w:lineRule="auto"/>
        <w:jc w:val="both"/>
        <w:rPr>
          <w:rFonts w:ascii="Arial" w:hAnsi="Arial" w:cs="Arial"/>
          <w:b/>
          <w:bCs/>
          <w:sz w:val="24"/>
          <w:szCs w:val="24"/>
        </w:rPr>
      </w:pPr>
    </w:p>
    <w:p w14:paraId="1F6807BD" w14:textId="77777777" w:rsidR="00B95FA9" w:rsidRDefault="00B95FA9" w:rsidP="00E909C1">
      <w:pPr>
        <w:spacing w:line="360" w:lineRule="auto"/>
        <w:jc w:val="both"/>
        <w:rPr>
          <w:rFonts w:ascii="Arial" w:hAnsi="Arial" w:cs="Arial"/>
          <w:b/>
          <w:bCs/>
          <w:sz w:val="24"/>
          <w:szCs w:val="24"/>
        </w:rPr>
      </w:pPr>
    </w:p>
    <w:p w14:paraId="4208971B" w14:textId="77777777" w:rsidR="00B95FA9" w:rsidRDefault="00B95FA9" w:rsidP="00E909C1">
      <w:pPr>
        <w:spacing w:line="360" w:lineRule="auto"/>
        <w:jc w:val="both"/>
        <w:rPr>
          <w:rFonts w:ascii="Arial" w:hAnsi="Arial" w:cs="Arial"/>
          <w:b/>
          <w:bCs/>
          <w:sz w:val="24"/>
          <w:szCs w:val="24"/>
        </w:rPr>
      </w:pPr>
    </w:p>
    <w:p w14:paraId="4C9FE50B" w14:textId="77777777" w:rsidR="00B95FA9" w:rsidRDefault="00B95FA9" w:rsidP="00E909C1">
      <w:pPr>
        <w:spacing w:line="360" w:lineRule="auto"/>
        <w:jc w:val="both"/>
        <w:rPr>
          <w:rFonts w:ascii="Arial" w:hAnsi="Arial" w:cs="Arial"/>
          <w:b/>
          <w:bCs/>
          <w:sz w:val="24"/>
          <w:szCs w:val="24"/>
        </w:rPr>
      </w:pPr>
    </w:p>
    <w:p w14:paraId="2851031F" w14:textId="77777777" w:rsidR="00B95FA9" w:rsidRDefault="00B95FA9" w:rsidP="00E909C1">
      <w:pPr>
        <w:spacing w:line="360" w:lineRule="auto"/>
        <w:jc w:val="both"/>
        <w:rPr>
          <w:rFonts w:ascii="Arial" w:hAnsi="Arial" w:cs="Arial"/>
          <w:b/>
          <w:bCs/>
          <w:sz w:val="24"/>
          <w:szCs w:val="24"/>
        </w:rPr>
      </w:pPr>
    </w:p>
    <w:p w14:paraId="39F35954" w14:textId="77777777" w:rsidR="00B95FA9" w:rsidRDefault="00B95FA9" w:rsidP="00E909C1">
      <w:pPr>
        <w:spacing w:line="360" w:lineRule="auto"/>
        <w:jc w:val="both"/>
        <w:rPr>
          <w:rFonts w:ascii="Arial" w:hAnsi="Arial" w:cs="Arial"/>
          <w:b/>
          <w:bCs/>
          <w:sz w:val="24"/>
          <w:szCs w:val="24"/>
        </w:rPr>
      </w:pPr>
    </w:p>
    <w:p w14:paraId="4A1FC155" w14:textId="77777777" w:rsidR="00B95FA9" w:rsidRDefault="00B95FA9" w:rsidP="00E909C1">
      <w:pPr>
        <w:spacing w:line="360" w:lineRule="auto"/>
        <w:jc w:val="both"/>
        <w:rPr>
          <w:rFonts w:ascii="Arial" w:hAnsi="Arial" w:cs="Arial"/>
          <w:b/>
          <w:bCs/>
          <w:sz w:val="24"/>
          <w:szCs w:val="24"/>
        </w:rPr>
      </w:pPr>
    </w:p>
    <w:p w14:paraId="6511D545" w14:textId="77777777" w:rsidR="00B95FA9" w:rsidRDefault="00B95FA9" w:rsidP="00E909C1">
      <w:pPr>
        <w:spacing w:line="360" w:lineRule="auto"/>
        <w:jc w:val="both"/>
        <w:rPr>
          <w:rFonts w:ascii="Arial" w:hAnsi="Arial" w:cs="Arial"/>
          <w:b/>
          <w:bCs/>
          <w:sz w:val="24"/>
          <w:szCs w:val="24"/>
        </w:rPr>
      </w:pPr>
    </w:p>
    <w:p w14:paraId="56EE6112" w14:textId="77777777" w:rsidR="00B95FA9" w:rsidRDefault="00B95FA9" w:rsidP="00E909C1">
      <w:pPr>
        <w:spacing w:line="360" w:lineRule="auto"/>
        <w:jc w:val="both"/>
        <w:rPr>
          <w:rFonts w:ascii="Arial" w:hAnsi="Arial" w:cs="Arial"/>
          <w:b/>
          <w:bCs/>
          <w:sz w:val="24"/>
          <w:szCs w:val="24"/>
        </w:rPr>
      </w:pPr>
    </w:p>
    <w:p w14:paraId="5B6A6A41" w14:textId="77777777" w:rsidR="00B95FA9" w:rsidRDefault="00B95FA9" w:rsidP="00E909C1">
      <w:pPr>
        <w:spacing w:line="360" w:lineRule="auto"/>
        <w:jc w:val="both"/>
        <w:rPr>
          <w:rFonts w:ascii="Arial" w:hAnsi="Arial" w:cs="Arial"/>
          <w:b/>
          <w:bCs/>
          <w:sz w:val="24"/>
          <w:szCs w:val="24"/>
        </w:rPr>
      </w:pPr>
    </w:p>
    <w:p w14:paraId="3CE4E246" w14:textId="77777777" w:rsidR="00B95FA9" w:rsidRDefault="00B95FA9" w:rsidP="00E909C1">
      <w:pPr>
        <w:spacing w:line="360" w:lineRule="auto"/>
        <w:jc w:val="both"/>
        <w:rPr>
          <w:rFonts w:ascii="Arial" w:hAnsi="Arial" w:cs="Arial"/>
          <w:b/>
          <w:bCs/>
          <w:sz w:val="24"/>
          <w:szCs w:val="24"/>
        </w:rPr>
      </w:pPr>
    </w:p>
    <w:p w14:paraId="5C0435A8" w14:textId="77777777" w:rsidR="00F653AA" w:rsidRDefault="00F653AA" w:rsidP="00E909C1">
      <w:pPr>
        <w:spacing w:line="360" w:lineRule="auto"/>
        <w:jc w:val="both"/>
        <w:rPr>
          <w:rFonts w:ascii="Arial" w:hAnsi="Arial" w:cs="Arial"/>
          <w:b/>
          <w:bCs/>
          <w:sz w:val="24"/>
          <w:szCs w:val="24"/>
        </w:rPr>
      </w:pPr>
    </w:p>
    <w:p w14:paraId="5955C631" w14:textId="27FACFD7" w:rsidR="00E909C1" w:rsidRPr="00E909C1" w:rsidRDefault="00E909C1" w:rsidP="00E909C1">
      <w:pPr>
        <w:spacing w:line="360" w:lineRule="auto"/>
        <w:jc w:val="both"/>
        <w:rPr>
          <w:rFonts w:ascii="Arial" w:hAnsi="Arial" w:cs="Arial"/>
          <w:b/>
          <w:bCs/>
          <w:sz w:val="24"/>
          <w:szCs w:val="24"/>
        </w:rPr>
      </w:pPr>
      <w:r w:rsidRPr="00E909C1">
        <w:rPr>
          <w:rFonts w:ascii="Arial" w:hAnsi="Arial" w:cs="Arial"/>
          <w:b/>
          <w:bCs/>
          <w:sz w:val="24"/>
          <w:szCs w:val="24"/>
        </w:rPr>
        <w:lastRenderedPageBreak/>
        <w:t>References</w:t>
      </w:r>
    </w:p>
    <w:p w14:paraId="0686F731" w14:textId="77777777" w:rsidR="00F653AA" w:rsidRDefault="00F653AA" w:rsidP="00E909C1">
      <w:pPr>
        <w:spacing w:line="360" w:lineRule="auto"/>
        <w:jc w:val="both"/>
        <w:rPr>
          <w:rFonts w:ascii="Arial" w:hAnsi="Arial" w:cs="Arial"/>
          <w:sz w:val="24"/>
          <w:szCs w:val="24"/>
        </w:rPr>
      </w:pPr>
    </w:p>
    <w:p w14:paraId="4AA12FD3" w14:textId="288B63F8"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ACCA (n.d.). </w:t>
      </w:r>
      <w:r w:rsidRPr="00E909C1">
        <w:rPr>
          <w:rFonts w:ascii="Arial" w:hAnsi="Arial" w:cs="Arial"/>
          <w:i/>
          <w:iCs/>
          <w:sz w:val="24"/>
          <w:szCs w:val="24"/>
        </w:rPr>
        <w:t>Laws and regulations</w:t>
      </w:r>
      <w:r w:rsidRPr="00E909C1">
        <w:rPr>
          <w:rFonts w:ascii="Arial" w:hAnsi="Arial" w:cs="Arial"/>
          <w:sz w:val="24"/>
          <w:szCs w:val="24"/>
        </w:rPr>
        <w:t xml:space="preserve"> | ACCA Global. [online] Available at: </w:t>
      </w:r>
      <w:hyperlink r:id="rId7" w:history="1">
        <w:r w:rsidRPr="00E909C1">
          <w:rPr>
            <w:rStyle w:val="Hyperlink"/>
            <w:rFonts w:ascii="Arial" w:hAnsi="Arial" w:cs="Arial"/>
            <w:sz w:val="24"/>
            <w:szCs w:val="24"/>
          </w:rPr>
          <w:t>https://www.accaglobal.com/gb/en/student/exam-support-resources/fundamentals-exams-study-resources/f8/technical-articles/laws-and-regulations.html</w:t>
        </w:r>
      </w:hyperlink>
      <w:r w:rsidRPr="00E909C1">
        <w:rPr>
          <w:rFonts w:ascii="Arial" w:hAnsi="Arial" w:cs="Arial"/>
          <w:sz w:val="24"/>
          <w:szCs w:val="24"/>
        </w:rPr>
        <w:t>.</w:t>
      </w:r>
    </w:p>
    <w:p w14:paraId="24B48C51" w14:textId="77777777" w:rsidR="00E909C1" w:rsidRPr="00E909C1" w:rsidRDefault="00E909C1" w:rsidP="00E909C1">
      <w:pPr>
        <w:spacing w:line="360" w:lineRule="auto"/>
        <w:jc w:val="both"/>
        <w:rPr>
          <w:rFonts w:ascii="Arial" w:hAnsi="Arial" w:cs="Arial"/>
          <w:sz w:val="24"/>
          <w:szCs w:val="24"/>
        </w:rPr>
      </w:pPr>
    </w:p>
    <w:p w14:paraId="3D77D106"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 xml:space="preserve">Aruna, D.C. and </w:t>
      </w:r>
      <w:proofErr w:type="spellStart"/>
      <w:r w:rsidRPr="00E909C1">
        <w:rPr>
          <w:rFonts w:ascii="Arial" w:hAnsi="Arial" w:cs="Arial"/>
          <w:sz w:val="24"/>
          <w:szCs w:val="24"/>
        </w:rPr>
        <w:t>Warokka</w:t>
      </w:r>
      <w:proofErr w:type="spellEnd"/>
      <w:r w:rsidRPr="00E909C1">
        <w:rPr>
          <w:rFonts w:ascii="Arial" w:hAnsi="Arial" w:cs="Arial"/>
          <w:sz w:val="24"/>
          <w:szCs w:val="24"/>
        </w:rPr>
        <w:t xml:space="preserve">, A. (2013). </w:t>
      </w:r>
      <w:r w:rsidRPr="00E909C1">
        <w:rPr>
          <w:rFonts w:ascii="Arial" w:hAnsi="Arial" w:cs="Arial"/>
          <w:i/>
          <w:iCs/>
          <w:sz w:val="24"/>
          <w:szCs w:val="24"/>
        </w:rPr>
        <w:t>Systematic risk and accounting determinants: a new perspective from an emerging market.</w:t>
      </w:r>
      <w:r w:rsidRPr="00E909C1">
        <w:rPr>
          <w:rFonts w:ascii="Arial" w:hAnsi="Arial" w:cs="Arial"/>
          <w:sz w:val="24"/>
          <w:szCs w:val="24"/>
        </w:rPr>
        <w:t xml:space="preserve"> J. for Global Business Advancement, 6(1), p.24. </w:t>
      </w:r>
      <w:proofErr w:type="spellStart"/>
      <w:proofErr w:type="gramStart"/>
      <w:r w:rsidRPr="00E909C1">
        <w:rPr>
          <w:rFonts w:ascii="Arial" w:hAnsi="Arial" w:cs="Arial"/>
          <w:sz w:val="24"/>
          <w:szCs w:val="24"/>
        </w:rPr>
        <w:t>doi:https</w:t>
      </w:r>
      <w:proofErr w:type="spellEnd"/>
      <w:r w:rsidRPr="00E909C1">
        <w:rPr>
          <w:rFonts w:ascii="Arial" w:hAnsi="Arial" w:cs="Arial"/>
          <w:sz w:val="24"/>
          <w:szCs w:val="24"/>
        </w:rPr>
        <w:t>://doi.org/10.1504/jgba.2013.053476</w:t>
      </w:r>
      <w:proofErr w:type="gramEnd"/>
      <w:r w:rsidRPr="00E909C1">
        <w:rPr>
          <w:rFonts w:ascii="Arial" w:hAnsi="Arial" w:cs="Arial"/>
          <w:sz w:val="24"/>
          <w:szCs w:val="24"/>
        </w:rPr>
        <w:t>.</w:t>
      </w:r>
    </w:p>
    <w:p w14:paraId="389AA59A" w14:textId="77777777" w:rsidR="00E909C1" w:rsidRPr="00E909C1" w:rsidRDefault="00E909C1" w:rsidP="00E909C1">
      <w:pPr>
        <w:spacing w:line="360" w:lineRule="auto"/>
        <w:jc w:val="both"/>
        <w:rPr>
          <w:rFonts w:ascii="Arial" w:hAnsi="Arial" w:cs="Arial"/>
          <w:sz w:val="24"/>
          <w:szCs w:val="24"/>
        </w:rPr>
      </w:pPr>
    </w:p>
    <w:p w14:paraId="1FCFD74B"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 xml:space="preserve">Burns, J., Quinn, M., Warren, L. and Oliveira, J. (2013). EBOOK: </w:t>
      </w:r>
      <w:r w:rsidRPr="00E909C1">
        <w:rPr>
          <w:rFonts w:ascii="Arial" w:hAnsi="Arial" w:cs="Arial"/>
          <w:i/>
          <w:iCs/>
          <w:sz w:val="24"/>
          <w:szCs w:val="24"/>
        </w:rPr>
        <w:t>Management Accounting</w:t>
      </w:r>
      <w:r w:rsidRPr="00E909C1">
        <w:rPr>
          <w:rFonts w:ascii="Arial" w:hAnsi="Arial" w:cs="Arial"/>
          <w:sz w:val="24"/>
          <w:szCs w:val="24"/>
        </w:rPr>
        <w:t>. [online] Google Books. McGraw Hill. Available at: https://books.google.co.uk/books?hl=en&amp;lr=&amp;id=4MovEAAAQBAJ&amp;oi=fnd&amp;pg=PR2&amp;dq=financial+management+accounting&amp;ots=hyFtAd_8Sk&amp;sig=Wf9XmKr_am3PP7jtx-WvmS7gie4&amp;redir_esc=y#v=onepage&amp;q=financial%20management%20accounting&amp;f=false [Accessed 1 Dec. 2023].</w:t>
      </w:r>
    </w:p>
    <w:p w14:paraId="038323A1" w14:textId="77777777" w:rsidR="00E909C1" w:rsidRPr="00E909C1" w:rsidRDefault="00E909C1" w:rsidP="00E909C1">
      <w:pPr>
        <w:spacing w:line="360" w:lineRule="auto"/>
        <w:jc w:val="both"/>
        <w:rPr>
          <w:rFonts w:ascii="Arial" w:hAnsi="Arial" w:cs="Arial"/>
          <w:sz w:val="24"/>
          <w:szCs w:val="24"/>
        </w:rPr>
      </w:pPr>
    </w:p>
    <w:p w14:paraId="58FA809F"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 xml:space="preserve">Deegan, C. and </w:t>
      </w:r>
      <w:proofErr w:type="spellStart"/>
      <w:r w:rsidRPr="00E909C1">
        <w:rPr>
          <w:rFonts w:ascii="Arial" w:hAnsi="Arial" w:cs="Arial"/>
          <w:sz w:val="24"/>
          <w:szCs w:val="24"/>
        </w:rPr>
        <w:t>Unerman</w:t>
      </w:r>
      <w:proofErr w:type="spellEnd"/>
      <w:r w:rsidRPr="00E909C1">
        <w:rPr>
          <w:rFonts w:ascii="Arial" w:hAnsi="Arial" w:cs="Arial"/>
          <w:sz w:val="24"/>
          <w:szCs w:val="24"/>
        </w:rPr>
        <w:t xml:space="preserve">, J. (2011). EBOOK: </w:t>
      </w:r>
      <w:r w:rsidRPr="00E909C1">
        <w:rPr>
          <w:rFonts w:ascii="Arial" w:hAnsi="Arial" w:cs="Arial"/>
          <w:i/>
          <w:iCs/>
          <w:sz w:val="24"/>
          <w:szCs w:val="24"/>
        </w:rPr>
        <w:t>Financial Accounting Theory: European Edition.</w:t>
      </w:r>
      <w:r w:rsidRPr="00E909C1">
        <w:rPr>
          <w:rFonts w:ascii="Arial" w:hAnsi="Arial" w:cs="Arial"/>
          <w:sz w:val="24"/>
          <w:szCs w:val="24"/>
        </w:rPr>
        <w:t xml:space="preserve"> [online] Google Books. McGraw Hill. Available at: https://books.google.co.uk/books?hl=en&amp;lr=&amp;id=tsovEAAAQBAJ&amp;oi=fnd&amp;pg=PR1&amp;dq=accounting+theory+and+formulas&amp;ots=3Kf7EBMF2S&amp;sig=fkMEx_K83gNZIlweRCQtt3Ak3I4&amp;redir_esc=y#v=onepage&amp;q=accounting%20theory%20and%20formulas&amp;f=false [Accessed 1 Dec. 2023].</w:t>
      </w:r>
    </w:p>
    <w:p w14:paraId="1D254940" w14:textId="77777777" w:rsidR="00E909C1" w:rsidRPr="00E909C1" w:rsidRDefault="00E909C1" w:rsidP="00E909C1">
      <w:pPr>
        <w:spacing w:line="360" w:lineRule="auto"/>
        <w:jc w:val="both"/>
        <w:rPr>
          <w:rFonts w:ascii="Arial" w:hAnsi="Arial" w:cs="Arial"/>
          <w:sz w:val="24"/>
          <w:szCs w:val="24"/>
        </w:rPr>
      </w:pPr>
    </w:p>
    <w:p w14:paraId="3A77EEE6" w14:textId="248C6F01"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 xml:space="preserve">Fabozzi, F.J. and Peterson Drake, P. (2010) </w:t>
      </w:r>
      <w:r w:rsidRPr="00E909C1">
        <w:rPr>
          <w:rFonts w:ascii="Arial" w:hAnsi="Arial" w:cs="Arial"/>
          <w:i/>
          <w:iCs/>
          <w:sz w:val="24"/>
          <w:szCs w:val="24"/>
        </w:rPr>
        <w:t xml:space="preserve">The basics of </w:t>
      </w:r>
      <w:r w:rsidR="006C7756" w:rsidRPr="00E909C1">
        <w:rPr>
          <w:rFonts w:ascii="Arial" w:hAnsi="Arial" w:cs="Arial"/>
          <w:i/>
          <w:iCs/>
          <w:sz w:val="24"/>
          <w:szCs w:val="24"/>
        </w:rPr>
        <w:t>finance:</w:t>
      </w:r>
      <w:r w:rsidRPr="00E909C1">
        <w:rPr>
          <w:rFonts w:ascii="Arial" w:hAnsi="Arial" w:cs="Arial"/>
          <w:i/>
          <w:iCs/>
          <w:sz w:val="24"/>
          <w:szCs w:val="24"/>
        </w:rPr>
        <w:t xml:space="preserve"> an introduction to financial markets, business finance, and portfolio management</w:t>
      </w:r>
      <w:r w:rsidRPr="00E909C1">
        <w:rPr>
          <w:rFonts w:ascii="Arial" w:hAnsi="Arial" w:cs="Arial"/>
          <w:sz w:val="24"/>
          <w:szCs w:val="24"/>
        </w:rPr>
        <w:t>. Hoboken, NJ: Wiley.</w:t>
      </w:r>
    </w:p>
    <w:p w14:paraId="2614AE72" w14:textId="77777777" w:rsidR="00E909C1" w:rsidRPr="00E909C1" w:rsidRDefault="00E909C1" w:rsidP="00E909C1">
      <w:pPr>
        <w:spacing w:line="360" w:lineRule="auto"/>
        <w:jc w:val="both"/>
        <w:rPr>
          <w:rFonts w:ascii="Arial" w:hAnsi="Arial" w:cs="Arial"/>
          <w:sz w:val="24"/>
          <w:szCs w:val="24"/>
        </w:rPr>
      </w:pPr>
    </w:p>
    <w:p w14:paraId="02750A6F" w14:textId="77777777" w:rsidR="00E909C1" w:rsidRPr="00E909C1" w:rsidRDefault="00E909C1" w:rsidP="00E909C1">
      <w:pPr>
        <w:spacing w:line="360" w:lineRule="auto"/>
        <w:jc w:val="both"/>
        <w:rPr>
          <w:rFonts w:ascii="Arial" w:hAnsi="Arial" w:cs="Arial"/>
          <w:sz w:val="24"/>
          <w:szCs w:val="24"/>
        </w:rPr>
      </w:pPr>
      <w:proofErr w:type="spellStart"/>
      <w:r w:rsidRPr="00E909C1">
        <w:rPr>
          <w:rFonts w:ascii="Arial" w:hAnsi="Arial" w:cs="Arial"/>
          <w:sz w:val="24"/>
          <w:szCs w:val="24"/>
        </w:rPr>
        <w:lastRenderedPageBreak/>
        <w:t>Fridson</w:t>
      </w:r>
      <w:proofErr w:type="spellEnd"/>
      <w:r w:rsidRPr="00E909C1">
        <w:rPr>
          <w:rFonts w:ascii="Arial" w:hAnsi="Arial" w:cs="Arial"/>
          <w:sz w:val="24"/>
          <w:szCs w:val="24"/>
        </w:rPr>
        <w:t>, M.S. and Alvarez, F. (2022). </w:t>
      </w:r>
      <w:r w:rsidRPr="00E909C1">
        <w:rPr>
          <w:rFonts w:ascii="Arial" w:hAnsi="Arial" w:cs="Arial"/>
          <w:i/>
          <w:iCs/>
          <w:sz w:val="24"/>
          <w:szCs w:val="24"/>
        </w:rPr>
        <w:t>Financial Statement Analysis: A Practitioner’s Guide</w:t>
      </w:r>
      <w:r w:rsidRPr="00E909C1">
        <w:rPr>
          <w:rFonts w:ascii="Arial" w:hAnsi="Arial" w:cs="Arial"/>
          <w:sz w:val="24"/>
          <w:szCs w:val="24"/>
        </w:rPr>
        <w:t>. [online] Google Books. John Wiley &amp; Sons. Available at: https://books.google.co.uk/books?hl=en&amp;lr=&amp;id=2cl6EAAAQBAJ&amp;oi=fnd&amp;pg=PA25&amp;dq=interpret+financial+statements&amp;ots=5YHxJx4zI3&amp;sig=07d4prpfMZjLKzFZwfzFVA1QmUA&amp;redir_esc=y#v=onepage&amp;q=interpret%20financial%20statements&amp;f=false [Accessed 3 Dec. 2023].</w:t>
      </w:r>
    </w:p>
    <w:p w14:paraId="5F1DEE95" w14:textId="77777777" w:rsidR="00E909C1" w:rsidRPr="00E909C1" w:rsidRDefault="00E909C1" w:rsidP="00E909C1">
      <w:pPr>
        <w:spacing w:line="360" w:lineRule="auto"/>
        <w:jc w:val="both"/>
        <w:rPr>
          <w:rFonts w:ascii="Arial" w:hAnsi="Arial" w:cs="Arial"/>
          <w:sz w:val="24"/>
          <w:szCs w:val="24"/>
        </w:rPr>
      </w:pPr>
    </w:p>
    <w:p w14:paraId="1A56B50E"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 xml:space="preserve">Gurskaya, M., Kuter, M. and Bagdasaryan, R. (2019). </w:t>
      </w:r>
      <w:r w:rsidRPr="00E909C1">
        <w:rPr>
          <w:rFonts w:ascii="Arial" w:hAnsi="Arial" w:cs="Arial"/>
          <w:i/>
          <w:iCs/>
          <w:sz w:val="24"/>
          <w:szCs w:val="24"/>
        </w:rPr>
        <w:t>The Structure of the Trial Balance. Integrated Science in Digital Age,</w:t>
      </w:r>
      <w:r w:rsidRPr="00E909C1">
        <w:rPr>
          <w:rFonts w:ascii="Arial" w:hAnsi="Arial" w:cs="Arial"/>
          <w:sz w:val="24"/>
          <w:szCs w:val="24"/>
        </w:rPr>
        <w:t xml:space="preserve"> [online] pp.103–116. </w:t>
      </w:r>
      <w:proofErr w:type="spellStart"/>
      <w:proofErr w:type="gramStart"/>
      <w:r w:rsidRPr="00E909C1">
        <w:rPr>
          <w:rFonts w:ascii="Arial" w:hAnsi="Arial" w:cs="Arial"/>
          <w:sz w:val="24"/>
          <w:szCs w:val="24"/>
        </w:rPr>
        <w:t>doi:https</w:t>
      </w:r>
      <w:proofErr w:type="spellEnd"/>
      <w:r w:rsidRPr="00E909C1">
        <w:rPr>
          <w:rFonts w:ascii="Arial" w:hAnsi="Arial" w:cs="Arial"/>
          <w:sz w:val="24"/>
          <w:szCs w:val="24"/>
        </w:rPr>
        <w:t>://doi.org/10.1007/978-3-030-22493-6_11</w:t>
      </w:r>
      <w:proofErr w:type="gramEnd"/>
      <w:r w:rsidRPr="00E909C1">
        <w:rPr>
          <w:rFonts w:ascii="Arial" w:hAnsi="Arial" w:cs="Arial"/>
          <w:sz w:val="24"/>
          <w:szCs w:val="24"/>
        </w:rPr>
        <w:t>.</w:t>
      </w:r>
    </w:p>
    <w:p w14:paraId="0B6CAC49" w14:textId="77777777" w:rsidR="00E909C1" w:rsidRPr="00E909C1" w:rsidRDefault="00E909C1" w:rsidP="00E909C1">
      <w:pPr>
        <w:spacing w:line="360" w:lineRule="auto"/>
        <w:jc w:val="both"/>
        <w:rPr>
          <w:rFonts w:ascii="Arial" w:hAnsi="Arial" w:cs="Arial"/>
          <w:sz w:val="24"/>
          <w:szCs w:val="24"/>
        </w:rPr>
      </w:pPr>
    </w:p>
    <w:p w14:paraId="631A29F5"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Higgins, R.C. (2016). </w:t>
      </w:r>
      <w:r w:rsidRPr="00E909C1">
        <w:rPr>
          <w:rFonts w:ascii="Arial" w:hAnsi="Arial" w:cs="Arial"/>
          <w:i/>
          <w:iCs/>
          <w:sz w:val="24"/>
          <w:szCs w:val="24"/>
        </w:rPr>
        <w:t xml:space="preserve">Analysis for </w:t>
      </w:r>
      <w:proofErr w:type="gramStart"/>
      <w:r w:rsidRPr="00E909C1">
        <w:rPr>
          <w:rFonts w:ascii="Arial" w:hAnsi="Arial" w:cs="Arial"/>
          <w:i/>
          <w:iCs/>
          <w:sz w:val="24"/>
          <w:szCs w:val="24"/>
        </w:rPr>
        <w:t>financial management</w:t>
      </w:r>
      <w:proofErr w:type="gramEnd"/>
      <w:r w:rsidRPr="00E909C1">
        <w:rPr>
          <w:rFonts w:ascii="Arial" w:hAnsi="Arial" w:cs="Arial"/>
          <w:sz w:val="24"/>
          <w:szCs w:val="24"/>
        </w:rPr>
        <w:t>. [online] thuvienso.hoasen.edu.vn. McGraw-Hill. Available at: https://thuvienso.hoasen.edu.vn/handle/123456789/11605.</w:t>
      </w:r>
    </w:p>
    <w:p w14:paraId="7DC89A1B" w14:textId="77777777" w:rsidR="00E909C1" w:rsidRPr="00E909C1" w:rsidRDefault="00E909C1" w:rsidP="00E909C1">
      <w:pPr>
        <w:spacing w:line="360" w:lineRule="auto"/>
        <w:jc w:val="both"/>
        <w:rPr>
          <w:rFonts w:ascii="Arial" w:hAnsi="Arial" w:cs="Arial"/>
          <w:sz w:val="24"/>
          <w:szCs w:val="24"/>
        </w:rPr>
      </w:pPr>
    </w:p>
    <w:p w14:paraId="13CCF28D"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Horner, D. (2020). </w:t>
      </w:r>
      <w:r w:rsidRPr="00E909C1">
        <w:rPr>
          <w:rFonts w:ascii="Arial" w:hAnsi="Arial" w:cs="Arial"/>
          <w:i/>
          <w:iCs/>
          <w:sz w:val="24"/>
          <w:szCs w:val="24"/>
        </w:rPr>
        <w:t xml:space="preserve">Accounting for </w:t>
      </w:r>
      <w:proofErr w:type="gramStart"/>
      <w:r w:rsidRPr="00E909C1">
        <w:rPr>
          <w:rFonts w:ascii="Arial" w:hAnsi="Arial" w:cs="Arial"/>
          <w:i/>
          <w:iCs/>
          <w:sz w:val="24"/>
          <w:szCs w:val="24"/>
        </w:rPr>
        <w:t>Non-Accountants</w:t>
      </w:r>
      <w:proofErr w:type="gramEnd"/>
      <w:r w:rsidRPr="00E909C1">
        <w:rPr>
          <w:rFonts w:ascii="Arial" w:hAnsi="Arial" w:cs="Arial"/>
          <w:sz w:val="24"/>
          <w:szCs w:val="24"/>
        </w:rPr>
        <w:t>. [online] Google Books. Kogan Page Publishers. Available at: https://books.google.co.uk/books?hl=en&amp;lr=&amp;id=-2DdDwAAQBAJ&amp;oi=fnd&amp;pg=PP1&amp;dq=accounting+for+non+accountants&amp;ots=JPdJ2b-wTg&amp;sig=tTRzke7fYoXSE9Lm7lJHI1-NK18&amp;redir_esc=y#v=onepage&amp;q=accounting%20for%20non%20accountants&amp;f=false [Accessed 29 Nov. 2023].</w:t>
      </w:r>
    </w:p>
    <w:p w14:paraId="3881BEB3" w14:textId="77777777" w:rsidR="00E909C1" w:rsidRPr="00E909C1" w:rsidRDefault="00E909C1" w:rsidP="00E909C1">
      <w:pPr>
        <w:spacing w:line="360" w:lineRule="auto"/>
        <w:jc w:val="both"/>
        <w:rPr>
          <w:rFonts w:ascii="Arial" w:hAnsi="Arial" w:cs="Arial"/>
          <w:b/>
          <w:bCs/>
          <w:sz w:val="24"/>
          <w:szCs w:val="24"/>
        </w:rPr>
      </w:pPr>
    </w:p>
    <w:p w14:paraId="647DAAB3"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 xml:space="preserve">Mott, G. (2012). Accounting for Non-Accountants: </w:t>
      </w:r>
      <w:r w:rsidRPr="00E909C1">
        <w:rPr>
          <w:rFonts w:ascii="Arial" w:hAnsi="Arial" w:cs="Arial"/>
          <w:i/>
          <w:iCs/>
          <w:sz w:val="24"/>
          <w:szCs w:val="24"/>
        </w:rPr>
        <w:t>A Manual for Managers and Students</w:t>
      </w:r>
      <w:r w:rsidRPr="00E909C1">
        <w:rPr>
          <w:rFonts w:ascii="Arial" w:hAnsi="Arial" w:cs="Arial"/>
          <w:sz w:val="24"/>
          <w:szCs w:val="24"/>
        </w:rPr>
        <w:t>. [online] Google Books. Kogan Page Publishers. Available at: https://books.google.co.uk/books?hl=en&amp;lr=&amp;id=ybeTLfm26tMC&amp;oi=fnd&amp;pg=PP4&amp;dq=accounting+for+non+accountants&amp;ots=vBeuFpQhxl&amp;sig=3w88XROqvPgbKFT3NEUCqXCTTuA&amp;redir_esc=y#v=onepage&amp;q=accounting%20for%20non%20accountants&amp;f=false [Accessed 29 Nov. 2023].</w:t>
      </w:r>
    </w:p>
    <w:p w14:paraId="440A6E6B" w14:textId="77777777" w:rsidR="00E909C1" w:rsidRPr="00E909C1" w:rsidRDefault="00E909C1" w:rsidP="00E909C1">
      <w:pPr>
        <w:spacing w:line="360" w:lineRule="auto"/>
        <w:jc w:val="both"/>
        <w:rPr>
          <w:rFonts w:ascii="Arial" w:hAnsi="Arial" w:cs="Arial"/>
          <w:sz w:val="24"/>
          <w:szCs w:val="24"/>
        </w:rPr>
      </w:pPr>
    </w:p>
    <w:p w14:paraId="5F3ACD18"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lastRenderedPageBreak/>
        <w:t>Palepu, K.G., Healy, P.M., Wright, S., Bradbury, M. and Coulton, J. (2020). </w:t>
      </w:r>
      <w:r w:rsidRPr="00E909C1">
        <w:rPr>
          <w:rFonts w:ascii="Arial" w:hAnsi="Arial" w:cs="Arial"/>
          <w:i/>
          <w:iCs/>
          <w:sz w:val="24"/>
          <w:szCs w:val="24"/>
        </w:rPr>
        <w:t>Business Analysis and Valuation: Using Financial Statements</w:t>
      </w:r>
      <w:r w:rsidRPr="00E909C1">
        <w:rPr>
          <w:rFonts w:ascii="Arial" w:hAnsi="Arial" w:cs="Arial"/>
          <w:sz w:val="24"/>
          <w:szCs w:val="24"/>
        </w:rPr>
        <w:t>. [online] Google Books. Cengage AU. Available at: https://books.google.co.uk/books?hl=en&amp;lr=&amp;id=IDT6DwAAQBAJ&amp;oi=fnd&amp;pg=PR13&amp;dq=interpret+financial+statements&amp;ots=uKal41r9hY&amp;sig=VedjttKvIjZpkA3IVl4ZV1GpVDc&amp;redir_esc=y#v=onepage&amp;q=interpret%20financial%20statements&amp;f=false [Accessed 1 Dec. 2023].</w:t>
      </w:r>
    </w:p>
    <w:p w14:paraId="6DDB03D5" w14:textId="77777777" w:rsidR="00E909C1" w:rsidRPr="00E909C1" w:rsidRDefault="00E909C1" w:rsidP="00E909C1">
      <w:pPr>
        <w:spacing w:line="360" w:lineRule="auto"/>
        <w:jc w:val="both"/>
        <w:rPr>
          <w:rFonts w:ascii="Arial" w:hAnsi="Arial" w:cs="Arial"/>
          <w:sz w:val="24"/>
          <w:szCs w:val="24"/>
        </w:rPr>
      </w:pPr>
    </w:p>
    <w:p w14:paraId="062EF4B9"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‌Schroeder, R.G., Clark, M.W. and Cathey, J.M. (2022). </w:t>
      </w:r>
      <w:r w:rsidRPr="00E909C1">
        <w:rPr>
          <w:rFonts w:ascii="Arial" w:hAnsi="Arial" w:cs="Arial"/>
          <w:i/>
          <w:iCs/>
          <w:sz w:val="24"/>
          <w:szCs w:val="24"/>
        </w:rPr>
        <w:t>Financial Accounting Theory and Analysis: Text and Cases</w:t>
      </w:r>
      <w:r w:rsidRPr="00E909C1">
        <w:rPr>
          <w:rFonts w:ascii="Arial" w:hAnsi="Arial" w:cs="Arial"/>
          <w:sz w:val="24"/>
          <w:szCs w:val="24"/>
        </w:rPr>
        <w:t>. [online] Google Books. John Wiley &amp; Sons. Available at: https://books.google.co.uk/books?hl=en&amp;lr=&amp;id=8F6LEAAAQBAJ&amp;oi=fnd&amp;pg=PA2&amp;dq=accounting+theory+and+formulas&amp;ots=DxMGzE3MIW&amp;sig=kelyZiki3NK4dhrGIRoMBlCHz5U&amp;redir_esc=y#v=onepage&amp;q=accounting%20theory%20and%20formulas&amp;f=false [Accessed 1 Dec. 2023].</w:t>
      </w:r>
    </w:p>
    <w:p w14:paraId="526F17E0" w14:textId="77777777" w:rsidR="00E909C1" w:rsidRPr="00E909C1" w:rsidRDefault="00E909C1" w:rsidP="00E909C1">
      <w:pPr>
        <w:spacing w:line="360" w:lineRule="auto"/>
        <w:jc w:val="both"/>
        <w:rPr>
          <w:rFonts w:ascii="Arial" w:hAnsi="Arial" w:cs="Arial"/>
          <w:sz w:val="24"/>
          <w:szCs w:val="24"/>
        </w:rPr>
      </w:pPr>
    </w:p>
    <w:p w14:paraId="0AF3CED6" w14:textId="77777777" w:rsidR="00E909C1" w:rsidRPr="00E909C1" w:rsidRDefault="00E909C1" w:rsidP="00E909C1">
      <w:pPr>
        <w:spacing w:line="360" w:lineRule="auto"/>
        <w:jc w:val="both"/>
        <w:rPr>
          <w:rFonts w:ascii="Arial" w:hAnsi="Arial" w:cs="Arial"/>
          <w:sz w:val="24"/>
          <w:szCs w:val="24"/>
        </w:rPr>
      </w:pPr>
      <w:proofErr w:type="spellStart"/>
      <w:r w:rsidRPr="00E909C1">
        <w:rPr>
          <w:rFonts w:ascii="Arial" w:hAnsi="Arial" w:cs="Arial"/>
          <w:sz w:val="24"/>
          <w:szCs w:val="24"/>
        </w:rPr>
        <w:t>Vernimmen</w:t>
      </w:r>
      <w:proofErr w:type="spellEnd"/>
      <w:r w:rsidRPr="00E909C1">
        <w:rPr>
          <w:rFonts w:ascii="Arial" w:hAnsi="Arial" w:cs="Arial"/>
          <w:sz w:val="24"/>
          <w:szCs w:val="24"/>
        </w:rPr>
        <w:t xml:space="preserve">, P., </w:t>
      </w:r>
      <w:proofErr w:type="spellStart"/>
      <w:r w:rsidRPr="00E909C1">
        <w:rPr>
          <w:rFonts w:ascii="Arial" w:hAnsi="Arial" w:cs="Arial"/>
          <w:sz w:val="24"/>
          <w:szCs w:val="24"/>
        </w:rPr>
        <w:t>Quiry</w:t>
      </w:r>
      <w:proofErr w:type="spellEnd"/>
      <w:r w:rsidRPr="00E909C1">
        <w:rPr>
          <w:rFonts w:ascii="Arial" w:hAnsi="Arial" w:cs="Arial"/>
          <w:sz w:val="24"/>
          <w:szCs w:val="24"/>
        </w:rPr>
        <w:t>, P. and Fur, Y.L. (2022). </w:t>
      </w:r>
      <w:r w:rsidRPr="00E909C1">
        <w:rPr>
          <w:rFonts w:ascii="Arial" w:hAnsi="Arial" w:cs="Arial"/>
          <w:i/>
          <w:iCs/>
          <w:sz w:val="24"/>
          <w:szCs w:val="24"/>
        </w:rPr>
        <w:t>Corporate Finance: Theory and Practice</w:t>
      </w:r>
      <w:r w:rsidRPr="00E909C1">
        <w:rPr>
          <w:rFonts w:ascii="Arial" w:hAnsi="Arial" w:cs="Arial"/>
          <w:sz w:val="24"/>
          <w:szCs w:val="24"/>
        </w:rPr>
        <w:t>. [online] Google Books. John Wiley &amp; Sons. Available at: https://books.google.co.uk/books?hl=en&amp;lr=&amp;id=45VWEAAAQBAJ&amp;oi=fnd&amp;pg=PR8&amp;dq=reflects+improved+profitability+and+operational+efficiency+for+Sweets+plc.+This+increase+in+earnings+per+share+demonstrates+the+company%27s+achievement+in+creating+larger+profits+from+each+share [Accessed 3 Dec. 2023].</w:t>
      </w:r>
    </w:p>
    <w:p w14:paraId="46528EC8" w14:textId="77777777" w:rsidR="00E909C1" w:rsidRPr="00E909C1" w:rsidRDefault="00E909C1" w:rsidP="00E909C1">
      <w:pPr>
        <w:spacing w:line="360" w:lineRule="auto"/>
        <w:jc w:val="both"/>
        <w:rPr>
          <w:rFonts w:ascii="Arial" w:hAnsi="Arial" w:cs="Arial"/>
          <w:sz w:val="24"/>
          <w:szCs w:val="24"/>
        </w:rPr>
      </w:pPr>
    </w:p>
    <w:p w14:paraId="683C5A7B"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 xml:space="preserve">Zulaiha, I., Miraza, M. and Muda, I. (2022). </w:t>
      </w:r>
      <w:r w:rsidRPr="00E909C1">
        <w:rPr>
          <w:rFonts w:ascii="Arial" w:hAnsi="Arial" w:cs="Arial"/>
          <w:i/>
          <w:iCs/>
          <w:sz w:val="24"/>
          <w:szCs w:val="24"/>
        </w:rPr>
        <w:t>The Mechanism of Prepare Closing Entries and a Post-Closing Trial Balance</w:t>
      </w:r>
      <w:r w:rsidRPr="00E909C1">
        <w:rPr>
          <w:rFonts w:ascii="Arial" w:hAnsi="Arial" w:cs="Arial"/>
          <w:sz w:val="24"/>
          <w:szCs w:val="24"/>
        </w:rPr>
        <w:t>. Journal of Positive School Psychology, [online] 6(3), pp.2395–24002395–2400. Available at: https://www.journalppw.com/index.php/jpsp/article/view/1969.</w:t>
      </w:r>
    </w:p>
    <w:p w14:paraId="6E6819FD" w14:textId="77777777" w:rsidR="00E909C1" w:rsidRPr="00E909C1" w:rsidRDefault="00E909C1" w:rsidP="00E909C1">
      <w:pPr>
        <w:spacing w:line="360" w:lineRule="auto"/>
        <w:jc w:val="both"/>
        <w:rPr>
          <w:rFonts w:ascii="Arial" w:hAnsi="Arial" w:cs="Arial"/>
          <w:sz w:val="24"/>
          <w:szCs w:val="24"/>
        </w:rPr>
      </w:pPr>
      <w:r w:rsidRPr="00E909C1">
        <w:rPr>
          <w:rFonts w:ascii="Arial" w:hAnsi="Arial" w:cs="Arial"/>
          <w:sz w:val="24"/>
          <w:szCs w:val="24"/>
        </w:rPr>
        <w:t>‌</w:t>
      </w:r>
    </w:p>
    <w:p w14:paraId="653D25C6" w14:textId="77777777" w:rsidR="00CE5CA9" w:rsidRPr="00CE5CA9" w:rsidRDefault="00CE5CA9" w:rsidP="00B95FA9"/>
    <w:sectPr w:rsidR="00CE5CA9" w:rsidRPr="00CE5CA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E1846" w14:textId="77777777" w:rsidR="00002541" w:rsidRDefault="00002541" w:rsidP="00C13D60">
      <w:pPr>
        <w:spacing w:after="0" w:line="240" w:lineRule="auto"/>
      </w:pPr>
      <w:r>
        <w:separator/>
      </w:r>
    </w:p>
  </w:endnote>
  <w:endnote w:type="continuationSeparator" w:id="0">
    <w:p w14:paraId="5EDCC51F" w14:textId="77777777" w:rsidR="00002541" w:rsidRDefault="00002541" w:rsidP="00C1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055886"/>
      <w:docPartObj>
        <w:docPartGallery w:val="Page Numbers (Bottom of Page)"/>
        <w:docPartUnique/>
      </w:docPartObj>
    </w:sdtPr>
    <w:sdtEndPr>
      <w:rPr>
        <w:noProof/>
      </w:rPr>
    </w:sdtEndPr>
    <w:sdtContent>
      <w:p w14:paraId="3E9C1C3D" w14:textId="00D14CA3" w:rsidR="00C13D60" w:rsidRDefault="00C13D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E2934" w14:textId="77777777" w:rsidR="00C13D60" w:rsidRDefault="00C13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BB83A" w14:textId="77777777" w:rsidR="00002541" w:rsidRDefault="00002541" w:rsidP="00C13D60">
      <w:pPr>
        <w:spacing w:after="0" w:line="240" w:lineRule="auto"/>
      </w:pPr>
      <w:r>
        <w:separator/>
      </w:r>
    </w:p>
  </w:footnote>
  <w:footnote w:type="continuationSeparator" w:id="0">
    <w:p w14:paraId="3316BE01" w14:textId="77777777" w:rsidR="00002541" w:rsidRDefault="00002541" w:rsidP="00C13D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53170"/>
    <w:multiLevelType w:val="hybridMultilevel"/>
    <w:tmpl w:val="5D68BDBC"/>
    <w:lvl w:ilvl="0" w:tplc="646616C2">
      <w:start w:val="1"/>
      <w:numFmt w:val="decimal"/>
      <w:lvlText w:val="%1."/>
      <w:lvlJc w:val="left"/>
      <w:pPr>
        <w:ind w:left="785"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5215C8"/>
    <w:multiLevelType w:val="hybridMultilevel"/>
    <w:tmpl w:val="9CF03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2B24C6"/>
    <w:multiLevelType w:val="hybridMultilevel"/>
    <w:tmpl w:val="D292C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67243D"/>
    <w:multiLevelType w:val="hybridMultilevel"/>
    <w:tmpl w:val="CFE06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529500">
    <w:abstractNumId w:val="2"/>
  </w:num>
  <w:num w:numId="2" w16cid:durableId="175658761">
    <w:abstractNumId w:val="0"/>
  </w:num>
  <w:num w:numId="3" w16cid:durableId="1033577733">
    <w:abstractNumId w:val="3"/>
  </w:num>
  <w:num w:numId="4" w16cid:durableId="1441754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D60"/>
    <w:rsid w:val="00002541"/>
    <w:rsid w:val="0000397E"/>
    <w:rsid w:val="0003384C"/>
    <w:rsid w:val="00045334"/>
    <w:rsid w:val="00047EAD"/>
    <w:rsid w:val="00055F98"/>
    <w:rsid w:val="0006508A"/>
    <w:rsid w:val="0007249B"/>
    <w:rsid w:val="000854DD"/>
    <w:rsid w:val="00095E13"/>
    <w:rsid w:val="000960FE"/>
    <w:rsid w:val="000B313C"/>
    <w:rsid w:val="000D6CF7"/>
    <w:rsid w:val="0013232D"/>
    <w:rsid w:val="001334E1"/>
    <w:rsid w:val="0014107F"/>
    <w:rsid w:val="00141436"/>
    <w:rsid w:val="001435ED"/>
    <w:rsid w:val="00181BA9"/>
    <w:rsid w:val="001C3660"/>
    <w:rsid w:val="001E0F45"/>
    <w:rsid w:val="001E30D5"/>
    <w:rsid w:val="001F4FDC"/>
    <w:rsid w:val="001F7E6F"/>
    <w:rsid w:val="002215B9"/>
    <w:rsid w:val="00223965"/>
    <w:rsid w:val="00245D1F"/>
    <w:rsid w:val="00260735"/>
    <w:rsid w:val="00265683"/>
    <w:rsid w:val="002861BA"/>
    <w:rsid w:val="00286F4D"/>
    <w:rsid w:val="002B5602"/>
    <w:rsid w:val="002C6A53"/>
    <w:rsid w:val="002C7A58"/>
    <w:rsid w:val="002D7D23"/>
    <w:rsid w:val="002F536B"/>
    <w:rsid w:val="00307D18"/>
    <w:rsid w:val="00344840"/>
    <w:rsid w:val="003A5EEA"/>
    <w:rsid w:val="003C4761"/>
    <w:rsid w:val="003F28FA"/>
    <w:rsid w:val="003F5C6D"/>
    <w:rsid w:val="003F64C8"/>
    <w:rsid w:val="00405A1E"/>
    <w:rsid w:val="00406F4B"/>
    <w:rsid w:val="004133F7"/>
    <w:rsid w:val="00416456"/>
    <w:rsid w:val="00417F38"/>
    <w:rsid w:val="00430CB8"/>
    <w:rsid w:val="00440D68"/>
    <w:rsid w:val="00485298"/>
    <w:rsid w:val="004972B8"/>
    <w:rsid w:val="004A709D"/>
    <w:rsid w:val="004C1494"/>
    <w:rsid w:val="004D7F15"/>
    <w:rsid w:val="004F71C2"/>
    <w:rsid w:val="00511334"/>
    <w:rsid w:val="00512B98"/>
    <w:rsid w:val="0053765F"/>
    <w:rsid w:val="005426F7"/>
    <w:rsid w:val="00552018"/>
    <w:rsid w:val="0057379F"/>
    <w:rsid w:val="00577EFE"/>
    <w:rsid w:val="005900E7"/>
    <w:rsid w:val="00594DD2"/>
    <w:rsid w:val="005A6B8B"/>
    <w:rsid w:val="005B3BFD"/>
    <w:rsid w:val="005C34E5"/>
    <w:rsid w:val="005E579A"/>
    <w:rsid w:val="006270EC"/>
    <w:rsid w:val="006415DA"/>
    <w:rsid w:val="006541A8"/>
    <w:rsid w:val="0069263A"/>
    <w:rsid w:val="006A6086"/>
    <w:rsid w:val="006C7756"/>
    <w:rsid w:val="006F1EFD"/>
    <w:rsid w:val="007300AC"/>
    <w:rsid w:val="00736BF7"/>
    <w:rsid w:val="007455B8"/>
    <w:rsid w:val="00760EFA"/>
    <w:rsid w:val="007E039E"/>
    <w:rsid w:val="007E2BAD"/>
    <w:rsid w:val="00804F51"/>
    <w:rsid w:val="00814B11"/>
    <w:rsid w:val="008548EE"/>
    <w:rsid w:val="00855553"/>
    <w:rsid w:val="008577F9"/>
    <w:rsid w:val="00870BAE"/>
    <w:rsid w:val="00874812"/>
    <w:rsid w:val="00875132"/>
    <w:rsid w:val="00875EC9"/>
    <w:rsid w:val="00895F49"/>
    <w:rsid w:val="008A1020"/>
    <w:rsid w:val="008A2AE4"/>
    <w:rsid w:val="008C3A7C"/>
    <w:rsid w:val="008E19F2"/>
    <w:rsid w:val="008E5C0D"/>
    <w:rsid w:val="008F73C6"/>
    <w:rsid w:val="00906203"/>
    <w:rsid w:val="0091360B"/>
    <w:rsid w:val="00966472"/>
    <w:rsid w:val="00975BB3"/>
    <w:rsid w:val="009C76BA"/>
    <w:rsid w:val="009E2787"/>
    <w:rsid w:val="009E5527"/>
    <w:rsid w:val="00A27BDA"/>
    <w:rsid w:val="00A72A8A"/>
    <w:rsid w:val="00A72F3A"/>
    <w:rsid w:val="00A857DE"/>
    <w:rsid w:val="00A92EF3"/>
    <w:rsid w:val="00A941A1"/>
    <w:rsid w:val="00A95BC1"/>
    <w:rsid w:val="00A97E09"/>
    <w:rsid w:val="00AA442B"/>
    <w:rsid w:val="00AE61CD"/>
    <w:rsid w:val="00AE74A0"/>
    <w:rsid w:val="00B151A8"/>
    <w:rsid w:val="00B22B1C"/>
    <w:rsid w:val="00B409D2"/>
    <w:rsid w:val="00B85360"/>
    <w:rsid w:val="00B95FA9"/>
    <w:rsid w:val="00BA382A"/>
    <w:rsid w:val="00BA703D"/>
    <w:rsid w:val="00BB65BE"/>
    <w:rsid w:val="00BC165D"/>
    <w:rsid w:val="00BD3A1C"/>
    <w:rsid w:val="00BE082A"/>
    <w:rsid w:val="00C13D60"/>
    <w:rsid w:val="00C14DCB"/>
    <w:rsid w:val="00C24CB9"/>
    <w:rsid w:val="00C25F55"/>
    <w:rsid w:val="00C64D90"/>
    <w:rsid w:val="00C72BFC"/>
    <w:rsid w:val="00C93F12"/>
    <w:rsid w:val="00CB19D0"/>
    <w:rsid w:val="00CB340F"/>
    <w:rsid w:val="00CB4899"/>
    <w:rsid w:val="00CE5CA9"/>
    <w:rsid w:val="00D24938"/>
    <w:rsid w:val="00D71182"/>
    <w:rsid w:val="00D93FF7"/>
    <w:rsid w:val="00DB1E75"/>
    <w:rsid w:val="00DE3317"/>
    <w:rsid w:val="00DE4E13"/>
    <w:rsid w:val="00DE5D7E"/>
    <w:rsid w:val="00E34FF7"/>
    <w:rsid w:val="00E37B6E"/>
    <w:rsid w:val="00E57E7D"/>
    <w:rsid w:val="00E769CA"/>
    <w:rsid w:val="00E909C1"/>
    <w:rsid w:val="00EE743C"/>
    <w:rsid w:val="00F17805"/>
    <w:rsid w:val="00F17ECB"/>
    <w:rsid w:val="00F653AA"/>
    <w:rsid w:val="00F801BC"/>
    <w:rsid w:val="00F826D9"/>
    <w:rsid w:val="00F8717F"/>
    <w:rsid w:val="00F92E07"/>
    <w:rsid w:val="00FB0D9B"/>
    <w:rsid w:val="00FC7BB3"/>
    <w:rsid w:val="00FD6A1B"/>
    <w:rsid w:val="00FF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B4B69"/>
  <w15:chartTrackingRefBased/>
  <w15:docId w15:val="{DA0AD865-FFEF-4CD1-B10A-0D72B31C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D60"/>
  </w:style>
  <w:style w:type="paragraph" w:styleId="Footer">
    <w:name w:val="footer"/>
    <w:basedOn w:val="Normal"/>
    <w:link w:val="FooterChar"/>
    <w:uiPriority w:val="99"/>
    <w:unhideWhenUsed/>
    <w:rsid w:val="00C1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D60"/>
  </w:style>
  <w:style w:type="paragraph" w:styleId="ListParagraph">
    <w:name w:val="List Paragraph"/>
    <w:basedOn w:val="Normal"/>
    <w:uiPriority w:val="34"/>
    <w:qFormat/>
    <w:rsid w:val="00875132"/>
    <w:pPr>
      <w:ind w:left="720"/>
      <w:contextualSpacing/>
    </w:pPr>
  </w:style>
  <w:style w:type="paragraph" w:styleId="NormalWeb">
    <w:name w:val="Normal (Web)"/>
    <w:basedOn w:val="Normal"/>
    <w:uiPriority w:val="99"/>
    <w:unhideWhenUsed/>
    <w:rsid w:val="008F73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72A8A"/>
    <w:rPr>
      <w:color w:val="0563C1" w:themeColor="hyperlink"/>
      <w:u w:val="single"/>
    </w:rPr>
  </w:style>
  <w:style w:type="character" w:styleId="UnresolvedMention">
    <w:name w:val="Unresolved Mention"/>
    <w:basedOn w:val="DefaultParagraphFont"/>
    <w:uiPriority w:val="99"/>
    <w:semiHidden/>
    <w:unhideWhenUsed/>
    <w:rsid w:val="00A72A8A"/>
    <w:rPr>
      <w:color w:val="605E5C"/>
      <w:shd w:val="clear" w:color="auto" w:fill="E1DFDD"/>
    </w:rPr>
  </w:style>
  <w:style w:type="paragraph" w:styleId="NoSpacing">
    <w:name w:val="No Spacing"/>
    <w:uiPriority w:val="1"/>
    <w:qFormat/>
    <w:rsid w:val="00B95FA9"/>
    <w:pPr>
      <w:spacing w:after="0" w:line="240" w:lineRule="auto"/>
    </w:pPr>
  </w:style>
  <w:style w:type="paragraph" w:styleId="Revision">
    <w:name w:val="Revision"/>
    <w:hidden/>
    <w:uiPriority w:val="99"/>
    <w:semiHidden/>
    <w:rsid w:val="00FB0D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20459">
      <w:bodyDiv w:val="1"/>
      <w:marLeft w:val="0"/>
      <w:marRight w:val="0"/>
      <w:marTop w:val="0"/>
      <w:marBottom w:val="0"/>
      <w:divBdr>
        <w:top w:val="none" w:sz="0" w:space="0" w:color="auto"/>
        <w:left w:val="none" w:sz="0" w:space="0" w:color="auto"/>
        <w:bottom w:val="none" w:sz="0" w:space="0" w:color="auto"/>
        <w:right w:val="none" w:sz="0" w:space="0" w:color="auto"/>
      </w:divBdr>
    </w:div>
    <w:div w:id="182717202">
      <w:bodyDiv w:val="1"/>
      <w:marLeft w:val="0"/>
      <w:marRight w:val="0"/>
      <w:marTop w:val="0"/>
      <w:marBottom w:val="0"/>
      <w:divBdr>
        <w:top w:val="none" w:sz="0" w:space="0" w:color="auto"/>
        <w:left w:val="none" w:sz="0" w:space="0" w:color="auto"/>
        <w:bottom w:val="none" w:sz="0" w:space="0" w:color="auto"/>
        <w:right w:val="none" w:sz="0" w:space="0" w:color="auto"/>
      </w:divBdr>
    </w:div>
    <w:div w:id="458299008">
      <w:bodyDiv w:val="1"/>
      <w:marLeft w:val="0"/>
      <w:marRight w:val="0"/>
      <w:marTop w:val="0"/>
      <w:marBottom w:val="0"/>
      <w:divBdr>
        <w:top w:val="none" w:sz="0" w:space="0" w:color="auto"/>
        <w:left w:val="none" w:sz="0" w:space="0" w:color="auto"/>
        <w:bottom w:val="none" w:sz="0" w:space="0" w:color="auto"/>
        <w:right w:val="none" w:sz="0" w:space="0" w:color="auto"/>
      </w:divBdr>
    </w:div>
    <w:div w:id="478502987">
      <w:bodyDiv w:val="1"/>
      <w:marLeft w:val="0"/>
      <w:marRight w:val="0"/>
      <w:marTop w:val="0"/>
      <w:marBottom w:val="0"/>
      <w:divBdr>
        <w:top w:val="none" w:sz="0" w:space="0" w:color="auto"/>
        <w:left w:val="none" w:sz="0" w:space="0" w:color="auto"/>
        <w:bottom w:val="none" w:sz="0" w:space="0" w:color="auto"/>
        <w:right w:val="none" w:sz="0" w:space="0" w:color="auto"/>
      </w:divBdr>
    </w:div>
    <w:div w:id="490146025">
      <w:bodyDiv w:val="1"/>
      <w:marLeft w:val="0"/>
      <w:marRight w:val="0"/>
      <w:marTop w:val="0"/>
      <w:marBottom w:val="0"/>
      <w:divBdr>
        <w:top w:val="none" w:sz="0" w:space="0" w:color="auto"/>
        <w:left w:val="none" w:sz="0" w:space="0" w:color="auto"/>
        <w:bottom w:val="none" w:sz="0" w:space="0" w:color="auto"/>
        <w:right w:val="none" w:sz="0" w:space="0" w:color="auto"/>
      </w:divBdr>
    </w:div>
    <w:div w:id="506015948">
      <w:bodyDiv w:val="1"/>
      <w:marLeft w:val="0"/>
      <w:marRight w:val="0"/>
      <w:marTop w:val="0"/>
      <w:marBottom w:val="0"/>
      <w:divBdr>
        <w:top w:val="none" w:sz="0" w:space="0" w:color="auto"/>
        <w:left w:val="none" w:sz="0" w:space="0" w:color="auto"/>
        <w:bottom w:val="none" w:sz="0" w:space="0" w:color="auto"/>
        <w:right w:val="none" w:sz="0" w:space="0" w:color="auto"/>
      </w:divBdr>
    </w:div>
    <w:div w:id="581111783">
      <w:bodyDiv w:val="1"/>
      <w:marLeft w:val="0"/>
      <w:marRight w:val="0"/>
      <w:marTop w:val="0"/>
      <w:marBottom w:val="0"/>
      <w:divBdr>
        <w:top w:val="none" w:sz="0" w:space="0" w:color="auto"/>
        <w:left w:val="none" w:sz="0" w:space="0" w:color="auto"/>
        <w:bottom w:val="none" w:sz="0" w:space="0" w:color="auto"/>
        <w:right w:val="none" w:sz="0" w:space="0" w:color="auto"/>
      </w:divBdr>
    </w:div>
    <w:div w:id="610363396">
      <w:bodyDiv w:val="1"/>
      <w:marLeft w:val="0"/>
      <w:marRight w:val="0"/>
      <w:marTop w:val="0"/>
      <w:marBottom w:val="0"/>
      <w:divBdr>
        <w:top w:val="none" w:sz="0" w:space="0" w:color="auto"/>
        <w:left w:val="none" w:sz="0" w:space="0" w:color="auto"/>
        <w:bottom w:val="none" w:sz="0" w:space="0" w:color="auto"/>
        <w:right w:val="none" w:sz="0" w:space="0" w:color="auto"/>
      </w:divBdr>
    </w:div>
    <w:div w:id="622658834">
      <w:bodyDiv w:val="1"/>
      <w:marLeft w:val="0"/>
      <w:marRight w:val="0"/>
      <w:marTop w:val="0"/>
      <w:marBottom w:val="0"/>
      <w:divBdr>
        <w:top w:val="none" w:sz="0" w:space="0" w:color="auto"/>
        <w:left w:val="none" w:sz="0" w:space="0" w:color="auto"/>
        <w:bottom w:val="none" w:sz="0" w:space="0" w:color="auto"/>
        <w:right w:val="none" w:sz="0" w:space="0" w:color="auto"/>
      </w:divBdr>
    </w:div>
    <w:div w:id="1171799928">
      <w:bodyDiv w:val="1"/>
      <w:marLeft w:val="0"/>
      <w:marRight w:val="0"/>
      <w:marTop w:val="0"/>
      <w:marBottom w:val="0"/>
      <w:divBdr>
        <w:top w:val="none" w:sz="0" w:space="0" w:color="auto"/>
        <w:left w:val="none" w:sz="0" w:space="0" w:color="auto"/>
        <w:bottom w:val="none" w:sz="0" w:space="0" w:color="auto"/>
        <w:right w:val="none" w:sz="0" w:space="0" w:color="auto"/>
      </w:divBdr>
    </w:div>
    <w:div w:id="1212380706">
      <w:bodyDiv w:val="1"/>
      <w:marLeft w:val="0"/>
      <w:marRight w:val="0"/>
      <w:marTop w:val="0"/>
      <w:marBottom w:val="0"/>
      <w:divBdr>
        <w:top w:val="none" w:sz="0" w:space="0" w:color="auto"/>
        <w:left w:val="none" w:sz="0" w:space="0" w:color="auto"/>
        <w:bottom w:val="none" w:sz="0" w:space="0" w:color="auto"/>
        <w:right w:val="none" w:sz="0" w:space="0" w:color="auto"/>
      </w:divBdr>
    </w:div>
    <w:div w:id="1219438782">
      <w:bodyDiv w:val="1"/>
      <w:marLeft w:val="0"/>
      <w:marRight w:val="0"/>
      <w:marTop w:val="0"/>
      <w:marBottom w:val="0"/>
      <w:divBdr>
        <w:top w:val="none" w:sz="0" w:space="0" w:color="auto"/>
        <w:left w:val="none" w:sz="0" w:space="0" w:color="auto"/>
        <w:bottom w:val="none" w:sz="0" w:space="0" w:color="auto"/>
        <w:right w:val="none" w:sz="0" w:space="0" w:color="auto"/>
      </w:divBdr>
    </w:div>
    <w:div w:id="1650939876">
      <w:bodyDiv w:val="1"/>
      <w:marLeft w:val="0"/>
      <w:marRight w:val="0"/>
      <w:marTop w:val="0"/>
      <w:marBottom w:val="0"/>
      <w:divBdr>
        <w:top w:val="none" w:sz="0" w:space="0" w:color="auto"/>
        <w:left w:val="none" w:sz="0" w:space="0" w:color="auto"/>
        <w:bottom w:val="none" w:sz="0" w:space="0" w:color="auto"/>
        <w:right w:val="none" w:sz="0" w:space="0" w:color="auto"/>
      </w:divBdr>
    </w:div>
    <w:div w:id="1748457326">
      <w:bodyDiv w:val="1"/>
      <w:marLeft w:val="0"/>
      <w:marRight w:val="0"/>
      <w:marTop w:val="0"/>
      <w:marBottom w:val="0"/>
      <w:divBdr>
        <w:top w:val="none" w:sz="0" w:space="0" w:color="auto"/>
        <w:left w:val="none" w:sz="0" w:space="0" w:color="auto"/>
        <w:bottom w:val="none" w:sz="0" w:space="0" w:color="auto"/>
        <w:right w:val="none" w:sz="0" w:space="0" w:color="auto"/>
      </w:divBdr>
      <w:divsChild>
        <w:div w:id="2088576616">
          <w:marLeft w:val="0"/>
          <w:marRight w:val="0"/>
          <w:marTop w:val="0"/>
          <w:marBottom w:val="0"/>
          <w:divBdr>
            <w:top w:val="none" w:sz="0" w:space="0" w:color="auto"/>
            <w:left w:val="none" w:sz="0" w:space="0" w:color="auto"/>
            <w:bottom w:val="none" w:sz="0" w:space="0" w:color="auto"/>
            <w:right w:val="none" w:sz="0" w:space="0" w:color="auto"/>
          </w:divBdr>
          <w:divsChild>
            <w:div w:id="124730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929377">
      <w:bodyDiv w:val="1"/>
      <w:marLeft w:val="0"/>
      <w:marRight w:val="0"/>
      <w:marTop w:val="0"/>
      <w:marBottom w:val="0"/>
      <w:divBdr>
        <w:top w:val="none" w:sz="0" w:space="0" w:color="auto"/>
        <w:left w:val="none" w:sz="0" w:space="0" w:color="auto"/>
        <w:bottom w:val="none" w:sz="0" w:space="0" w:color="auto"/>
        <w:right w:val="none" w:sz="0" w:space="0" w:color="auto"/>
      </w:divBdr>
    </w:div>
    <w:div w:id="1895434249">
      <w:bodyDiv w:val="1"/>
      <w:marLeft w:val="0"/>
      <w:marRight w:val="0"/>
      <w:marTop w:val="0"/>
      <w:marBottom w:val="0"/>
      <w:divBdr>
        <w:top w:val="none" w:sz="0" w:space="0" w:color="auto"/>
        <w:left w:val="none" w:sz="0" w:space="0" w:color="auto"/>
        <w:bottom w:val="none" w:sz="0" w:space="0" w:color="auto"/>
        <w:right w:val="none" w:sz="0" w:space="0" w:color="auto"/>
      </w:divBdr>
    </w:div>
    <w:div w:id="213832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ccaglobal.com/gb/en/student/exam-support-resources/fundamentals-exams-study-resources/f8/technical-articles/laws-and-regulation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17</Pages>
  <Words>3415</Words>
  <Characters>22099</Characters>
  <Application>Microsoft Office Word</Application>
  <DocSecurity>0</DocSecurity>
  <Lines>597</Lines>
  <Paragraphs>209</Paragraphs>
  <ScaleCrop>false</ScaleCrop>
  <Company/>
  <LinksUpToDate>false</LinksUpToDate>
  <CharactersWithSpaces>25305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 K</cp:lastModifiedBy>
  <cp:revision>24</cp:revision>
  <dcterms:created xsi:type="dcterms:W3CDTF">2023-12-20T11:22:00Z</dcterms:created>
  <dcterms:modified xsi:type="dcterms:W3CDTF">2023-12-20T11:51:00Z</dcterms:modified>
</cp:coreProperties>
</file>