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643DBE59" w:rsidR="00563B58" w:rsidRPr="00270EEB" w:rsidRDefault="0094266C" w:rsidP="00340E9A">
      <w:pPr>
        <w:ind w:right="237"/>
        <w:rPr>
          <w:sz w:val="24"/>
          <w:szCs w:val="24"/>
        </w:rPr>
      </w:pPr>
      <w:r>
        <w:rPr>
          <w:sz w:val="24"/>
          <w:szCs w:val="24"/>
        </w:rPr>
        <w:t>Kyl</w:t>
      </w: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30E1DF6" w:rsidR="7908378C" w:rsidRDefault="7908378C" w:rsidP="33572C6E">
            <w:pPr>
              <w:ind w:right="237"/>
              <w:rPr>
                <w:b/>
                <w:bCs/>
                <w:color w:val="auto"/>
                <w:sz w:val="32"/>
                <w:szCs w:val="32"/>
              </w:rPr>
            </w:pPr>
            <w:r w:rsidRPr="33572C6E">
              <w:rPr>
                <w:b/>
                <w:bCs/>
                <w:color w:val="auto"/>
                <w:sz w:val="32"/>
                <w:szCs w:val="32"/>
              </w:rPr>
              <w:t xml:space="preserve">Learner name: </w:t>
            </w:r>
            <w:r w:rsidR="0094266C">
              <w:rPr>
                <w:b/>
                <w:bCs/>
                <w:color w:val="auto"/>
                <w:sz w:val="32"/>
                <w:szCs w:val="32"/>
              </w:rPr>
              <w:t>Kyle Llywelyn Thomas</w:t>
            </w:r>
          </w:p>
          <w:p w14:paraId="3A3A802D" w14:textId="77777777" w:rsidR="33572C6E" w:rsidRDefault="33572C6E" w:rsidP="33572C6E">
            <w:pPr>
              <w:ind w:right="237"/>
              <w:rPr>
                <w:b/>
                <w:bCs/>
                <w:color w:val="auto"/>
                <w:sz w:val="32"/>
                <w:szCs w:val="32"/>
              </w:rPr>
            </w:pPr>
          </w:p>
          <w:p w14:paraId="7883A53E" w14:textId="46CFFA05" w:rsidR="7908378C" w:rsidRPr="005C49CF" w:rsidRDefault="7908378C" w:rsidP="33572C6E">
            <w:pPr>
              <w:ind w:right="237"/>
              <w:rPr>
                <w:b/>
                <w:bCs/>
                <w:color w:val="auto"/>
                <w:sz w:val="32"/>
                <w:szCs w:val="32"/>
              </w:rPr>
            </w:pPr>
            <w:r w:rsidRPr="33572C6E">
              <w:rPr>
                <w:b/>
                <w:bCs/>
                <w:color w:val="auto"/>
                <w:sz w:val="32"/>
                <w:szCs w:val="32"/>
              </w:rPr>
              <w:t>Learner’s University Registration Number:</w:t>
            </w:r>
            <w:r w:rsidR="005C49CF">
              <w:rPr>
                <w:b/>
                <w:bCs/>
                <w:color w:val="auto"/>
                <w:sz w:val="32"/>
                <w:szCs w:val="32"/>
              </w:rPr>
              <w:t xml:space="preserve"> </w:t>
            </w:r>
            <w:r w:rsidR="005C49CF" w:rsidRPr="005C49CF">
              <w:rPr>
                <w:b/>
                <w:bCs/>
                <w:color w:val="auto"/>
                <w:sz w:val="32"/>
                <w:szCs w:val="32"/>
              </w:rPr>
              <w:t>2236113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5A14BEB8" w14:textId="33B77971" w:rsidR="5B843AF0" w:rsidRDefault="5B843AF0" w:rsidP="005C49CF">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84737AA" w14:textId="77777777" w:rsidR="005C49CF" w:rsidRPr="005C49CF" w:rsidRDefault="005C49CF" w:rsidP="005C49CF">
      <w:pPr>
        <w:ind w:right="237"/>
        <w:jc w:val="both"/>
        <w:rPr>
          <w:rFonts w:eastAsia="Arial"/>
          <w:color w:val="000000" w:themeColor="text1"/>
          <w:sz w:val="24"/>
          <w:szCs w:val="24"/>
        </w:rPr>
      </w:pPr>
    </w:p>
    <w:p w14:paraId="58931651" w14:textId="581AA583" w:rsidR="0094266C" w:rsidRPr="00621F12" w:rsidRDefault="0094266C" w:rsidP="0094266C">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As a white Welsh male who was raised in the valleys, I am aware of the limited diversity in the population that resides within them. This limited diversity potentially stems from the finite economic opportunities and geographic isolation of these rural communities, as migration flows tend to be directed towards urban centres where there are greater employment prospects. Studies have highlighted the demographic characteristics of these rural communities in Wales, noting the predominance of indigenous Welsh populations in these areas</w:t>
      </w:r>
      <w:r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Due to this awareness, a particular incident has taken root in my mind and comes to the forefront of it when contemplating an answer to this essay. This incident is one that involved a young woman who spoke limited English and belonged to a minority ethnic group who alleged that she had been sexually assaulted by a friend's boyfriend several nights prior, after a party. </w:t>
      </w:r>
    </w:p>
    <w:p w14:paraId="3C6D3036" w14:textId="2DFBA287" w:rsidR="0094266C" w:rsidRPr="00621F12" w:rsidRDefault="0094266C" w:rsidP="0094266C">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Rape is a deeply complex social issue with profound implications for individuals, families, communities, and society as a whole,</w:t>
      </w:r>
      <w:r w:rsidRPr="00621F12">
        <w:rPr>
          <w:rFonts w:ascii="Times New Roman" w:eastAsia="Aptos" w:hAnsi="Times New Roman" w:cs="Times New Roman"/>
          <w:sz w:val="24"/>
          <w:szCs w:val="24"/>
        </w:rPr>
        <w:t xml:space="preserve"> it is </w:t>
      </w:r>
      <w:r w:rsidRPr="00621F12">
        <w:rPr>
          <w:rFonts w:ascii="Times New Roman" w:eastAsia="Aptos" w:hAnsi="Times New Roman" w:cs="Times New Roman"/>
          <w:sz w:val="24"/>
          <w:szCs w:val="24"/>
        </w:rPr>
        <w:t>predominantly influenced by power dynamics, gender norms, and cultural attitudes towards sexuality and consent. Research indicates that societal beliefs about rape and victim-blaming attitudes can impact how victims are perceived and treated by law enforcement and the criminal justice system (Lonsway &amp; Archambault, 2018).</w:t>
      </w:r>
      <w:r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Victim blaming played a major part in this investigation and is partially why the victim did not wish to initially come forward and speak about the assault. This blaming is an issue where victims of rape are held responsible for their assault and includes the questioning of the victim's behaviour, clothing, and decisions, thereby shifting the focus away from the perpetrator's actions. The blaming in this case came from the victim's friend who stated that </w:t>
      </w:r>
      <w:r w:rsidRPr="00621F12">
        <w:rPr>
          <w:rFonts w:ascii="Times New Roman" w:eastAsia="Aptos" w:hAnsi="Times New Roman" w:cs="Times New Roman"/>
          <w:sz w:val="24"/>
          <w:szCs w:val="24"/>
        </w:rPr>
        <w:lastRenderedPageBreak/>
        <w:t>the victim dressed and acted in a manner that was intended to tempt her boyfriend. Such attitudes discourage victims from reporting the crime and seeking justice (</w:t>
      </w:r>
      <w:bookmarkStart w:id="0" w:name="_Hlk172471008"/>
      <w:r w:rsidRPr="00621F12">
        <w:rPr>
          <w:rFonts w:ascii="Times New Roman" w:eastAsia="Aptos" w:hAnsi="Times New Roman" w:cs="Times New Roman"/>
          <w:sz w:val="24"/>
          <w:szCs w:val="24"/>
        </w:rPr>
        <w:t>Grubb &amp; Turner, 2012</w:t>
      </w:r>
      <w:bookmarkEnd w:id="0"/>
      <w:r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It should be noted that victim blaming is not acceptable and that the victim's behaviour, clothing, and decisions are not responsible for the assault that they unrightfully received. It has been consistently shown throughout</w:t>
      </w:r>
      <w:r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research that rape and sexual assault is a manifestation of power and control and less so about sexual gratification. This power and control that some men strive for is rooted in societal norms and attitudes and it is this that fuels gender-based violence meaning that the assault is no fault of the victim but is entirely that of the perpetrator (</w:t>
      </w:r>
      <w:bookmarkStart w:id="1" w:name="_Hlk172471043"/>
      <w:r w:rsidRPr="00621F12">
        <w:rPr>
          <w:rFonts w:ascii="Times New Roman" w:eastAsia="Aptos" w:hAnsi="Times New Roman" w:cs="Times New Roman"/>
          <w:sz w:val="24"/>
          <w:szCs w:val="24"/>
        </w:rPr>
        <w:t>Jewkes et al., 2012</w:t>
      </w:r>
      <w:bookmarkEnd w:id="1"/>
      <w:r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The victim was a young female who spoke little English, was from a minority group and identified as homosexual resulting in an abundance of forms of inequality relevant in this incident that have potentially made the victim more vulnerable. </w:t>
      </w:r>
      <w:bookmarkStart w:id="2" w:name="_Hlk172471138"/>
      <w:r w:rsidRPr="00621F12">
        <w:rPr>
          <w:rFonts w:ascii="Times New Roman" w:eastAsia="Aptos" w:hAnsi="Times New Roman" w:cs="Times New Roman"/>
          <w:sz w:val="24"/>
          <w:szCs w:val="24"/>
        </w:rPr>
        <w:t xml:space="preserve">(Crenshaw, 1991) </w:t>
      </w:r>
      <w:bookmarkEnd w:id="2"/>
      <w:r w:rsidRPr="00621F12">
        <w:rPr>
          <w:rFonts w:ascii="Times New Roman" w:eastAsia="Aptos" w:hAnsi="Times New Roman" w:cs="Times New Roman"/>
          <w:sz w:val="24"/>
          <w:szCs w:val="24"/>
        </w:rPr>
        <w:t>has explored how factors such as race, ethnicity, class, sexual orientation, and disability intersect with gender to influence vulnerability to rape and access they have to support services. Further lending itself to the issues that rape victims face in a social context are the responses and receptions we as police officers provide to those victims in addition to the responses that the criminal justice system, and healthcare providers also provide. (</w:t>
      </w:r>
      <w:bookmarkStart w:id="3" w:name="_Hlk172471204"/>
      <w:r w:rsidRPr="00621F12">
        <w:rPr>
          <w:rFonts w:ascii="Times New Roman" w:eastAsia="Aptos" w:hAnsi="Times New Roman" w:cs="Times New Roman"/>
          <w:sz w:val="24"/>
          <w:szCs w:val="24"/>
        </w:rPr>
        <w:t>Lovett &amp; Kelly, 2009</w:t>
      </w:r>
      <w:bookmarkEnd w:id="3"/>
      <w:r w:rsidRPr="00621F12">
        <w:rPr>
          <w:rFonts w:ascii="Times New Roman" w:eastAsia="Aptos" w:hAnsi="Times New Roman" w:cs="Times New Roman"/>
          <w:sz w:val="24"/>
          <w:szCs w:val="24"/>
        </w:rPr>
        <w:t>) conducted research which has highlighted systemic barriers and shortcomings in the responses that we provide to rape victims including victim-blaming attitudes that can sometimes present themselves in those who are supposed to aid the victims, leading to inadequate support and services provided, and low conviction rates, influencing the decision to come forward that the victim makes. With respect to the responses and support that officers and the criminal justice system provide to victims of sexual assault, it is unfortunate that societal perceptions of rape and victim credibility can impact how these victims are dealt with (</w:t>
      </w:r>
      <w:bookmarkStart w:id="4" w:name="_Hlk172471273"/>
      <w:r w:rsidRPr="00621F12">
        <w:rPr>
          <w:rFonts w:ascii="Times New Roman" w:eastAsia="Aptos" w:hAnsi="Times New Roman" w:cs="Times New Roman"/>
          <w:sz w:val="24"/>
          <w:szCs w:val="24"/>
        </w:rPr>
        <w:t>Lonsway &amp; Archambault, 2018</w:t>
      </w:r>
      <w:bookmarkEnd w:id="4"/>
      <w:r w:rsidRPr="00621F12">
        <w:rPr>
          <w:rFonts w:ascii="Times New Roman" w:eastAsia="Aptos" w:hAnsi="Times New Roman" w:cs="Times New Roman"/>
          <w:sz w:val="24"/>
          <w:szCs w:val="24"/>
        </w:rPr>
        <w:t>). The victim in this case was well known to the police as an avid drug user with multiple incidents of her making reports that were discovered to be false and entirely manufactured by her. These previous reports and the volume of them made initial responding officers question the victim's credibility. It is in cases such as these that it is important for officers to remember it is necessary to remain impartial and treat all victims with the same respect and remain professional.</w:t>
      </w:r>
    </w:p>
    <w:p w14:paraId="733E00D6" w14:textId="31E1FD7F" w:rsidR="0094266C" w:rsidRPr="00621F12" w:rsidRDefault="0094266C" w:rsidP="0021341F">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Legislation governing sexual assaults is relatively young compared to other legislation, with the original and oldest legislation being the “Sexual Offences Act 1956” and the most recent legislation which almost entirely replaced it being “Sexual Offences Act 2003” which outlines not only the different offences that can be committed, but also outlines procedures for law enforcement officers to follow when responding to such incidents. These laws often include provisions for victim support, evidence collection, and legal proceedings (</w:t>
      </w:r>
      <w:bookmarkStart w:id="5" w:name="_Hlk172471289"/>
      <w:r w:rsidRPr="00621F12">
        <w:rPr>
          <w:rFonts w:ascii="Times New Roman" w:eastAsia="Aptos" w:hAnsi="Times New Roman" w:cs="Times New Roman"/>
          <w:sz w:val="24"/>
          <w:szCs w:val="24"/>
        </w:rPr>
        <w:t>Hlavka, 2014</w:t>
      </w:r>
      <w:bookmarkEnd w:id="5"/>
      <w:r w:rsidRPr="00621F12">
        <w:rPr>
          <w:rFonts w:ascii="Times New Roman" w:eastAsia="Aptos" w:hAnsi="Times New Roman" w:cs="Times New Roman"/>
          <w:sz w:val="24"/>
          <w:szCs w:val="24"/>
        </w:rPr>
        <w:t xml:space="preserve">). The evolution of the Sexual Offences Act from 1956 to 2003 consisted of the re-evaluation of the definition of rape specifying that it is the act of non-consensual sexual penetration of the vagina, anus, or mouth. The Sexual Offences Act 2003 introduced several broader definitions that encompass various forms of sexual violence worded in fashion that allows both sexes to be charged for the offence. Academic research explores this evolution of legal definitions of rape and the inclusion of a definition of consent which address the absence of, or inability to consent (Grubb &amp; Turner, 2012). </w:t>
      </w:r>
      <w:r w:rsidR="0021341F"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It is vitally important on officers' arrival to any incident evidence is gathered. A crucial and significant piece of evidence in this incident is the consent of the victim. (Sexual Offences Act 2003 Section 74) states a person consent if he agrees by choice and has the freedom and capacity to make that choice. This legislation specifies factors that negate consent, such as force, threats, deception, or incapacity due to intoxication or impairment (</w:t>
      </w:r>
      <w:r w:rsidR="0021341F" w:rsidRPr="00621F12">
        <w:rPr>
          <w:rFonts w:ascii="Times New Roman" w:eastAsia="Aptos" w:hAnsi="Times New Roman" w:cs="Times New Roman"/>
          <w:sz w:val="24"/>
          <w:szCs w:val="24"/>
        </w:rPr>
        <w:t>Bhuptani &amp; Messman</w:t>
      </w:r>
      <w:r w:rsidR="0021341F" w:rsidRPr="00621F12">
        <w:rPr>
          <w:rFonts w:ascii="Times New Roman" w:eastAsia="Aptos" w:hAnsi="Times New Roman" w:cs="Times New Roman"/>
          <w:sz w:val="24"/>
          <w:szCs w:val="24"/>
        </w:rPr>
        <w:t>, 2021</w:t>
      </w:r>
      <w:r w:rsidRPr="00621F12">
        <w:rPr>
          <w:rFonts w:ascii="Times New Roman" w:eastAsia="Aptos" w:hAnsi="Times New Roman" w:cs="Times New Roman"/>
          <w:sz w:val="24"/>
          <w:szCs w:val="24"/>
        </w:rPr>
        <w:t xml:space="preserve">). In the case of the young woman involved in this incident not only did she not give consent to the perpetrator </w:t>
      </w:r>
      <w:r w:rsidRPr="00621F12">
        <w:rPr>
          <w:rFonts w:ascii="Times New Roman" w:eastAsia="Aptos" w:hAnsi="Times New Roman" w:cs="Times New Roman"/>
          <w:sz w:val="24"/>
          <w:szCs w:val="24"/>
        </w:rPr>
        <w:lastRenderedPageBreak/>
        <w:t>she was also incapable of giving such consent as after attending the party she was intoxicated and sleeping at the time of the assault rendering her unable to provide consent due to being impaired and unconscious.</w:t>
      </w:r>
      <w:r w:rsidR="0021341F"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Further Legislation establishes the standards of evidence that is required for prosecuting rape and sexual assault cases, including requirements for corroborating evidence and burdens of proof. (</w:t>
      </w:r>
      <w:bookmarkStart w:id="6" w:name="_Hlk172471741"/>
      <w:r w:rsidRPr="00621F12">
        <w:rPr>
          <w:rFonts w:ascii="Times New Roman" w:eastAsia="Aptos" w:hAnsi="Times New Roman" w:cs="Times New Roman"/>
          <w:sz w:val="24"/>
          <w:szCs w:val="24"/>
        </w:rPr>
        <w:t xml:space="preserve">Temkin &amp; </w:t>
      </w:r>
      <w:proofErr w:type="spellStart"/>
      <w:r w:rsidRPr="00621F12">
        <w:rPr>
          <w:rFonts w:ascii="Times New Roman" w:eastAsia="Aptos" w:hAnsi="Times New Roman" w:cs="Times New Roman"/>
          <w:sz w:val="24"/>
          <w:szCs w:val="24"/>
        </w:rPr>
        <w:t>Krahé</w:t>
      </w:r>
      <w:proofErr w:type="spellEnd"/>
      <w:r w:rsidRPr="00621F12">
        <w:rPr>
          <w:rFonts w:ascii="Times New Roman" w:eastAsia="Aptos" w:hAnsi="Times New Roman" w:cs="Times New Roman"/>
          <w:sz w:val="24"/>
          <w:szCs w:val="24"/>
        </w:rPr>
        <w:t>, 2008</w:t>
      </w:r>
      <w:bookmarkEnd w:id="6"/>
      <w:r w:rsidRPr="00621F12">
        <w:rPr>
          <w:rFonts w:ascii="Times New Roman" w:eastAsia="Aptos" w:hAnsi="Times New Roman" w:cs="Times New Roman"/>
          <w:sz w:val="24"/>
          <w:szCs w:val="24"/>
        </w:rPr>
        <w:t>). explore the challenges of securing evidence in such cases focusing on cases which involve acquaintance rape or delayed reporting. Such as in this incident a delayed report of rape makes securing evidence that is reliable difficult as the period of which forensic evidence may be obtained has elapsed. It is further explored in these studies reforms that legislation may take to address the evidential challenges by expanding the admissibility of evidence, enhancing victim protections, and promoting trauma-informed approaches to investigation and prosecution.</w:t>
      </w:r>
    </w:p>
    <w:p w14:paraId="2CB30655" w14:textId="77777777" w:rsidR="0094266C" w:rsidRPr="00621F12" w:rsidRDefault="0094266C" w:rsidP="0094266C">
      <w:pPr>
        <w:spacing w:after="240"/>
        <w:rPr>
          <w:rFonts w:ascii="Times New Roman" w:eastAsia="Aptos" w:hAnsi="Times New Roman" w:cs="Times New Roman"/>
          <w:sz w:val="24"/>
          <w:szCs w:val="24"/>
        </w:rPr>
      </w:pPr>
      <w:r w:rsidRPr="00621F12">
        <w:rPr>
          <w:rFonts w:ascii="Times New Roman" w:eastAsia="Aptos" w:hAnsi="Times New Roman" w:cs="Times New Roman"/>
          <w:sz w:val="24"/>
          <w:szCs w:val="24"/>
        </w:rPr>
        <w:t>As previously mentioned, the victim of this incident spoke limited English which leads to a significant barrier preventing officers from obtaining the necessary information that would allow them to progress the investigation. These challenges in communication can greatly affect the quality of the information gathered due to misunderstandings and misinterpretations which in turn lead to the outcome of the case being affected and resulting in a loss of trust from the victim (</w:t>
      </w:r>
      <w:bookmarkStart w:id="7" w:name="_Hlk172471840"/>
      <w:r w:rsidRPr="00621F12">
        <w:rPr>
          <w:rFonts w:ascii="Times New Roman" w:eastAsia="Aptos" w:hAnsi="Times New Roman" w:cs="Times New Roman"/>
          <w:sz w:val="24"/>
          <w:szCs w:val="24"/>
        </w:rPr>
        <w:t>Gibbs, 2013</w:t>
      </w:r>
      <w:bookmarkEnd w:id="7"/>
      <w:r w:rsidRPr="00621F12">
        <w:rPr>
          <w:rFonts w:ascii="Times New Roman" w:eastAsia="Aptos" w:hAnsi="Times New Roman" w:cs="Times New Roman"/>
          <w:sz w:val="24"/>
          <w:szCs w:val="24"/>
        </w:rPr>
        <w:t>).</w:t>
      </w:r>
    </w:p>
    <w:p w14:paraId="7B9930D3" w14:textId="350EE652" w:rsidR="0094266C" w:rsidRPr="00621F12" w:rsidRDefault="0094266C" w:rsidP="0094266C">
      <w:pPr>
        <w:spacing w:after="240"/>
        <w:rPr>
          <w:rFonts w:ascii="Times New Roman" w:eastAsia="Aptos" w:hAnsi="Times New Roman" w:cs="Times New Roman"/>
          <w:sz w:val="24"/>
          <w:szCs w:val="24"/>
        </w:rPr>
      </w:pPr>
      <w:r w:rsidRPr="00621F12">
        <w:rPr>
          <w:rFonts w:ascii="Times New Roman" w:eastAsia="Aptos" w:hAnsi="Times New Roman" w:cs="Times New Roman"/>
          <w:sz w:val="24"/>
          <w:szCs w:val="24"/>
        </w:rPr>
        <w:t>South Wales Police work closely with a language help line which have a variety of operators and translators who are professional interpreters and translators that speak a multitude of different languages and employ them as common solution to this language barrier. This ensures accurate communication and helps in maintaining the integrity of information gathered during investigations (</w:t>
      </w:r>
      <w:bookmarkStart w:id="8" w:name="_Hlk172471941"/>
      <w:r w:rsidRPr="00621F12">
        <w:rPr>
          <w:rFonts w:ascii="Times New Roman" w:eastAsia="Aptos" w:hAnsi="Times New Roman" w:cs="Times New Roman"/>
          <w:sz w:val="24"/>
          <w:szCs w:val="24"/>
        </w:rPr>
        <w:t>Berk-Seligson, 2002</w:t>
      </w:r>
      <w:bookmarkEnd w:id="8"/>
      <w:r w:rsidRPr="00621F12">
        <w:rPr>
          <w:rFonts w:ascii="Times New Roman" w:eastAsia="Aptos" w:hAnsi="Times New Roman" w:cs="Times New Roman"/>
          <w:sz w:val="24"/>
          <w:szCs w:val="24"/>
        </w:rPr>
        <w:t>). In the case for this incident a Slovakia interpreter was required and once available greatly improved the relationship between officers on the victim and allowed for a clear understanding of what had happened.</w:t>
      </w:r>
      <w:r w:rsidR="009E7BDF"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Prior to being able to obtain an official professional translator, translation apps were able to provide immediate assistance in understanding the initial circumstances surrounding the incident </w:t>
      </w:r>
      <w:r w:rsidRPr="00621F12">
        <w:rPr>
          <w:rFonts w:ascii="Times New Roman" w:eastAsia="Aptos" w:hAnsi="Times New Roman" w:cs="Times New Roman"/>
          <w:color w:val="auto"/>
          <w:sz w:val="24"/>
          <w:szCs w:val="24"/>
        </w:rPr>
        <w:t>(</w:t>
      </w:r>
      <w:bookmarkStart w:id="9" w:name="_Hlk172472135"/>
      <w:r w:rsidR="009E7BDF" w:rsidRPr="00621F12">
        <w:rPr>
          <w:rFonts w:ascii="Times New Roman" w:eastAsia="Aptos" w:hAnsi="Times New Roman" w:cs="Times New Roman"/>
          <w:color w:val="auto"/>
          <w:sz w:val="24"/>
          <w:szCs w:val="24"/>
        </w:rPr>
        <w:t>Kushner, Rahman &amp; Shah.</w:t>
      </w:r>
      <w:r w:rsidRPr="00621F12">
        <w:rPr>
          <w:rFonts w:ascii="Times New Roman" w:eastAsia="Aptos" w:hAnsi="Times New Roman" w:cs="Times New Roman"/>
          <w:color w:val="auto"/>
          <w:sz w:val="24"/>
          <w:szCs w:val="24"/>
        </w:rPr>
        <w:t>, 2013</w:t>
      </w:r>
      <w:bookmarkEnd w:id="9"/>
      <w:r w:rsidRPr="00621F12">
        <w:rPr>
          <w:rFonts w:ascii="Times New Roman" w:eastAsia="Aptos" w:hAnsi="Times New Roman" w:cs="Times New Roman"/>
          <w:color w:val="auto"/>
          <w:sz w:val="24"/>
          <w:szCs w:val="24"/>
        </w:rPr>
        <w:t>)</w:t>
      </w:r>
      <w:r w:rsidRPr="00621F12">
        <w:rPr>
          <w:rFonts w:ascii="Times New Roman" w:eastAsia="Aptos" w:hAnsi="Times New Roman" w:cs="Times New Roman"/>
          <w:sz w:val="24"/>
          <w:szCs w:val="24"/>
        </w:rPr>
        <w:t>. The victim had app that allowed for rudimentary translation and although slow and basic it was able to facilitate as a basic step to overcoming the language barrier.</w:t>
      </w:r>
    </w:p>
    <w:p w14:paraId="21ED1B3C" w14:textId="0F4DFE31" w:rsidR="0094266C" w:rsidRPr="00621F12" w:rsidRDefault="0094266C" w:rsidP="0094266C">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There are a several different strategies employed by South Wales Police and the other Professionals who work closely with officers in order to help support and manage vulnerable rape victims. Although different approaches are employed to address the needs of different victims, there is a need to critically evaluate their appropriateness to ensure effective support and management. Below, I'll discuss several approaches and their implications.</w:t>
      </w:r>
      <w:r w:rsidR="009E7BDF"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South Wales Police collaborate with multiple different agencies and work to coordinate between these various agencies and professionals, in order to address the diverse needs of rape victims. This approach is not only used in rape and sexual offence incidents but is frequently used in many other incidents and recognizes that no single agency or profession can be expected to have a comprehensive understanding of the complex needs of every victim and emphasizes the importance of collaboration and information-sharing and provide more holistic support to victims</w:t>
      </w:r>
      <w:r w:rsidR="00757203"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While multi-agency collaboration is essential for providing holistic support to vulnerable victims, there are often challenges that arise in achieving effective communication and coordination between all the agencies involved. Complex bureaucratic structures, power dynamics, differing priorities, and limited resources can hinder collaboration between agencies, potentially obstructing the timely and efficient delivery of services leading to gaps in service provision and fragmented care for survivors (Featherstone, White, &amp; Morris, 2014).</w:t>
      </w:r>
    </w:p>
    <w:p w14:paraId="6F8B7226" w14:textId="77777777" w:rsidR="007D7365" w:rsidRPr="00621F12" w:rsidRDefault="0094266C" w:rsidP="007D7365">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lastRenderedPageBreak/>
        <w:t>In addition to the multi-agency approach that South Wales Police takes it also implements the use of specialised departments such as the Crime Investigation Department (CID) and the Rape investigation Team (RIT). RIT in particular is a department that have officers who are trained to handle sexual violence cases with greater sensitivity and expertise (Campbell et al., 2015). The Effectiveness of these specialised departments have been studied by (Robinson, 2009) who finds that they improve the quality of investigations and support provided to victims, leading to higher satisfaction and better outcomes in the justice process.</w:t>
      </w:r>
      <w:r w:rsidR="007D7365"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Similar to the issues and criticisms there are surrounding multi-agency collaboration there are often complex bureaucratic structures, power dynamics, differing priorities between the departments. Although an effective resource, specialised departments are not always as well-integrated with other police functions and services as they should be resulting in gaps in the support that is offered to victims (Sleath &amp; Bull, 2017).</w:t>
      </w:r>
    </w:p>
    <w:p w14:paraId="4D680E64" w14:textId="01628C60" w:rsidR="0094266C" w:rsidRPr="00621F12" w:rsidRDefault="0094266C" w:rsidP="0094266C">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Tackling repeat victimization of rape victims and repeat offending requires a comprehensive approach that incorporates evidence-based policing strategies. These strategies involve actions taken with both the victim and the perpetrator such as prevention, intervention, and support strategies.</w:t>
      </w:r>
      <w:r w:rsidR="007D7365"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Preventing repeat victimization of rape victims involves identifying and addressing any factors that place the victim at risk of revictimization. Although in this incident it is unlikely that any repeat offences would be committed it is important that it is taken into consideration and proactive strategies are employed early to reduce the likelihood of future victimization </w:t>
      </w:r>
      <w:bookmarkStart w:id="10" w:name="_Hlk172473396"/>
      <w:r w:rsidRPr="00621F12">
        <w:rPr>
          <w:rFonts w:ascii="Times New Roman" w:eastAsia="Aptos" w:hAnsi="Times New Roman" w:cs="Times New Roman"/>
          <w:sz w:val="24"/>
          <w:szCs w:val="24"/>
        </w:rPr>
        <w:t>(Hindelang et al., 2020).</w:t>
      </w:r>
      <w:bookmarkEnd w:id="10"/>
      <w:r w:rsidR="007D7365"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The victim in this incident as well as most other cases was provided comprehensive support such as access to medical care, psychological counselling, special measures that could be put in place to support her in court. Our victim was also referred to the Sexual Assault Referral Centre (SARC) where although there was not any forensic evidence, they would be able to obtain, they were still able to offer support and have been shown to improve victim outcomes and reduce the risk of re-victimization (</w:t>
      </w:r>
      <w:bookmarkStart w:id="11" w:name="_Hlk172473518"/>
      <w:r w:rsidRPr="00621F12">
        <w:rPr>
          <w:rFonts w:ascii="Times New Roman" w:eastAsia="Aptos" w:hAnsi="Times New Roman" w:cs="Times New Roman"/>
          <w:sz w:val="24"/>
          <w:szCs w:val="24"/>
        </w:rPr>
        <w:t>Lovett, Regan, &amp; Kelly, 2004).</w:t>
      </w:r>
      <w:bookmarkEnd w:id="11"/>
      <w:r w:rsidR="007D7365"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Supporting the victim is not the only action that police and other professionals take to prevent reoffending. The offenders are managed and given the opportunity to rehabilitate through the use of rehabilitation programs which are targeted towards the offences they have committed. Cognitive-behavioural therapy combined with other therapeutic interventions have been shown to be effective in reducing repeat offending by addressing underlying psychological issues and promoting behaviour change (Hanson et al., 2009).</w:t>
      </w:r>
      <w:r w:rsidR="007D7365" w:rsidRPr="00621F12">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 xml:space="preserve">Finally, evidence-based policing requires evaluation of the information that police have to hand and adapting the approaches and strategies they use to ensure they are effective. By prioritizing interventions that target known factors that influence reoffending, such as substance abuse, antisocial behaviour, and lack of social support police </w:t>
      </w:r>
      <w:r w:rsidR="007D7365" w:rsidRPr="00621F12">
        <w:rPr>
          <w:rFonts w:ascii="Times New Roman" w:eastAsia="Aptos" w:hAnsi="Times New Roman" w:cs="Times New Roman"/>
          <w:sz w:val="24"/>
          <w:szCs w:val="24"/>
        </w:rPr>
        <w:t>can</w:t>
      </w:r>
      <w:r w:rsidRPr="00621F12">
        <w:rPr>
          <w:rFonts w:ascii="Times New Roman" w:eastAsia="Aptos" w:hAnsi="Times New Roman" w:cs="Times New Roman"/>
          <w:sz w:val="24"/>
          <w:szCs w:val="24"/>
        </w:rPr>
        <w:t xml:space="preserve"> prevent any reoffending and in turn support not only the victim but the offender too</w:t>
      </w:r>
      <w:r w:rsidR="00621F12" w:rsidRPr="00621F12">
        <w:rPr>
          <w:rFonts w:ascii="Times New Roman" w:eastAsia="Aptos" w:hAnsi="Times New Roman" w:cs="Times New Roman"/>
          <w:sz w:val="24"/>
          <w:szCs w:val="24"/>
        </w:rPr>
        <w:t>.</w:t>
      </w:r>
    </w:p>
    <w:p w14:paraId="5B8E35D7" w14:textId="6EA3E45F" w:rsidR="69F7424F" w:rsidRDefault="69F7424F" w:rsidP="00621F12">
      <w:pPr>
        <w:pStyle w:val="paragraph"/>
        <w:spacing w:before="0" w:beforeAutospacing="0" w:after="0" w:afterAutospacing="0"/>
        <w:ind w:right="225"/>
        <w:rPr>
          <w:rStyle w:val="normaltextrun"/>
          <w:rFonts w:ascii="Arial" w:hAnsi="Arial" w:cs="Arial"/>
          <w:b/>
          <w:bCs/>
          <w:color w:val="000000" w:themeColor="text1"/>
        </w:rPr>
      </w:pPr>
    </w:p>
    <w:p w14:paraId="1A736CD2" w14:textId="6EA10144" w:rsidR="00621F12" w:rsidRDefault="00621F12" w:rsidP="00621F12">
      <w:pPr>
        <w:pStyle w:val="paragraph"/>
        <w:spacing w:before="0" w:beforeAutospacing="0" w:after="0" w:afterAutospacing="0"/>
        <w:ind w:right="225"/>
        <w:rPr>
          <w:rStyle w:val="normaltextrun"/>
          <w:rFonts w:ascii="Arial" w:hAnsi="Arial" w:cs="Arial"/>
          <w:b/>
          <w:bCs/>
          <w:color w:val="000000" w:themeColor="text1"/>
        </w:rPr>
      </w:pPr>
      <w:r>
        <w:rPr>
          <w:rStyle w:val="normaltextrun"/>
          <w:rFonts w:ascii="Arial" w:hAnsi="Arial" w:cs="Arial"/>
          <w:b/>
          <w:bCs/>
          <w:color w:val="000000" w:themeColor="text1"/>
        </w:rPr>
        <w:t>Word count: 2050.</w:t>
      </w: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403A466" w:rsidR="0FF883D4" w:rsidRDefault="5CE196A1" w:rsidP="5CE196A1">
      <w:r w:rsidRPr="5CE196A1">
        <w:rPr>
          <w:rFonts w:eastAsia="Arial"/>
          <w:b/>
          <w:bCs/>
          <w:color w:val="000000" w:themeColor="text1"/>
          <w:sz w:val="24"/>
          <w:szCs w:val="24"/>
        </w:rPr>
        <w:t xml:space="preserve">Signed: </w:t>
      </w:r>
      <w:r w:rsidR="00042D70">
        <w:rPr>
          <w:rFonts w:eastAsia="Arial"/>
          <w:b/>
          <w:bCs/>
          <w:color w:val="000000" w:themeColor="text1"/>
          <w:sz w:val="24"/>
          <w:szCs w:val="24"/>
        </w:rPr>
        <w:t>Kyle Thomas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30F561A" w14:textId="4C0AF241"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L</w:t>
      </w:r>
      <w:r w:rsidRPr="00042D70">
        <w:rPr>
          <w:rFonts w:ascii="Times New Roman" w:eastAsia="Aptos" w:hAnsi="Times New Roman" w:cs="Times New Roman"/>
          <w:sz w:val="24"/>
          <w:szCs w:val="24"/>
        </w:rPr>
        <w:t xml:space="preserve">onsway &amp; </w:t>
      </w:r>
      <w:r w:rsidRPr="00042D70">
        <w:rPr>
          <w:rFonts w:ascii="Times New Roman" w:eastAsia="Aptos" w:hAnsi="Times New Roman" w:cs="Times New Roman"/>
          <w:sz w:val="24"/>
          <w:szCs w:val="24"/>
        </w:rPr>
        <w:t>A</w:t>
      </w:r>
      <w:r w:rsidRPr="00042D70">
        <w:rPr>
          <w:rFonts w:ascii="Times New Roman" w:eastAsia="Aptos" w:hAnsi="Times New Roman" w:cs="Times New Roman"/>
          <w:sz w:val="24"/>
          <w:szCs w:val="24"/>
        </w:rPr>
        <w:t>rchambault 2018: False Reports: Moving Beyond the Issue to Successfully Investigate and Prosecute Non-Stranger Sexual Assault.</w:t>
      </w:r>
    </w:p>
    <w:p w14:paraId="6E66EE5F"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Grubb &amp; Turner, 2012: Attribution of blame in rape cases: A review of the impact of rape myth acceptance, gender role conformity and substance use on victim blaming.</w:t>
      </w:r>
    </w:p>
    <w:p w14:paraId="7DD3A4EC"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Jewkes et al., 2012: Prospective Study of Rape Perpetration by Young South African Men: Incidence &amp; Risk Factors.</w:t>
      </w:r>
    </w:p>
    <w:p w14:paraId="3B6B0006"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 xml:space="preserve">Crenshaw, 1991: Mapping the Margins: Intersectionality, Identity Politics, and Violence against Women of </w:t>
      </w:r>
      <w:proofErr w:type="spellStart"/>
      <w:r w:rsidRPr="00042D70">
        <w:rPr>
          <w:rFonts w:ascii="Times New Roman" w:eastAsia="Aptos" w:hAnsi="Times New Roman" w:cs="Times New Roman"/>
          <w:sz w:val="24"/>
          <w:szCs w:val="24"/>
        </w:rPr>
        <w:t>Color</w:t>
      </w:r>
      <w:proofErr w:type="spellEnd"/>
      <w:r w:rsidRPr="00042D70">
        <w:rPr>
          <w:rFonts w:ascii="Times New Roman" w:eastAsia="Aptos" w:hAnsi="Times New Roman" w:cs="Times New Roman"/>
          <w:sz w:val="24"/>
          <w:szCs w:val="24"/>
        </w:rPr>
        <w:t>.</w:t>
      </w:r>
    </w:p>
    <w:p w14:paraId="12ECBDA0" w14:textId="77777777" w:rsidR="00042D70" w:rsidRPr="00042D70" w:rsidRDefault="00042D70" w:rsidP="00042D70">
      <w:pPr>
        <w:spacing w:before="240" w:after="240"/>
        <w:rPr>
          <w:rFonts w:ascii="Times New Roman" w:hAnsi="Times New Roman" w:cs="Times New Roman"/>
          <w:sz w:val="24"/>
          <w:szCs w:val="24"/>
        </w:rPr>
      </w:pPr>
      <w:r w:rsidRPr="00042D70">
        <w:rPr>
          <w:rFonts w:ascii="Times New Roman" w:eastAsia="Aptos" w:hAnsi="Times New Roman" w:cs="Times New Roman"/>
          <w:sz w:val="24"/>
          <w:szCs w:val="24"/>
        </w:rPr>
        <w:t xml:space="preserve">Lovett &amp; Kelly, 2009: </w:t>
      </w:r>
      <w:r w:rsidRPr="00042D70">
        <w:rPr>
          <w:rFonts w:ascii="Times New Roman" w:hAnsi="Times New Roman" w:cs="Times New Roman"/>
          <w:sz w:val="24"/>
          <w:szCs w:val="24"/>
        </w:rPr>
        <w:t>Different systems, similar outcomes? Tracking attrition in reported rape cases in eleven countries.</w:t>
      </w:r>
    </w:p>
    <w:p w14:paraId="1F3355A1"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Hlavka, 2014: Normalizing Sexual Violence: Young Women Account for Harassment and Abuse.</w:t>
      </w:r>
    </w:p>
    <w:p w14:paraId="0F68C54D" w14:textId="77777777" w:rsidR="00042D70" w:rsidRPr="00042D70" w:rsidRDefault="00042D70" w:rsidP="00042D70">
      <w:pPr>
        <w:spacing w:before="240" w:after="240"/>
        <w:rPr>
          <w:rFonts w:ascii="Times New Roman" w:eastAsia="Aptos" w:hAnsi="Times New Roman" w:cs="Times New Roman"/>
          <w:sz w:val="24"/>
          <w:szCs w:val="24"/>
        </w:rPr>
      </w:pPr>
      <w:bookmarkStart w:id="12" w:name="_Hlk172471713"/>
      <w:r w:rsidRPr="00042D70">
        <w:rPr>
          <w:rFonts w:ascii="Times New Roman" w:eastAsia="Aptos" w:hAnsi="Times New Roman" w:cs="Times New Roman"/>
          <w:sz w:val="24"/>
          <w:szCs w:val="24"/>
        </w:rPr>
        <w:t>Bhuptani &amp; Messman</w:t>
      </w:r>
      <w:bookmarkEnd w:id="12"/>
      <w:r w:rsidRPr="00042D70">
        <w:rPr>
          <w:rFonts w:ascii="Times New Roman" w:eastAsia="Aptos" w:hAnsi="Times New Roman" w:cs="Times New Roman"/>
          <w:sz w:val="24"/>
          <w:szCs w:val="24"/>
        </w:rPr>
        <w:t>, 2021: Role of Blame and Rape-Related Shame in Distress Among Rape Victims</w:t>
      </w:r>
    </w:p>
    <w:p w14:paraId="4165DD36"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 xml:space="preserve">Temkin &amp; </w:t>
      </w:r>
      <w:proofErr w:type="spellStart"/>
      <w:r w:rsidRPr="00042D70">
        <w:rPr>
          <w:rFonts w:ascii="Times New Roman" w:eastAsia="Aptos" w:hAnsi="Times New Roman" w:cs="Times New Roman"/>
          <w:sz w:val="24"/>
          <w:szCs w:val="24"/>
        </w:rPr>
        <w:t>Krahé</w:t>
      </w:r>
      <w:proofErr w:type="spellEnd"/>
      <w:r w:rsidRPr="00042D70">
        <w:rPr>
          <w:rFonts w:ascii="Times New Roman" w:eastAsia="Aptos" w:hAnsi="Times New Roman" w:cs="Times New Roman"/>
          <w:sz w:val="24"/>
          <w:szCs w:val="24"/>
        </w:rPr>
        <w:t>, 2008:</w:t>
      </w:r>
      <w:r w:rsidRPr="00042D70">
        <w:rPr>
          <w:rFonts w:ascii="Times New Roman" w:hAnsi="Times New Roman" w:cs="Times New Roman"/>
          <w:sz w:val="24"/>
          <w:szCs w:val="24"/>
        </w:rPr>
        <w:t xml:space="preserve"> </w:t>
      </w:r>
      <w:r w:rsidRPr="00042D70">
        <w:rPr>
          <w:rFonts w:ascii="Times New Roman" w:eastAsia="Aptos" w:hAnsi="Times New Roman" w:cs="Times New Roman"/>
          <w:sz w:val="24"/>
          <w:szCs w:val="24"/>
        </w:rPr>
        <w:t>Sexual Assault and the Justice Gap: A Question of Attitude.</w:t>
      </w:r>
    </w:p>
    <w:p w14:paraId="7BE429F8"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Berk-Seligson, 2002: The Bilingual Courtroom.</w:t>
      </w:r>
    </w:p>
    <w:p w14:paraId="7B2B08A0" w14:textId="77777777" w:rsidR="00042D70" w:rsidRPr="00042D70" w:rsidRDefault="00042D70" w:rsidP="00042D70">
      <w:pPr>
        <w:spacing w:before="240" w:after="240"/>
        <w:rPr>
          <w:rFonts w:ascii="Times New Roman" w:eastAsia="Aptos" w:hAnsi="Times New Roman" w:cs="Times New Roman"/>
          <w:i/>
          <w:iCs/>
          <w:sz w:val="24"/>
          <w:szCs w:val="24"/>
        </w:rPr>
      </w:pPr>
      <w:r w:rsidRPr="00042D70">
        <w:rPr>
          <w:rFonts w:ascii="Times New Roman" w:eastAsia="Aptos" w:hAnsi="Times New Roman" w:cs="Times New Roman"/>
          <w:sz w:val="24"/>
          <w:szCs w:val="24"/>
        </w:rPr>
        <w:t xml:space="preserve">Gibbs, G. 2013: Communication Challenges in Policing: The Role of Language. </w:t>
      </w:r>
      <w:r w:rsidRPr="00042D70">
        <w:rPr>
          <w:rFonts w:ascii="Times New Roman" w:eastAsia="Aptos" w:hAnsi="Times New Roman" w:cs="Times New Roman"/>
          <w:i/>
          <w:iCs/>
          <w:sz w:val="24"/>
          <w:szCs w:val="24"/>
        </w:rPr>
        <w:t>Journal of Police Studies.</w:t>
      </w:r>
    </w:p>
    <w:p w14:paraId="3CF6D3F1" w14:textId="77777777" w:rsidR="00042D70" w:rsidRPr="00042D70" w:rsidRDefault="00042D70" w:rsidP="00042D70">
      <w:pPr>
        <w:spacing w:before="240" w:after="240"/>
        <w:rPr>
          <w:rFonts w:ascii="Times New Roman" w:eastAsia="Aptos" w:hAnsi="Times New Roman" w:cs="Times New Roman"/>
          <w:sz w:val="24"/>
          <w:szCs w:val="24"/>
        </w:rPr>
      </w:pPr>
      <w:bookmarkStart w:id="13" w:name="_Hlk172472310"/>
      <w:r w:rsidRPr="00042D70">
        <w:rPr>
          <w:rFonts w:ascii="Times New Roman" w:eastAsia="Aptos" w:hAnsi="Times New Roman" w:cs="Times New Roman"/>
          <w:sz w:val="24"/>
          <w:szCs w:val="24"/>
        </w:rPr>
        <w:t xml:space="preserve">Kushner, </w:t>
      </w:r>
      <w:r w:rsidRPr="00042D70">
        <w:rPr>
          <w:rFonts w:ascii="Times New Roman" w:hAnsi="Times New Roman" w:cs="Times New Roman"/>
          <w:sz w:val="24"/>
          <w:szCs w:val="24"/>
        </w:rPr>
        <w:t>Rahman &amp; Shah</w:t>
      </w:r>
      <w:r w:rsidRPr="00042D70">
        <w:rPr>
          <w:rFonts w:ascii="Times New Roman" w:eastAsia="Aptos" w:hAnsi="Times New Roman" w:cs="Times New Roman"/>
          <w:sz w:val="24"/>
          <w:szCs w:val="24"/>
        </w:rPr>
        <w:t xml:space="preserve">. </w:t>
      </w:r>
      <w:bookmarkEnd w:id="13"/>
      <w:r w:rsidRPr="00042D70">
        <w:rPr>
          <w:rFonts w:ascii="Times New Roman" w:eastAsia="Aptos" w:hAnsi="Times New Roman" w:cs="Times New Roman"/>
          <w:sz w:val="24"/>
          <w:szCs w:val="24"/>
        </w:rPr>
        <w:t>2013: The Role of Technology in Overcoming Language Barriers in Law Enforcement. Policing and Society.</w:t>
      </w:r>
    </w:p>
    <w:p w14:paraId="642D9B17" w14:textId="77777777" w:rsidR="00042D70" w:rsidRPr="00042D70" w:rsidRDefault="00042D70" w:rsidP="00042D70">
      <w:pPr>
        <w:rPr>
          <w:rFonts w:ascii="Times New Roman" w:eastAsia="Aptos" w:hAnsi="Times New Roman" w:cs="Times New Roman"/>
          <w:sz w:val="24"/>
          <w:szCs w:val="24"/>
        </w:rPr>
      </w:pPr>
      <w:r w:rsidRPr="00042D70">
        <w:rPr>
          <w:rFonts w:ascii="Times New Roman" w:eastAsia="Aptos" w:hAnsi="Times New Roman" w:cs="Times New Roman"/>
          <w:sz w:val="24"/>
          <w:szCs w:val="24"/>
        </w:rPr>
        <w:t xml:space="preserve">Featherstone, B., White, S., &amp; Morris, K. 2014: </w:t>
      </w:r>
      <w:r w:rsidRPr="00042D70">
        <w:rPr>
          <w:rFonts w:ascii="Times New Roman" w:eastAsia="Aptos" w:hAnsi="Times New Roman" w:cs="Times New Roman"/>
          <w:i/>
          <w:iCs/>
          <w:sz w:val="24"/>
          <w:szCs w:val="24"/>
        </w:rPr>
        <w:t>Re-imagining Child Protection: Towards Humane Social Work</w:t>
      </w:r>
      <w:r w:rsidRPr="00042D70">
        <w:rPr>
          <w:rFonts w:ascii="Times New Roman" w:eastAsia="Aptos" w:hAnsi="Times New Roman" w:cs="Times New Roman"/>
          <w:sz w:val="24"/>
          <w:szCs w:val="24"/>
        </w:rPr>
        <w:t>.</w:t>
      </w:r>
    </w:p>
    <w:p w14:paraId="44A3B9B1"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lastRenderedPageBreak/>
        <w:t>Campbell, R., Bybee, D., Kelley, K. D., Dworkin, E. R., &amp; Patterson, D. (2015): The impact of sexual assault nurse examiner (SANE) program services on law enforcement investigational practices</w:t>
      </w:r>
    </w:p>
    <w:p w14:paraId="58178A33"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Robinson, A. L. 2009: Independent sexual violence advisors: A process evaluation.</w:t>
      </w:r>
    </w:p>
    <w:p w14:paraId="1A1DAAA2"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Sleath, E., &amp; Bull, R. 2017: Police perceptions of rape victims and the impact on case decision making: A systematic review.</w:t>
      </w:r>
    </w:p>
    <w:p w14:paraId="7F27D619"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Hindelang et al., 2020: Effectiveness of non-pharmacological COPD management on health-related quality of life - a systematic review</w:t>
      </w:r>
    </w:p>
    <w:p w14:paraId="364D87B3"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Lovett, Regan, &amp; Kelly, 2004: Sexual Assault Referral Centres: developing good practice and maximising potentials.</w:t>
      </w:r>
    </w:p>
    <w:p w14:paraId="575BB95D" w14:textId="77777777" w:rsidR="00042D70" w:rsidRPr="00042D70" w:rsidRDefault="00042D70" w:rsidP="00042D70">
      <w:pPr>
        <w:spacing w:before="240" w:after="240"/>
        <w:rPr>
          <w:rFonts w:ascii="Times New Roman" w:eastAsia="Aptos" w:hAnsi="Times New Roman" w:cs="Times New Roman"/>
          <w:sz w:val="24"/>
          <w:szCs w:val="24"/>
        </w:rPr>
      </w:pPr>
      <w:r w:rsidRPr="00042D70">
        <w:rPr>
          <w:rFonts w:ascii="Times New Roman" w:eastAsia="Aptos" w:hAnsi="Times New Roman" w:cs="Times New Roman"/>
          <w:sz w:val="24"/>
          <w:szCs w:val="24"/>
        </w:rPr>
        <w:t>Hanson, R. K., Bourgon, G., Helmus, L., &amp; Hodgson, S. 2009: The principles of effective correctional treatment also apply to sexual offenders: A meta-analysis.</w:t>
      </w:r>
    </w:p>
    <w:p w14:paraId="32CB0F1B" w14:textId="77777777" w:rsidR="00042D70" w:rsidRDefault="00042D70" w:rsidP="00EA28F1">
      <w:pPr>
        <w:keepNext/>
        <w:spacing w:before="240" w:after="60"/>
        <w:ind w:right="237"/>
        <w:jc w:val="both"/>
      </w:pPr>
    </w:p>
    <w:sectPr w:rsidR="00042D7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D14ECC" w14:textId="77777777" w:rsidR="009367B3" w:rsidRDefault="009367B3">
      <w:r>
        <w:separator/>
      </w:r>
    </w:p>
  </w:endnote>
  <w:endnote w:type="continuationSeparator" w:id="0">
    <w:p w14:paraId="3DF0A285" w14:textId="77777777" w:rsidR="009367B3" w:rsidRDefault="009367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F825E4" w14:textId="77777777" w:rsidR="009367B3" w:rsidRDefault="009367B3">
      <w:r>
        <w:separator/>
      </w:r>
    </w:p>
  </w:footnote>
  <w:footnote w:type="continuationSeparator" w:id="0">
    <w:p w14:paraId="47B4FAF5" w14:textId="77777777" w:rsidR="009367B3" w:rsidRDefault="009367B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2D70"/>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41F"/>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0A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49CF"/>
    <w:rsid w:val="005C6CE5"/>
    <w:rsid w:val="005C76DE"/>
    <w:rsid w:val="005D3F07"/>
    <w:rsid w:val="005D583E"/>
    <w:rsid w:val="005E13EA"/>
    <w:rsid w:val="005E53BD"/>
    <w:rsid w:val="00606E27"/>
    <w:rsid w:val="006108C9"/>
    <w:rsid w:val="00615C7E"/>
    <w:rsid w:val="0062158D"/>
    <w:rsid w:val="00621F12"/>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57203"/>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365"/>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67B3"/>
    <w:rsid w:val="0094266C"/>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E7BDF"/>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4065"/>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19</Pages>
  <Words>4088</Words>
  <Characters>23305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Thomas,Kyle swp8552</cp:lastModifiedBy>
  <cp:revision>6</cp:revision>
  <cp:lastPrinted>2014-08-26T08:55:00Z</cp:lastPrinted>
  <dcterms:created xsi:type="dcterms:W3CDTF">2023-09-25T13:12:00Z</dcterms:created>
  <dcterms:modified xsi:type="dcterms:W3CDTF">2024-07-21T16:06:00Z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2024-07-21T16:03:08Z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a7c40843-5d9f-4f3a-9e62-4f4a9d5e35b2</vt:lpwstr>
  </property>
  <property fmtid="{D5CDD505-2E9C-101B-9397-08002B2CF9AE}" pid="9" name="MSIP_Label_66cf8fe5-b7b7-4df7-b38d-1c61ac2f6639_ContentBits">
    <vt:lpwstr>0</vt:lpwstr>
  </property>
</Properties>
</file>