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195CCD" w14:textId="6CF7C877" w:rsidR="00B92D2E" w:rsidRDefault="5DB02131" w:rsidP="06DA267F">
      <w:pPr>
        <w:jc w:val="both"/>
      </w:pPr>
      <w:r w:rsidRPr="06DA267F">
        <w:t xml:space="preserve">AC1.1) Organisational structure represents the layout of how employees and teams are directed, monitored and empowered to achieve the company’s goals. </w:t>
      </w:r>
    </w:p>
    <w:p w14:paraId="5CA8074C" w14:textId="11C4FFDA" w:rsidR="00B92D2E" w:rsidRDefault="5DB02131" w:rsidP="06DA267F">
      <w:pPr>
        <w:jc w:val="both"/>
      </w:pPr>
      <w:r w:rsidRPr="06DA267F">
        <w:t xml:space="preserve">Under Kirsten’s management, </w:t>
      </w:r>
      <w:proofErr w:type="spellStart"/>
      <w:r w:rsidRPr="06DA267F">
        <w:t>Calmere</w:t>
      </w:r>
      <w:proofErr w:type="spellEnd"/>
      <w:r w:rsidRPr="06DA267F">
        <w:t xml:space="preserve"> House was operated under a flat non-hierarchical structure where all employees were interconnected and included in the decision-making process, there being no top-down reporting systems and equality was in the spotlight. This type of consultative management was beneficial for creating open channels of communication, which improved employers’ engagement and the levels of commitment towards company’s needs. The structure builds an open environment, improving retention and an overall positive work culture (Marchington </w:t>
      </w:r>
      <w:r w:rsidRPr="06DA267F">
        <w:rPr>
          <w:i/>
          <w:iCs/>
        </w:rPr>
        <w:t>et al.</w:t>
      </w:r>
      <w:r w:rsidRPr="06DA267F">
        <w:t xml:space="preserve">, 2025), creating a stronger relationship between staff and residents and improving the service quality. A negative side of the flat structure can be the lack of policies and procedures, which can create difficulties on fallowing the law requirements (Taylor and Perkins, 2021). The ad-hoc approach on the decision-making process can result in breaching law regulations, which can damage the business reputation or get it closed. </w:t>
      </w:r>
    </w:p>
    <w:p w14:paraId="34D8E37B" w14:textId="071E83A1" w:rsidR="00B92D2E" w:rsidRDefault="5DB02131" w:rsidP="06DA267F">
      <w:pPr>
        <w:jc w:val="both"/>
      </w:pPr>
      <w:r w:rsidRPr="06DA267F">
        <w:t xml:space="preserve">Under Chaffinch Group, the hierarchical bureaucratic structure can be justified by the corporate side of the business, where roles and responsibilities are clear, top-down reporting system are in place and the decision-making process is structured. (Armstrong and Taylor, 2023).However, implementing this structure without considering the previous establishment of the care home came across as an abrupt change, affecting the open channels of communication, employees now lacking autonomy and the opportunity to express their opinion, resulting in lack of motivation, insecurities about their future in the company and increase in turnover and sickness absence (Schein, 2010; Taylor &amp; Woodhams, 2022a).The turnover increase led to an increase in recruitment, this being done under agency rules and no implications on Chaffinch Group side, resulting in lower quality care services, which reduced the residence satisfaction, affecting the business operations and occupancy, showing that the bureaucratic structure is not always effective and it can sabotage a company growth when introduced sharply. </w:t>
      </w:r>
    </w:p>
    <w:p w14:paraId="6ECC508B" w14:textId="4ACE0CA8" w:rsidR="00B92D2E" w:rsidRDefault="5DB02131" w:rsidP="06DA267F">
      <w:pPr>
        <w:jc w:val="both"/>
      </w:pPr>
      <w:r w:rsidRPr="06DA267F">
        <w:t>In conclusion, there are clear links between structure and its purpose, the flat non-hierarchical structure being appropriate under Kristen ownership as it proved to be efficient for employee’s inclusiveness, retention and engagement, creating a personalised excellent service and keeping the financial side of the business stable. On the other hand, the hierarchical bureaucratic structure is suitable for Chaffinch Group as it brings clear regulations along business operations, having standard policies and procedures, and setting clear goals for the future.</w:t>
      </w:r>
    </w:p>
    <w:p w14:paraId="7E512B0B" w14:textId="6FA7C447" w:rsidR="00B92D2E" w:rsidRDefault="00B92D2E" w:rsidP="06DA267F">
      <w:pPr>
        <w:jc w:val="both"/>
      </w:pPr>
    </w:p>
    <w:p w14:paraId="4E353940" w14:textId="3A820B3C" w:rsidR="00B92D2E" w:rsidRDefault="1F3CCDC4" w:rsidP="06DA267F">
      <w:pPr>
        <w:spacing w:line="278" w:lineRule="auto"/>
        <w:jc w:val="both"/>
      </w:pPr>
      <w:r w:rsidRPr="06DA267F">
        <w:lastRenderedPageBreak/>
        <w:t>AC1.2) A rational approach to strategy formulation implies a detailed examination of internal and external factors, recognition of clear objectives and constant evaluation of alternative actions that best reach customer satisfaction.</w:t>
      </w:r>
    </w:p>
    <w:p w14:paraId="2B0CD762" w14:textId="6A7EFEB5" w:rsidR="00B92D2E" w:rsidRDefault="1F3CCDC4" w:rsidP="06DA267F">
      <w:pPr>
        <w:spacing w:line="278" w:lineRule="auto"/>
        <w:jc w:val="both"/>
      </w:pPr>
      <w:r w:rsidRPr="06DA267F">
        <w:t>According to Armstrong and Taylor (2023) a rational approach fallows a linear process, starting with the environmental evaluation, followed by strategy formulation, implementation and evaluation. This planned strategy model can be challenged, as whilst it brings structure and lucidity, it can fail to spot the cultural elements of the work environment Chaffinch Group is active on, the healthcare services being built around people’s needs and emergent strategy plans being mandatory to achieve residents' satisfaction</w:t>
      </w:r>
      <w:r w:rsidR="2D0FE0D5" w:rsidRPr="06DA267F">
        <w:t xml:space="preserve"> (</w:t>
      </w:r>
      <w:r w:rsidRPr="06DA267F">
        <w:t xml:space="preserve">Marchington </w:t>
      </w:r>
      <w:r w:rsidRPr="06DA267F">
        <w:rPr>
          <w:i/>
          <w:iCs/>
        </w:rPr>
        <w:t>et al</w:t>
      </w:r>
      <w:r w:rsidRPr="06DA267F">
        <w:t>., 2025).</w:t>
      </w:r>
    </w:p>
    <w:p w14:paraId="67E0A8B9" w14:textId="333D931E" w:rsidR="00B92D2E" w:rsidRDefault="1F3CCDC4" w:rsidP="06DA267F">
      <w:pPr>
        <w:spacing w:line="278" w:lineRule="auto"/>
        <w:jc w:val="both"/>
      </w:pPr>
      <w:r w:rsidRPr="06DA267F">
        <w:t>For Chaffinch Group, a strong rational approach would start with analysing the external factors. By using the PESTLE analysis (CIPD, 2025a) the company could find external factors that might affect the care industry in this area, such as legal requirements, societal expectation for residential care, workforce shortages and competition from other residential homes.</w:t>
      </w:r>
    </w:p>
    <w:p w14:paraId="2ED30496" w14:textId="2FFDBBD6" w:rsidR="00B92D2E" w:rsidRDefault="1F3CCDC4" w:rsidP="06DA267F">
      <w:pPr>
        <w:spacing w:line="278" w:lineRule="auto"/>
        <w:jc w:val="both"/>
      </w:pPr>
      <w:r w:rsidRPr="06DA267F">
        <w:t xml:space="preserve">Next step would be an internal analysis. This can be done by using the SWOT system (CIPD, 2025b), as this will create a better understanding of the care house strengths (experienced staff), weaknesses (low morale and high turnover), opportunities (house improvements based on customer needs and wants) and threats (long-time residents leaving the premises and difficulties in attracting new occupants). This will help create a strategic plan focused on customer needs and wants, steering away from the corporate structure and going towards a people-focused culture. </w:t>
      </w:r>
    </w:p>
    <w:p w14:paraId="6F108297" w14:textId="3C0C7789" w:rsidR="00B92D2E" w:rsidRDefault="1F3CCDC4" w:rsidP="06DA267F">
      <w:pPr>
        <w:spacing w:line="278" w:lineRule="auto"/>
        <w:jc w:val="both"/>
      </w:pPr>
      <w:r w:rsidRPr="06DA267F">
        <w:t xml:space="preserve">From a people management viewpoint, a rational approach to strategy formulation would be to address the high turnover and give staff a voice, moving from a vertical integration plan that’s focused only on business strategy, toward a horizontal strategy plan that’s focused on people strategy too (Taylor and Woodhams, 2022b). Although there is a People Team at Chaffinch, they are not actively involved in strategy formulation and there is no clear communication path towards them. </w:t>
      </w:r>
    </w:p>
    <w:p w14:paraId="1A3680E9" w14:textId="1B156A65" w:rsidR="00B92D2E" w:rsidRDefault="1F3CCDC4" w:rsidP="06DA267F">
      <w:pPr>
        <w:spacing w:line="278" w:lineRule="auto"/>
        <w:jc w:val="both"/>
      </w:pPr>
      <w:r w:rsidRPr="06DA267F">
        <w:t>A rational strategic formulation approach would use analytics-based insights to create a bridge between people strategy and business-operation’s needs to ensure customers satisfaction, involving a shift from corporate strategy to a personalised, people-needs focused strategy. This approach should promote transparency, liability and alignment between company goals and customers satisfaction, creating a more pleasurable and high-quality care environment for Chaffinch’s residents.</w:t>
      </w:r>
    </w:p>
    <w:p w14:paraId="1C856F56" w14:textId="5CB8AD9F" w:rsidR="00B92D2E" w:rsidRDefault="00B92D2E" w:rsidP="06DA267F">
      <w:pPr>
        <w:spacing w:line="278" w:lineRule="auto"/>
        <w:jc w:val="both"/>
      </w:pPr>
    </w:p>
    <w:p w14:paraId="588FC33B" w14:textId="7C6C5F7F" w:rsidR="00B92D2E" w:rsidRDefault="00B92D2E" w:rsidP="06DA267F">
      <w:pPr>
        <w:spacing w:after="0"/>
        <w:jc w:val="both"/>
      </w:pPr>
    </w:p>
    <w:p w14:paraId="165A9CB7" w14:textId="5B34ABF0" w:rsidR="00B92D2E" w:rsidRDefault="6E48361B" w:rsidP="06DA267F">
      <w:pPr>
        <w:jc w:val="both"/>
      </w:pPr>
      <w:r w:rsidRPr="06DA267F">
        <w:lastRenderedPageBreak/>
        <w:t>AC1.3)</w:t>
      </w:r>
      <w:r w:rsidR="4806B7BA" w:rsidRPr="06DA267F">
        <w:t xml:space="preserve"> External factors are circumstances in an organisation’s environment that affect operations, performance, and the strategy of a business (Marchington </w:t>
      </w:r>
      <w:r w:rsidR="4806B7BA" w:rsidRPr="06DA267F">
        <w:rPr>
          <w:i/>
          <w:iCs/>
        </w:rPr>
        <w:t>et al</w:t>
      </w:r>
      <w:r w:rsidR="4806B7BA" w:rsidRPr="06DA267F">
        <w:t>., 2025).</w:t>
      </w:r>
    </w:p>
    <w:p w14:paraId="03AD8079" w14:textId="3507E4C9" w:rsidR="00B92D2E" w:rsidRDefault="4806B7BA" w:rsidP="06DA267F">
      <w:pPr>
        <w:jc w:val="both"/>
      </w:pPr>
      <w:r w:rsidRPr="06DA267F">
        <w:t>By Using PESTLE analysis (CIPD, 2025), which is a powerful tool used to analyse and identify factors that can affect an organization based on 6 aspects (please see image below), we can explore external factors influencing the healthcare industry.</w:t>
      </w:r>
    </w:p>
    <w:p w14:paraId="782C7931" w14:textId="5FBF7FCF" w:rsidR="00B92D2E" w:rsidRDefault="00B92D2E" w:rsidP="06DA267F">
      <w:pPr>
        <w:jc w:val="both"/>
      </w:pPr>
    </w:p>
    <w:p w14:paraId="69C28EA0" w14:textId="333ECEDD" w:rsidR="00B92D2E" w:rsidRDefault="4806B7BA" w:rsidP="06DA267F">
      <w:pPr>
        <w:jc w:val="both"/>
      </w:pPr>
      <w:r w:rsidRPr="06DA267F">
        <w:t xml:space="preserve"> </w:t>
      </w:r>
      <w:r w:rsidR="02732FED">
        <w:rPr>
          <w:noProof/>
        </w:rPr>
        <w:drawing>
          <wp:inline distT="0" distB="0" distL="0" distR="0" wp14:anchorId="40DE3C92" wp14:editId="4FF8DC54">
            <wp:extent cx="5724525" cy="4162425"/>
            <wp:effectExtent l="0" t="0" r="0" b="0"/>
            <wp:docPr id="20655653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565358" name="Picture 2065565358"/>
                    <pic:cNvPicPr/>
                  </pic:nvPicPr>
                  <pic:blipFill>
                    <a:blip r:embed="rId4">
                      <a:extLst>
                        <a:ext uri="{28A0092B-C50C-407E-A947-70E740481C1C}">
                          <a14:useLocalDpi xmlns:a14="http://schemas.microsoft.com/office/drawing/2010/main"/>
                        </a:ext>
                      </a:extLst>
                    </a:blip>
                    <a:stretch>
                      <a:fillRect/>
                    </a:stretch>
                  </pic:blipFill>
                  <pic:spPr>
                    <a:xfrm>
                      <a:off x="0" y="0"/>
                      <a:ext cx="5724525" cy="4162425"/>
                    </a:xfrm>
                    <a:prstGeom prst="rect">
                      <a:avLst/>
                    </a:prstGeom>
                  </pic:spPr>
                </pic:pic>
              </a:graphicData>
            </a:graphic>
          </wp:inline>
        </w:drawing>
      </w:r>
    </w:p>
    <w:p w14:paraId="6A25BF3E" w14:textId="4A2BAA26" w:rsidR="00B92D2E" w:rsidRDefault="4806B7BA" w:rsidP="06DA267F">
      <w:pPr>
        <w:spacing w:line="278" w:lineRule="auto"/>
        <w:jc w:val="both"/>
      </w:pPr>
      <w:r w:rsidRPr="06DA267F">
        <w:t xml:space="preserve">One external economic factor negatively impacting the residential care sector including </w:t>
      </w:r>
      <w:proofErr w:type="spellStart"/>
      <w:r w:rsidRPr="06DA267F">
        <w:t>Calmere</w:t>
      </w:r>
      <w:proofErr w:type="spellEnd"/>
      <w:r w:rsidRPr="06DA267F">
        <w:t xml:space="preserve"> House is related to workforce shortage, the care house struggling with retention and recruitment. Retention became an issue especially after Brexit, when UK vacancies increased by 124% from January 2019 to February 2022 (Lloyds, 2022). The increase in cost of leaving is impacting the insufficient staffing levels as well, as combined with the low pay rate, it resulted UK care personnel being twice as likely to live in poverty compared to an average worker (THF, 2025), factor that’s pushing current employees to leave the system and keeps away the younger generation from showing interest in building a career in the sector. As the retention rate is decreasing and the recruitment is affected by the low pay, the care industry struggles with </w:t>
      </w:r>
      <w:r w:rsidR="053EDC6C" w:rsidRPr="06DA267F">
        <w:t>workforce</w:t>
      </w:r>
      <w:r w:rsidRPr="06DA267F">
        <w:t xml:space="preserve">. This issue can be identified on </w:t>
      </w:r>
      <w:proofErr w:type="spellStart"/>
      <w:r w:rsidRPr="06DA267F">
        <w:t>Calmere</w:t>
      </w:r>
      <w:proofErr w:type="spellEnd"/>
      <w:r w:rsidRPr="06DA267F">
        <w:t xml:space="preserve"> house situation as well, they now struggling to fill up their </w:t>
      </w:r>
      <w:r w:rsidRPr="06DA267F">
        <w:lastRenderedPageBreak/>
        <w:t>vacancies and find not only skilled personnel, but also one that’s suitable for their culture and values.</w:t>
      </w:r>
    </w:p>
    <w:p w14:paraId="1B289B71" w14:textId="44D0639A" w:rsidR="00B92D2E" w:rsidRDefault="4806B7BA" w:rsidP="06DA267F">
      <w:pPr>
        <w:jc w:val="both"/>
      </w:pPr>
      <w:r w:rsidRPr="06DA267F">
        <w:t xml:space="preserve">A positive social external factor impacting the residential care is the high demand for care due to aging population as in England and Wales in 2021 82.1% of residential care was occupied by elderly (ONS, 2023). The higher demand brings more funding and workforce development, creating more opportunities, jobs and pathways to expenditure, which all lead to a stable financial environment, higher awareness of person-centre care and an overall enhanced quality service (Taylor and Perkins, 2021). With higher demands and more focus on the industry, the technology improvements do not fail to appear as well, nowadays the residential care facilitating from digital monitoring and AI- assisted care, improving the overall life quality of both residents and staff. This external factor can help </w:t>
      </w:r>
      <w:proofErr w:type="spellStart"/>
      <w:r w:rsidRPr="06DA267F">
        <w:t>Calmere</w:t>
      </w:r>
      <w:proofErr w:type="spellEnd"/>
      <w:r w:rsidRPr="06DA267F">
        <w:t xml:space="preserve"> House bring in more business opportunities and better awareness for residential care, encouraging business growth and higher quality of service. (Sörensen </w:t>
      </w:r>
      <w:r w:rsidRPr="06DA267F">
        <w:rPr>
          <w:i/>
          <w:iCs/>
        </w:rPr>
        <w:t>et al</w:t>
      </w:r>
      <w:r w:rsidRPr="06DA267F">
        <w:t>., 2021).</w:t>
      </w:r>
    </w:p>
    <w:p w14:paraId="4AA79256" w14:textId="735F23D6" w:rsidR="00B92D2E" w:rsidRDefault="4806B7BA" w:rsidP="06DA267F">
      <w:pPr>
        <w:jc w:val="both"/>
      </w:pPr>
      <w:r w:rsidRPr="06DA267F">
        <w:t>Positive and negative external factors are influencing the residential care, bringing both challenges and opportunities in building strategies, managing finances and improving the quality of care.</w:t>
      </w:r>
    </w:p>
    <w:p w14:paraId="2E0EC603" w14:textId="299C1BE2" w:rsidR="00B92D2E" w:rsidRDefault="00B92D2E" w:rsidP="06DA267F"/>
    <w:p w14:paraId="16257644" w14:textId="60B7B4A0" w:rsidR="00B92D2E" w:rsidRDefault="440C5D30" w:rsidP="06DA267F">
      <w:pPr>
        <w:jc w:val="both"/>
      </w:pPr>
      <w:r w:rsidRPr="06DA267F">
        <w:t>AC1.4)</w:t>
      </w:r>
      <w:r w:rsidR="3A9C281A" w:rsidRPr="06DA267F">
        <w:t xml:space="preserve"> In the healthcare industry, technology became essential for improving quality service and business efficiency.  For Chaffinch Group, technology can enhance customer’s physical and mental health monitoring and improve the administrative process.</w:t>
      </w:r>
    </w:p>
    <w:p w14:paraId="0D3A27C2" w14:textId="64BCBACC" w:rsidR="00B92D2E" w:rsidRDefault="3A9C281A" w:rsidP="06DA267F">
      <w:pPr>
        <w:jc w:val="both"/>
      </w:pPr>
      <w:r w:rsidRPr="06DA267F">
        <w:t xml:space="preserve">Currently, multiple care facilities are utilising software to create rotas, monitor performance, create care plans and monitor residents' activities (Marchington et al., 2025). These systems will not only help the employers reduce the time spent on admin tasks, but they could help Chaffinch Group improve staff’s job satisfaction and wellbeing by creating simpler procedures and giving them more time to spend with residents. Implementing new systems will not be an easy process, it will take time, training and continuous support, there being a risk of falling for outdated ‘here today-gone tomorrow’ technologies that can negatively affect efficiency and unnecessarily increase the operation’s costs (Armstrong &amp; Taylor, 2023). </w:t>
      </w:r>
    </w:p>
    <w:p w14:paraId="11F6FAC2" w14:textId="7F3A15E4" w:rsidR="00B92D2E" w:rsidRDefault="3A9C281A" w:rsidP="06DA267F">
      <w:pPr>
        <w:jc w:val="both"/>
      </w:pPr>
      <w:r w:rsidRPr="06DA267F">
        <w:t>Internal communication can be improved with technology as well, internal apps or social media can create quicker channels for information to be passed on and enhance employee relations, facilitating feedback and engagement. Although they can benefit the company, there is a constant requirement of monitoring the always-on culture (CIPD, 2018), strict rules needing to be put in place by Chaffinch Group management to protect staff from using them outside working hours.</w:t>
      </w:r>
    </w:p>
    <w:p w14:paraId="5BE8B623" w14:textId="49633B8C" w:rsidR="00B92D2E" w:rsidRDefault="3A9C281A" w:rsidP="06DA267F">
      <w:pPr>
        <w:jc w:val="both"/>
      </w:pPr>
      <w:r w:rsidRPr="06DA267F">
        <w:lastRenderedPageBreak/>
        <w:t xml:space="preserve">When it comes to customer’s care, innovative systems such as motion sensors that can detect, alert and prevent falls; AI that can analyse, monitor and improve care plans by predicting possible changes; and video telecare that offers online appointments with doctors can drastically improve the service quality and  customer’s satisfaction, improvements that can help </w:t>
      </w:r>
      <w:proofErr w:type="spellStart"/>
      <w:r w:rsidRPr="06DA267F">
        <w:t>Calmere</w:t>
      </w:r>
      <w:proofErr w:type="spellEnd"/>
      <w:r w:rsidRPr="06DA267F">
        <w:t xml:space="preserve"> House attract more residents and fill their now empty rooms. (Gov, 2025). </w:t>
      </w:r>
    </w:p>
    <w:p w14:paraId="3D48A752" w14:textId="45162AE0" w:rsidR="00B92D2E" w:rsidRDefault="3A9C281A" w:rsidP="06DA267F">
      <w:pPr>
        <w:jc w:val="both"/>
      </w:pPr>
      <w:r w:rsidRPr="06DA267F">
        <w:t>Chaffinch Group could use new tech to improve customers’ mental health as well, as according to UGM (2024), virtual reality (VR) or video calling devices were already trialled in other care setting to combat boredom, isolation and loneliness, helping residents maintain their connection with family and friends outside the care home.</w:t>
      </w:r>
    </w:p>
    <w:p w14:paraId="2AF64A05" w14:textId="4388B751" w:rsidR="00B92D2E" w:rsidRDefault="3A9C281A" w:rsidP="06DA267F">
      <w:pPr>
        <w:jc w:val="both"/>
      </w:pPr>
      <w:r w:rsidRPr="06DA267F">
        <w:t xml:space="preserve">For </w:t>
      </w:r>
      <w:proofErr w:type="spellStart"/>
      <w:r w:rsidRPr="06DA267F">
        <w:t>Calmere</w:t>
      </w:r>
      <w:proofErr w:type="spellEnd"/>
      <w:r w:rsidRPr="06DA267F">
        <w:t xml:space="preserve"> house, technology implementation will need to come with intense training for both staff and residents which can be stressful at the time but worth it, as it will not only upgrade residents experience, but take pressure off staff’s shoulders, creating more opportunities for them to develop new skills and increase their work efficiency.</w:t>
      </w:r>
    </w:p>
    <w:p w14:paraId="6F00600C" w14:textId="5E44B1E5" w:rsidR="00B92D2E" w:rsidRDefault="00B92D2E" w:rsidP="06DA267F"/>
    <w:p w14:paraId="299F89F4" w14:textId="4BD06516" w:rsidR="00B92D2E" w:rsidRDefault="110FA233" w:rsidP="06DA267F">
      <w:pPr>
        <w:jc w:val="both"/>
      </w:pPr>
      <w:r w:rsidRPr="06DA267F">
        <w:t>AC2.1)</w:t>
      </w:r>
      <w:r w:rsidR="6A0D758F" w:rsidRPr="06DA267F">
        <w:t xml:space="preserve"> After Chaffinch Group took over </w:t>
      </w:r>
      <w:proofErr w:type="spellStart"/>
      <w:r w:rsidR="6A0D758F" w:rsidRPr="06DA267F">
        <w:t>Calmere</w:t>
      </w:r>
      <w:proofErr w:type="spellEnd"/>
      <w:r w:rsidR="6A0D758F" w:rsidRPr="06DA267F">
        <w:t xml:space="preserve"> house, tension appeared due to a different management style, behaviour models and contrasting culture.   </w:t>
      </w:r>
    </w:p>
    <w:p w14:paraId="01C897CB" w14:textId="45C91095" w:rsidR="00B92D2E" w:rsidRDefault="6A0D758F" w:rsidP="06DA267F">
      <w:pPr>
        <w:jc w:val="both"/>
      </w:pPr>
      <w:r w:rsidRPr="06DA267F">
        <w:t xml:space="preserve">According to Schein’ (2010) organizational culture model, it is split into 3 levels: artifacts (clear processes and structure), values (philosophies and goals implied by the organisation) and assumptions (people's beliefs in the organisation). Under Kirsten ownership, artifacts such as open communication, collaboration and support were creating a positive culture, the company’s values being built on trust, respect and autonomy, and the assumptions were that employees are internally motivated and collectively involved. After the transition, Chaffinch Group introduced a bureaucratic culture, where collaboration was replaced by strict rules, trust values were replaced by control and collective engagement was replaced by obedience.  </w:t>
      </w:r>
    </w:p>
    <w:p w14:paraId="3879977A" w14:textId="33F99F1C" w:rsidR="00B92D2E" w:rsidRDefault="6A0D758F" w:rsidP="06DA267F">
      <w:pPr>
        <w:jc w:val="both"/>
      </w:pPr>
      <w:r w:rsidRPr="06DA267F">
        <w:t xml:space="preserve">Following Charles Handy’s organizational culture </w:t>
      </w:r>
      <w:r w:rsidR="004E6E54" w:rsidRPr="06DA267F">
        <w:t xml:space="preserve">model, </w:t>
      </w:r>
      <w:proofErr w:type="spellStart"/>
      <w:r w:rsidR="004E6E54" w:rsidRPr="06DA267F">
        <w:t>Calmere</w:t>
      </w:r>
      <w:proofErr w:type="spellEnd"/>
      <w:r w:rsidRPr="06DA267F">
        <w:t xml:space="preserve"> House moved from a person culture model to a role model. Under Kirsten, the house was functioning focusing on relations, staff being values and listened during the decision-making process, creating a community-like environment; under Chaffinch group, the culture became a role culture focused on strict hierarchical job titles based on rules and control, </w:t>
      </w:r>
      <w:r w:rsidR="290513F0" w:rsidRPr="06DA267F">
        <w:t>centring</w:t>
      </w:r>
      <w:r w:rsidRPr="06DA267F">
        <w:t xml:space="preserve"> around efficiency</w:t>
      </w:r>
      <w:r w:rsidR="54DAFC41" w:rsidRPr="06DA267F">
        <w:t xml:space="preserve"> </w:t>
      </w:r>
      <w:r w:rsidRPr="06DA267F">
        <w:t>(Handy, 2020; PT, 2023)</w:t>
      </w:r>
      <w:r w:rsidR="1FBCEAFF" w:rsidRPr="06DA267F">
        <w:t>.</w:t>
      </w:r>
      <w:r w:rsidRPr="06DA267F">
        <w:t xml:space="preserve"> </w:t>
      </w:r>
    </w:p>
    <w:p w14:paraId="565D369C" w14:textId="2F0342A2" w:rsidR="00B92D2E" w:rsidRDefault="6A0D758F" w:rsidP="06DA267F">
      <w:pPr>
        <w:jc w:val="both"/>
      </w:pPr>
      <w:r w:rsidRPr="06DA267F">
        <w:t>Utilising David Rock’s SCARF model</w:t>
      </w:r>
      <w:r w:rsidR="4044FC1C" w:rsidRPr="06DA267F">
        <w:t xml:space="preserve"> (Rock, 2013)</w:t>
      </w:r>
      <w:r w:rsidRPr="06DA267F">
        <w:t xml:space="preserve">, which describes five social areas (Status, Certainty, Autonomy, Relatedness and Fairness) that can be used by management at work to decrease the threats responses and improve the rewards ones, we can observe the issues </w:t>
      </w:r>
      <w:proofErr w:type="spellStart"/>
      <w:r w:rsidRPr="06DA267F">
        <w:t>Calmere</w:t>
      </w:r>
      <w:proofErr w:type="spellEnd"/>
      <w:r w:rsidRPr="06DA267F">
        <w:t xml:space="preserve"> House is facing can be identified as phycological threats developed during the transition. </w:t>
      </w:r>
      <w:r w:rsidR="4C9CAA40" w:rsidRPr="06DA267F">
        <w:t xml:space="preserve">Under Kirsten, staff was acting based on rewards </w:t>
      </w:r>
      <w:r w:rsidR="4C9CAA40" w:rsidRPr="06DA267F">
        <w:lastRenderedPageBreak/>
        <w:t xml:space="preserve">responses coming from high status, </w:t>
      </w:r>
      <w:r w:rsidR="7553C022" w:rsidRPr="06DA267F">
        <w:t>sturdy</w:t>
      </w:r>
      <w:r w:rsidR="4C9CAA40" w:rsidRPr="06DA267F">
        <w:t xml:space="preserve"> certainty levels, encouraged autonomy, relatedness towards management and overall fairness at work. During the transfer, the</w:t>
      </w:r>
      <w:r w:rsidR="666F497A" w:rsidRPr="06DA267F">
        <w:t xml:space="preserve"> </w:t>
      </w:r>
      <w:r w:rsidR="4C9CAA40" w:rsidRPr="06DA267F">
        <w:t>threats appeared as Chaffinch Group</w:t>
      </w:r>
      <w:r w:rsidR="664CD67A" w:rsidRPr="06DA267F">
        <w:t xml:space="preserve"> </w:t>
      </w:r>
      <w:r w:rsidR="4C9CAA40" w:rsidRPr="06DA267F">
        <w:t>bureaucratic approach created significant reductions in all 5 levels. Employees status decreased when their opinion was overlooked and their expertise was minimized by new management, certainty weakened due to poor communication during</w:t>
      </w:r>
      <w:r w:rsidR="06EE2792" w:rsidRPr="06DA267F">
        <w:t xml:space="preserve"> </w:t>
      </w:r>
      <w:r w:rsidR="4C9CAA40" w:rsidRPr="06DA267F">
        <w:t>the</w:t>
      </w:r>
      <w:r w:rsidR="23ACDF2A" w:rsidRPr="06DA267F">
        <w:t xml:space="preserve"> </w:t>
      </w:r>
      <w:r w:rsidR="05868D2F" w:rsidRPr="06DA267F">
        <w:t xml:space="preserve"> </w:t>
      </w:r>
      <w:r w:rsidR="4C9CAA40" w:rsidRPr="06DA267F">
        <w:t>change process, autonomy was lost due to new and strict regulations being put in place restricting staff judgement, relatedness reduced as old members of staff left the company and the fairness perception deteriorated due to conflicting practises and lower focus on residents’ needs and wants. (CIPD, 2024</w:t>
      </w:r>
      <w:r w:rsidR="58F6C9D3" w:rsidRPr="06DA267F">
        <w:t>a</w:t>
      </w:r>
      <w:r w:rsidR="4C9CAA40" w:rsidRPr="06DA267F">
        <w:t>)</w:t>
      </w:r>
    </w:p>
    <w:p w14:paraId="27620FB6" w14:textId="1B565685" w:rsidR="00B92D2E" w:rsidRDefault="6A0D758F" w:rsidP="06DA267F">
      <w:pPr>
        <w:jc w:val="both"/>
      </w:pPr>
      <w:r w:rsidRPr="06DA267F">
        <w:t xml:space="preserve">In conclusion, the issues </w:t>
      </w:r>
      <w:proofErr w:type="spellStart"/>
      <w:r w:rsidRPr="06DA267F">
        <w:t>Calmere</w:t>
      </w:r>
      <w:proofErr w:type="spellEnd"/>
      <w:r w:rsidRPr="06DA267F">
        <w:t xml:space="preserve"> House is now facing are not only the consequences of structural changes, but also the result of cultural transformation and implementation of unfit management style which impacted human behaviours.  </w:t>
      </w:r>
    </w:p>
    <w:p w14:paraId="0486E3F8" w14:textId="797C7829" w:rsidR="00B92D2E" w:rsidRDefault="00B92D2E" w:rsidP="06DA267F"/>
    <w:p w14:paraId="0BD04CFB" w14:textId="23B55D8C" w:rsidR="00B92D2E" w:rsidRDefault="002B80B5" w:rsidP="06DA267F">
      <w:pPr>
        <w:jc w:val="both"/>
      </w:pPr>
      <w:r w:rsidRPr="06DA267F">
        <w:t>AC2.2)</w:t>
      </w:r>
      <w:r w:rsidR="579F800D" w:rsidRPr="06DA267F">
        <w:t xml:space="preserve"> Changes to selection process and employee voice can have enormous impact on organisational culture and behaviours as selection requirements can affect not only the level of qualifications of staff but also their suitability within the organisation’s values and expectations, whilst employee voice affects openness, trust and phycological safety (Taylor &amp; Woodhams, 2022b).</w:t>
      </w:r>
    </w:p>
    <w:p w14:paraId="2BE73810" w14:textId="03C25FC5" w:rsidR="00B92D2E" w:rsidRDefault="579F800D" w:rsidP="06DA267F">
      <w:pPr>
        <w:jc w:val="both"/>
      </w:pPr>
      <w:r w:rsidRPr="06DA267F">
        <w:t xml:space="preserve">Under Kirsten management, the selection process was highly consultative and inclusive, existing members of staff being involved on the recruitment process and given the power to assess cultural compatibility and skilfulness of new members of staff, process that proved employees were given a voice, creating a sense of belonging and loyalty, increasing motivation to develop </w:t>
      </w:r>
      <w:r w:rsidR="004E6E54" w:rsidRPr="06DA267F">
        <w:t>role</w:t>
      </w:r>
      <w:r w:rsidR="004E6E54">
        <w:t>-</w:t>
      </w:r>
      <w:r w:rsidR="004E6E54" w:rsidRPr="06DA267F">
        <w:t>modelling</w:t>
      </w:r>
      <w:r w:rsidRPr="06DA267F">
        <w:t xml:space="preserve"> behaviours (Armstrong &amp; Taylor, 2023; Albrecht,</w:t>
      </w:r>
      <w:r w:rsidRPr="06DA267F">
        <w:rPr>
          <w:i/>
          <w:iCs/>
        </w:rPr>
        <w:t xml:space="preserve"> et al.</w:t>
      </w:r>
      <w:r w:rsidRPr="06DA267F">
        <w:t>, 2015).</w:t>
      </w:r>
    </w:p>
    <w:p w14:paraId="16FB3587" w14:textId="5DC257A6" w:rsidR="00B92D2E" w:rsidRDefault="579F800D" w:rsidP="06DA267F">
      <w:pPr>
        <w:jc w:val="both"/>
      </w:pPr>
      <w:r w:rsidRPr="06DA267F">
        <w:t xml:space="preserve">When Chaffinch Group took over </w:t>
      </w:r>
      <w:proofErr w:type="spellStart"/>
      <w:r w:rsidRPr="06DA267F">
        <w:t>Calmere</w:t>
      </w:r>
      <w:proofErr w:type="spellEnd"/>
      <w:r w:rsidRPr="06DA267F">
        <w:t xml:space="preserve"> House, the changes in selection practices and restrictions of employee voice had extremely impacted the organisation culture. The recruitment process was totally changed, now being done by agencies </w:t>
      </w:r>
      <w:r w:rsidR="53A22FDB" w:rsidRPr="06DA267F">
        <w:t>completely</w:t>
      </w:r>
      <w:r w:rsidRPr="06DA267F">
        <w:t xml:space="preserve">, focusing on experience and qualifications only, there being no scanning on values and behaviours. The approach switch, although it had positives aspects such as scaling the recruitment process, wipes away the collective beliefs that once created the open culture in </w:t>
      </w:r>
      <w:proofErr w:type="spellStart"/>
      <w:r w:rsidRPr="06DA267F">
        <w:t>Calmere</w:t>
      </w:r>
      <w:proofErr w:type="spellEnd"/>
      <w:r w:rsidRPr="06DA267F">
        <w:t xml:space="preserve"> House and demolished the people-centric approach previously built by Kirsten.</w:t>
      </w:r>
    </w:p>
    <w:p w14:paraId="6D72C4D3" w14:textId="69A2B18E" w:rsidR="00B92D2E" w:rsidRDefault="579F800D" w:rsidP="06DA267F">
      <w:pPr>
        <w:jc w:val="both"/>
      </w:pPr>
      <w:r w:rsidRPr="06DA267F">
        <w:t>Employees voices were shrunk as well. If previously staff were constantly involved in regular meeting and one-to-one chats, their opinion having an impact on the decision-making process, enabling openness and trust, the new bureaucratic managing style adopted by Kath is blocking the communication paths, this now becoming a top-down process restricted to emails and limited in openness for discussions. According to CIPD (2024</w:t>
      </w:r>
      <w:r w:rsidR="462E7C00" w:rsidRPr="06DA267F">
        <w:t>a</w:t>
      </w:r>
      <w:r w:rsidRPr="06DA267F">
        <w:t xml:space="preserve">), employees voice is associated with wellbeing, job satisfaction and trust in </w:t>
      </w:r>
      <w:r w:rsidRPr="06DA267F">
        <w:lastRenderedPageBreak/>
        <w:t xml:space="preserve">leaders; by restricting their voice, Chaffinch Group not only undermined those factors, resulting in a lower job quality and staff’s wellbeing being affected, but also created conflict and stress, which resulted in increased numbers of sickness and high turnover (Marchington </w:t>
      </w:r>
      <w:r w:rsidRPr="06DA267F">
        <w:rPr>
          <w:i/>
          <w:iCs/>
        </w:rPr>
        <w:t>et al</w:t>
      </w:r>
      <w:r w:rsidRPr="06DA267F">
        <w:t>., 2025)</w:t>
      </w:r>
    </w:p>
    <w:p w14:paraId="61120276" w14:textId="01CEA488" w:rsidR="00B92D2E" w:rsidRDefault="579F800D" w:rsidP="06DA267F">
      <w:pPr>
        <w:jc w:val="both"/>
      </w:pPr>
      <w:r w:rsidRPr="06DA267F">
        <w:t xml:space="preserve">Recent study by Jo and Shin (2025) reveals the importance of participative practices, the study showing that fairness, recognition and employee involvement are improving wellbeing, engagement and productivity, whilst uncertainty and high expectations are affecting morale and can lead to burnout. This study strengthens the believes that Chaffinch Group would need to shift toward a people-centric approach, creating policies to encourage rewards, engagement, equality, diversity, inclusion and overall relations of staff. </w:t>
      </w:r>
    </w:p>
    <w:p w14:paraId="3F67ABAA" w14:textId="3A9C2DCF" w:rsidR="00B92D2E" w:rsidRDefault="579F800D" w:rsidP="06DA267F">
      <w:pPr>
        <w:jc w:val="both"/>
      </w:pPr>
      <w:r w:rsidRPr="06DA267F">
        <w:t xml:space="preserve">In summary, the changes in selection and employee voice have disrupted the fundamental culture at </w:t>
      </w:r>
      <w:proofErr w:type="spellStart"/>
      <w:r w:rsidRPr="06DA267F">
        <w:t>Calmere</w:t>
      </w:r>
      <w:proofErr w:type="spellEnd"/>
      <w:r w:rsidRPr="06DA267F">
        <w:t xml:space="preserve"> House. By replacing the consultative open culture with bureaucratic approaches, the leadership lost employees trust and motivation, developing negative behaviours and lower performance.</w:t>
      </w:r>
    </w:p>
    <w:p w14:paraId="5E5787A5" w14:textId="2886570B" w:rsidR="00B92D2E" w:rsidRDefault="00B92D2E" w:rsidP="06DA267F"/>
    <w:p w14:paraId="6B573C36" w14:textId="3E6866BC" w:rsidR="244D5EE7" w:rsidRDefault="244D5EE7" w:rsidP="06DA267F">
      <w:pPr>
        <w:jc w:val="both"/>
      </w:pPr>
      <w:r w:rsidRPr="06DA267F">
        <w:t>AC2.3)</w:t>
      </w:r>
      <w:r w:rsidR="3A058206" w:rsidRPr="06DA267F">
        <w:t xml:space="preserve"> To manage the organisation change effectively, Chaffinch Group should have focus on a people-centred approach and business strategy, especially as they transitioned from a small, family-owned business to a corporate associated one. According to Amstrong and Taylor (2023) changes can fail when corporation underestimate communication, cultural alignment and employee voice. </w:t>
      </w:r>
    </w:p>
    <w:p w14:paraId="491F8C74" w14:textId="7171973E" w:rsidR="3A058206" w:rsidRDefault="3A058206" w:rsidP="06DA267F">
      <w:pPr>
        <w:jc w:val="both"/>
      </w:pPr>
      <w:r w:rsidRPr="06DA267F">
        <w:t xml:space="preserve">Applying the ADKAR model (Hiatt, 2006) (please find picture below), we can create a structured way of how Chaffinch Group could have manage the transition smoother, with less resistance, maintaining wellbeing and keeping the same quality service. </w:t>
      </w:r>
    </w:p>
    <w:p w14:paraId="149C7AD1" w14:textId="2D0CF057" w:rsidR="3A058206" w:rsidRDefault="3A058206" w:rsidP="06DA267F">
      <w:pPr>
        <w:jc w:val="both"/>
      </w:pPr>
      <w:r>
        <w:rPr>
          <w:noProof/>
        </w:rPr>
        <w:lastRenderedPageBreak/>
        <w:drawing>
          <wp:inline distT="0" distB="0" distL="0" distR="0" wp14:anchorId="4BEAAD46" wp14:editId="5DC47673">
            <wp:extent cx="5724525" cy="4362450"/>
            <wp:effectExtent l="0" t="0" r="0" b="0"/>
            <wp:docPr id="16520321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032120" name="Picture 1652032120"/>
                    <pic:cNvPicPr/>
                  </pic:nvPicPr>
                  <pic:blipFill>
                    <a:blip r:embed="rId5">
                      <a:extLst>
                        <a:ext uri="{28A0092B-C50C-407E-A947-70E740481C1C}">
                          <a14:useLocalDpi xmlns:a14="http://schemas.microsoft.com/office/drawing/2010/main"/>
                        </a:ext>
                      </a:extLst>
                    </a:blip>
                    <a:stretch>
                      <a:fillRect/>
                    </a:stretch>
                  </pic:blipFill>
                  <pic:spPr>
                    <a:xfrm>
                      <a:off x="0" y="0"/>
                      <a:ext cx="5724525" cy="4362450"/>
                    </a:xfrm>
                    <a:prstGeom prst="rect">
                      <a:avLst/>
                    </a:prstGeom>
                  </pic:spPr>
                </pic:pic>
              </a:graphicData>
            </a:graphic>
          </wp:inline>
        </w:drawing>
      </w:r>
      <w:r w:rsidRPr="06DA267F">
        <w:t>Chaffinch Group should have built awareness by helping employees understand the reason, scale and urgency behind changes before implementing them, which could be done by holding meetings and explaining the benefits of transitioning to a large corporate. They should have created desire by promoting similar values to the house values, involving staff in planning at an early stage and showing them respect. Instead, the changes were emailed to employees without any explanations or support being give, this creating a knowledge deficit. They should have offered more support, such as workshops, meetings and briefings to help staff understand what the expectations are. When it comes to ability, Chaffinch house could have offered more training and coaching to help staff learning and adapting to new processes and assuring management are having the skills not only to support staff’s transition, but also reinforce them constantly by creating systems for feedback, celebration of progress and open channels of communication (Roberts and Tracey, 2024</w:t>
      </w:r>
      <w:r w:rsidR="6C347FD6" w:rsidRPr="06DA267F">
        <w:t>).</w:t>
      </w:r>
    </w:p>
    <w:p w14:paraId="1B809713" w14:textId="0EDC6E65" w:rsidR="06DA267F" w:rsidRDefault="06DA267F" w:rsidP="06DA267F">
      <w:pPr>
        <w:jc w:val="both"/>
      </w:pPr>
    </w:p>
    <w:p w14:paraId="23F6526B" w14:textId="7405998A" w:rsidR="3A058206" w:rsidRDefault="3A058206" w:rsidP="06DA267F">
      <w:pPr>
        <w:jc w:val="both"/>
      </w:pPr>
      <w:r w:rsidRPr="06DA267F">
        <w:t>A very useful model that Chaffinch House could use is the 8 steps Kotter Model (please find picture below):</w:t>
      </w:r>
    </w:p>
    <w:p w14:paraId="6059EC13" w14:textId="4FAC6430" w:rsidR="3A058206" w:rsidRDefault="3A058206" w:rsidP="06DA267F">
      <w:pPr>
        <w:jc w:val="both"/>
      </w:pPr>
      <w:r>
        <w:rPr>
          <w:noProof/>
        </w:rPr>
        <w:lastRenderedPageBreak/>
        <w:drawing>
          <wp:inline distT="0" distB="0" distL="0" distR="0" wp14:anchorId="208D8C2E" wp14:editId="23C0DBD4">
            <wp:extent cx="5724525" cy="5724525"/>
            <wp:effectExtent l="0" t="0" r="0" b="0"/>
            <wp:docPr id="8552686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268620" name="Picture 855268620"/>
                    <pic:cNvPicPr/>
                  </pic:nvPicPr>
                  <pic:blipFill>
                    <a:blip r:embed="rId6">
                      <a:extLst>
                        <a:ext uri="{28A0092B-C50C-407E-A947-70E740481C1C}">
                          <a14:useLocalDpi xmlns:a14="http://schemas.microsoft.com/office/drawing/2010/main"/>
                        </a:ext>
                      </a:extLst>
                    </a:blip>
                    <a:stretch>
                      <a:fillRect/>
                    </a:stretch>
                  </pic:blipFill>
                  <pic:spPr>
                    <a:xfrm>
                      <a:off x="0" y="0"/>
                      <a:ext cx="5724525" cy="5724525"/>
                    </a:xfrm>
                    <a:prstGeom prst="rect">
                      <a:avLst/>
                    </a:prstGeom>
                  </pic:spPr>
                </pic:pic>
              </a:graphicData>
            </a:graphic>
          </wp:inline>
        </w:drawing>
      </w:r>
    </w:p>
    <w:p w14:paraId="74CC8B87" w14:textId="6C95ED28" w:rsidR="3A058206" w:rsidRDefault="3A058206" w:rsidP="06DA267F">
      <w:pPr>
        <w:jc w:val="both"/>
      </w:pPr>
      <w:r w:rsidRPr="06DA267F">
        <w:t xml:space="preserve">Utilising Kotter’s Model, Chaffinch Group could have created a clear sense of urgency by being open regarding the financial pressure and new expectations. They could then build coalition by including senior member or staff on the process of creating a new business strategy to maintain trust and form a strategic vision focused on personalised care. By enlisting employees through constant communication and offering training and support, they could enable action and remove barriers, which could then be followed by celebrating small wins, such as the new refurbishment, which could generate easy wins and increase the </w:t>
      </w:r>
      <w:r w:rsidR="182A8A63" w:rsidRPr="06DA267F">
        <w:t>satisfaction</w:t>
      </w:r>
      <w:r w:rsidRPr="06DA267F">
        <w:t>. Offering feedback could sustain the acceleration and aligning the new culture and leadership expectations would institute the change positively (Kotter, 2024; Roberts and Tracey, 2024).</w:t>
      </w:r>
    </w:p>
    <w:p w14:paraId="55ADB304" w14:textId="417AB1DA" w:rsidR="3A058206" w:rsidRDefault="3A058206" w:rsidP="06DA267F">
      <w:pPr>
        <w:jc w:val="both"/>
      </w:pPr>
      <w:r w:rsidRPr="06DA267F">
        <w:t xml:space="preserve">Overall, the challenges </w:t>
      </w:r>
      <w:proofErr w:type="spellStart"/>
      <w:r w:rsidRPr="06DA267F">
        <w:t>Calmere</w:t>
      </w:r>
      <w:proofErr w:type="spellEnd"/>
      <w:r w:rsidRPr="06DA267F">
        <w:t xml:space="preserve"> House experienced show how mismanaged change can affect the culture, performance and trust. Both ADKAR and Kotter demonstrating that </w:t>
      </w:r>
      <w:r w:rsidRPr="06DA267F">
        <w:lastRenderedPageBreak/>
        <w:t>fortunate transitions come from early engagement, good communication, training and feedback.</w:t>
      </w:r>
    </w:p>
    <w:p w14:paraId="20EB3510" w14:textId="4EB7D860" w:rsidR="06DA267F" w:rsidRDefault="06DA267F" w:rsidP="06DA267F"/>
    <w:p w14:paraId="23B98828" w14:textId="0C7B71E3" w:rsidR="0F60863E" w:rsidRDefault="0F60863E" w:rsidP="06DA267F">
      <w:pPr>
        <w:jc w:val="both"/>
      </w:pPr>
      <w:r w:rsidRPr="06DA267F">
        <w:t>AC2.4)</w:t>
      </w:r>
      <w:r w:rsidR="100A6C27" w:rsidRPr="06DA267F">
        <w:t xml:space="preserve"> Employees at </w:t>
      </w:r>
      <w:proofErr w:type="spellStart"/>
      <w:r w:rsidR="100A6C27" w:rsidRPr="06DA267F">
        <w:t>Calmere</w:t>
      </w:r>
      <w:proofErr w:type="spellEnd"/>
      <w:r w:rsidR="100A6C27" w:rsidRPr="06DA267F">
        <w:t xml:space="preserve"> House encountered an emotional journey during the transition, their reactions and behaviour mirroring the stages of Kübler-Ross model as it illustrates how people process loss, change, uncertainty and unknown. The model’s stages are shown in the diagram below (</w:t>
      </w:r>
      <w:proofErr w:type="spellStart"/>
      <w:r w:rsidR="100A6C27" w:rsidRPr="06DA267F">
        <w:t>Akstas</w:t>
      </w:r>
      <w:proofErr w:type="spellEnd"/>
      <w:r w:rsidR="100A6C27" w:rsidRPr="06DA267F">
        <w:t>, 2021):</w:t>
      </w:r>
    </w:p>
    <w:p w14:paraId="2BF73827" w14:textId="794DFE87" w:rsidR="100A6C27" w:rsidRDefault="100A6C27" w:rsidP="06DA267F">
      <w:pPr>
        <w:jc w:val="center"/>
      </w:pPr>
      <w:r>
        <w:rPr>
          <w:noProof/>
        </w:rPr>
        <w:drawing>
          <wp:inline distT="0" distB="0" distL="0" distR="0" wp14:anchorId="7CD41C8C" wp14:editId="650E75FD">
            <wp:extent cx="2914650" cy="1847850"/>
            <wp:effectExtent l="0" t="0" r="0" b="0"/>
            <wp:docPr id="20393607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360787" name="Picture 2039360787"/>
                    <pic:cNvPicPr/>
                  </pic:nvPicPr>
                  <pic:blipFill>
                    <a:blip r:embed="rId7">
                      <a:extLst>
                        <a:ext uri="{28A0092B-C50C-407E-A947-70E740481C1C}">
                          <a14:useLocalDpi xmlns:a14="http://schemas.microsoft.com/office/drawing/2010/main"/>
                        </a:ext>
                      </a:extLst>
                    </a:blip>
                    <a:stretch>
                      <a:fillRect/>
                    </a:stretch>
                  </pic:blipFill>
                  <pic:spPr>
                    <a:xfrm>
                      <a:off x="0" y="0"/>
                      <a:ext cx="2914650" cy="1847850"/>
                    </a:xfrm>
                    <a:prstGeom prst="rect">
                      <a:avLst/>
                    </a:prstGeom>
                  </pic:spPr>
                </pic:pic>
              </a:graphicData>
            </a:graphic>
          </wp:inline>
        </w:drawing>
      </w:r>
    </w:p>
    <w:p w14:paraId="31A1471E" w14:textId="0D8B19C1" w:rsidR="100A6C27" w:rsidRDefault="100A6C27" w:rsidP="06DA267F">
      <w:pPr>
        <w:jc w:val="both"/>
      </w:pPr>
      <w:r w:rsidRPr="06DA267F">
        <w:t>Employees received the news from Kirsten as a shock, the sale coming as a surprise for them due to her long-standing implication in the business, the idea of external management being totally unexpected. According to Armstrong and Taylor (2023), shock usually appears when changes that are threatening the cultural assumptions appear, perfectly describing what staff encountered.</w:t>
      </w:r>
    </w:p>
    <w:p w14:paraId="44849C4F" w14:textId="65998E33" w:rsidR="100A6C27" w:rsidRDefault="100A6C27" w:rsidP="06DA267F">
      <w:pPr>
        <w:jc w:val="both"/>
      </w:pPr>
      <w:r w:rsidRPr="06DA267F">
        <w:t xml:space="preserve">Fallowing the initial surprise, denial </w:t>
      </w:r>
      <w:proofErr w:type="gramStart"/>
      <w:r w:rsidRPr="06DA267F">
        <w:t>installed</w:t>
      </w:r>
      <w:proofErr w:type="gramEnd"/>
      <w:r w:rsidRPr="06DA267F">
        <w:t xml:space="preserve"> and member of staff refused to believe the sale will happen, hoping the emotional connection Kirsten has to the home would override the rational approach she exposed based on financial interests and personal plans. </w:t>
      </w:r>
    </w:p>
    <w:p w14:paraId="723FEE05" w14:textId="4F641707" w:rsidR="100A6C27" w:rsidRDefault="100A6C27" w:rsidP="06DA267F">
      <w:pPr>
        <w:jc w:val="both"/>
      </w:pPr>
      <w:r w:rsidRPr="06DA267F">
        <w:t>Once the sale was finalised and Chaffinch Group took over, frustration arise due to the sharp introduction of a hierarchical structure, bureaucratic leadership and procedures changes. Employees voice was muted, and the top-down communication created resistance among staff, them being left with no autonomy or known values, their world being totally shuttered down (Roberts and Tracey, 2024).</w:t>
      </w:r>
    </w:p>
    <w:p w14:paraId="02FDA855" w14:textId="5B99E036" w:rsidR="100A6C27" w:rsidRDefault="100A6C27" w:rsidP="06DA267F">
      <w:pPr>
        <w:jc w:val="both"/>
      </w:pPr>
      <w:r w:rsidRPr="06DA267F">
        <w:t>As their values were whipped away, the communication was non-existent and the workload increased, the morale declined, employees becoming disengaged and burnt out, feeling depressed and lonely, struggling to adapt to the new environment (CIPD, 2024b)</w:t>
      </w:r>
      <w:r w:rsidR="38A24360" w:rsidRPr="06DA267F">
        <w:t>.</w:t>
      </w:r>
    </w:p>
    <w:p w14:paraId="7B2F2F65" w14:textId="6D29F88B" w:rsidR="100A6C27" w:rsidRDefault="100A6C27" w:rsidP="06DA267F">
      <w:pPr>
        <w:jc w:val="both"/>
      </w:pPr>
      <w:r w:rsidRPr="06DA267F">
        <w:t>Some staff did try to adapt by trialling the new procedures and policies and picking up more hours to maintain the care high standards, but their experiences were very difficult due to lack of communication and clear guidance, them requiring clarity and support.</w:t>
      </w:r>
    </w:p>
    <w:p w14:paraId="6C63AE64" w14:textId="35DD89B5" w:rsidR="100A6C27" w:rsidRDefault="100A6C27" w:rsidP="06DA267F">
      <w:pPr>
        <w:jc w:val="both"/>
      </w:pPr>
      <w:r w:rsidRPr="06DA267F">
        <w:lastRenderedPageBreak/>
        <w:t>Acceptance came in two forms: slow adaptation to the new system for remaining staff and acceptance to exit for those who left, as acceptance doesn't always imply alignment, but acknowledgement that change is happening.</w:t>
      </w:r>
    </w:p>
    <w:p w14:paraId="3C4A060E" w14:textId="1ED542BE" w:rsidR="100A6C27" w:rsidRDefault="100A6C27" w:rsidP="06DA267F">
      <w:pPr>
        <w:jc w:val="both"/>
      </w:pPr>
      <w:r w:rsidRPr="06DA267F">
        <w:t xml:space="preserve">Unfortunately, for the remaining staff, full integration and acceptance wasn’t reached yet, they still being at the acceptance stage, and slowly walking towards fully embracing the new policies, procedures, management and overall culture. </w:t>
      </w:r>
    </w:p>
    <w:p w14:paraId="2EBAD0B3" w14:textId="48A0F38E" w:rsidR="100A6C27" w:rsidRDefault="100A6C27" w:rsidP="06DA267F">
      <w:pPr>
        <w:jc w:val="both"/>
      </w:pPr>
      <w:r w:rsidRPr="06DA267F">
        <w:t>The Kubler-Ross Model bring</w:t>
      </w:r>
      <w:r w:rsidR="493B9394" w:rsidRPr="06DA267F">
        <w:t>s</w:t>
      </w:r>
      <w:r w:rsidRPr="06DA267F">
        <w:t xml:space="preserve"> a strong framework for understanding the emotional roller-coaster of </w:t>
      </w:r>
      <w:proofErr w:type="spellStart"/>
      <w:r w:rsidRPr="06DA267F">
        <w:t>Calmere</w:t>
      </w:r>
      <w:proofErr w:type="spellEnd"/>
      <w:r w:rsidRPr="06DA267F">
        <w:t xml:space="preserve"> House</w:t>
      </w:r>
      <w:r w:rsidR="27EE5527" w:rsidRPr="06DA267F">
        <w:t>’</w:t>
      </w:r>
      <w:r w:rsidRPr="06DA267F">
        <w:t xml:space="preserve"> staff, from shock and denial to frustration and depression and then slowly experimenting and accepting, this case shows the importance of proactive change strategies that covers not only the operational side of the business, but the cultural and emotional needs of staff.</w:t>
      </w:r>
    </w:p>
    <w:p w14:paraId="7126290F" w14:textId="7C1BB4FF" w:rsidR="06DA267F" w:rsidRDefault="06DA267F" w:rsidP="06DA267F"/>
    <w:p w14:paraId="4A6275C3" w14:textId="4D7EF700" w:rsidR="4CE5F62B" w:rsidRDefault="4CE5F62B" w:rsidP="06DA267F">
      <w:pPr>
        <w:jc w:val="both"/>
      </w:pPr>
      <w:r w:rsidRPr="06DA267F">
        <w:t>AC2.5)</w:t>
      </w:r>
      <w:r w:rsidR="3980CCEA" w:rsidRPr="06DA267F">
        <w:t xml:space="preserve"> Employee wellbeing is a very important factor in organization’s efficiency, affecting engagement, motivation, job satisfaction and both mental and physical health. When wellbeing is affected, the repercussions extend beyond personal level, impacting relationships, capability, attendance and overall performance. During times of organisational change, like the one </w:t>
      </w:r>
      <w:proofErr w:type="spellStart"/>
      <w:r w:rsidR="3980CCEA" w:rsidRPr="06DA267F">
        <w:t>Calmere</w:t>
      </w:r>
      <w:proofErr w:type="spellEnd"/>
      <w:r w:rsidR="3980CCEA" w:rsidRPr="06DA267F">
        <w:t xml:space="preserve"> House is going through, wellbeing becomes unsteady as staff experience changes in expectation, uncertainty and cultural disruption</w:t>
      </w:r>
      <w:r w:rsidR="75F61792" w:rsidRPr="06DA267F">
        <w:t xml:space="preserve"> (Rees and French, 2022).</w:t>
      </w:r>
    </w:p>
    <w:p w14:paraId="5814102A" w14:textId="12393C38" w:rsidR="3980CCEA" w:rsidRDefault="3980CCEA" w:rsidP="06DA267F">
      <w:pPr>
        <w:jc w:val="both"/>
      </w:pPr>
      <w:r w:rsidRPr="06DA267F">
        <w:t xml:space="preserve">A major business factor that can impact staffs’ wellbeing at </w:t>
      </w:r>
      <w:proofErr w:type="spellStart"/>
      <w:r w:rsidRPr="06DA267F">
        <w:t>Calmere</w:t>
      </w:r>
      <w:proofErr w:type="spellEnd"/>
      <w:r w:rsidRPr="06DA267F">
        <w:t xml:space="preserve"> House is the abrupt shift in management style. Under previous management, the house operated under a family-business approach that created trust and autonomy, boosting employees’ confidence and creating a sense of belonging. Chaffinch Group introduced a hierarchical management style, with limited access to communication and small regards to employees’ perspective.  It would be important to address this factor as the shift damaged employees' relationships and autonomy, leading to loss of trust and respect, decreasing the engagement and motivation, affecting the overall job satisfaction. Altogether, the change in management can affect the stress level and morale and bring uncertainty, elements that can noticeably decrease staff wellbeing at </w:t>
      </w:r>
      <w:proofErr w:type="spellStart"/>
      <w:r w:rsidRPr="06DA267F">
        <w:t>Calmere</w:t>
      </w:r>
      <w:proofErr w:type="spellEnd"/>
      <w:r w:rsidRPr="06DA267F">
        <w:t xml:space="preserve"> House. Reflecting the expectancy theory, staff would be less likely to show efforts when they don’t feel rewarded or appreciated, actions that can negatively impact performance, which is directly affecting the business (Horn, 2009; CIPD, 2024a)</w:t>
      </w:r>
    </w:p>
    <w:p w14:paraId="555E92BF" w14:textId="7DE1D9A6" w:rsidR="3980CCEA" w:rsidRDefault="3980CCEA" w:rsidP="06DA267F">
      <w:pPr>
        <w:jc w:val="both"/>
      </w:pPr>
      <w:r w:rsidRPr="06DA267F">
        <w:t xml:space="preserve">A moral factor that can impact employee's wellbeing is the appearance of contradicting organisation’s values. Before the transition, staff were dedicated to personalised resident-focused care, their values being pencilled around customer’s wants and needs, while under the new leadership, the values are emphasising around standardisation and efficiency, focusing on cost proficiency and fading away from the personal aspect of the service. It would be important to address this clash of values as it undermines job </w:t>
      </w:r>
      <w:r w:rsidRPr="06DA267F">
        <w:lastRenderedPageBreak/>
        <w:t xml:space="preserve">satisfaction, reducing the sense of purpose and motivation, resulting in a decline in resilience and strength. Over time, this conflict of values can deteriorate morale, reduce performance and affect retention as it can push the workforce into looking for companies with similar values to theirs. (CIPD, 2025c; </w:t>
      </w:r>
      <w:proofErr w:type="spellStart"/>
      <w:r w:rsidRPr="06DA267F">
        <w:t>Suff</w:t>
      </w:r>
      <w:proofErr w:type="spellEnd"/>
      <w:r w:rsidRPr="06DA267F">
        <w:t>, 2025)</w:t>
      </w:r>
    </w:p>
    <w:p w14:paraId="527F61C7" w14:textId="29B97BE6" w:rsidR="3980CCEA" w:rsidRDefault="3980CCEA" w:rsidP="06DA267F">
      <w:pPr>
        <w:jc w:val="both"/>
      </w:pPr>
      <w:r w:rsidRPr="06DA267F">
        <w:t xml:space="preserve">In summary, the changes in values and the shift in management style can undermine staff’s wellbeing at </w:t>
      </w:r>
      <w:proofErr w:type="spellStart"/>
      <w:r w:rsidRPr="06DA267F">
        <w:t>Calmere</w:t>
      </w:r>
      <w:proofErr w:type="spellEnd"/>
      <w:r w:rsidRPr="06DA267F">
        <w:t xml:space="preserve"> House. Addressing these two factors through open communication, cultural alignment and supportive leadership might help employees regain resilience, motivation, engagement and job satisfaction, improving both staff wellbeing and organisational effectiveness.</w:t>
      </w:r>
    </w:p>
    <w:p w14:paraId="15885701" w14:textId="4DDE580D" w:rsidR="06DA267F" w:rsidRDefault="06DA267F" w:rsidP="06DA267F"/>
    <w:p w14:paraId="11A3C088" w14:textId="39C2A05D" w:rsidR="1AB0A1E0" w:rsidRDefault="1AB0A1E0" w:rsidP="06DA267F">
      <w:pPr>
        <w:jc w:val="both"/>
      </w:pPr>
      <w:r w:rsidRPr="06DA267F">
        <w:t xml:space="preserve">AC3.1) Employees life cycle is offering a structured path of understanding how people practise can shape employee experience from start to finish. According to Amstrong and Taylor (2023), retention is not just a simple stage, but the outcome of employees’ experiences through all the other stages that can be found on the picture below: </w:t>
      </w:r>
    </w:p>
    <w:p w14:paraId="20E89E9C" w14:textId="511EB9E9" w:rsidR="06DA267F" w:rsidRDefault="06DA267F" w:rsidP="06DA267F"/>
    <w:p w14:paraId="79B5A2C2" w14:textId="3945B517" w:rsidR="1AB0A1E0" w:rsidRDefault="1AB0A1E0" w:rsidP="06DA267F">
      <w:pPr>
        <w:jc w:val="center"/>
      </w:pPr>
      <w:r w:rsidRPr="06DA267F">
        <w:t xml:space="preserve"> </w:t>
      </w:r>
      <w:r>
        <w:rPr>
          <w:noProof/>
        </w:rPr>
        <w:drawing>
          <wp:inline distT="0" distB="0" distL="0" distR="0" wp14:anchorId="56FC25DA" wp14:editId="7728DBDD">
            <wp:extent cx="3267075" cy="3267075"/>
            <wp:effectExtent l="0" t="0" r="0" b="0"/>
            <wp:docPr id="12347416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741691" name="Picture 1234741691"/>
                    <pic:cNvPicPr/>
                  </pic:nvPicPr>
                  <pic:blipFill>
                    <a:blip r:embed="rId8">
                      <a:extLst>
                        <a:ext uri="{28A0092B-C50C-407E-A947-70E740481C1C}">
                          <a14:useLocalDpi xmlns:a14="http://schemas.microsoft.com/office/drawing/2010/main"/>
                        </a:ext>
                      </a:extLst>
                    </a:blip>
                    <a:stretch>
                      <a:fillRect/>
                    </a:stretch>
                  </pic:blipFill>
                  <pic:spPr>
                    <a:xfrm>
                      <a:off x="0" y="0"/>
                      <a:ext cx="3267075" cy="3267075"/>
                    </a:xfrm>
                    <a:prstGeom prst="rect">
                      <a:avLst/>
                    </a:prstGeom>
                  </pic:spPr>
                </pic:pic>
              </a:graphicData>
            </a:graphic>
          </wp:inline>
        </w:drawing>
      </w:r>
    </w:p>
    <w:p w14:paraId="4D6CD719" w14:textId="2DCF9688" w:rsidR="1AB0A1E0" w:rsidRDefault="1AB0A1E0" w:rsidP="06DA267F">
      <w:pPr>
        <w:jc w:val="both"/>
      </w:pPr>
      <w:r w:rsidRPr="06DA267F">
        <w:t xml:space="preserve">In </w:t>
      </w:r>
      <w:proofErr w:type="spellStart"/>
      <w:r w:rsidRPr="06DA267F">
        <w:t>Calmere</w:t>
      </w:r>
      <w:proofErr w:type="spellEnd"/>
      <w:r w:rsidRPr="06DA267F">
        <w:t xml:space="preserve"> House, where retention decreased rapidly due to culture change, people professionals should understand their impact on the lifecycle at any stage, having in mind that retention links to all stages, resulting in all stages impacting the retention rate</w:t>
      </w:r>
      <w:r w:rsidR="7995EB2C" w:rsidRPr="06DA267F">
        <w:t xml:space="preserve"> (CIPD, 2018)</w:t>
      </w:r>
      <w:r w:rsidR="4A8F22EB" w:rsidRPr="06DA267F">
        <w:t>.</w:t>
      </w:r>
    </w:p>
    <w:p w14:paraId="35158A86" w14:textId="0A597254" w:rsidR="1AB0A1E0" w:rsidRDefault="1AB0A1E0" w:rsidP="06DA267F">
      <w:pPr>
        <w:jc w:val="both"/>
      </w:pPr>
      <w:r w:rsidRPr="06DA267F">
        <w:t xml:space="preserve">In our context, the people managers are having the biggest day-to-day impact in retention, them shaping many internal “push factors” such as lack of support, poor communication and overall toxic leadership, whilst ignoring the “pull factors” that can </w:t>
      </w:r>
      <w:r w:rsidRPr="06DA267F">
        <w:lastRenderedPageBreak/>
        <w:t xml:space="preserve">take people away such as poor relations and lack of recognition. Effective managers foster trust and values alignment from the onboarding stage, this being their first direct contact with staff, following with constant support, fairness and opportunities to develop through the whole employee lifecycle. </w:t>
      </w:r>
    </w:p>
    <w:p w14:paraId="377F31AF" w14:textId="482A3EC6" w:rsidR="1AB0A1E0" w:rsidRDefault="1AB0A1E0" w:rsidP="06DA267F">
      <w:pPr>
        <w:jc w:val="both"/>
      </w:pPr>
      <w:r w:rsidRPr="06DA267F">
        <w:t xml:space="preserve">As retention is linked to recruitment, one being influenced by the other, the recruitment advisor, who is now an agency for Chaffinch Group, is having an enormous impact on retention. Hiring candidates that are matching the organisation values will result in longer employment and better retention rate. With higher retention rates, customer service in improving, creating more stability and boosting company’s reputation, which can then help the recruitment process. At the same time, a low retention leads to high recruitment, resulting in rushed hiring decisions that can later affect retention. A good strategy the recruitment team at </w:t>
      </w:r>
      <w:proofErr w:type="spellStart"/>
      <w:r w:rsidRPr="06DA267F">
        <w:t>Calmere</w:t>
      </w:r>
      <w:proofErr w:type="spellEnd"/>
      <w:r w:rsidRPr="06DA267F">
        <w:t xml:space="preserve"> House would be to focus not only on experience, but in attitude and values alignment, offering strong training and a good onboarding experience</w:t>
      </w:r>
      <w:r w:rsidR="540D836C" w:rsidRPr="06DA267F">
        <w:t xml:space="preserve"> (CIPD, 2021)</w:t>
      </w:r>
      <w:r w:rsidR="3593D659" w:rsidRPr="06DA267F">
        <w:t>.</w:t>
      </w:r>
    </w:p>
    <w:p w14:paraId="50B3434E" w14:textId="384C8A92" w:rsidR="1AB0A1E0" w:rsidRDefault="1AB0A1E0" w:rsidP="06DA267F">
      <w:pPr>
        <w:jc w:val="both"/>
      </w:pPr>
      <w:r w:rsidRPr="06DA267F">
        <w:t xml:space="preserve">The employment relations case advisor can influence retention by ensuring that grievances and disciplinary are deal with fairly, these procedures often impacting trust and commitment. They should encourage informal resolution at early stages, but if formal resolutions are unavoidable, they should maintain open communication and enable staff to improve, rather than pushing them out. As poorly handled disciplinary can become a push factor, it is important that conflict resolutions policies are applied </w:t>
      </w:r>
      <w:proofErr w:type="gramStart"/>
      <w:r w:rsidRPr="06DA267F">
        <w:t>equally</w:t>
      </w:r>
      <w:proofErr w:type="gramEnd"/>
      <w:r w:rsidRPr="06DA267F">
        <w:t xml:space="preserve"> and employees are given a voice</w:t>
      </w:r>
      <w:r w:rsidR="0AABF7B2" w:rsidRPr="06DA267F">
        <w:t xml:space="preserve"> (</w:t>
      </w:r>
      <w:proofErr w:type="spellStart"/>
      <w:r w:rsidR="0AABF7B2" w:rsidRPr="06DA267F">
        <w:t>Suff</w:t>
      </w:r>
      <w:proofErr w:type="spellEnd"/>
      <w:r w:rsidR="0AABF7B2" w:rsidRPr="06DA267F">
        <w:t>, 2024)</w:t>
      </w:r>
      <w:r w:rsidR="34F2CED6" w:rsidRPr="06DA267F">
        <w:t>.</w:t>
      </w:r>
    </w:p>
    <w:p w14:paraId="1E8DEFB5" w14:textId="0FAC1BD7" w:rsidR="1AB0A1E0" w:rsidRDefault="1AB0A1E0" w:rsidP="06DA267F">
      <w:pPr>
        <w:jc w:val="both"/>
      </w:pPr>
      <w:r w:rsidRPr="06DA267F">
        <w:t xml:space="preserve">For </w:t>
      </w:r>
      <w:proofErr w:type="spellStart"/>
      <w:r w:rsidRPr="06DA267F">
        <w:t>Calmere</w:t>
      </w:r>
      <w:proofErr w:type="spellEnd"/>
      <w:r w:rsidRPr="06DA267F">
        <w:t xml:space="preserve"> House to thrive, people manager, recruitment advisor and employment relations case advisor should work together to support the retention by creating long and short-term strategies such as implementing exit interview that could be linked to the recruitment strategy, incorporating employee consultation in development strategies and embedding flexibility and adaptability in their </w:t>
      </w:r>
      <w:proofErr w:type="gramStart"/>
      <w:r w:rsidRPr="06DA267F">
        <w:t>day to day</w:t>
      </w:r>
      <w:proofErr w:type="gramEnd"/>
      <w:r w:rsidRPr="06DA267F">
        <w:t xml:space="preserve"> management style.</w:t>
      </w:r>
    </w:p>
    <w:p w14:paraId="65A59820" w14:textId="131F7E62" w:rsidR="06DA267F" w:rsidRDefault="06DA267F" w:rsidP="06DA267F">
      <w:pPr>
        <w:jc w:val="both"/>
      </w:pPr>
    </w:p>
    <w:p w14:paraId="285A179E" w14:textId="2F140DF2" w:rsidR="69BF3C67" w:rsidRDefault="69BF3C67" w:rsidP="06DA267F">
      <w:pPr>
        <w:jc w:val="both"/>
        <w:rPr>
          <w:rFonts w:ascii="Aptos" w:eastAsia="Aptos" w:hAnsi="Aptos" w:cs="Aptos"/>
        </w:rPr>
      </w:pPr>
      <w:r w:rsidRPr="06DA267F">
        <w:t xml:space="preserve">AC3.2) </w:t>
      </w:r>
      <w:r w:rsidRPr="06DA267F">
        <w:rPr>
          <w:rFonts w:ascii="Aptos" w:eastAsia="Aptos" w:hAnsi="Aptos" w:cs="Aptos"/>
        </w:rPr>
        <w:t xml:space="preserve">Achieving Chaffinch Group goal to fill 100% of residents room on 6 months request strong alignment between people practice and organisational strategy. </w:t>
      </w:r>
    </w:p>
    <w:p w14:paraId="293E1552" w14:textId="64D6643B" w:rsidR="69BF3C67" w:rsidRDefault="69BF3C67" w:rsidP="06DA267F">
      <w:pPr>
        <w:jc w:val="both"/>
        <w:rPr>
          <w:rFonts w:ascii="Aptos" w:eastAsia="Aptos" w:hAnsi="Aptos" w:cs="Aptos"/>
        </w:rPr>
      </w:pPr>
      <w:r w:rsidRPr="06DA267F">
        <w:rPr>
          <w:rFonts w:ascii="Aptos" w:eastAsia="Aptos" w:hAnsi="Aptos" w:cs="Aptos"/>
        </w:rPr>
        <w:t>Successful people practice strategy should display both vertical integration, which refers to the alignment between people strategy and business strategy, assuring HR actions are directly supporting the business objectives, in this case, increasing occupancy, and horizontal integration, which brings the alignment between HR policies and practices with each other, assuring recruitment, reward, relation and learning work together towards the same aim (Armstrong and Taylor, 2023).</w:t>
      </w:r>
    </w:p>
    <w:p w14:paraId="31411DD5" w14:textId="5839EE8D" w:rsidR="69BF3C67" w:rsidRDefault="69BF3C67" w:rsidP="06DA267F">
      <w:pPr>
        <w:jc w:val="both"/>
        <w:rPr>
          <w:rFonts w:ascii="Aptos" w:eastAsia="Aptos" w:hAnsi="Aptos" w:cs="Aptos"/>
        </w:rPr>
      </w:pPr>
      <w:r w:rsidRPr="06DA267F">
        <w:rPr>
          <w:rFonts w:ascii="Aptos" w:eastAsia="Aptos" w:hAnsi="Aptos" w:cs="Aptos"/>
        </w:rPr>
        <w:t xml:space="preserve">Resourcing is a central pylon supporting occupancy increase. Using powerful business partnering, people practice supports operational needs by ensuring staff level match the </w:t>
      </w:r>
      <w:r w:rsidRPr="06DA267F">
        <w:rPr>
          <w:rFonts w:ascii="Aptos" w:eastAsia="Aptos" w:hAnsi="Aptos" w:cs="Aptos"/>
        </w:rPr>
        <w:lastRenderedPageBreak/>
        <w:t>existing or possible occupancy needs, focusing on resourcing skilled individuals whose behaviours and values match the company expectations, resulting in successful long-lasting employment. Maintaining safe staff level and bringing skilled individuals will improve service delivery and reduce staff burnout, those together generally impacting how attractive the house is to potential new clients and their families. Chaffinch Group could improve their resourcing strategies by focusing on quality, not quantity, and modernise their ways of attracting candidates by using new channels of advertisement or implementing refer a friend schemes or flexible working (CIPD, 2024c).</w:t>
      </w:r>
    </w:p>
    <w:p w14:paraId="1791DF5A" w14:textId="1E12F63F" w:rsidR="69BF3C67" w:rsidRDefault="69BF3C67" w:rsidP="06DA267F">
      <w:pPr>
        <w:jc w:val="both"/>
        <w:rPr>
          <w:rFonts w:ascii="Aptos" w:eastAsia="Aptos" w:hAnsi="Aptos" w:cs="Aptos"/>
        </w:rPr>
      </w:pPr>
      <w:r w:rsidRPr="06DA267F">
        <w:rPr>
          <w:rFonts w:ascii="Aptos" w:eastAsia="Aptos" w:hAnsi="Aptos" w:cs="Aptos"/>
        </w:rPr>
        <w:t>Reward practises can support vertical integration by motivating staff to deliver high-quality services that will improve occupancy as well. By introducing competitive pay, bonus schemes, or just simple non-financial recognition awards, Chaffinch Group could rebuild staff morale, ensuring care continuity, which is key component for residents and families looking for long-term accommodation. Public recognition of good practice such as sharing their “employee of the month” on social media can improve the home’s reputation and indirectly attract new residents (Cotton, 2019; CIPD, 2025d).</w:t>
      </w:r>
    </w:p>
    <w:p w14:paraId="6C8DD653" w14:textId="49AA44D8" w:rsidR="69BF3C67" w:rsidRDefault="69BF3C67" w:rsidP="06DA267F">
      <w:pPr>
        <w:jc w:val="both"/>
        <w:rPr>
          <w:rFonts w:ascii="Aptos" w:eastAsia="Aptos" w:hAnsi="Aptos" w:cs="Aptos"/>
        </w:rPr>
      </w:pPr>
      <w:r w:rsidRPr="06DA267F">
        <w:rPr>
          <w:rFonts w:ascii="Aptos" w:eastAsia="Aptos" w:hAnsi="Aptos" w:cs="Aptos"/>
        </w:rPr>
        <w:t xml:space="preserve">Employee relations with each other and residents are very important as well, them creating a pleasurable environment and good reputation, which supports occupancy targets. It is crucial that people practise implement good communication, employee voice and fairness, as those will increase engagement, morale and retention, all factors helping </w:t>
      </w:r>
      <w:proofErr w:type="spellStart"/>
      <w:r w:rsidRPr="06DA267F">
        <w:rPr>
          <w:rFonts w:ascii="Aptos" w:eastAsia="Aptos" w:hAnsi="Aptos" w:cs="Aptos"/>
        </w:rPr>
        <w:t>Calmere</w:t>
      </w:r>
      <w:proofErr w:type="spellEnd"/>
      <w:r w:rsidRPr="06DA267F">
        <w:rPr>
          <w:rFonts w:ascii="Aptos" w:eastAsia="Aptos" w:hAnsi="Aptos" w:cs="Aptos"/>
        </w:rPr>
        <w:t xml:space="preserve"> House to create a better environment for existing residents, decreasing the risk of losing them, and a more appealing one for potential resident.</w:t>
      </w:r>
    </w:p>
    <w:p w14:paraId="3854A1C4" w14:textId="5912FE53" w:rsidR="69BF3C67" w:rsidRDefault="69BF3C67" w:rsidP="06DA267F">
      <w:pPr>
        <w:jc w:val="both"/>
        <w:rPr>
          <w:rFonts w:ascii="Aptos" w:eastAsia="Aptos" w:hAnsi="Aptos" w:cs="Aptos"/>
        </w:rPr>
      </w:pPr>
      <w:r w:rsidRPr="06DA267F">
        <w:rPr>
          <w:rFonts w:ascii="Aptos" w:eastAsia="Aptos" w:hAnsi="Aptos" w:cs="Aptos"/>
        </w:rPr>
        <w:t xml:space="preserve">As retention can have a big impact on residents' satisfaction, </w:t>
      </w:r>
      <w:proofErr w:type="spellStart"/>
      <w:r w:rsidRPr="06DA267F">
        <w:rPr>
          <w:rFonts w:ascii="Aptos" w:eastAsia="Aptos" w:hAnsi="Aptos" w:cs="Aptos"/>
        </w:rPr>
        <w:t>Calmere</w:t>
      </w:r>
      <w:proofErr w:type="spellEnd"/>
      <w:r w:rsidRPr="06DA267F">
        <w:rPr>
          <w:rFonts w:ascii="Aptos" w:eastAsia="Aptos" w:hAnsi="Aptos" w:cs="Aptos"/>
        </w:rPr>
        <w:t xml:space="preserve"> House could also focus on learning and development strategies to keep their existing staff. Continuous training and professional development will not only boost staffs’ morale and motivation, but will improve the service delivery, differentiating them from other competitors on the market.</w:t>
      </w:r>
    </w:p>
    <w:p w14:paraId="53FDBC4F" w14:textId="63006A32" w:rsidR="69BF3C67" w:rsidRDefault="69BF3C67" w:rsidP="06DA267F">
      <w:pPr>
        <w:jc w:val="both"/>
        <w:rPr>
          <w:rFonts w:ascii="Aptos" w:eastAsia="Aptos" w:hAnsi="Aptos" w:cs="Aptos"/>
        </w:rPr>
      </w:pPr>
      <w:r w:rsidRPr="06DA267F">
        <w:rPr>
          <w:rFonts w:ascii="Aptos" w:eastAsia="Aptos" w:hAnsi="Aptos" w:cs="Aptos"/>
        </w:rPr>
        <w:t>By creating vertical alignment between people strategy and business goals, and horizontal one between all HR practices, Chaffinch Group can rebuild personnel stability, strengthen care quality and rebuild their reputation, all together re-establishing them on the market and helping them fill their vacancies.</w:t>
      </w:r>
    </w:p>
    <w:p w14:paraId="5FC82821" w14:textId="6ECB409C" w:rsidR="06DA267F" w:rsidRDefault="06DA267F" w:rsidP="06DA267F">
      <w:pPr>
        <w:jc w:val="both"/>
      </w:pPr>
    </w:p>
    <w:p w14:paraId="6B01D57A" w14:textId="1B528106" w:rsidR="1ACDEEFB" w:rsidRDefault="1ACDEEFB" w:rsidP="06DA267F">
      <w:pPr>
        <w:jc w:val="both"/>
      </w:pPr>
      <w:r w:rsidRPr="06DA267F">
        <w:t>AC3.3)</w:t>
      </w:r>
      <w:r w:rsidR="129E813A" w:rsidRPr="06DA267F">
        <w:t xml:space="preserve"> Given the transition the house went through; to understand the high turnover at </w:t>
      </w:r>
      <w:proofErr w:type="spellStart"/>
      <w:r w:rsidR="129E813A" w:rsidRPr="06DA267F">
        <w:t>Calmere</w:t>
      </w:r>
      <w:proofErr w:type="spellEnd"/>
      <w:r w:rsidR="129E813A" w:rsidRPr="06DA267F">
        <w:t xml:space="preserve"> House, Kath must introduce a strong consultation system to give employees a voice and a chance to engage, as it would help her find out their concerns and issues, helping leadership take more-informed decisions (ACAS, 2021; Waite </w:t>
      </w:r>
      <w:r w:rsidR="129E813A" w:rsidRPr="06DA267F">
        <w:rPr>
          <w:i/>
          <w:iCs/>
        </w:rPr>
        <w:t>et al</w:t>
      </w:r>
      <w:r w:rsidR="129E813A" w:rsidRPr="06DA267F">
        <w:t>., 2021).</w:t>
      </w:r>
    </w:p>
    <w:p w14:paraId="5AF87712" w14:textId="7B11FAEE" w:rsidR="129E813A" w:rsidRDefault="129E813A" w:rsidP="06DA267F">
      <w:pPr>
        <w:jc w:val="both"/>
      </w:pPr>
      <w:r w:rsidRPr="06DA267F">
        <w:t xml:space="preserve">If done correctly, consultation can give employee autonomy without losing control, improving stakeholders' wellbeing and performance, implementing two-way open </w:t>
      </w:r>
      <w:r w:rsidRPr="06DA267F">
        <w:lastRenderedPageBreak/>
        <w:t xml:space="preserve">channels of communication. It can be done directly, by having informal individual discussions or formal group meetings, or it can be indirect by having working groups or trade unions. Although consultation can be a powerful tool to build trust and working relationships, it can create damages if misused. If Kath gathers feedback but takes no action on it, trust can decline trust even more, creating an even bigger turnover (Taylor &amp; Woodhams, 2022a). </w:t>
      </w:r>
    </w:p>
    <w:p w14:paraId="5BB8D5FB" w14:textId="746FCD2F" w:rsidR="129E813A" w:rsidRDefault="129E813A" w:rsidP="06DA267F">
      <w:pPr>
        <w:jc w:val="both"/>
      </w:pPr>
      <w:r w:rsidRPr="06DA267F">
        <w:t xml:space="preserve">As consultation is such a powerful tool, it is important to find the right methods of practising it. A way Kath can practise consultation is by creating focus groups where employees can collectively discuss the issues they are facing (workloads, management style or lack of autonomy), as this will improve their engagement and morale, giving leadership in-depth insights of employees' experience. However, there might be employees fearing to speak out in front of management due to the new bureaucratic style, which can decrease psychological safety. To avoid this issue, Kath could use external mediators to create neutrality. </w:t>
      </w:r>
    </w:p>
    <w:p w14:paraId="5A34461C" w14:textId="2418ACFA" w:rsidR="129E813A" w:rsidRDefault="129E813A" w:rsidP="06DA267F">
      <w:pPr>
        <w:jc w:val="both"/>
      </w:pPr>
      <w:r w:rsidRPr="06DA267F">
        <w:t>A very useful method Kath can use to consult with employees is through anonymous surveys, as they can reach all employees and can easily identify general trends such as concerns about agency staff, frustrations due to lack of communication or dissatisfaction in management style. However, surveys can lack depth and be seen as superficial if not followed by action. Kath could avoid this by discussing general results and the companies plans of improvement (CIPD, 2025c).</w:t>
      </w:r>
    </w:p>
    <w:p w14:paraId="54A8E085" w14:textId="56195073" w:rsidR="129E813A" w:rsidRDefault="129E813A" w:rsidP="06DA267F">
      <w:pPr>
        <w:jc w:val="both"/>
      </w:pPr>
      <w:r w:rsidRPr="06DA267F">
        <w:t xml:space="preserve">To improve her relationship with staff, Kath could have one-to-one interviews with everyone. This will help her know each individual better and address personal issues such as burnout, lack of voice or relationships with managers or colleagues. Marchington </w:t>
      </w:r>
      <w:r w:rsidRPr="06DA267F">
        <w:rPr>
          <w:i/>
          <w:iCs/>
        </w:rPr>
        <w:t>et al.</w:t>
      </w:r>
      <w:r w:rsidRPr="06DA267F">
        <w:t xml:space="preserve"> (2025) highlights that listening to an individual is mandatory for restoring trust, and even thought it can be time consuming, and staff might not always feel confident to criticise management, interviews can help Kath understand each employee better, especially if she partners with an independent HR practitioner to create a safe environment.</w:t>
      </w:r>
    </w:p>
    <w:p w14:paraId="6A4B94DB" w14:textId="666F6511" w:rsidR="129E813A" w:rsidRDefault="129E813A" w:rsidP="06DA267F">
      <w:pPr>
        <w:jc w:val="both"/>
      </w:pPr>
      <w:r w:rsidRPr="06DA267F">
        <w:t xml:space="preserve">In conclusion, Kath could consult and engage with staff to understand high turnover by using a blended approach </w:t>
      </w:r>
      <w:r w:rsidR="0B91EC48" w:rsidRPr="06DA267F">
        <w:t>including</w:t>
      </w:r>
      <w:r w:rsidRPr="06DA267F">
        <w:t xml:space="preserve"> interviews for depth, focus groups for overall experience and surveys for coverage, acting on findings and demonstrating behavioural change to rebuild trust and engagement.</w:t>
      </w:r>
    </w:p>
    <w:p w14:paraId="69029B42" w14:textId="7E696A08" w:rsidR="06DA267F" w:rsidRDefault="06DA267F" w:rsidP="06DA267F">
      <w:pPr>
        <w:jc w:val="both"/>
      </w:pPr>
    </w:p>
    <w:p w14:paraId="750F9580" w14:textId="2DBEB957" w:rsidR="06DA267F" w:rsidRDefault="06DA267F" w:rsidP="06DA267F">
      <w:pPr>
        <w:spacing w:line="276" w:lineRule="auto"/>
        <w:jc w:val="both"/>
        <w:rPr>
          <w:rFonts w:ascii="Times New Roman" w:eastAsia="Times New Roman" w:hAnsi="Times New Roman" w:cs="Times New Roman"/>
          <w:color w:val="000000" w:themeColor="text1"/>
        </w:rPr>
      </w:pPr>
    </w:p>
    <w:p w14:paraId="7BCE4AA2" w14:textId="292BDB56" w:rsidR="06DA267F" w:rsidRDefault="06DA267F" w:rsidP="06DA267F">
      <w:pPr>
        <w:spacing w:line="276" w:lineRule="auto"/>
        <w:jc w:val="both"/>
        <w:rPr>
          <w:rFonts w:ascii="Times New Roman" w:eastAsia="Times New Roman" w:hAnsi="Times New Roman" w:cs="Times New Roman"/>
          <w:color w:val="000000" w:themeColor="text1"/>
        </w:rPr>
      </w:pPr>
    </w:p>
    <w:p w14:paraId="02CA87D4" w14:textId="5FA2C548" w:rsidR="3F5F11D0" w:rsidRDefault="3F5F11D0" w:rsidP="06DA267F">
      <w:pPr>
        <w:spacing w:line="276" w:lineRule="auto"/>
        <w:jc w:val="both"/>
        <w:rPr>
          <w:rFonts w:ascii="Times New Roman" w:eastAsia="Times New Roman" w:hAnsi="Times New Roman" w:cs="Times New Roman"/>
          <w:color w:val="000000" w:themeColor="text1"/>
        </w:rPr>
      </w:pPr>
      <w:r w:rsidRPr="06DA267F">
        <w:rPr>
          <w:rFonts w:ascii="Times New Roman" w:eastAsia="Times New Roman" w:hAnsi="Times New Roman" w:cs="Times New Roman"/>
          <w:color w:val="000000" w:themeColor="text1"/>
        </w:rPr>
        <w:t>References:</w:t>
      </w:r>
    </w:p>
    <w:p w14:paraId="1E3BB7D1" w14:textId="6F8A06A6" w:rsidR="06DA267F" w:rsidRDefault="06DA267F" w:rsidP="06DA267F">
      <w:pPr>
        <w:spacing w:line="276" w:lineRule="auto"/>
        <w:jc w:val="both"/>
        <w:rPr>
          <w:rFonts w:ascii="Times New Roman" w:eastAsia="Times New Roman" w:hAnsi="Times New Roman" w:cs="Times New Roman"/>
          <w:color w:val="000000" w:themeColor="text1"/>
        </w:rPr>
      </w:pPr>
    </w:p>
    <w:p w14:paraId="696F3B7B" w14:textId="3DEF6EC2" w:rsidR="158ECF20" w:rsidRDefault="158ECF20" w:rsidP="06DA267F">
      <w:pPr>
        <w:spacing w:line="276" w:lineRule="auto"/>
        <w:jc w:val="both"/>
        <w:rPr>
          <w:rFonts w:ascii="Times New Roman" w:eastAsia="Times New Roman" w:hAnsi="Times New Roman" w:cs="Times New Roman"/>
          <w:color w:val="000000" w:themeColor="text1"/>
        </w:rPr>
      </w:pPr>
      <w:r w:rsidRPr="06DA267F">
        <w:rPr>
          <w:rFonts w:ascii="Times New Roman" w:eastAsia="Times New Roman" w:hAnsi="Times New Roman" w:cs="Times New Roman"/>
          <w:color w:val="000000" w:themeColor="text1"/>
        </w:rPr>
        <w:lastRenderedPageBreak/>
        <w:t xml:space="preserve">Aktas, M. (2021) Kübler-Ross’ Five Stage Change Curve Model – all you need to know. Available at: </w:t>
      </w:r>
      <w:hyperlink r:id="rId9">
        <w:r w:rsidRPr="06DA267F">
          <w:rPr>
            <w:rStyle w:val="Hyperlink"/>
            <w:rFonts w:ascii="Times New Roman" w:eastAsia="Times New Roman" w:hAnsi="Times New Roman" w:cs="Times New Roman"/>
          </w:rPr>
          <w:t>https://userguiding.com/blog/kubler-ross-change-curve-model/</w:t>
        </w:r>
      </w:hyperlink>
      <w:r w:rsidRPr="06DA267F">
        <w:rPr>
          <w:rFonts w:ascii="Times New Roman" w:eastAsia="Times New Roman" w:hAnsi="Times New Roman" w:cs="Times New Roman"/>
          <w:color w:val="000000" w:themeColor="text1"/>
        </w:rPr>
        <w:t xml:space="preserve"> (Accessed: 18</w:t>
      </w:r>
      <w:r w:rsidRPr="06DA267F">
        <w:rPr>
          <w:rFonts w:ascii="Times New Roman" w:eastAsia="Times New Roman" w:hAnsi="Times New Roman" w:cs="Times New Roman"/>
          <w:color w:val="000000" w:themeColor="text1"/>
          <w:vertAlign w:val="superscript"/>
        </w:rPr>
        <w:t>th</w:t>
      </w:r>
      <w:r w:rsidRPr="06DA267F">
        <w:rPr>
          <w:rFonts w:ascii="Times New Roman" w:eastAsia="Times New Roman" w:hAnsi="Times New Roman" w:cs="Times New Roman"/>
          <w:color w:val="000000" w:themeColor="text1"/>
        </w:rPr>
        <w:t xml:space="preserve"> November 2025)</w:t>
      </w:r>
    </w:p>
    <w:p w14:paraId="4FE8258A" w14:textId="58EB5E03" w:rsidR="06DA267F" w:rsidRDefault="06DA267F" w:rsidP="06DA267F">
      <w:pPr>
        <w:spacing w:after="0" w:line="276" w:lineRule="auto"/>
        <w:jc w:val="both"/>
        <w:rPr>
          <w:rFonts w:ascii="Aptos" w:eastAsia="Aptos" w:hAnsi="Aptos" w:cs="Aptos"/>
          <w:color w:val="000000" w:themeColor="text1"/>
        </w:rPr>
      </w:pPr>
    </w:p>
    <w:p w14:paraId="7657CF57" w14:textId="612F5939" w:rsidR="158ECF20" w:rsidRDefault="158ECF20" w:rsidP="06DA267F">
      <w:pPr>
        <w:spacing w:after="0" w:line="276" w:lineRule="auto"/>
        <w:jc w:val="both"/>
        <w:rPr>
          <w:rFonts w:ascii="Aptos" w:eastAsia="Aptos" w:hAnsi="Aptos" w:cs="Aptos"/>
          <w:color w:val="000000" w:themeColor="text1"/>
        </w:rPr>
      </w:pPr>
      <w:r w:rsidRPr="06DA267F">
        <w:rPr>
          <w:rFonts w:ascii="Aptos" w:eastAsia="Aptos" w:hAnsi="Aptos" w:cs="Aptos"/>
          <w:color w:val="000000" w:themeColor="text1"/>
        </w:rPr>
        <w:t xml:space="preserve">Albrecht, S. L., Bakker, A. B., Gruman, J. A., Macey, W. H. and Saks, A. M. (2015), "Employee engagement, human resource management practices and competitive advantage: An integrated approach", </w:t>
      </w:r>
      <w:hyperlink r:id="rId10">
        <w:r w:rsidRPr="06DA267F">
          <w:rPr>
            <w:rStyle w:val="Hyperlink"/>
            <w:rFonts w:ascii="Aptos" w:eastAsia="Aptos" w:hAnsi="Aptos" w:cs="Aptos"/>
            <w:i/>
            <w:iCs/>
          </w:rPr>
          <w:t>Journal of Organizational Effectiveness: People and Performance</w:t>
        </w:r>
      </w:hyperlink>
      <w:r w:rsidRPr="06DA267F">
        <w:rPr>
          <w:rFonts w:ascii="Aptos" w:eastAsia="Aptos" w:hAnsi="Aptos" w:cs="Aptos"/>
          <w:color w:val="000000" w:themeColor="text1"/>
        </w:rPr>
        <w:t xml:space="preserve">, Vol. 2 No. 1, pp. 7-35. </w:t>
      </w:r>
      <w:hyperlink r:id="rId11">
        <w:r w:rsidRPr="06DA267F">
          <w:rPr>
            <w:rStyle w:val="Hyperlink"/>
            <w:rFonts w:ascii="Aptos" w:eastAsia="Aptos" w:hAnsi="Aptos" w:cs="Aptos"/>
          </w:rPr>
          <w:t>https://doi.org/10.1108/JOEPP-08-2014-0042</w:t>
        </w:r>
      </w:hyperlink>
      <w:r w:rsidRPr="06DA267F">
        <w:rPr>
          <w:rFonts w:ascii="Aptos" w:eastAsia="Aptos" w:hAnsi="Aptos" w:cs="Aptos"/>
          <w:color w:val="000000" w:themeColor="text1"/>
        </w:rPr>
        <w:t xml:space="preserve">   </w:t>
      </w:r>
    </w:p>
    <w:p w14:paraId="4EBF1CA4" w14:textId="76C41BFA" w:rsidR="06DA267F" w:rsidRDefault="06DA267F" w:rsidP="06DA267F">
      <w:pPr>
        <w:spacing w:after="0" w:line="276" w:lineRule="auto"/>
        <w:jc w:val="both"/>
        <w:rPr>
          <w:rFonts w:ascii="Aptos" w:eastAsia="Aptos" w:hAnsi="Aptos" w:cs="Aptos"/>
          <w:color w:val="000000" w:themeColor="text1"/>
        </w:rPr>
      </w:pPr>
    </w:p>
    <w:p w14:paraId="7E4D6721" w14:textId="368FE6D2" w:rsidR="06DA267F" w:rsidRDefault="06DA267F" w:rsidP="06DA267F">
      <w:pPr>
        <w:spacing w:after="0" w:line="276" w:lineRule="auto"/>
        <w:jc w:val="both"/>
        <w:rPr>
          <w:rFonts w:ascii="Aptos" w:eastAsia="Aptos" w:hAnsi="Aptos" w:cs="Aptos"/>
          <w:color w:val="000000" w:themeColor="text1"/>
        </w:rPr>
      </w:pPr>
    </w:p>
    <w:p w14:paraId="15233A58" w14:textId="4EC2DF34" w:rsidR="158ECF20" w:rsidRDefault="158ECF20" w:rsidP="06DA267F">
      <w:pPr>
        <w:spacing w:line="278" w:lineRule="auto"/>
        <w:rPr>
          <w:rFonts w:ascii="Aptos" w:eastAsia="Aptos" w:hAnsi="Aptos" w:cs="Aptos"/>
          <w:color w:val="000000" w:themeColor="text1"/>
        </w:rPr>
      </w:pPr>
      <w:r w:rsidRPr="06DA267F">
        <w:rPr>
          <w:rFonts w:ascii="Aptos" w:eastAsia="Aptos" w:hAnsi="Aptos" w:cs="Aptos"/>
          <w:color w:val="000000" w:themeColor="text1"/>
        </w:rPr>
        <w:t xml:space="preserve">Armstrong, M. and Taylor, S. (2023) </w:t>
      </w:r>
      <w:r w:rsidRPr="06DA267F">
        <w:rPr>
          <w:rFonts w:ascii="Aptos" w:eastAsia="Aptos" w:hAnsi="Aptos" w:cs="Aptos"/>
          <w:i/>
          <w:iCs/>
          <w:color w:val="000000" w:themeColor="text1"/>
        </w:rPr>
        <w:t>Armstrong’s Handbook of Human Resource Management Practice</w:t>
      </w:r>
      <w:r w:rsidRPr="06DA267F">
        <w:rPr>
          <w:rFonts w:ascii="Aptos" w:eastAsia="Aptos" w:hAnsi="Aptos" w:cs="Aptos"/>
          <w:color w:val="000000" w:themeColor="text1"/>
        </w:rPr>
        <w:t>. 16</w:t>
      </w:r>
      <w:r w:rsidRPr="06DA267F">
        <w:rPr>
          <w:rFonts w:ascii="Aptos" w:eastAsia="Aptos" w:hAnsi="Aptos" w:cs="Aptos"/>
          <w:color w:val="000000" w:themeColor="text1"/>
          <w:vertAlign w:val="superscript"/>
        </w:rPr>
        <w:t>th</w:t>
      </w:r>
      <w:r w:rsidRPr="06DA267F">
        <w:rPr>
          <w:rFonts w:ascii="Aptos" w:eastAsia="Aptos" w:hAnsi="Aptos" w:cs="Aptos"/>
          <w:color w:val="000000" w:themeColor="text1"/>
        </w:rPr>
        <w:t xml:space="preserve"> </w:t>
      </w:r>
      <w:proofErr w:type="spellStart"/>
      <w:r w:rsidRPr="06DA267F">
        <w:rPr>
          <w:rFonts w:ascii="Aptos" w:eastAsia="Aptos" w:hAnsi="Aptos" w:cs="Aptos"/>
          <w:color w:val="000000" w:themeColor="text1"/>
        </w:rPr>
        <w:t>edn</w:t>
      </w:r>
      <w:proofErr w:type="spellEnd"/>
      <w:r w:rsidRPr="06DA267F">
        <w:rPr>
          <w:rFonts w:ascii="Aptos" w:eastAsia="Aptos" w:hAnsi="Aptos" w:cs="Aptos"/>
          <w:color w:val="000000" w:themeColor="text1"/>
        </w:rPr>
        <w:t>. London: Kogan Page</w:t>
      </w:r>
    </w:p>
    <w:p w14:paraId="6C02B050" w14:textId="7C0D2035" w:rsidR="06DA267F" w:rsidRDefault="06DA267F" w:rsidP="06DA267F">
      <w:pPr>
        <w:spacing w:line="278" w:lineRule="auto"/>
        <w:rPr>
          <w:rFonts w:ascii="Aptos" w:eastAsia="Aptos" w:hAnsi="Aptos" w:cs="Aptos"/>
          <w:color w:val="000000" w:themeColor="text1"/>
        </w:rPr>
      </w:pPr>
    </w:p>
    <w:p w14:paraId="4B7F89D5" w14:textId="5033F0C1" w:rsidR="158ECF20" w:rsidRDefault="158ECF20" w:rsidP="06DA267F">
      <w:pPr>
        <w:rPr>
          <w:rFonts w:ascii="Aptos" w:eastAsia="Aptos" w:hAnsi="Aptos" w:cs="Aptos"/>
          <w:color w:val="000000" w:themeColor="text1"/>
        </w:rPr>
      </w:pPr>
      <w:r w:rsidRPr="06DA267F">
        <w:rPr>
          <w:rFonts w:ascii="Aptos" w:eastAsia="Aptos" w:hAnsi="Aptos" w:cs="Aptos"/>
          <w:color w:val="000000" w:themeColor="text1"/>
        </w:rPr>
        <w:t xml:space="preserve">CIPD (2018) </w:t>
      </w:r>
      <w:r w:rsidRPr="06DA267F">
        <w:rPr>
          <w:rFonts w:ascii="Aptos" w:eastAsia="Aptos" w:hAnsi="Aptos" w:cs="Aptos"/>
          <w:i/>
          <w:iCs/>
          <w:color w:val="000000" w:themeColor="text1"/>
        </w:rPr>
        <w:t>Diversity and inclusion at work: Facing up to the business case</w:t>
      </w:r>
      <w:r w:rsidRPr="06DA267F">
        <w:rPr>
          <w:rFonts w:ascii="Aptos" w:eastAsia="Aptos" w:hAnsi="Aptos" w:cs="Aptos"/>
          <w:color w:val="000000" w:themeColor="text1"/>
        </w:rPr>
        <w:t xml:space="preserve">. Available at: </w:t>
      </w:r>
      <w:hyperlink r:id="rId12">
        <w:r w:rsidRPr="06DA267F">
          <w:rPr>
            <w:rStyle w:val="Hyperlink"/>
            <w:rFonts w:ascii="Aptos" w:eastAsia="Aptos" w:hAnsi="Aptos" w:cs="Aptos"/>
          </w:rPr>
          <w:t>https://www.cipd.org/uk/knowledge/evidence-reviews/diversity-inclusion/</w:t>
        </w:r>
      </w:hyperlink>
      <w:r w:rsidRPr="06DA267F">
        <w:rPr>
          <w:rFonts w:ascii="Aptos" w:eastAsia="Aptos" w:hAnsi="Aptos" w:cs="Aptos"/>
          <w:color w:val="000000" w:themeColor="text1"/>
        </w:rPr>
        <w:t xml:space="preserve"> (Accessed: 26th November 2025)   </w:t>
      </w:r>
    </w:p>
    <w:p w14:paraId="22ECEBD1" w14:textId="57B9DFD5" w:rsidR="06DA267F" w:rsidRDefault="06DA267F" w:rsidP="06DA267F">
      <w:pPr>
        <w:rPr>
          <w:rFonts w:ascii="Aptos" w:eastAsia="Aptos" w:hAnsi="Aptos" w:cs="Aptos"/>
          <w:color w:val="000000" w:themeColor="text1"/>
        </w:rPr>
      </w:pPr>
    </w:p>
    <w:p w14:paraId="1909F8AE" w14:textId="67F5E711" w:rsidR="158ECF20" w:rsidRDefault="158ECF20" w:rsidP="06DA267F">
      <w:pPr>
        <w:rPr>
          <w:rFonts w:ascii="Aptos" w:eastAsia="Aptos" w:hAnsi="Aptos" w:cs="Aptos"/>
          <w:color w:val="000000" w:themeColor="text1"/>
        </w:rPr>
      </w:pPr>
      <w:r w:rsidRPr="06DA267F">
        <w:rPr>
          <w:rFonts w:ascii="Aptos" w:eastAsia="Aptos" w:hAnsi="Aptos" w:cs="Aptos"/>
          <w:color w:val="000000" w:themeColor="text1"/>
        </w:rPr>
        <w:t xml:space="preserve">Cotton, C. (2019) </w:t>
      </w:r>
      <w:r w:rsidRPr="06DA267F">
        <w:rPr>
          <w:rFonts w:ascii="Aptos" w:eastAsia="Aptos" w:hAnsi="Aptos" w:cs="Aptos"/>
          <w:i/>
          <w:iCs/>
          <w:color w:val="000000" w:themeColor="text1"/>
        </w:rPr>
        <w:t>Finding the balance in your reward package</w:t>
      </w:r>
      <w:r w:rsidRPr="06DA267F">
        <w:rPr>
          <w:rFonts w:ascii="Aptos" w:eastAsia="Aptos" w:hAnsi="Aptos" w:cs="Aptos"/>
          <w:color w:val="000000" w:themeColor="text1"/>
        </w:rPr>
        <w:t xml:space="preserve">. Available at: </w:t>
      </w:r>
      <w:hyperlink r:id="rId13">
        <w:r w:rsidRPr="06DA267F">
          <w:rPr>
            <w:rStyle w:val="Hyperlink"/>
            <w:rFonts w:ascii="Aptos" w:eastAsia="Aptos" w:hAnsi="Aptos" w:cs="Aptos"/>
          </w:rPr>
          <w:t>https://www.cipd.org/uk/knowledge/bitesize-research/balance-reward-package/</w:t>
        </w:r>
      </w:hyperlink>
      <w:r w:rsidRPr="06DA267F">
        <w:rPr>
          <w:rFonts w:ascii="Aptos" w:eastAsia="Aptos" w:hAnsi="Aptos" w:cs="Aptos"/>
          <w:color w:val="000000" w:themeColor="text1"/>
        </w:rPr>
        <w:t xml:space="preserve"> (Accessed: 26th November 2025)  </w:t>
      </w:r>
    </w:p>
    <w:p w14:paraId="318049F9" w14:textId="5A03A388" w:rsidR="06DA267F" w:rsidRDefault="06DA267F" w:rsidP="06DA267F">
      <w:pPr>
        <w:rPr>
          <w:rFonts w:ascii="Aptos" w:eastAsia="Aptos" w:hAnsi="Aptos" w:cs="Aptos"/>
          <w:color w:val="000000" w:themeColor="text1"/>
        </w:rPr>
      </w:pPr>
    </w:p>
    <w:p w14:paraId="6D2D1F8F" w14:textId="3B98C3C4" w:rsidR="158ECF20" w:rsidRDefault="158ECF20" w:rsidP="06DA267F">
      <w:pPr>
        <w:rPr>
          <w:rFonts w:ascii="Aptos" w:eastAsia="Aptos" w:hAnsi="Aptos" w:cs="Aptos"/>
          <w:color w:val="000000" w:themeColor="text1"/>
        </w:rPr>
      </w:pPr>
      <w:r w:rsidRPr="06DA267F">
        <w:rPr>
          <w:rFonts w:ascii="Aptos" w:eastAsia="Aptos" w:hAnsi="Aptos" w:cs="Aptos"/>
          <w:color w:val="000000" w:themeColor="text1"/>
        </w:rPr>
        <w:t xml:space="preserve">CIPD (2024a) </w:t>
      </w:r>
      <w:r w:rsidRPr="06DA267F">
        <w:rPr>
          <w:rFonts w:ascii="Aptos" w:eastAsia="Aptos" w:hAnsi="Aptos" w:cs="Aptos"/>
          <w:i/>
          <w:iCs/>
          <w:color w:val="000000" w:themeColor="text1"/>
        </w:rPr>
        <w:t xml:space="preserve">CIPD Good Work Index Wales. </w:t>
      </w:r>
      <w:r w:rsidRPr="06DA267F">
        <w:rPr>
          <w:rFonts w:ascii="Aptos" w:eastAsia="Aptos" w:hAnsi="Aptos" w:cs="Aptos"/>
          <w:color w:val="000000" w:themeColor="text1"/>
        </w:rPr>
        <w:t xml:space="preserve">Available at: </w:t>
      </w:r>
    </w:p>
    <w:p w14:paraId="684C81C2" w14:textId="3D686CC6" w:rsidR="158ECF20" w:rsidRDefault="158ECF20" w:rsidP="06DA267F">
      <w:pPr>
        <w:rPr>
          <w:rFonts w:ascii="Aptos" w:eastAsia="Aptos" w:hAnsi="Aptos" w:cs="Aptos"/>
          <w:color w:val="000000" w:themeColor="text1"/>
        </w:rPr>
      </w:pPr>
      <w:hyperlink r:id="rId14">
        <w:r w:rsidRPr="06DA267F">
          <w:rPr>
            <w:rStyle w:val="Hyperlink"/>
            <w:rFonts w:ascii="Aptos" w:eastAsia="Aptos" w:hAnsi="Aptos" w:cs="Aptos"/>
          </w:rPr>
          <w:t>https://www.cipd.org/uk/knowledge/reports/goodwork/wales/</w:t>
        </w:r>
      </w:hyperlink>
      <w:r w:rsidRPr="06DA267F">
        <w:rPr>
          <w:rFonts w:ascii="Aptos" w:eastAsia="Aptos" w:hAnsi="Aptos" w:cs="Aptos"/>
          <w:color w:val="000000" w:themeColor="text1"/>
        </w:rPr>
        <w:t xml:space="preserve"> (Accessed: 22</w:t>
      </w:r>
      <w:r w:rsidRPr="06DA267F">
        <w:rPr>
          <w:rFonts w:ascii="Aptos" w:eastAsia="Aptos" w:hAnsi="Aptos" w:cs="Aptos"/>
          <w:color w:val="000000" w:themeColor="text1"/>
          <w:vertAlign w:val="superscript"/>
        </w:rPr>
        <w:t>nd</w:t>
      </w:r>
      <w:r w:rsidRPr="06DA267F">
        <w:rPr>
          <w:rFonts w:ascii="Aptos" w:eastAsia="Aptos" w:hAnsi="Aptos" w:cs="Aptos"/>
          <w:color w:val="000000" w:themeColor="text1"/>
        </w:rPr>
        <w:t xml:space="preserve"> October 2025)</w:t>
      </w:r>
    </w:p>
    <w:p w14:paraId="06FF7474" w14:textId="7849F321" w:rsidR="06DA267F" w:rsidRDefault="06DA267F" w:rsidP="06DA267F">
      <w:pPr>
        <w:rPr>
          <w:rFonts w:ascii="Aptos" w:eastAsia="Aptos" w:hAnsi="Aptos" w:cs="Aptos"/>
          <w:color w:val="000000" w:themeColor="text1"/>
        </w:rPr>
      </w:pPr>
    </w:p>
    <w:p w14:paraId="075FAC91" w14:textId="72A926C5" w:rsidR="158ECF20" w:rsidRDefault="158ECF20" w:rsidP="06DA267F">
      <w:pPr>
        <w:spacing w:line="276" w:lineRule="auto"/>
        <w:jc w:val="both"/>
        <w:rPr>
          <w:rFonts w:ascii="Aptos" w:eastAsia="Aptos" w:hAnsi="Aptos" w:cs="Aptos"/>
          <w:color w:val="000000" w:themeColor="text1"/>
        </w:rPr>
      </w:pPr>
      <w:r w:rsidRPr="06DA267F">
        <w:rPr>
          <w:rFonts w:ascii="Aptos" w:eastAsia="Aptos" w:hAnsi="Aptos" w:cs="Aptos"/>
          <w:color w:val="000000" w:themeColor="text1"/>
        </w:rPr>
        <w:t xml:space="preserve">CIPD (2024b) Wellbeing. Available at: </w:t>
      </w:r>
      <w:hyperlink r:id="rId15">
        <w:r w:rsidRPr="06DA267F">
          <w:rPr>
            <w:rStyle w:val="Hyperlink"/>
            <w:rFonts w:ascii="Aptos" w:eastAsia="Aptos" w:hAnsi="Aptos" w:cs="Aptos"/>
          </w:rPr>
          <w:t>https://www.cipd.org/uk/the-people-profession/the-profession-map/explore-the-profession-map/specialist-knowledge/wellbeing/</w:t>
        </w:r>
      </w:hyperlink>
      <w:r w:rsidRPr="06DA267F">
        <w:rPr>
          <w:rFonts w:ascii="Aptos" w:eastAsia="Aptos" w:hAnsi="Aptos" w:cs="Aptos"/>
          <w:color w:val="000000" w:themeColor="text1"/>
        </w:rPr>
        <w:t xml:space="preserve"> (Accessed, 12</w:t>
      </w:r>
      <w:r w:rsidRPr="06DA267F">
        <w:rPr>
          <w:rFonts w:ascii="Aptos" w:eastAsia="Aptos" w:hAnsi="Aptos" w:cs="Aptos"/>
          <w:color w:val="000000" w:themeColor="text1"/>
          <w:vertAlign w:val="superscript"/>
        </w:rPr>
        <w:t>th</w:t>
      </w:r>
      <w:r w:rsidRPr="06DA267F">
        <w:rPr>
          <w:rFonts w:ascii="Aptos" w:eastAsia="Aptos" w:hAnsi="Aptos" w:cs="Aptos"/>
          <w:color w:val="000000" w:themeColor="text1"/>
        </w:rPr>
        <w:t xml:space="preserve"> October 2025)</w:t>
      </w:r>
    </w:p>
    <w:p w14:paraId="2BE6E048" w14:textId="63C81332" w:rsidR="06DA267F" w:rsidRDefault="06DA267F" w:rsidP="06DA267F">
      <w:pPr>
        <w:spacing w:line="276" w:lineRule="auto"/>
        <w:jc w:val="both"/>
        <w:rPr>
          <w:rFonts w:ascii="Aptos" w:eastAsia="Aptos" w:hAnsi="Aptos" w:cs="Aptos"/>
          <w:color w:val="000000" w:themeColor="text1"/>
        </w:rPr>
      </w:pPr>
    </w:p>
    <w:p w14:paraId="65A2B9EE" w14:textId="34179FA6" w:rsidR="158ECF20" w:rsidRDefault="158ECF20" w:rsidP="06DA267F">
      <w:pPr>
        <w:spacing w:line="276" w:lineRule="auto"/>
        <w:jc w:val="both"/>
        <w:rPr>
          <w:rFonts w:ascii="Aptos" w:eastAsia="Aptos" w:hAnsi="Aptos" w:cs="Aptos"/>
          <w:color w:val="000000" w:themeColor="text1"/>
        </w:rPr>
      </w:pPr>
      <w:r w:rsidRPr="06DA267F">
        <w:rPr>
          <w:rFonts w:ascii="Aptos" w:eastAsia="Aptos" w:hAnsi="Aptos" w:cs="Aptos"/>
          <w:color w:val="000000" w:themeColor="text1"/>
        </w:rPr>
        <w:t xml:space="preserve">CIPD (2024c) </w:t>
      </w:r>
      <w:r w:rsidRPr="06DA267F">
        <w:rPr>
          <w:rFonts w:ascii="Aptos" w:eastAsia="Aptos" w:hAnsi="Aptos" w:cs="Aptos"/>
          <w:i/>
          <w:iCs/>
          <w:color w:val="000000" w:themeColor="text1"/>
        </w:rPr>
        <w:t>Inclusive recruitment: Guide for people professionals.</w:t>
      </w:r>
      <w:r w:rsidRPr="06DA267F">
        <w:rPr>
          <w:rFonts w:ascii="Aptos" w:eastAsia="Aptos" w:hAnsi="Aptos" w:cs="Aptos"/>
          <w:color w:val="000000" w:themeColor="text1"/>
        </w:rPr>
        <w:t xml:space="preserve"> Available at: </w:t>
      </w:r>
      <w:hyperlink r:id="rId16">
        <w:r w:rsidRPr="06DA267F">
          <w:rPr>
            <w:rStyle w:val="Hyperlink"/>
            <w:rFonts w:ascii="Aptos" w:eastAsia="Aptos" w:hAnsi="Aptos" w:cs="Aptos"/>
          </w:rPr>
          <w:t>https://www.cipd.org/uk/knowledge/guides/inclusive-employers/</w:t>
        </w:r>
      </w:hyperlink>
      <w:r w:rsidRPr="06DA267F">
        <w:rPr>
          <w:rFonts w:ascii="Aptos" w:eastAsia="Aptos" w:hAnsi="Aptos" w:cs="Aptos"/>
          <w:color w:val="000000" w:themeColor="text1"/>
        </w:rPr>
        <w:t xml:space="preserve"> (Accessed: 22</w:t>
      </w:r>
      <w:r w:rsidRPr="06DA267F">
        <w:rPr>
          <w:rFonts w:ascii="Aptos" w:eastAsia="Aptos" w:hAnsi="Aptos" w:cs="Aptos"/>
          <w:color w:val="000000" w:themeColor="text1"/>
          <w:vertAlign w:val="superscript"/>
        </w:rPr>
        <w:t>nd</w:t>
      </w:r>
      <w:r w:rsidRPr="06DA267F">
        <w:rPr>
          <w:rFonts w:ascii="Aptos" w:eastAsia="Aptos" w:hAnsi="Aptos" w:cs="Aptos"/>
          <w:color w:val="000000" w:themeColor="text1"/>
        </w:rPr>
        <w:t xml:space="preserve"> November 2025)</w:t>
      </w:r>
    </w:p>
    <w:p w14:paraId="74E55956" w14:textId="37DDBA76" w:rsidR="06DA267F" w:rsidRDefault="06DA267F" w:rsidP="06DA267F">
      <w:pPr>
        <w:spacing w:line="276" w:lineRule="auto"/>
        <w:jc w:val="both"/>
        <w:rPr>
          <w:rFonts w:ascii="Aptos" w:eastAsia="Aptos" w:hAnsi="Aptos" w:cs="Aptos"/>
          <w:color w:val="000000" w:themeColor="text1"/>
        </w:rPr>
      </w:pPr>
    </w:p>
    <w:p w14:paraId="1DD7141A" w14:textId="2BF1BD79" w:rsidR="158ECF20" w:rsidRDefault="158ECF20" w:rsidP="06DA267F">
      <w:pPr>
        <w:spacing w:line="278" w:lineRule="auto"/>
        <w:rPr>
          <w:rFonts w:ascii="Aptos" w:eastAsia="Aptos" w:hAnsi="Aptos" w:cs="Aptos"/>
          <w:color w:val="000000" w:themeColor="text1"/>
        </w:rPr>
      </w:pPr>
      <w:r w:rsidRPr="06DA267F">
        <w:rPr>
          <w:rFonts w:ascii="Aptos" w:eastAsia="Aptos" w:hAnsi="Aptos" w:cs="Aptos"/>
          <w:color w:val="000000" w:themeColor="text1"/>
        </w:rPr>
        <w:lastRenderedPageBreak/>
        <w:t xml:space="preserve">CIPD (2025a) </w:t>
      </w:r>
      <w:r w:rsidRPr="06DA267F">
        <w:rPr>
          <w:rFonts w:ascii="Aptos" w:eastAsia="Aptos" w:hAnsi="Aptos" w:cs="Aptos"/>
          <w:i/>
          <w:iCs/>
          <w:color w:val="000000" w:themeColor="text1"/>
        </w:rPr>
        <w:t>PESTLE Analysis</w:t>
      </w:r>
      <w:r w:rsidRPr="06DA267F">
        <w:rPr>
          <w:rFonts w:ascii="Aptos" w:eastAsia="Aptos" w:hAnsi="Aptos" w:cs="Aptos"/>
          <w:color w:val="000000" w:themeColor="text1"/>
        </w:rPr>
        <w:t xml:space="preserve">. Available at:  </w:t>
      </w:r>
      <w:hyperlink r:id="rId17">
        <w:r w:rsidRPr="06DA267F">
          <w:rPr>
            <w:rStyle w:val="Hyperlink"/>
            <w:rFonts w:ascii="Aptos" w:eastAsia="Aptos" w:hAnsi="Aptos" w:cs="Aptos"/>
          </w:rPr>
          <w:t>https://www.cipd.org/uk/knowledge/factsheets/pestle-analysis-factsheet?ref=michaelhr.com</w:t>
        </w:r>
      </w:hyperlink>
      <w:r w:rsidRPr="06DA267F">
        <w:rPr>
          <w:rFonts w:ascii="Aptos" w:eastAsia="Aptos" w:hAnsi="Aptos" w:cs="Aptos"/>
          <w:color w:val="000000" w:themeColor="text1"/>
        </w:rPr>
        <w:t xml:space="preserve">  (Accessed, 12</w:t>
      </w:r>
      <w:r w:rsidRPr="06DA267F">
        <w:rPr>
          <w:rFonts w:ascii="Aptos" w:eastAsia="Aptos" w:hAnsi="Aptos" w:cs="Aptos"/>
          <w:color w:val="000000" w:themeColor="text1"/>
          <w:vertAlign w:val="superscript"/>
        </w:rPr>
        <w:t>th</w:t>
      </w:r>
      <w:r w:rsidRPr="06DA267F">
        <w:rPr>
          <w:rFonts w:ascii="Aptos" w:eastAsia="Aptos" w:hAnsi="Aptos" w:cs="Aptos"/>
          <w:color w:val="000000" w:themeColor="text1"/>
        </w:rPr>
        <w:t xml:space="preserve"> October 2025)</w:t>
      </w:r>
    </w:p>
    <w:p w14:paraId="0579E038" w14:textId="39EA1FE7" w:rsidR="06DA267F" w:rsidRDefault="06DA267F" w:rsidP="06DA267F">
      <w:pPr>
        <w:spacing w:line="276" w:lineRule="auto"/>
        <w:jc w:val="both"/>
        <w:rPr>
          <w:rFonts w:ascii="Aptos" w:eastAsia="Aptos" w:hAnsi="Aptos" w:cs="Aptos"/>
          <w:color w:val="000000" w:themeColor="text1"/>
        </w:rPr>
      </w:pPr>
    </w:p>
    <w:p w14:paraId="2E614510" w14:textId="01489B78" w:rsidR="158ECF20" w:rsidRDefault="158ECF20" w:rsidP="06DA267F">
      <w:pPr>
        <w:spacing w:line="278" w:lineRule="auto"/>
        <w:rPr>
          <w:rFonts w:ascii="Aptos" w:eastAsia="Aptos" w:hAnsi="Aptos" w:cs="Aptos"/>
          <w:color w:val="000000" w:themeColor="text1"/>
        </w:rPr>
      </w:pPr>
      <w:r w:rsidRPr="06DA267F">
        <w:rPr>
          <w:rFonts w:ascii="Aptos" w:eastAsia="Aptos" w:hAnsi="Aptos" w:cs="Aptos"/>
          <w:color w:val="000000" w:themeColor="text1"/>
        </w:rPr>
        <w:t xml:space="preserve">CIPD (2025b) </w:t>
      </w:r>
      <w:r w:rsidRPr="06DA267F">
        <w:rPr>
          <w:rFonts w:ascii="Aptos" w:eastAsia="Aptos" w:hAnsi="Aptos" w:cs="Aptos"/>
          <w:i/>
          <w:iCs/>
          <w:color w:val="000000" w:themeColor="text1"/>
        </w:rPr>
        <w:t>SWOT Analysis</w:t>
      </w:r>
      <w:r w:rsidRPr="06DA267F">
        <w:rPr>
          <w:rFonts w:ascii="Aptos" w:eastAsia="Aptos" w:hAnsi="Aptos" w:cs="Aptos"/>
          <w:color w:val="000000" w:themeColor="text1"/>
        </w:rPr>
        <w:t xml:space="preserve">. Available at:  </w:t>
      </w:r>
      <w:hyperlink r:id="rId18">
        <w:r w:rsidRPr="06DA267F">
          <w:rPr>
            <w:rStyle w:val="Hyperlink"/>
            <w:rFonts w:ascii="Aptos" w:eastAsia="Aptos" w:hAnsi="Aptos" w:cs="Aptos"/>
          </w:rPr>
          <w:t>https://www.cipd.org/uk/knowledge/factsheets/swot-analysis-factsheet/</w:t>
        </w:r>
      </w:hyperlink>
      <w:r w:rsidRPr="06DA267F">
        <w:rPr>
          <w:rFonts w:ascii="Aptos" w:eastAsia="Aptos" w:hAnsi="Aptos" w:cs="Aptos"/>
          <w:color w:val="000000" w:themeColor="text1"/>
        </w:rPr>
        <w:t xml:space="preserve"> (Accessed, 12</w:t>
      </w:r>
      <w:r w:rsidRPr="06DA267F">
        <w:rPr>
          <w:rFonts w:ascii="Aptos" w:eastAsia="Aptos" w:hAnsi="Aptos" w:cs="Aptos"/>
          <w:color w:val="000000" w:themeColor="text1"/>
          <w:vertAlign w:val="superscript"/>
        </w:rPr>
        <w:t>th</w:t>
      </w:r>
      <w:r w:rsidRPr="06DA267F">
        <w:rPr>
          <w:rFonts w:ascii="Aptos" w:eastAsia="Aptos" w:hAnsi="Aptos" w:cs="Aptos"/>
          <w:color w:val="000000" w:themeColor="text1"/>
        </w:rPr>
        <w:t xml:space="preserve"> October 2025)</w:t>
      </w:r>
    </w:p>
    <w:p w14:paraId="62260A17" w14:textId="2F002298" w:rsidR="06DA267F" w:rsidRDefault="06DA267F" w:rsidP="06DA267F">
      <w:pPr>
        <w:spacing w:line="276" w:lineRule="auto"/>
        <w:jc w:val="both"/>
        <w:rPr>
          <w:rFonts w:ascii="Aptos" w:eastAsia="Aptos" w:hAnsi="Aptos" w:cs="Aptos"/>
          <w:color w:val="000000" w:themeColor="text1"/>
        </w:rPr>
      </w:pPr>
    </w:p>
    <w:p w14:paraId="3131D03D" w14:textId="3C307F98" w:rsidR="158ECF20" w:rsidRDefault="158ECF20" w:rsidP="06DA267F">
      <w:pPr>
        <w:rPr>
          <w:rFonts w:ascii="Aptos" w:eastAsia="Aptos" w:hAnsi="Aptos" w:cs="Aptos"/>
          <w:color w:val="000000" w:themeColor="text1"/>
        </w:rPr>
      </w:pPr>
      <w:r w:rsidRPr="06DA267F">
        <w:rPr>
          <w:rFonts w:ascii="Aptos" w:eastAsia="Aptos" w:hAnsi="Aptos" w:cs="Aptos"/>
          <w:color w:val="000000" w:themeColor="text1"/>
        </w:rPr>
        <w:t xml:space="preserve">CIPD (2025c) </w:t>
      </w:r>
      <w:r w:rsidRPr="06DA267F">
        <w:rPr>
          <w:rFonts w:ascii="Aptos" w:eastAsia="Aptos" w:hAnsi="Aptos" w:cs="Aptos"/>
          <w:i/>
          <w:iCs/>
          <w:color w:val="000000" w:themeColor="text1"/>
        </w:rPr>
        <w:t>Employee engagement and the evolving psychological contract</w:t>
      </w:r>
    </w:p>
    <w:p w14:paraId="72717B00" w14:textId="019678CF" w:rsidR="158ECF20" w:rsidRDefault="158ECF20" w:rsidP="06DA267F">
      <w:pPr>
        <w:rPr>
          <w:rFonts w:ascii="Aptos" w:eastAsia="Aptos" w:hAnsi="Aptos" w:cs="Aptos"/>
          <w:color w:val="000000" w:themeColor="text1"/>
        </w:rPr>
      </w:pPr>
      <w:r w:rsidRPr="06DA267F">
        <w:rPr>
          <w:rFonts w:ascii="Aptos" w:eastAsia="Aptos" w:hAnsi="Aptos" w:cs="Aptos"/>
          <w:color w:val="000000" w:themeColor="text1"/>
        </w:rPr>
        <w:t xml:space="preserve">Available at: </w:t>
      </w:r>
    </w:p>
    <w:p w14:paraId="5A2019B2" w14:textId="1D4BE219" w:rsidR="158ECF20" w:rsidRDefault="158ECF20" w:rsidP="06DA267F">
      <w:pPr>
        <w:rPr>
          <w:rFonts w:ascii="Aptos" w:eastAsia="Aptos" w:hAnsi="Aptos" w:cs="Aptos"/>
          <w:color w:val="000000" w:themeColor="text1"/>
        </w:rPr>
      </w:pPr>
      <w:hyperlink r:id="rId19">
        <w:r w:rsidRPr="06DA267F">
          <w:rPr>
            <w:rStyle w:val="Hyperlink"/>
            <w:rFonts w:ascii="Aptos" w:eastAsia="Aptos" w:hAnsi="Aptos" w:cs="Aptos"/>
          </w:rPr>
          <w:t>https://www.cipd.org/uk/knowledge/podcasts/employee-engagement-and-the-evolving-psychological-contract/</w:t>
        </w:r>
      </w:hyperlink>
      <w:r w:rsidRPr="06DA267F">
        <w:rPr>
          <w:rFonts w:ascii="Aptos" w:eastAsia="Aptos" w:hAnsi="Aptos" w:cs="Aptos"/>
          <w:color w:val="000000" w:themeColor="text1"/>
        </w:rPr>
        <w:t xml:space="preserve">  (Accessed: 22</w:t>
      </w:r>
      <w:r w:rsidRPr="06DA267F">
        <w:rPr>
          <w:rFonts w:ascii="Aptos" w:eastAsia="Aptos" w:hAnsi="Aptos" w:cs="Aptos"/>
          <w:color w:val="000000" w:themeColor="text1"/>
          <w:vertAlign w:val="superscript"/>
        </w:rPr>
        <w:t>nd</w:t>
      </w:r>
      <w:r w:rsidRPr="06DA267F">
        <w:rPr>
          <w:rFonts w:ascii="Aptos" w:eastAsia="Aptos" w:hAnsi="Aptos" w:cs="Aptos"/>
          <w:color w:val="000000" w:themeColor="text1"/>
        </w:rPr>
        <w:t xml:space="preserve"> November 2025)</w:t>
      </w:r>
    </w:p>
    <w:p w14:paraId="408F0231" w14:textId="5729184B" w:rsidR="06DA267F" w:rsidRDefault="06DA267F" w:rsidP="06DA267F">
      <w:pPr>
        <w:rPr>
          <w:rFonts w:ascii="Aptos" w:eastAsia="Aptos" w:hAnsi="Aptos" w:cs="Aptos"/>
          <w:color w:val="000000" w:themeColor="text1"/>
        </w:rPr>
      </w:pPr>
    </w:p>
    <w:p w14:paraId="2FFA5555" w14:textId="30C9B792" w:rsidR="158ECF20" w:rsidRDefault="158ECF20" w:rsidP="06DA267F">
      <w:pPr>
        <w:rPr>
          <w:rFonts w:ascii="Aptos" w:eastAsia="Aptos" w:hAnsi="Aptos" w:cs="Aptos"/>
          <w:color w:val="000000" w:themeColor="text1"/>
        </w:rPr>
      </w:pPr>
      <w:r w:rsidRPr="06DA267F">
        <w:rPr>
          <w:rFonts w:ascii="Aptos" w:eastAsia="Aptos" w:hAnsi="Aptos" w:cs="Aptos"/>
          <w:color w:val="000000" w:themeColor="text1"/>
        </w:rPr>
        <w:t xml:space="preserve">CIPD (2025d) </w:t>
      </w:r>
      <w:r w:rsidRPr="06DA267F">
        <w:rPr>
          <w:rFonts w:ascii="Aptos" w:eastAsia="Aptos" w:hAnsi="Aptos" w:cs="Aptos"/>
          <w:i/>
          <w:iCs/>
          <w:color w:val="000000" w:themeColor="text1"/>
        </w:rPr>
        <w:t>Strategic reward and total reward.</w:t>
      </w:r>
      <w:r w:rsidRPr="06DA267F">
        <w:rPr>
          <w:rFonts w:ascii="Aptos" w:eastAsia="Aptos" w:hAnsi="Aptos" w:cs="Aptos"/>
          <w:color w:val="000000" w:themeColor="text1"/>
        </w:rPr>
        <w:t xml:space="preserve"> Available at: </w:t>
      </w:r>
      <w:hyperlink r:id="rId20">
        <w:r w:rsidRPr="06DA267F">
          <w:rPr>
            <w:rStyle w:val="Hyperlink"/>
            <w:rFonts w:ascii="Aptos" w:eastAsia="Aptos" w:hAnsi="Aptos" w:cs="Aptos"/>
          </w:rPr>
          <w:t>https://www.cipd.org/uk/knowledge/factsheets/strategic-total-factsheet/</w:t>
        </w:r>
      </w:hyperlink>
      <w:r w:rsidRPr="06DA267F">
        <w:rPr>
          <w:rFonts w:ascii="Aptos" w:eastAsia="Aptos" w:hAnsi="Aptos" w:cs="Aptos"/>
          <w:color w:val="000000" w:themeColor="text1"/>
        </w:rPr>
        <w:t xml:space="preserve"> (Accessed: 22</w:t>
      </w:r>
      <w:r w:rsidRPr="06DA267F">
        <w:rPr>
          <w:rFonts w:ascii="Aptos" w:eastAsia="Aptos" w:hAnsi="Aptos" w:cs="Aptos"/>
          <w:color w:val="000000" w:themeColor="text1"/>
          <w:vertAlign w:val="superscript"/>
        </w:rPr>
        <w:t>nd</w:t>
      </w:r>
      <w:r w:rsidRPr="06DA267F">
        <w:rPr>
          <w:rFonts w:ascii="Aptos" w:eastAsia="Aptos" w:hAnsi="Aptos" w:cs="Aptos"/>
          <w:color w:val="000000" w:themeColor="text1"/>
        </w:rPr>
        <w:t xml:space="preserve"> November 2025)</w:t>
      </w:r>
    </w:p>
    <w:p w14:paraId="438D10AA" w14:textId="46286E5D" w:rsidR="06DA267F" w:rsidRDefault="06DA267F" w:rsidP="06DA267F">
      <w:pPr>
        <w:rPr>
          <w:rFonts w:ascii="Aptos" w:eastAsia="Aptos" w:hAnsi="Aptos" w:cs="Aptos"/>
          <w:color w:val="000000" w:themeColor="text1"/>
        </w:rPr>
      </w:pPr>
    </w:p>
    <w:p w14:paraId="406B9F60" w14:textId="27BC2B02" w:rsidR="158ECF20" w:rsidRDefault="158ECF20" w:rsidP="06DA267F">
      <w:pPr>
        <w:spacing w:line="276" w:lineRule="auto"/>
        <w:jc w:val="both"/>
        <w:rPr>
          <w:rFonts w:ascii="Aptos" w:eastAsia="Aptos" w:hAnsi="Aptos" w:cs="Aptos"/>
          <w:color w:val="000000" w:themeColor="text1"/>
        </w:rPr>
      </w:pPr>
      <w:r w:rsidRPr="06DA267F">
        <w:rPr>
          <w:rFonts w:ascii="Aptos" w:eastAsia="Aptos" w:hAnsi="Aptos" w:cs="Aptos"/>
          <w:color w:val="000000" w:themeColor="text1"/>
        </w:rPr>
        <w:t xml:space="preserve">Cotton, C. (2019) </w:t>
      </w:r>
      <w:r w:rsidRPr="06DA267F">
        <w:rPr>
          <w:rFonts w:ascii="Aptos" w:eastAsia="Aptos" w:hAnsi="Aptos" w:cs="Aptos"/>
          <w:i/>
          <w:iCs/>
          <w:color w:val="000000" w:themeColor="text1"/>
        </w:rPr>
        <w:t>Finding the balance in your reward package</w:t>
      </w:r>
      <w:r w:rsidRPr="06DA267F">
        <w:rPr>
          <w:rFonts w:ascii="Aptos" w:eastAsia="Aptos" w:hAnsi="Aptos" w:cs="Aptos"/>
          <w:color w:val="000000" w:themeColor="text1"/>
        </w:rPr>
        <w:t xml:space="preserve">. Available at: </w:t>
      </w:r>
      <w:hyperlink r:id="rId21">
        <w:r w:rsidRPr="06DA267F">
          <w:rPr>
            <w:rStyle w:val="Hyperlink"/>
            <w:rFonts w:ascii="Aptos" w:eastAsia="Aptos" w:hAnsi="Aptos" w:cs="Aptos"/>
          </w:rPr>
          <w:t>https://www.cipd.org/uk/knowledge/bitesize-research/balance-reward-package/</w:t>
        </w:r>
      </w:hyperlink>
      <w:r w:rsidRPr="06DA267F">
        <w:rPr>
          <w:rFonts w:ascii="Aptos" w:eastAsia="Aptos" w:hAnsi="Aptos" w:cs="Aptos"/>
          <w:color w:val="000000" w:themeColor="text1"/>
        </w:rPr>
        <w:t xml:space="preserve"> (Accessed: 26th November 2025)</w:t>
      </w:r>
    </w:p>
    <w:p w14:paraId="4BADFD18" w14:textId="4AF54EA2" w:rsidR="06DA267F" w:rsidRDefault="06DA267F" w:rsidP="06DA267F">
      <w:pPr>
        <w:spacing w:line="276" w:lineRule="auto"/>
        <w:jc w:val="both"/>
        <w:rPr>
          <w:rFonts w:ascii="Aptos" w:eastAsia="Aptos" w:hAnsi="Aptos" w:cs="Aptos"/>
          <w:color w:val="000000" w:themeColor="text1"/>
        </w:rPr>
      </w:pPr>
    </w:p>
    <w:p w14:paraId="592A9D42" w14:textId="53FE556F" w:rsidR="158ECF20" w:rsidRDefault="158ECF20" w:rsidP="06DA267F">
      <w:pPr>
        <w:spacing w:line="278" w:lineRule="auto"/>
        <w:jc w:val="both"/>
        <w:rPr>
          <w:rFonts w:ascii="Aptos" w:eastAsia="Aptos" w:hAnsi="Aptos" w:cs="Aptos"/>
          <w:color w:val="000000" w:themeColor="text1"/>
        </w:rPr>
      </w:pPr>
      <w:r w:rsidRPr="06DA267F">
        <w:rPr>
          <w:rFonts w:ascii="Aptos" w:eastAsia="Aptos" w:hAnsi="Aptos" w:cs="Aptos"/>
          <w:color w:val="000000" w:themeColor="text1"/>
        </w:rPr>
        <w:t xml:space="preserve">Dr Amy Lloyd (2022) </w:t>
      </w:r>
      <w:r w:rsidRPr="06DA267F">
        <w:rPr>
          <w:rFonts w:ascii="Aptos" w:eastAsia="Aptos" w:hAnsi="Aptos" w:cs="Aptos"/>
          <w:i/>
          <w:iCs/>
          <w:color w:val="000000" w:themeColor="text1"/>
        </w:rPr>
        <w:t>Social care workforce crisis in Wales: what is causing it and what is being done to fix it?</w:t>
      </w:r>
      <w:r w:rsidRPr="06DA267F">
        <w:rPr>
          <w:rFonts w:ascii="Aptos" w:eastAsia="Aptos" w:hAnsi="Aptos" w:cs="Aptos"/>
          <w:color w:val="000000" w:themeColor="text1"/>
        </w:rPr>
        <w:t xml:space="preserve"> Available at: </w:t>
      </w:r>
      <w:hyperlink r:id="rId22">
        <w:r w:rsidRPr="06DA267F">
          <w:rPr>
            <w:rStyle w:val="Hyperlink"/>
            <w:rFonts w:ascii="Aptos" w:eastAsia="Aptos" w:hAnsi="Aptos" w:cs="Aptos"/>
          </w:rPr>
          <w:t>https://wcpp.org.uk/commentary/social-care-workforce-crisis-in-wales-what-is-causing-it-and-what-is-being-done-to-fix-it/</w:t>
        </w:r>
      </w:hyperlink>
      <w:r w:rsidRPr="06DA267F">
        <w:rPr>
          <w:rFonts w:ascii="Aptos" w:eastAsia="Aptos" w:hAnsi="Aptos" w:cs="Aptos"/>
          <w:color w:val="000000" w:themeColor="text1"/>
        </w:rPr>
        <w:t xml:space="preserve"> (Accessed, 14</w:t>
      </w:r>
      <w:r w:rsidRPr="06DA267F">
        <w:rPr>
          <w:rFonts w:ascii="Aptos" w:eastAsia="Aptos" w:hAnsi="Aptos" w:cs="Aptos"/>
          <w:color w:val="000000" w:themeColor="text1"/>
          <w:vertAlign w:val="superscript"/>
        </w:rPr>
        <w:t>th</w:t>
      </w:r>
      <w:r w:rsidRPr="06DA267F">
        <w:rPr>
          <w:rFonts w:ascii="Aptos" w:eastAsia="Aptos" w:hAnsi="Aptos" w:cs="Aptos"/>
          <w:color w:val="000000" w:themeColor="text1"/>
        </w:rPr>
        <w:t xml:space="preserve"> October 2025)</w:t>
      </w:r>
    </w:p>
    <w:p w14:paraId="4BB9049A" w14:textId="2DF1205E" w:rsidR="06DA267F" w:rsidRDefault="06DA267F" w:rsidP="06DA267F">
      <w:pPr>
        <w:spacing w:line="276" w:lineRule="auto"/>
        <w:jc w:val="both"/>
        <w:rPr>
          <w:rFonts w:ascii="Aptos" w:eastAsia="Aptos" w:hAnsi="Aptos" w:cs="Aptos"/>
          <w:color w:val="000000" w:themeColor="text1"/>
        </w:rPr>
      </w:pPr>
    </w:p>
    <w:p w14:paraId="73D58DC1" w14:textId="306B4CAF" w:rsidR="158ECF20" w:rsidRDefault="158ECF20" w:rsidP="06DA267F">
      <w:pPr>
        <w:rPr>
          <w:rFonts w:ascii="Aptos" w:eastAsia="Aptos" w:hAnsi="Aptos" w:cs="Aptos"/>
          <w:color w:val="000000" w:themeColor="text1"/>
        </w:rPr>
      </w:pPr>
      <w:r w:rsidRPr="06DA267F">
        <w:rPr>
          <w:rFonts w:ascii="Aptos" w:eastAsia="Aptos" w:hAnsi="Aptos" w:cs="Aptos"/>
          <w:color w:val="000000" w:themeColor="text1"/>
        </w:rPr>
        <w:t xml:space="preserve">Handy, C. B. (2020) </w:t>
      </w:r>
      <w:r w:rsidRPr="06DA267F">
        <w:rPr>
          <w:rFonts w:ascii="Aptos" w:eastAsia="Aptos" w:hAnsi="Aptos" w:cs="Aptos"/>
          <w:i/>
          <w:iCs/>
          <w:color w:val="000000" w:themeColor="text1"/>
        </w:rPr>
        <w:t>Gods of management - The four cultures of leadership</w:t>
      </w:r>
      <w:r w:rsidRPr="06DA267F">
        <w:rPr>
          <w:rFonts w:ascii="Aptos" w:eastAsia="Aptos" w:hAnsi="Aptos" w:cs="Aptos"/>
          <w:color w:val="000000" w:themeColor="text1"/>
        </w:rPr>
        <w:t>. London: Profile Books LTD</w:t>
      </w:r>
    </w:p>
    <w:p w14:paraId="09FDF718" w14:textId="2C093496" w:rsidR="06DA267F" w:rsidRDefault="06DA267F" w:rsidP="06DA267F">
      <w:pPr>
        <w:spacing w:line="276" w:lineRule="auto"/>
        <w:jc w:val="both"/>
        <w:rPr>
          <w:rFonts w:ascii="Aptos" w:eastAsia="Aptos" w:hAnsi="Aptos" w:cs="Aptos"/>
          <w:color w:val="000000" w:themeColor="text1"/>
        </w:rPr>
      </w:pPr>
    </w:p>
    <w:p w14:paraId="12DE4215" w14:textId="07146423" w:rsidR="158ECF20" w:rsidRDefault="158ECF20" w:rsidP="06DA267F">
      <w:pPr>
        <w:rPr>
          <w:rFonts w:ascii="Aptos" w:eastAsia="Aptos" w:hAnsi="Aptos" w:cs="Aptos"/>
          <w:color w:val="000000" w:themeColor="text1"/>
        </w:rPr>
      </w:pPr>
      <w:r w:rsidRPr="06DA267F">
        <w:rPr>
          <w:rFonts w:ascii="Aptos" w:eastAsia="Aptos" w:hAnsi="Aptos" w:cs="Aptos"/>
          <w:color w:val="000000" w:themeColor="text1"/>
        </w:rPr>
        <w:t xml:space="preserve">Hiatt, J. M. (2006) </w:t>
      </w:r>
      <w:r w:rsidRPr="06DA267F">
        <w:rPr>
          <w:rFonts w:ascii="Aptos" w:eastAsia="Aptos" w:hAnsi="Aptos" w:cs="Aptos"/>
          <w:i/>
          <w:iCs/>
          <w:color w:val="000000" w:themeColor="text1"/>
        </w:rPr>
        <w:t xml:space="preserve">ADKAR: A Model for Change in Business, Government and Our Community. How to Implement Successful Change in Our Personal Lives and Professional Careers. </w:t>
      </w:r>
      <w:r w:rsidRPr="06DA267F">
        <w:rPr>
          <w:rFonts w:ascii="Aptos" w:eastAsia="Aptos" w:hAnsi="Aptos" w:cs="Aptos"/>
          <w:color w:val="000000" w:themeColor="text1"/>
        </w:rPr>
        <w:t xml:space="preserve">United States: </w:t>
      </w:r>
      <w:proofErr w:type="spellStart"/>
      <w:r w:rsidRPr="06DA267F">
        <w:rPr>
          <w:rFonts w:ascii="Aptos" w:eastAsia="Aptos" w:hAnsi="Aptos" w:cs="Aptos"/>
          <w:color w:val="000000" w:themeColor="text1"/>
        </w:rPr>
        <w:t>Prosci</w:t>
      </w:r>
      <w:proofErr w:type="spellEnd"/>
      <w:r w:rsidRPr="06DA267F">
        <w:rPr>
          <w:rFonts w:ascii="Aptos" w:eastAsia="Aptos" w:hAnsi="Aptos" w:cs="Aptos"/>
          <w:color w:val="000000" w:themeColor="text1"/>
        </w:rPr>
        <w:t xml:space="preserve"> Learning </w:t>
      </w:r>
      <w:proofErr w:type="spellStart"/>
      <w:r w:rsidRPr="06DA267F">
        <w:rPr>
          <w:rFonts w:ascii="Aptos" w:eastAsia="Aptos" w:hAnsi="Aptos" w:cs="Aptos"/>
          <w:color w:val="000000" w:themeColor="text1"/>
        </w:rPr>
        <w:t>Center</w:t>
      </w:r>
      <w:proofErr w:type="spellEnd"/>
      <w:r w:rsidRPr="06DA267F">
        <w:rPr>
          <w:rFonts w:ascii="Aptos" w:eastAsia="Aptos" w:hAnsi="Aptos" w:cs="Aptos"/>
          <w:color w:val="000000" w:themeColor="text1"/>
        </w:rPr>
        <w:t xml:space="preserve"> Publications</w:t>
      </w:r>
    </w:p>
    <w:p w14:paraId="78CAB9B9" w14:textId="0787FB6E" w:rsidR="06DA267F" w:rsidRDefault="06DA267F" w:rsidP="06DA267F">
      <w:pPr>
        <w:spacing w:line="276" w:lineRule="auto"/>
        <w:jc w:val="both"/>
        <w:rPr>
          <w:rFonts w:ascii="Aptos" w:eastAsia="Aptos" w:hAnsi="Aptos" w:cs="Aptos"/>
          <w:color w:val="000000" w:themeColor="text1"/>
        </w:rPr>
      </w:pPr>
    </w:p>
    <w:p w14:paraId="7B53C2DF" w14:textId="3FCEB70F" w:rsidR="158ECF20" w:rsidRDefault="158ECF20" w:rsidP="06DA267F">
      <w:pPr>
        <w:rPr>
          <w:rFonts w:ascii="Aptos" w:eastAsia="Aptos" w:hAnsi="Aptos" w:cs="Aptos"/>
          <w:color w:val="000000" w:themeColor="text1"/>
        </w:rPr>
      </w:pPr>
      <w:r w:rsidRPr="06DA267F">
        <w:rPr>
          <w:rFonts w:ascii="Aptos" w:eastAsia="Aptos" w:hAnsi="Aptos" w:cs="Aptos"/>
          <w:color w:val="000000" w:themeColor="text1"/>
        </w:rPr>
        <w:lastRenderedPageBreak/>
        <w:t>Horn, R. (2009) The business skills handbook. CIPD: Kogan Page</w:t>
      </w:r>
    </w:p>
    <w:p w14:paraId="28C52EDF" w14:textId="0FEC638F" w:rsidR="06DA267F" w:rsidRDefault="06DA267F" w:rsidP="06DA267F">
      <w:pPr>
        <w:spacing w:line="276" w:lineRule="auto"/>
        <w:jc w:val="both"/>
        <w:rPr>
          <w:rFonts w:ascii="Aptos" w:eastAsia="Aptos" w:hAnsi="Aptos" w:cs="Aptos"/>
          <w:color w:val="000000" w:themeColor="text1"/>
        </w:rPr>
      </w:pPr>
    </w:p>
    <w:p w14:paraId="09E65EB0" w14:textId="3A313250" w:rsidR="158ECF20" w:rsidRDefault="158ECF20" w:rsidP="06DA267F">
      <w:pPr>
        <w:spacing w:before="240" w:after="240"/>
        <w:rPr>
          <w:rFonts w:ascii="Aptos" w:eastAsia="Aptos" w:hAnsi="Aptos" w:cs="Aptos"/>
          <w:color w:val="000000" w:themeColor="text1"/>
        </w:rPr>
      </w:pPr>
      <w:r w:rsidRPr="06DA267F">
        <w:rPr>
          <w:rFonts w:ascii="Aptos" w:eastAsia="Aptos" w:hAnsi="Aptos" w:cs="Aptos"/>
          <w:color w:val="000000" w:themeColor="text1"/>
        </w:rPr>
        <w:t xml:space="preserve">Kotter, J. P. (2024) 8 Steps to Accelerate Change in Your Organization. Available at: </w:t>
      </w:r>
      <w:hyperlink r:id="rId23">
        <w:r w:rsidRPr="06DA267F">
          <w:rPr>
            <w:rStyle w:val="Hyperlink"/>
            <w:rFonts w:ascii="Aptos" w:eastAsia="Aptos" w:hAnsi="Aptos" w:cs="Aptos"/>
          </w:rPr>
          <w:t>https://www.kotterinc.com/wp-content/uploads/2024/06/8-Steps-eBook_2024-Update2.pdf?utm_campaign=Marketing_8%20Steps%20eBook%20Download&amp;utm_source=email&amp;utm_content=Thank%20You</w:t>
        </w:r>
      </w:hyperlink>
      <w:r w:rsidRPr="06DA267F">
        <w:rPr>
          <w:rFonts w:ascii="Aptos" w:eastAsia="Aptos" w:hAnsi="Aptos" w:cs="Aptos"/>
          <w:color w:val="000000" w:themeColor="text1"/>
        </w:rPr>
        <w:t xml:space="preserve"> (Accessed, 18</w:t>
      </w:r>
      <w:r w:rsidRPr="06DA267F">
        <w:rPr>
          <w:rFonts w:ascii="Aptos" w:eastAsia="Aptos" w:hAnsi="Aptos" w:cs="Aptos"/>
          <w:color w:val="000000" w:themeColor="text1"/>
          <w:vertAlign w:val="superscript"/>
        </w:rPr>
        <w:t>th</w:t>
      </w:r>
      <w:r w:rsidRPr="06DA267F">
        <w:rPr>
          <w:rFonts w:ascii="Aptos" w:eastAsia="Aptos" w:hAnsi="Aptos" w:cs="Aptos"/>
          <w:color w:val="000000" w:themeColor="text1"/>
        </w:rPr>
        <w:t xml:space="preserve"> November 2025)</w:t>
      </w:r>
    </w:p>
    <w:p w14:paraId="0A1134C7" w14:textId="3401E79A" w:rsidR="06DA267F" w:rsidRDefault="06DA267F" w:rsidP="06DA267F">
      <w:pPr>
        <w:spacing w:line="276" w:lineRule="auto"/>
        <w:jc w:val="both"/>
        <w:rPr>
          <w:rFonts w:ascii="Aptos" w:eastAsia="Aptos" w:hAnsi="Aptos" w:cs="Aptos"/>
          <w:color w:val="000000" w:themeColor="text1"/>
        </w:rPr>
      </w:pPr>
    </w:p>
    <w:p w14:paraId="55C77BA4" w14:textId="58E4746B" w:rsidR="158ECF20" w:rsidRDefault="158ECF20" w:rsidP="06DA267F">
      <w:pPr>
        <w:spacing w:line="278" w:lineRule="auto"/>
        <w:rPr>
          <w:rFonts w:ascii="Aptos" w:eastAsia="Aptos" w:hAnsi="Aptos" w:cs="Aptos"/>
          <w:color w:val="000000" w:themeColor="text1"/>
        </w:rPr>
      </w:pPr>
      <w:r w:rsidRPr="06DA267F">
        <w:rPr>
          <w:rFonts w:ascii="Aptos" w:eastAsia="Aptos" w:hAnsi="Aptos" w:cs="Aptos"/>
          <w:color w:val="000000" w:themeColor="text1"/>
        </w:rPr>
        <w:t xml:space="preserve">Marchington, M., Wilkinson, A., Donnelly, R. and </w:t>
      </w:r>
      <w:proofErr w:type="spellStart"/>
      <w:r w:rsidRPr="06DA267F">
        <w:rPr>
          <w:rFonts w:ascii="Aptos" w:eastAsia="Aptos" w:hAnsi="Aptos" w:cs="Aptos"/>
          <w:color w:val="000000" w:themeColor="text1"/>
        </w:rPr>
        <w:t>Kynighou</w:t>
      </w:r>
      <w:proofErr w:type="spellEnd"/>
      <w:r w:rsidRPr="06DA267F">
        <w:rPr>
          <w:rFonts w:ascii="Aptos" w:eastAsia="Aptos" w:hAnsi="Aptos" w:cs="Aptos"/>
          <w:color w:val="000000" w:themeColor="text1"/>
        </w:rPr>
        <w:t xml:space="preserve">, A. (2025) </w:t>
      </w:r>
      <w:r w:rsidRPr="06DA267F">
        <w:rPr>
          <w:rFonts w:ascii="Aptos" w:eastAsia="Aptos" w:hAnsi="Aptos" w:cs="Aptos"/>
          <w:i/>
          <w:iCs/>
          <w:color w:val="000000" w:themeColor="text1"/>
        </w:rPr>
        <w:t>Human Resource Management at Work</w:t>
      </w:r>
      <w:r w:rsidRPr="06DA267F">
        <w:rPr>
          <w:rFonts w:ascii="Aptos" w:eastAsia="Aptos" w:hAnsi="Aptos" w:cs="Aptos"/>
          <w:color w:val="000000" w:themeColor="text1"/>
        </w:rPr>
        <w:t>. 8</w:t>
      </w:r>
      <w:r w:rsidRPr="06DA267F">
        <w:rPr>
          <w:rFonts w:ascii="Aptos" w:eastAsia="Aptos" w:hAnsi="Aptos" w:cs="Aptos"/>
          <w:color w:val="000000" w:themeColor="text1"/>
          <w:vertAlign w:val="superscript"/>
        </w:rPr>
        <w:t>th</w:t>
      </w:r>
      <w:r w:rsidRPr="06DA267F">
        <w:rPr>
          <w:rFonts w:ascii="Aptos" w:eastAsia="Aptos" w:hAnsi="Aptos" w:cs="Aptos"/>
          <w:color w:val="000000" w:themeColor="text1"/>
        </w:rPr>
        <w:t xml:space="preserve"> </w:t>
      </w:r>
      <w:proofErr w:type="spellStart"/>
      <w:r w:rsidRPr="06DA267F">
        <w:rPr>
          <w:rFonts w:ascii="Aptos" w:eastAsia="Aptos" w:hAnsi="Aptos" w:cs="Aptos"/>
          <w:color w:val="000000" w:themeColor="text1"/>
        </w:rPr>
        <w:t>edn</w:t>
      </w:r>
      <w:proofErr w:type="spellEnd"/>
      <w:r w:rsidRPr="06DA267F">
        <w:rPr>
          <w:rFonts w:ascii="Aptos" w:eastAsia="Aptos" w:hAnsi="Aptos" w:cs="Aptos"/>
          <w:color w:val="000000" w:themeColor="text1"/>
        </w:rPr>
        <w:t>. CIPD</w:t>
      </w:r>
    </w:p>
    <w:p w14:paraId="48C556F9" w14:textId="25307CE0" w:rsidR="06DA267F" w:rsidRDefault="06DA267F" w:rsidP="06DA267F">
      <w:pPr>
        <w:rPr>
          <w:rFonts w:ascii="Aptos" w:eastAsia="Aptos" w:hAnsi="Aptos" w:cs="Aptos"/>
          <w:color w:val="000000" w:themeColor="text1"/>
        </w:rPr>
      </w:pPr>
    </w:p>
    <w:p w14:paraId="0DB7D17D" w14:textId="39A9B31B" w:rsidR="158ECF20" w:rsidRDefault="158ECF20" w:rsidP="06DA267F">
      <w:pPr>
        <w:spacing w:line="278" w:lineRule="auto"/>
        <w:jc w:val="both"/>
        <w:rPr>
          <w:rFonts w:ascii="Aptos" w:eastAsia="Aptos" w:hAnsi="Aptos" w:cs="Aptos"/>
          <w:color w:val="000000" w:themeColor="text1"/>
        </w:rPr>
      </w:pPr>
      <w:r w:rsidRPr="06DA267F">
        <w:rPr>
          <w:rFonts w:ascii="Aptos" w:eastAsia="Aptos" w:hAnsi="Aptos" w:cs="Aptos"/>
          <w:color w:val="000000" w:themeColor="text1"/>
        </w:rPr>
        <w:t xml:space="preserve">NHS England (2023) </w:t>
      </w:r>
      <w:r w:rsidRPr="06DA267F">
        <w:rPr>
          <w:rFonts w:ascii="Aptos" w:eastAsia="Aptos" w:hAnsi="Aptos" w:cs="Aptos"/>
          <w:i/>
          <w:iCs/>
          <w:color w:val="000000" w:themeColor="text1"/>
        </w:rPr>
        <w:t>NHS Long Term Workforce Plan</w:t>
      </w:r>
      <w:r w:rsidRPr="06DA267F">
        <w:rPr>
          <w:rFonts w:ascii="Aptos" w:eastAsia="Aptos" w:hAnsi="Aptos" w:cs="Aptos"/>
          <w:color w:val="000000" w:themeColor="text1"/>
        </w:rPr>
        <w:t xml:space="preserve">. Available at: </w:t>
      </w:r>
      <w:hyperlink r:id="rId24">
        <w:r w:rsidRPr="06DA267F">
          <w:rPr>
            <w:rStyle w:val="Hyperlink"/>
            <w:rFonts w:ascii="Aptos" w:eastAsia="Aptos" w:hAnsi="Aptos" w:cs="Aptos"/>
          </w:rPr>
          <w:t>https://www.england.nhs.uk/wp-content/uploads/2023/06/nhs-long-term-workforce-plan-v1.2.pdf</w:t>
        </w:r>
      </w:hyperlink>
      <w:r w:rsidRPr="06DA267F">
        <w:rPr>
          <w:rFonts w:ascii="Aptos" w:eastAsia="Aptos" w:hAnsi="Aptos" w:cs="Aptos"/>
          <w:color w:val="000000" w:themeColor="text1"/>
        </w:rPr>
        <w:t xml:space="preserve">  (Accessed, 15</w:t>
      </w:r>
      <w:r w:rsidRPr="06DA267F">
        <w:rPr>
          <w:rFonts w:ascii="Aptos" w:eastAsia="Aptos" w:hAnsi="Aptos" w:cs="Aptos"/>
          <w:color w:val="000000" w:themeColor="text1"/>
          <w:vertAlign w:val="superscript"/>
        </w:rPr>
        <w:t>th</w:t>
      </w:r>
      <w:r w:rsidRPr="06DA267F">
        <w:rPr>
          <w:rFonts w:ascii="Aptos" w:eastAsia="Aptos" w:hAnsi="Aptos" w:cs="Aptos"/>
          <w:color w:val="000000" w:themeColor="text1"/>
        </w:rPr>
        <w:t xml:space="preserve"> October 2025)</w:t>
      </w:r>
    </w:p>
    <w:p w14:paraId="0AAA3D86" w14:textId="21A90F8D" w:rsidR="06DA267F" w:rsidRDefault="06DA267F" w:rsidP="06DA267F">
      <w:pPr>
        <w:rPr>
          <w:rFonts w:ascii="Aptos" w:eastAsia="Aptos" w:hAnsi="Aptos" w:cs="Aptos"/>
          <w:color w:val="000000" w:themeColor="text1"/>
        </w:rPr>
      </w:pPr>
    </w:p>
    <w:p w14:paraId="5D3DBF56" w14:textId="73088D56" w:rsidR="158ECF20" w:rsidRDefault="158ECF20" w:rsidP="06DA267F">
      <w:pPr>
        <w:spacing w:line="278" w:lineRule="auto"/>
        <w:jc w:val="both"/>
        <w:rPr>
          <w:rFonts w:ascii="Aptos" w:eastAsia="Aptos" w:hAnsi="Aptos" w:cs="Aptos"/>
          <w:color w:val="000000" w:themeColor="text1"/>
        </w:rPr>
      </w:pPr>
      <w:r w:rsidRPr="06DA267F">
        <w:rPr>
          <w:rFonts w:ascii="Aptos" w:eastAsia="Aptos" w:hAnsi="Aptos" w:cs="Aptos"/>
          <w:color w:val="000000" w:themeColor="text1"/>
        </w:rPr>
        <w:t xml:space="preserve">Office for National Statistics (2023) </w:t>
      </w:r>
      <w:r w:rsidRPr="06DA267F">
        <w:rPr>
          <w:rFonts w:ascii="Aptos" w:eastAsia="Aptos" w:hAnsi="Aptos" w:cs="Aptos"/>
          <w:i/>
          <w:iCs/>
          <w:color w:val="000000" w:themeColor="text1"/>
        </w:rPr>
        <w:t>Older people living in care homes in 2021 and changes since 2011</w:t>
      </w:r>
      <w:r w:rsidRPr="06DA267F">
        <w:rPr>
          <w:rFonts w:ascii="Aptos" w:eastAsia="Aptos" w:hAnsi="Aptos" w:cs="Aptos"/>
          <w:color w:val="000000" w:themeColor="text1"/>
        </w:rPr>
        <w:t xml:space="preserve">. Available at: </w:t>
      </w:r>
    </w:p>
    <w:p w14:paraId="0C7D1ADF" w14:textId="0C10C7CA" w:rsidR="158ECF20" w:rsidRDefault="158ECF20" w:rsidP="06DA267F">
      <w:pPr>
        <w:spacing w:line="278" w:lineRule="auto"/>
        <w:jc w:val="both"/>
        <w:rPr>
          <w:rFonts w:ascii="Aptos" w:eastAsia="Aptos" w:hAnsi="Aptos" w:cs="Aptos"/>
          <w:color w:val="000000" w:themeColor="text1"/>
        </w:rPr>
      </w:pPr>
      <w:hyperlink r:id="rId25" w:anchor=":~:text=There%20were%20278%2C946%20people%20aged%2065%20years,86%20years%20and%205%20months%20in%202021">
        <w:r w:rsidRPr="06DA267F">
          <w:rPr>
            <w:rStyle w:val="Hyperlink"/>
            <w:rFonts w:ascii="Aptos" w:eastAsia="Aptos" w:hAnsi="Aptos" w:cs="Aptos"/>
          </w:rPr>
          <w:t>https://www.ons.gov.uk/peoplepopulationandcommunity/birthsdeathsandmarriages/ageing/articles/olderpeoplelivingincarehomesin2021andchangessince2011/2023-10-09#:~:text=There%20were%20278%2C946%20people%20aged%2065%20years,86%20years%20and%205%20months%20in%202021</w:t>
        </w:r>
      </w:hyperlink>
      <w:r w:rsidRPr="06DA267F">
        <w:rPr>
          <w:rFonts w:ascii="Aptos" w:eastAsia="Aptos" w:hAnsi="Aptos" w:cs="Aptos"/>
          <w:color w:val="000000" w:themeColor="text1"/>
        </w:rPr>
        <w:t xml:space="preserve"> (Accessed, 15</w:t>
      </w:r>
      <w:r w:rsidRPr="06DA267F">
        <w:rPr>
          <w:rFonts w:ascii="Aptos" w:eastAsia="Aptos" w:hAnsi="Aptos" w:cs="Aptos"/>
          <w:color w:val="000000" w:themeColor="text1"/>
          <w:vertAlign w:val="superscript"/>
        </w:rPr>
        <w:t>th</w:t>
      </w:r>
      <w:r w:rsidRPr="06DA267F">
        <w:rPr>
          <w:rFonts w:ascii="Aptos" w:eastAsia="Aptos" w:hAnsi="Aptos" w:cs="Aptos"/>
          <w:color w:val="000000" w:themeColor="text1"/>
        </w:rPr>
        <w:t xml:space="preserve"> October 2025)</w:t>
      </w:r>
    </w:p>
    <w:p w14:paraId="05AA8DA1" w14:textId="3E25123B" w:rsidR="06DA267F" w:rsidRDefault="06DA267F" w:rsidP="06DA267F">
      <w:pPr>
        <w:rPr>
          <w:rFonts w:ascii="Aptos" w:eastAsia="Aptos" w:hAnsi="Aptos" w:cs="Aptos"/>
          <w:color w:val="000000" w:themeColor="text1"/>
        </w:rPr>
      </w:pPr>
    </w:p>
    <w:p w14:paraId="5D4BD663" w14:textId="52B23010" w:rsidR="158ECF20" w:rsidRDefault="158ECF20" w:rsidP="06DA267F">
      <w:pPr>
        <w:rPr>
          <w:rFonts w:ascii="Aptos" w:eastAsia="Aptos" w:hAnsi="Aptos" w:cs="Aptos"/>
          <w:color w:val="000000" w:themeColor="text1"/>
        </w:rPr>
      </w:pPr>
      <w:r w:rsidRPr="06DA267F">
        <w:rPr>
          <w:rFonts w:ascii="Aptos" w:eastAsia="Aptos" w:hAnsi="Aptos" w:cs="Aptos"/>
          <w:color w:val="000000" w:themeColor="text1"/>
        </w:rPr>
        <w:t xml:space="preserve">Personnel Today (2023) What are the models of organisational culture? Available at: </w:t>
      </w:r>
      <w:hyperlink r:id="rId26">
        <w:r w:rsidRPr="06DA267F">
          <w:rPr>
            <w:rStyle w:val="Hyperlink"/>
            <w:rFonts w:ascii="Aptos" w:eastAsia="Aptos" w:hAnsi="Aptos" w:cs="Aptos"/>
          </w:rPr>
          <w:t>https://www.personneltoday.com/hr/what-are-the-organisational-culture-models/</w:t>
        </w:r>
      </w:hyperlink>
      <w:r w:rsidRPr="06DA267F">
        <w:rPr>
          <w:rFonts w:ascii="Aptos" w:eastAsia="Aptos" w:hAnsi="Aptos" w:cs="Aptos"/>
          <w:color w:val="000000" w:themeColor="text1"/>
        </w:rPr>
        <w:t xml:space="preserve"> (Accessed: 21</w:t>
      </w:r>
      <w:r w:rsidRPr="06DA267F">
        <w:rPr>
          <w:rFonts w:ascii="Aptos" w:eastAsia="Aptos" w:hAnsi="Aptos" w:cs="Aptos"/>
          <w:color w:val="000000" w:themeColor="text1"/>
          <w:vertAlign w:val="superscript"/>
        </w:rPr>
        <w:t>st</w:t>
      </w:r>
      <w:r w:rsidRPr="06DA267F">
        <w:rPr>
          <w:rFonts w:ascii="Aptos" w:eastAsia="Aptos" w:hAnsi="Aptos" w:cs="Aptos"/>
          <w:color w:val="000000" w:themeColor="text1"/>
        </w:rPr>
        <w:t xml:space="preserve"> October 2025)</w:t>
      </w:r>
    </w:p>
    <w:p w14:paraId="35145742" w14:textId="7DB4698B" w:rsidR="06DA267F" w:rsidRDefault="06DA267F" w:rsidP="06DA267F">
      <w:pPr>
        <w:rPr>
          <w:rFonts w:ascii="Aptos" w:eastAsia="Aptos" w:hAnsi="Aptos" w:cs="Aptos"/>
          <w:color w:val="000000" w:themeColor="text1"/>
        </w:rPr>
      </w:pPr>
    </w:p>
    <w:p w14:paraId="5A9DCC4E" w14:textId="3073F451" w:rsidR="158ECF20" w:rsidRDefault="158ECF20" w:rsidP="06DA267F">
      <w:pPr>
        <w:rPr>
          <w:rFonts w:ascii="Aptos" w:eastAsia="Aptos" w:hAnsi="Aptos" w:cs="Aptos"/>
          <w:color w:val="000000" w:themeColor="text1"/>
        </w:rPr>
      </w:pPr>
      <w:r w:rsidRPr="06DA267F">
        <w:rPr>
          <w:rFonts w:ascii="Aptos" w:eastAsia="Aptos" w:hAnsi="Aptos" w:cs="Aptos"/>
          <w:color w:val="000000" w:themeColor="text1"/>
        </w:rPr>
        <w:t>Rees, G. &amp; French, R. (2022). Strategic People Management and Development: Theory and Practice (6th ed.). Kogan Page</w:t>
      </w:r>
    </w:p>
    <w:p w14:paraId="4D71EF08" w14:textId="3F4C96FD" w:rsidR="06DA267F" w:rsidRDefault="06DA267F" w:rsidP="06DA267F">
      <w:pPr>
        <w:rPr>
          <w:rFonts w:ascii="Aptos" w:eastAsia="Aptos" w:hAnsi="Aptos" w:cs="Aptos"/>
          <w:color w:val="000000" w:themeColor="text1"/>
        </w:rPr>
      </w:pPr>
    </w:p>
    <w:p w14:paraId="0814B36B" w14:textId="101D0DA3" w:rsidR="158ECF20" w:rsidRDefault="158ECF20" w:rsidP="06DA267F">
      <w:pPr>
        <w:spacing w:line="276" w:lineRule="auto"/>
        <w:jc w:val="both"/>
        <w:rPr>
          <w:rFonts w:ascii="Aptos" w:eastAsia="Aptos" w:hAnsi="Aptos" w:cs="Aptos"/>
          <w:color w:val="000000" w:themeColor="text1"/>
        </w:rPr>
      </w:pPr>
      <w:r w:rsidRPr="06DA267F">
        <w:rPr>
          <w:rFonts w:ascii="Aptos" w:eastAsia="Aptos" w:hAnsi="Aptos" w:cs="Aptos"/>
          <w:color w:val="000000" w:themeColor="text1"/>
        </w:rPr>
        <w:t xml:space="preserve">Roberts, A and Tracey, H. (2024) Change management: A guide for people professionals Available at: </w:t>
      </w:r>
      <w:hyperlink r:id="rId27" w:anchor="models-for-change">
        <w:r w:rsidRPr="06DA267F">
          <w:rPr>
            <w:rStyle w:val="Hyperlink"/>
            <w:rFonts w:ascii="Aptos" w:eastAsia="Aptos" w:hAnsi="Aptos" w:cs="Aptos"/>
          </w:rPr>
          <w:t>https://www.cipd.org/uk/knowledge/guides/change-management/#models-for-change</w:t>
        </w:r>
      </w:hyperlink>
      <w:r w:rsidRPr="06DA267F">
        <w:rPr>
          <w:rFonts w:ascii="Aptos" w:eastAsia="Aptos" w:hAnsi="Aptos" w:cs="Aptos"/>
          <w:color w:val="000000" w:themeColor="text1"/>
        </w:rPr>
        <w:t>. (Accessed, 18</w:t>
      </w:r>
      <w:r w:rsidRPr="06DA267F">
        <w:rPr>
          <w:rFonts w:ascii="Aptos" w:eastAsia="Aptos" w:hAnsi="Aptos" w:cs="Aptos"/>
          <w:color w:val="000000" w:themeColor="text1"/>
          <w:vertAlign w:val="superscript"/>
        </w:rPr>
        <w:t>th</w:t>
      </w:r>
      <w:r w:rsidRPr="06DA267F">
        <w:rPr>
          <w:rFonts w:ascii="Aptos" w:eastAsia="Aptos" w:hAnsi="Aptos" w:cs="Aptos"/>
          <w:color w:val="000000" w:themeColor="text1"/>
        </w:rPr>
        <w:t xml:space="preserve"> November 2025)</w:t>
      </w:r>
    </w:p>
    <w:p w14:paraId="58989AFF" w14:textId="156421EE" w:rsidR="06DA267F" w:rsidRDefault="06DA267F" w:rsidP="06DA267F">
      <w:pPr>
        <w:rPr>
          <w:rFonts w:ascii="Aptos" w:eastAsia="Aptos" w:hAnsi="Aptos" w:cs="Aptos"/>
          <w:color w:val="000000" w:themeColor="text1"/>
        </w:rPr>
      </w:pPr>
    </w:p>
    <w:p w14:paraId="0EB291F1" w14:textId="684322D4" w:rsidR="158ECF20" w:rsidRDefault="158ECF20" w:rsidP="06DA267F">
      <w:pPr>
        <w:rPr>
          <w:rFonts w:ascii="Aptos" w:eastAsia="Aptos" w:hAnsi="Aptos" w:cs="Aptos"/>
          <w:color w:val="000000" w:themeColor="text1"/>
        </w:rPr>
      </w:pPr>
      <w:r w:rsidRPr="06DA267F">
        <w:rPr>
          <w:rFonts w:ascii="Aptos" w:eastAsia="Aptos" w:hAnsi="Aptos" w:cs="Aptos"/>
          <w:color w:val="000000" w:themeColor="text1"/>
        </w:rPr>
        <w:lastRenderedPageBreak/>
        <w:t xml:space="preserve">Rock, D (2013) </w:t>
      </w:r>
      <w:r w:rsidRPr="06DA267F">
        <w:rPr>
          <w:rFonts w:ascii="Aptos" w:eastAsia="Aptos" w:hAnsi="Aptos" w:cs="Aptos"/>
          <w:i/>
          <w:iCs/>
          <w:color w:val="000000" w:themeColor="text1"/>
        </w:rPr>
        <w:t xml:space="preserve">SCARF Model Influencing Others with Dr David Rock. </w:t>
      </w:r>
      <w:r w:rsidRPr="06DA267F">
        <w:rPr>
          <w:rFonts w:ascii="Aptos" w:eastAsia="Aptos" w:hAnsi="Aptos" w:cs="Aptos"/>
          <w:color w:val="000000" w:themeColor="text1"/>
        </w:rPr>
        <w:t>Available at:</w:t>
      </w:r>
    </w:p>
    <w:p w14:paraId="0A3170BE" w14:textId="5AEFE889" w:rsidR="158ECF20" w:rsidRDefault="158ECF20" w:rsidP="06DA267F">
      <w:pPr>
        <w:rPr>
          <w:rFonts w:ascii="Aptos" w:eastAsia="Aptos" w:hAnsi="Aptos" w:cs="Aptos"/>
          <w:color w:val="000000" w:themeColor="text1"/>
        </w:rPr>
      </w:pPr>
      <w:hyperlink r:id="rId28">
        <w:r w:rsidRPr="06DA267F">
          <w:rPr>
            <w:rStyle w:val="Hyperlink"/>
            <w:rFonts w:ascii="Aptos" w:eastAsia="Aptos" w:hAnsi="Aptos" w:cs="Aptos"/>
          </w:rPr>
          <w:t>https://www.youtube.com/watch?v=rh5Egsa-bg4</w:t>
        </w:r>
      </w:hyperlink>
      <w:r w:rsidRPr="06DA267F">
        <w:rPr>
          <w:rFonts w:ascii="Aptos" w:eastAsia="Aptos" w:hAnsi="Aptos" w:cs="Aptos"/>
          <w:color w:val="000000" w:themeColor="text1"/>
        </w:rPr>
        <w:t xml:space="preserve"> (Accessed: 22</w:t>
      </w:r>
      <w:r w:rsidRPr="06DA267F">
        <w:rPr>
          <w:rFonts w:ascii="Aptos" w:eastAsia="Aptos" w:hAnsi="Aptos" w:cs="Aptos"/>
          <w:color w:val="000000" w:themeColor="text1"/>
          <w:vertAlign w:val="superscript"/>
        </w:rPr>
        <w:t>nd</w:t>
      </w:r>
      <w:r w:rsidRPr="06DA267F">
        <w:rPr>
          <w:rFonts w:ascii="Aptos" w:eastAsia="Aptos" w:hAnsi="Aptos" w:cs="Aptos"/>
          <w:color w:val="000000" w:themeColor="text1"/>
        </w:rPr>
        <w:t xml:space="preserve"> October 2025)</w:t>
      </w:r>
    </w:p>
    <w:p w14:paraId="0614B4D5" w14:textId="7F41AF47" w:rsidR="06DA267F" w:rsidRDefault="06DA267F" w:rsidP="06DA267F">
      <w:pPr>
        <w:rPr>
          <w:rFonts w:ascii="Aptos" w:eastAsia="Aptos" w:hAnsi="Aptos" w:cs="Aptos"/>
          <w:color w:val="000000" w:themeColor="text1"/>
        </w:rPr>
      </w:pPr>
    </w:p>
    <w:p w14:paraId="5C5E291B" w14:textId="1113C6BA" w:rsidR="158ECF20" w:rsidRDefault="158ECF20" w:rsidP="06DA267F">
      <w:pPr>
        <w:spacing w:line="278" w:lineRule="auto"/>
        <w:rPr>
          <w:rFonts w:ascii="Aptos" w:eastAsia="Aptos" w:hAnsi="Aptos" w:cs="Aptos"/>
          <w:color w:val="000000" w:themeColor="text1"/>
        </w:rPr>
      </w:pPr>
      <w:r w:rsidRPr="06DA267F">
        <w:rPr>
          <w:rFonts w:ascii="Aptos" w:eastAsia="Aptos" w:hAnsi="Aptos" w:cs="Aptos"/>
          <w:color w:val="000000" w:themeColor="text1"/>
        </w:rPr>
        <w:t xml:space="preserve">Schein, E. H. (2010) </w:t>
      </w:r>
      <w:r w:rsidRPr="06DA267F">
        <w:rPr>
          <w:rFonts w:ascii="Aptos" w:eastAsia="Aptos" w:hAnsi="Aptos" w:cs="Aptos"/>
          <w:i/>
          <w:iCs/>
          <w:color w:val="000000" w:themeColor="text1"/>
        </w:rPr>
        <w:t>Organisational Culture and Leadership</w:t>
      </w:r>
      <w:r w:rsidRPr="06DA267F">
        <w:rPr>
          <w:rFonts w:ascii="Aptos" w:eastAsia="Aptos" w:hAnsi="Aptos" w:cs="Aptos"/>
          <w:color w:val="000000" w:themeColor="text1"/>
        </w:rPr>
        <w:t xml:space="preserve"> (4</w:t>
      </w:r>
      <w:r w:rsidRPr="06DA267F">
        <w:rPr>
          <w:rFonts w:ascii="Aptos" w:eastAsia="Aptos" w:hAnsi="Aptos" w:cs="Aptos"/>
          <w:color w:val="000000" w:themeColor="text1"/>
          <w:vertAlign w:val="superscript"/>
        </w:rPr>
        <w:t>th</w:t>
      </w:r>
      <w:r w:rsidRPr="06DA267F">
        <w:rPr>
          <w:rFonts w:ascii="Aptos" w:eastAsia="Aptos" w:hAnsi="Aptos" w:cs="Aptos"/>
          <w:color w:val="000000" w:themeColor="text1"/>
        </w:rPr>
        <w:t xml:space="preserve"> </w:t>
      </w:r>
      <w:proofErr w:type="spellStart"/>
      <w:r w:rsidRPr="06DA267F">
        <w:rPr>
          <w:rFonts w:ascii="Aptos" w:eastAsia="Aptos" w:hAnsi="Aptos" w:cs="Aptos"/>
          <w:color w:val="000000" w:themeColor="text1"/>
        </w:rPr>
        <w:t>edn</w:t>
      </w:r>
      <w:proofErr w:type="spellEnd"/>
      <w:r w:rsidRPr="06DA267F">
        <w:rPr>
          <w:rFonts w:ascii="Aptos" w:eastAsia="Aptos" w:hAnsi="Aptos" w:cs="Aptos"/>
          <w:color w:val="000000" w:themeColor="text1"/>
        </w:rPr>
        <w:t>), San Francisco: Jossey-Bass</w:t>
      </w:r>
    </w:p>
    <w:p w14:paraId="4FCD36E2" w14:textId="118CFB27" w:rsidR="06DA267F" w:rsidRDefault="06DA267F" w:rsidP="06DA267F">
      <w:pPr>
        <w:rPr>
          <w:rFonts w:ascii="Aptos" w:eastAsia="Aptos" w:hAnsi="Aptos" w:cs="Aptos"/>
          <w:color w:val="000000" w:themeColor="text1"/>
        </w:rPr>
      </w:pPr>
    </w:p>
    <w:p w14:paraId="7A3D158A" w14:textId="584D777D" w:rsidR="158ECF20" w:rsidRDefault="158ECF20" w:rsidP="06DA267F">
      <w:pPr>
        <w:spacing w:line="276" w:lineRule="auto"/>
        <w:jc w:val="both"/>
        <w:rPr>
          <w:rFonts w:ascii="Aptos" w:eastAsia="Aptos" w:hAnsi="Aptos" w:cs="Aptos"/>
          <w:color w:val="000000" w:themeColor="text1"/>
        </w:rPr>
      </w:pPr>
      <w:r w:rsidRPr="06DA267F">
        <w:rPr>
          <w:rFonts w:ascii="Aptos" w:eastAsia="Aptos" w:hAnsi="Aptos" w:cs="Aptos"/>
          <w:color w:val="000000" w:themeColor="text1"/>
        </w:rPr>
        <w:t xml:space="preserve">Sörensen, S., </w:t>
      </w:r>
      <w:proofErr w:type="spellStart"/>
      <w:r w:rsidRPr="06DA267F">
        <w:rPr>
          <w:rFonts w:ascii="Aptos" w:eastAsia="Aptos" w:hAnsi="Aptos" w:cs="Aptos"/>
          <w:color w:val="000000" w:themeColor="text1"/>
        </w:rPr>
        <w:t>Missell</w:t>
      </w:r>
      <w:proofErr w:type="spellEnd"/>
      <w:r w:rsidRPr="06DA267F">
        <w:rPr>
          <w:rFonts w:ascii="Aptos" w:eastAsia="Aptos" w:hAnsi="Aptos" w:cs="Aptos"/>
          <w:color w:val="000000" w:themeColor="text1"/>
        </w:rPr>
        <w:t xml:space="preserve">, R. L., Eustice-Corwin, A., and Otieno, D. A. (2021) </w:t>
      </w:r>
      <w:r w:rsidRPr="06DA267F">
        <w:rPr>
          <w:rFonts w:ascii="Aptos" w:eastAsia="Aptos" w:hAnsi="Aptos" w:cs="Aptos"/>
          <w:i/>
          <w:iCs/>
          <w:color w:val="000000" w:themeColor="text1"/>
        </w:rPr>
        <w:t>Perspectives on aging-related preparation</w:t>
      </w:r>
      <w:r w:rsidRPr="06DA267F">
        <w:rPr>
          <w:rFonts w:ascii="Aptos" w:eastAsia="Aptos" w:hAnsi="Aptos" w:cs="Aptos"/>
          <w:color w:val="000000" w:themeColor="text1"/>
        </w:rPr>
        <w:t xml:space="preserve">. Journal of Elder Policy, 1(2), 163–221. doi:10.18278/jep.1.2.7 - </w:t>
      </w:r>
      <w:hyperlink r:id="rId29">
        <w:r w:rsidRPr="06DA267F">
          <w:rPr>
            <w:rStyle w:val="Hyperlink"/>
            <w:rFonts w:ascii="Aptos" w:eastAsia="Aptos" w:hAnsi="Aptos" w:cs="Aptos"/>
          </w:rPr>
          <w:t xml:space="preserve">DOI </w:t>
        </w:r>
      </w:hyperlink>
      <w:r w:rsidRPr="06DA267F">
        <w:rPr>
          <w:rFonts w:ascii="Aptos" w:eastAsia="Aptos" w:hAnsi="Aptos" w:cs="Aptos"/>
          <w:color w:val="000000" w:themeColor="text1"/>
        </w:rPr>
        <w:t xml:space="preserve">- </w:t>
      </w:r>
      <w:hyperlink r:id="rId30">
        <w:r w:rsidRPr="06DA267F">
          <w:rPr>
            <w:rStyle w:val="Hyperlink"/>
            <w:rFonts w:ascii="Aptos" w:eastAsia="Aptos" w:hAnsi="Aptos" w:cs="Aptos"/>
          </w:rPr>
          <w:t xml:space="preserve">PMC </w:t>
        </w:r>
      </w:hyperlink>
      <w:r w:rsidRPr="06DA267F">
        <w:rPr>
          <w:rFonts w:ascii="Aptos" w:eastAsia="Aptos" w:hAnsi="Aptos" w:cs="Aptos"/>
          <w:color w:val="000000" w:themeColor="text1"/>
        </w:rPr>
        <w:t xml:space="preserve">- </w:t>
      </w:r>
      <w:hyperlink r:id="rId31">
        <w:r w:rsidRPr="06DA267F">
          <w:rPr>
            <w:rStyle w:val="Hyperlink"/>
            <w:rFonts w:ascii="Aptos" w:eastAsia="Aptos" w:hAnsi="Aptos" w:cs="Aptos"/>
          </w:rPr>
          <w:t>PubMed</w:t>
        </w:r>
      </w:hyperlink>
    </w:p>
    <w:p w14:paraId="7690A76D" w14:textId="2EA686C2" w:rsidR="06DA267F" w:rsidRDefault="06DA267F" w:rsidP="06DA267F">
      <w:pPr>
        <w:rPr>
          <w:rFonts w:ascii="Aptos" w:eastAsia="Aptos" w:hAnsi="Aptos" w:cs="Aptos"/>
          <w:color w:val="000000" w:themeColor="text1"/>
        </w:rPr>
      </w:pPr>
    </w:p>
    <w:p w14:paraId="73224021" w14:textId="7F3D7A33" w:rsidR="158ECF20" w:rsidRDefault="158ECF20" w:rsidP="06DA267F">
      <w:pPr>
        <w:rPr>
          <w:rFonts w:ascii="Aptos" w:eastAsia="Aptos" w:hAnsi="Aptos" w:cs="Aptos"/>
          <w:color w:val="000000" w:themeColor="text1"/>
        </w:rPr>
      </w:pPr>
      <w:proofErr w:type="spellStart"/>
      <w:r w:rsidRPr="06DA267F">
        <w:rPr>
          <w:rFonts w:ascii="Aptos" w:eastAsia="Aptos" w:hAnsi="Aptos" w:cs="Aptos"/>
          <w:color w:val="000000" w:themeColor="text1"/>
        </w:rPr>
        <w:t>Suff</w:t>
      </w:r>
      <w:proofErr w:type="spellEnd"/>
      <w:r w:rsidRPr="06DA267F">
        <w:rPr>
          <w:rFonts w:ascii="Aptos" w:eastAsia="Aptos" w:hAnsi="Aptos" w:cs="Aptos"/>
          <w:color w:val="000000" w:themeColor="text1"/>
        </w:rPr>
        <w:t>, R. (2024)</w:t>
      </w:r>
      <w:r w:rsidRPr="06DA267F">
        <w:rPr>
          <w:rFonts w:ascii="Aptos" w:eastAsia="Aptos" w:hAnsi="Aptos" w:cs="Aptos"/>
          <w:i/>
          <w:iCs/>
          <w:color w:val="000000" w:themeColor="text1"/>
        </w:rPr>
        <w:t xml:space="preserve"> Discipline and grievance at work.</w:t>
      </w:r>
      <w:r w:rsidRPr="06DA267F">
        <w:rPr>
          <w:rFonts w:ascii="Aptos" w:eastAsia="Aptos" w:hAnsi="Aptos" w:cs="Aptos"/>
          <w:color w:val="000000" w:themeColor="text1"/>
        </w:rPr>
        <w:t xml:space="preserve">  Available at: </w:t>
      </w:r>
      <w:hyperlink r:id="rId32">
        <w:r w:rsidRPr="06DA267F">
          <w:rPr>
            <w:rStyle w:val="Hyperlink"/>
            <w:rFonts w:ascii="Aptos" w:eastAsia="Aptos" w:hAnsi="Aptos" w:cs="Aptos"/>
          </w:rPr>
          <w:t>https://www.cipd.org/uk/knowledge/factsheets/discipline-factsheet/</w:t>
        </w:r>
      </w:hyperlink>
      <w:r w:rsidRPr="06DA267F">
        <w:rPr>
          <w:rFonts w:ascii="Aptos" w:eastAsia="Aptos" w:hAnsi="Aptos" w:cs="Aptos"/>
          <w:color w:val="000000" w:themeColor="text1"/>
        </w:rPr>
        <w:t xml:space="preserve"> (Accessed: 28th November 2025)   </w:t>
      </w:r>
    </w:p>
    <w:p w14:paraId="5CF9DEF0" w14:textId="57BF8963" w:rsidR="06DA267F" w:rsidRDefault="06DA267F" w:rsidP="06DA267F">
      <w:pPr>
        <w:rPr>
          <w:rFonts w:ascii="Aptos" w:eastAsia="Aptos" w:hAnsi="Aptos" w:cs="Aptos"/>
          <w:color w:val="000000" w:themeColor="text1"/>
        </w:rPr>
      </w:pPr>
    </w:p>
    <w:p w14:paraId="58D5372D" w14:textId="16F94B1C" w:rsidR="158ECF20" w:rsidRDefault="158ECF20" w:rsidP="06DA267F">
      <w:pPr>
        <w:rPr>
          <w:rFonts w:ascii="Aptos" w:eastAsia="Aptos" w:hAnsi="Aptos" w:cs="Aptos"/>
          <w:color w:val="000000" w:themeColor="text1"/>
        </w:rPr>
      </w:pPr>
      <w:proofErr w:type="spellStart"/>
      <w:r w:rsidRPr="06DA267F">
        <w:rPr>
          <w:rFonts w:ascii="Aptos" w:eastAsia="Aptos" w:hAnsi="Aptos" w:cs="Aptos"/>
          <w:color w:val="000000" w:themeColor="text1"/>
        </w:rPr>
        <w:t>Suff</w:t>
      </w:r>
      <w:proofErr w:type="spellEnd"/>
      <w:r w:rsidRPr="06DA267F">
        <w:rPr>
          <w:rFonts w:ascii="Aptos" w:eastAsia="Aptos" w:hAnsi="Aptos" w:cs="Aptos"/>
          <w:color w:val="000000" w:themeColor="text1"/>
        </w:rPr>
        <w:t xml:space="preserve">, R. (2025) Wellbeing at work. Available at: </w:t>
      </w:r>
      <w:hyperlink r:id="rId33">
        <w:r w:rsidRPr="06DA267F">
          <w:rPr>
            <w:rStyle w:val="Hyperlink"/>
            <w:rFonts w:ascii="Aptos" w:eastAsia="Aptos" w:hAnsi="Aptos" w:cs="Aptos"/>
          </w:rPr>
          <w:t>https://www.cipd.org/uk/knowledge/factsheets/well-being-factsheet/</w:t>
        </w:r>
      </w:hyperlink>
      <w:r w:rsidRPr="06DA267F">
        <w:rPr>
          <w:rFonts w:ascii="Aptos" w:eastAsia="Aptos" w:hAnsi="Aptos" w:cs="Aptos"/>
          <w:color w:val="000000" w:themeColor="text1"/>
        </w:rPr>
        <w:t xml:space="preserve"> (Accessed: 18th November 2025)</w:t>
      </w:r>
    </w:p>
    <w:p w14:paraId="05379ED5" w14:textId="3F58C984" w:rsidR="06DA267F" w:rsidRDefault="06DA267F" w:rsidP="06DA267F">
      <w:pPr>
        <w:rPr>
          <w:rFonts w:ascii="Aptos" w:eastAsia="Aptos" w:hAnsi="Aptos" w:cs="Aptos"/>
          <w:color w:val="000000" w:themeColor="text1"/>
        </w:rPr>
      </w:pPr>
    </w:p>
    <w:p w14:paraId="0F05644F" w14:textId="1C90EB52" w:rsidR="158ECF20" w:rsidRDefault="158ECF20" w:rsidP="06DA267F">
      <w:pPr>
        <w:spacing w:line="278" w:lineRule="auto"/>
        <w:rPr>
          <w:rFonts w:ascii="Aptos" w:eastAsia="Aptos" w:hAnsi="Aptos" w:cs="Aptos"/>
          <w:color w:val="000000" w:themeColor="text1"/>
        </w:rPr>
      </w:pPr>
      <w:r w:rsidRPr="06DA267F">
        <w:rPr>
          <w:rFonts w:ascii="Aptos" w:eastAsia="Aptos" w:hAnsi="Aptos" w:cs="Aptos"/>
          <w:color w:val="000000" w:themeColor="text1"/>
        </w:rPr>
        <w:t xml:space="preserve">Taylor, S. and Perkins, G. (2021) </w:t>
      </w:r>
      <w:r w:rsidRPr="06DA267F">
        <w:rPr>
          <w:rFonts w:ascii="Aptos" w:eastAsia="Aptos" w:hAnsi="Aptos" w:cs="Aptos"/>
          <w:i/>
          <w:iCs/>
          <w:color w:val="000000" w:themeColor="text1"/>
        </w:rPr>
        <w:t>Work and Employment in a Changing Business Environment</w:t>
      </w:r>
      <w:r w:rsidRPr="06DA267F">
        <w:rPr>
          <w:rFonts w:ascii="Aptos" w:eastAsia="Aptos" w:hAnsi="Aptos" w:cs="Aptos"/>
          <w:color w:val="000000" w:themeColor="text1"/>
        </w:rPr>
        <w:t>. London: Kogan Page</w:t>
      </w:r>
    </w:p>
    <w:p w14:paraId="36ECDE12" w14:textId="0DAC9721" w:rsidR="06DA267F" w:rsidRDefault="06DA267F" w:rsidP="06DA267F">
      <w:pPr>
        <w:rPr>
          <w:rFonts w:ascii="Aptos" w:eastAsia="Aptos" w:hAnsi="Aptos" w:cs="Aptos"/>
          <w:color w:val="000000" w:themeColor="text1"/>
        </w:rPr>
      </w:pPr>
    </w:p>
    <w:p w14:paraId="4B6ABCCA" w14:textId="1334F0BD" w:rsidR="158ECF20" w:rsidRDefault="158ECF20" w:rsidP="06DA267F">
      <w:pPr>
        <w:spacing w:line="278" w:lineRule="auto"/>
        <w:rPr>
          <w:rFonts w:ascii="Aptos" w:eastAsia="Aptos" w:hAnsi="Aptos" w:cs="Aptos"/>
          <w:color w:val="000000" w:themeColor="text1"/>
        </w:rPr>
      </w:pPr>
      <w:r w:rsidRPr="06DA267F">
        <w:rPr>
          <w:rFonts w:ascii="Aptos" w:eastAsia="Aptos" w:hAnsi="Aptos" w:cs="Aptos"/>
          <w:color w:val="000000" w:themeColor="text1"/>
        </w:rPr>
        <w:t xml:space="preserve">Taylor, S. and Woodhams, C. (2022a) </w:t>
      </w:r>
      <w:r w:rsidRPr="06DA267F">
        <w:rPr>
          <w:rFonts w:ascii="Aptos" w:eastAsia="Aptos" w:hAnsi="Aptos" w:cs="Aptos"/>
          <w:i/>
          <w:iCs/>
          <w:color w:val="000000" w:themeColor="text1"/>
        </w:rPr>
        <w:t>Human Resource Management: People and Organisations</w:t>
      </w:r>
      <w:r w:rsidRPr="06DA267F">
        <w:rPr>
          <w:rFonts w:ascii="Aptos" w:eastAsia="Aptos" w:hAnsi="Aptos" w:cs="Aptos"/>
          <w:color w:val="000000" w:themeColor="text1"/>
        </w:rPr>
        <w:t>. 3</w:t>
      </w:r>
      <w:r w:rsidRPr="06DA267F">
        <w:rPr>
          <w:rFonts w:ascii="Aptos" w:eastAsia="Aptos" w:hAnsi="Aptos" w:cs="Aptos"/>
          <w:color w:val="000000" w:themeColor="text1"/>
          <w:vertAlign w:val="superscript"/>
        </w:rPr>
        <w:t>rd</w:t>
      </w:r>
      <w:r w:rsidRPr="06DA267F">
        <w:rPr>
          <w:rFonts w:ascii="Aptos" w:eastAsia="Aptos" w:hAnsi="Aptos" w:cs="Aptos"/>
          <w:color w:val="000000" w:themeColor="text1"/>
        </w:rPr>
        <w:t xml:space="preserve"> </w:t>
      </w:r>
      <w:proofErr w:type="spellStart"/>
      <w:r w:rsidRPr="06DA267F">
        <w:rPr>
          <w:rFonts w:ascii="Aptos" w:eastAsia="Aptos" w:hAnsi="Aptos" w:cs="Aptos"/>
          <w:color w:val="000000" w:themeColor="text1"/>
        </w:rPr>
        <w:t>edn</w:t>
      </w:r>
      <w:proofErr w:type="spellEnd"/>
      <w:r w:rsidRPr="06DA267F">
        <w:rPr>
          <w:rFonts w:ascii="Aptos" w:eastAsia="Aptos" w:hAnsi="Aptos" w:cs="Aptos"/>
          <w:color w:val="000000" w:themeColor="text1"/>
        </w:rPr>
        <w:t>. London: Kogan Page</w:t>
      </w:r>
    </w:p>
    <w:p w14:paraId="32DADDBE" w14:textId="1E334325" w:rsidR="158ECF20" w:rsidRDefault="158ECF20" w:rsidP="06DA267F">
      <w:pPr>
        <w:spacing w:line="278" w:lineRule="auto"/>
        <w:rPr>
          <w:rFonts w:ascii="Aptos" w:eastAsia="Aptos" w:hAnsi="Aptos" w:cs="Aptos"/>
          <w:color w:val="000000" w:themeColor="text1"/>
        </w:rPr>
      </w:pPr>
      <w:r w:rsidRPr="06DA267F">
        <w:rPr>
          <w:rFonts w:ascii="Aptos" w:eastAsia="Aptos" w:hAnsi="Aptos" w:cs="Aptos"/>
          <w:color w:val="000000" w:themeColor="text1"/>
        </w:rPr>
        <w:t xml:space="preserve"> </w:t>
      </w:r>
    </w:p>
    <w:p w14:paraId="618FA6C2" w14:textId="50193ACC" w:rsidR="158ECF20" w:rsidRDefault="158ECF20" w:rsidP="06DA267F">
      <w:pPr>
        <w:spacing w:after="0"/>
        <w:rPr>
          <w:rFonts w:ascii="Aptos" w:eastAsia="Aptos" w:hAnsi="Aptos" w:cs="Aptos"/>
          <w:color w:val="000000" w:themeColor="text1"/>
        </w:rPr>
      </w:pPr>
      <w:r w:rsidRPr="06DA267F">
        <w:rPr>
          <w:rFonts w:ascii="Aptos" w:eastAsia="Aptos" w:hAnsi="Aptos" w:cs="Aptos"/>
          <w:color w:val="000000" w:themeColor="text1"/>
        </w:rPr>
        <w:t xml:space="preserve">Taylor, S. and Woodhams, C. (2022b) </w:t>
      </w:r>
      <w:r w:rsidRPr="06DA267F">
        <w:rPr>
          <w:rFonts w:ascii="Aptos" w:eastAsia="Aptos" w:hAnsi="Aptos" w:cs="Aptos"/>
          <w:i/>
          <w:iCs/>
          <w:color w:val="000000" w:themeColor="text1"/>
        </w:rPr>
        <w:t>Studying Human Resource Management</w:t>
      </w:r>
      <w:r w:rsidRPr="06DA267F">
        <w:rPr>
          <w:rFonts w:ascii="Aptos" w:eastAsia="Aptos" w:hAnsi="Aptos" w:cs="Aptos"/>
          <w:color w:val="000000" w:themeColor="text1"/>
        </w:rPr>
        <w:t>. 3</w:t>
      </w:r>
      <w:r w:rsidRPr="06DA267F">
        <w:rPr>
          <w:rFonts w:ascii="Aptos" w:eastAsia="Aptos" w:hAnsi="Aptos" w:cs="Aptos"/>
          <w:color w:val="000000" w:themeColor="text1"/>
          <w:vertAlign w:val="superscript"/>
        </w:rPr>
        <w:t>rd</w:t>
      </w:r>
      <w:r w:rsidRPr="06DA267F">
        <w:rPr>
          <w:rFonts w:ascii="Aptos" w:eastAsia="Aptos" w:hAnsi="Aptos" w:cs="Aptos"/>
          <w:color w:val="000000" w:themeColor="text1"/>
        </w:rPr>
        <w:t xml:space="preserve"> </w:t>
      </w:r>
      <w:proofErr w:type="spellStart"/>
      <w:r w:rsidRPr="06DA267F">
        <w:rPr>
          <w:rFonts w:ascii="Aptos" w:eastAsia="Aptos" w:hAnsi="Aptos" w:cs="Aptos"/>
          <w:color w:val="000000" w:themeColor="text1"/>
        </w:rPr>
        <w:t>edn</w:t>
      </w:r>
      <w:proofErr w:type="spellEnd"/>
      <w:r w:rsidRPr="06DA267F">
        <w:rPr>
          <w:rFonts w:ascii="Aptos" w:eastAsia="Aptos" w:hAnsi="Aptos" w:cs="Aptos"/>
          <w:color w:val="000000" w:themeColor="text1"/>
        </w:rPr>
        <w:t xml:space="preserve">. London: Kogan Page.  </w:t>
      </w:r>
    </w:p>
    <w:p w14:paraId="6CCAC555" w14:textId="658D9201" w:rsidR="06DA267F" w:rsidRDefault="06DA267F" w:rsidP="06DA267F">
      <w:pPr>
        <w:rPr>
          <w:rFonts w:ascii="Aptos" w:eastAsia="Aptos" w:hAnsi="Aptos" w:cs="Aptos"/>
          <w:color w:val="000000" w:themeColor="text1"/>
        </w:rPr>
      </w:pPr>
    </w:p>
    <w:p w14:paraId="01B497C1" w14:textId="281FAB74" w:rsidR="158ECF20" w:rsidRDefault="158ECF20" w:rsidP="06DA267F">
      <w:pPr>
        <w:spacing w:line="278" w:lineRule="auto"/>
        <w:jc w:val="both"/>
        <w:rPr>
          <w:rFonts w:ascii="Aptos" w:eastAsia="Aptos" w:hAnsi="Aptos" w:cs="Aptos"/>
          <w:color w:val="000000" w:themeColor="text1"/>
        </w:rPr>
      </w:pPr>
      <w:r w:rsidRPr="06DA267F">
        <w:rPr>
          <w:rFonts w:ascii="Aptos" w:eastAsia="Aptos" w:hAnsi="Aptos" w:cs="Aptos"/>
          <w:color w:val="000000" w:themeColor="text1"/>
        </w:rPr>
        <w:t xml:space="preserve">The Health Foundation (2025) </w:t>
      </w:r>
      <w:r w:rsidRPr="06DA267F">
        <w:rPr>
          <w:rFonts w:ascii="Aptos" w:eastAsia="Aptos" w:hAnsi="Aptos" w:cs="Aptos"/>
          <w:i/>
          <w:iCs/>
          <w:color w:val="000000" w:themeColor="text1"/>
        </w:rPr>
        <w:t xml:space="preserve">UK care workforce twice as likely to live in poverty as average worker. </w:t>
      </w:r>
      <w:r w:rsidRPr="06DA267F">
        <w:rPr>
          <w:rFonts w:ascii="Aptos" w:eastAsia="Aptos" w:hAnsi="Aptos" w:cs="Aptos"/>
          <w:color w:val="000000" w:themeColor="text1"/>
        </w:rPr>
        <w:t xml:space="preserve">Available at: </w:t>
      </w:r>
      <w:hyperlink r:id="rId34">
        <w:r w:rsidRPr="06DA267F">
          <w:rPr>
            <w:rStyle w:val="Hyperlink"/>
            <w:rFonts w:ascii="Aptos" w:eastAsia="Aptos" w:hAnsi="Aptos" w:cs="Aptos"/>
          </w:rPr>
          <w:t>https://www.health.org.uk/press-office/press-releases/uk-care-workforce-twice-as-likely-to-live-in-poverty-as-average-worker</w:t>
        </w:r>
      </w:hyperlink>
      <w:r w:rsidRPr="06DA267F">
        <w:rPr>
          <w:rFonts w:ascii="Aptos" w:eastAsia="Aptos" w:hAnsi="Aptos" w:cs="Aptos"/>
          <w:color w:val="000000" w:themeColor="text1"/>
        </w:rPr>
        <w:t xml:space="preserve"> (Accessed, 14</w:t>
      </w:r>
      <w:r w:rsidRPr="06DA267F">
        <w:rPr>
          <w:rFonts w:ascii="Aptos" w:eastAsia="Aptos" w:hAnsi="Aptos" w:cs="Aptos"/>
          <w:color w:val="000000" w:themeColor="text1"/>
          <w:vertAlign w:val="superscript"/>
        </w:rPr>
        <w:t>th</w:t>
      </w:r>
      <w:r w:rsidRPr="06DA267F">
        <w:rPr>
          <w:rFonts w:ascii="Aptos" w:eastAsia="Aptos" w:hAnsi="Aptos" w:cs="Aptos"/>
          <w:color w:val="000000" w:themeColor="text1"/>
        </w:rPr>
        <w:t xml:space="preserve"> October 2025)</w:t>
      </w:r>
    </w:p>
    <w:p w14:paraId="63D3196F" w14:textId="5E80C27F" w:rsidR="06DA267F" w:rsidRDefault="06DA267F" w:rsidP="06DA267F">
      <w:pPr>
        <w:rPr>
          <w:rFonts w:ascii="Aptos" w:eastAsia="Aptos" w:hAnsi="Aptos" w:cs="Aptos"/>
          <w:color w:val="000000" w:themeColor="text1"/>
        </w:rPr>
      </w:pPr>
    </w:p>
    <w:p w14:paraId="38497A8B" w14:textId="0CCEE64D" w:rsidR="158ECF20" w:rsidRDefault="158ECF20" w:rsidP="06DA267F">
      <w:pPr>
        <w:spacing w:line="278" w:lineRule="auto"/>
        <w:jc w:val="both"/>
        <w:rPr>
          <w:rFonts w:ascii="Aptos" w:eastAsia="Aptos" w:hAnsi="Aptos" w:cs="Aptos"/>
          <w:color w:val="000000" w:themeColor="text1"/>
        </w:rPr>
      </w:pPr>
      <w:r w:rsidRPr="06DA267F">
        <w:rPr>
          <w:rFonts w:ascii="Aptos" w:eastAsia="Aptos" w:hAnsi="Aptos" w:cs="Aptos"/>
          <w:color w:val="000000" w:themeColor="text1"/>
        </w:rPr>
        <w:lastRenderedPageBreak/>
        <w:t xml:space="preserve">University of Greater Manchester (2024) </w:t>
      </w:r>
      <w:r w:rsidRPr="06DA267F">
        <w:rPr>
          <w:rFonts w:ascii="Aptos" w:eastAsia="Aptos" w:hAnsi="Aptos" w:cs="Aptos"/>
          <w:i/>
          <w:iCs/>
          <w:color w:val="000000" w:themeColor="text1"/>
        </w:rPr>
        <w:t xml:space="preserve">How technology is improving nursing home care. </w:t>
      </w:r>
      <w:r w:rsidRPr="06DA267F">
        <w:rPr>
          <w:rFonts w:ascii="Aptos" w:eastAsia="Aptos" w:hAnsi="Aptos" w:cs="Aptos"/>
          <w:color w:val="000000" w:themeColor="text1"/>
        </w:rPr>
        <w:t xml:space="preserve">Available at: </w:t>
      </w:r>
      <w:hyperlink r:id="rId35">
        <w:r w:rsidRPr="06DA267F">
          <w:rPr>
            <w:rStyle w:val="Hyperlink"/>
            <w:rFonts w:ascii="Aptos" w:eastAsia="Aptos" w:hAnsi="Aptos" w:cs="Aptos"/>
          </w:rPr>
          <w:t>https://greatermanchester.ac.uk/blogs/how-technology-is-improving-nursing-home-care</w:t>
        </w:r>
      </w:hyperlink>
      <w:r w:rsidRPr="06DA267F">
        <w:rPr>
          <w:rFonts w:ascii="Aptos" w:eastAsia="Aptos" w:hAnsi="Aptos" w:cs="Aptos"/>
          <w:color w:val="000000" w:themeColor="text1"/>
        </w:rPr>
        <w:t xml:space="preserve"> (Accessed, 16</w:t>
      </w:r>
      <w:r w:rsidRPr="06DA267F">
        <w:rPr>
          <w:rFonts w:ascii="Aptos" w:eastAsia="Aptos" w:hAnsi="Aptos" w:cs="Aptos"/>
          <w:color w:val="000000" w:themeColor="text1"/>
          <w:vertAlign w:val="superscript"/>
        </w:rPr>
        <w:t>th</w:t>
      </w:r>
      <w:r w:rsidRPr="06DA267F">
        <w:rPr>
          <w:rFonts w:ascii="Aptos" w:eastAsia="Aptos" w:hAnsi="Aptos" w:cs="Aptos"/>
          <w:color w:val="000000" w:themeColor="text1"/>
        </w:rPr>
        <w:t xml:space="preserve"> October 2025)</w:t>
      </w:r>
    </w:p>
    <w:p w14:paraId="2A1D4C30" w14:textId="699129B5" w:rsidR="06DA267F" w:rsidRDefault="06DA267F" w:rsidP="06DA267F">
      <w:pPr>
        <w:rPr>
          <w:rFonts w:ascii="Aptos" w:eastAsia="Aptos" w:hAnsi="Aptos" w:cs="Aptos"/>
          <w:color w:val="000000" w:themeColor="text1"/>
        </w:rPr>
      </w:pPr>
    </w:p>
    <w:p w14:paraId="777FFEEE" w14:textId="07AE7692" w:rsidR="158ECF20" w:rsidRDefault="158ECF20" w:rsidP="06DA267F">
      <w:pPr>
        <w:spacing w:line="276" w:lineRule="auto"/>
        <w:jc w:val="both"/>
        <w:rPr>
          <w:rFonts w:ascii="Aptos" w:eastAsia="Aptos" w:hAnsi="Aptos" w:cs="Aptos"/>
          <w:color w:val="000000" w:themeColor="text1"/>
        </w:rPr>
      </w:pPr>
      <w:r w:rsidRPr="06DA267F">
        <w:rPr>
          <w:rFonts w:ascii="Aptos" w:eastAsia="Aptos" w:hAnsi="Aptos" w:cs="Aptos"/>
          <w:color w:val="000000" w:themeColor="text1"/>
        </w:rPr>
        <w:t xml:space="preserve">Waite, K. et al (2021) </w:t>
      </w:r>
      <w:r w:rsidRPr="06DA267F">
        <w:rPr>
          <w:rFonts w:ascii="Aptos" w:eastAsia="Aptos" w:hAnsi="Aptos" w:cs="Aptos"/>
          <w:i/>
          <w:iCs/>
          <w:color w:val="000000" w:themeColor="text1"/>
        </w:rPr>
        <w:t>People Practice: A Complete Guide</w:t>
      </w:r>
      <w:r w:rsidRPr="06DA267F">
        <w:rPr>
          <w:rFonts w:ascii="Aptos" w:eastAsia="Aptos" w:hAnsi="Aptos" w:cs="Aptos"/>
          <w:color w:val="000000" w:themeColor="text1"/>
        </w:rPr>
        <w:t>. London: Kogan Page</w:t>
      </w:r>
    </w:p>
    <w:p w14:paraId="2161F2E9" w14:textId="307C5C53" w:rsidR="06DA267F" w:rsidRDefault="06DA267F" w:rsidP="06DA267F">
      <w:pPr>
        <w:jc w:val="both"/>
      </w:pPr>
    </w:p>
    <w:p w14:paraId="5B53EE0C" w14:textId="7A05C5DC" w:rsidR="06DA267F" w:rsidRDefault="06DA267F" w:rsidP="06DA267F">
      <w:pPr>
        <w:jc w:val="both"/>
      </w:pPr>
    </w:p>
    <w:sectPr w:rsidR="06DA267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D8FEC76"/>
    <w:rsid w:val="002B80B5"/>
    <w:rsid w:val="004E6E54"/>
    <w:rsid w:val="00703CA7"/>
    <w:rsid w:val="00B92D2E"/>
    <w:rsid w:val="00D03C2E"/>
    <w:rsid w:val="010DE142"/>
    <w:rsid w:val="02732FED"/>
    <w:rsid w:val="0527A2AA"/>
    <w:rsid w:val="053EDC6C"/>
    <w:rsid w:val="05868D2F"/>
    <w:rsid w:val="06DA267F"/>
    <w:rsid w:val="06EE2792"/>
    <w:rsid w:val="082A6B5B"/>
    <w:rsid w:val="0993B031"/>
    <w:rsid w:val="0AABF7B2"/>
    <w:rsid w:val="0B4D97AC"/>
    <w:rsid w:val="0B91EC48"/>
    <w:rsid w:val="0F60863E"/>
    <w:rsid w:val="0FEE27E3"/>
    <w:rsid w:val="100A6C27"/>
    <w:rsid w:val="110FA233"/>
    <w:rsid w:val="1116D72C"/>
    <w:rsid w:val="12862BAA"/>
    <w:rsid w:val="129E813A"/>
    <w:rsid w:val="138BBC4D"/>
    <w:rsid w:val="1539F8AD"/>
    <w:rsid w:val="158ECF20"/>
    <w:rsid w:val="15BD1C31"/>
    <w:rsid w:val="164B3D8C"/>
    <w:rsid w:val="182A8A63"/>
    <w:rsid w:val="1A44C332"/>
    <w:rsid w:val="1AB0A1E0"/>
    <w:rsid w:val="1ACDEEFB"/>
    <w:rsid w:val="1E067A6F"/>
    <w:rsid w:val="1E1D1422"/>
    <w:rsid w:val="1F3CCDC4"/>
    <w:rsid w:val="1FBCEAFF"/>
    <w:rsid w:val="2030BDC4"/>
    <w:rsid w:val="205AA033"/>
    <w:rsid w:val="20FEB39D"/>
    <w:rsid w:val="2285AFBB"/>
    <w:rsid w:val="23ACDF2A"/>
    <w:rsid w:val="244D5EE7"/>
    <w:rsid w:val="255E147B"/>
    <w:rsid w:val="266F4220"/>
    <w:rsid w:val="2758231F"/>
    <w:rsid w:val="27BD43A6"/>
    <w:rsid w:val="27EE5527"/>
    <w:rsid w:val="290513F0"/>
    <w:rsid w:val="296FFDBE"/>
    <w:rsid w:val="29F99D68"/>
    <w:rsid w:val="2CD81286"/>
    <w:rsid w:val="2D0FE0D5"/>
    <w:rsid w:val="2DC9FA3D"/>
    <w:rsid w:val="2DD3E26A"/>
    <w:rsid w:val="2F62E11C"/>
    <w:rsid w:val="304618C1"/>
    <w:rsid w:val="30ED4579"/>
    <w:rsid w:val="34F2CED6"/>
    <w:rsid w:val="3593D659"/>
    <w:rsid w:val="35CBC8EA"/>
    <w:rsid w:val="36016DF8"/>
    <w:rsid w:val="38A24360"/>
    <w:rsid w:val="38E33C09"/>
    <w:rsid w:val="3920EF76"/>
    <w:rsid w:val="3980CCEA"/>
    <w:rsid w:val="3A058206"/>
    <w:rsid w:val="3A865EC9"/>
    <w:rsid w:val="3A9C281A"/>
    <w:rsid w:val="3F5F11D0"/>
    <w:rsid w:val="4044FC1C"/>
    <w:rsid w:val="440C5D30"/>
    <w:rsid w:val="462E7C00"/>
    <w:rsid w:val="4806B7BA"/>
    <w:rsid w:val="493B9394"/>
    <w:rsid w:val="4959A0A2"/>
    <w:rsid w:val="4991B6C2"/>
    <w:rsid w:val="49FE2BA9"/>
    <w:rsid w:val="4A8F22EB"/>
    <w:rsid w:val="4B51640C"/>
    <w:rsid w:val="4C97A882"/>
    <w:rsid w:val="4C9CAA40"/>
    <w:rsid w:val="4CE5F62B"/>
    <w:rsid w:val="4E4D021F"/>
    <w:rsid w:val="4E543A32"/>
    <w:rsid w:val="506A2280"/>
    <w:rsid w:val="51FBF8B5"/>
    <w:rsid w:val="53A22FDB"/>
    <w:rsid w:val="540D836C"/>
    <w:rsid w:val="54DAFC41"/>
    <w:rsid w:val="579F800D"/>
    <w:rsid w:val="58F6C9D3"/>
    <w:rsid w:val="599DA411"/>
    <w:rsid w:val="59D0B031"/>
    <w:rsid w:val="5CE3987A"/>
    <w:rsid w:val="5D8F604B"/>
    <w:rsid w:val="5DB02131"/>
    <w:rsid w:val="5E83B43F"/>
    <w:rsid w:val="5EED6AD8"/>
    <w:rsid w:val="5F31E342"/>
    <w:rsid w:val="60FFD3F7"/>
    <w:rsid w:val="61DDF705"/>
    <w:rsid w:val="65BBD810"/>
    <w:rsid w:val="664CB2B1"/>
    <w:rsid w:val="664CD67A"/>
    <w:rsid w:val="666F497A"/>
    <w:rsid w:val="66D1E373"/>
    <w:rsid w:val="67D4AE5A"/>
    <w:rsid w:val="68BF2A4D"/>
    <w:rsid w:val="69BF3C67"/>
    <w:rsid w:val="6A0D758F"/>
    <w:rsid w:val="6B4A853A"/>
    <w:rsid w:val="6BCF47B5"/>
    <w:rsid w:val="6C347FD6"/>
    <w:rsid w:val="6D8FEC76"/>
    <w:rsid w:val="6E48361B"/>
    <w:rsid w:val="6E4A9744"/>
    <w:rsid w:val="6FD31752"/>
    <w:rsid w:val="706A66E4"/>
    <w:rsid w:val="741967F1"/>
    <w:rsid w:val="74D38622"/>
    <w:rsid w:val="7553C022"/>
    <w:rsid w:val="75E2D2EA"/>
    <w:rsid w:val="75F61792"/>
    <w:rsid w:val="7800B20E"/>
    <w:rsid w:val="786DEAB4"/>
    <w:rsid w:val="7995EB2C"/>
    <w:rsid w:val="7A2CD972"/>
    <w:rsid w:val="7AA52785"/>
    <w:rsid w:val="7BC287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FEC76"/>
  <w15:chartTrackingRefBased/>
  <w15:docId w15:val="{02A50D28-95C9-4719-8637-323B3F8C9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6DA267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bitesize-research/balance-reward-package/" TargetMode="External"/><Relationship Id="rId18" Type="http://schemas.openxmlformats.org/officeDocument/2006/relationships/hyperlink" Target="https://www.cipd.org/uk/knowledge/factsheets/swot-analysis-factsheet/" TargetMode="External"/><Relationship Id="rId26" Type="http://schemas.openxmlformats.org/officeDocument/2006/relationships/hyperlink" Target="https://www.personneltoday.com/hr/what-are-the-organisational-culture-models/" TargetMode="External"/><Relationship Id="rId21" Type="http://schemas.openxmlformats.org/officeDocument/2006/relationships/hyperlink" Target="https://www.cipd.org/uk/knowledge/bitesize-research/balance-reward-package/" TargetMode="External"/><Relationship Id="rId34" Type="http://schemas.openxmlformats.org/officeDocument/2006/relationships/hyperlink" Target="https://www.health.org.uk/press-office/press-releases/uk-care-workforce-twice-as-likely-to-live-in-poverty-as-average-worker" TargetMode="External"/><Relationship Id="rId7" Type="http://schemas.openxmlformats.org/officeDocument/2006/relationships/image" Target="media/image4.png"/><Relationship Id="rId12" Type="http://schemas.openxmlformats.org/officeDocument/2006/relationships/hyperlink" Target="https://www.cipd.org/uk/knowledge/evidence-reviews/diversity-inclusion/" TargetMode="External"/><Relationship Id="rId17" Type="http://schemas.openxmlformats.org/officeDocument/2006/relationships/hyperlink" Target="https://www.cipd.org/uk/knowledge/factsheets/pestle-analysis-factsheet?ref=michaelhr.com" TargetMode="External"/><Relationship Id="rId25" Type="http://schemas.openxmlformats.org/officeDocument/2006/relationships/hyperlink" Target="https://www.ons.gov.uk/peoplepopulationandcommunity/birthsdeathsandmarriages/ageing/articles/olderpeoplelivingincarehomesin2021andchangessince2011/2023-10-09" TargetMode="External"/><Relationship Id="rId33" Type="http://schemas.openxmlformats.org/officeDocument/2006/relationships/hyperlink" Target="https://www.cipd.org/uk/knowledge/factsheets/well-being-factsheet/" TargetMode="External"/><Relationship Id="rId2" Type="http://schemas.openxmlformats.org/officeDocument/2006/relationships/settings" Target="settings.xml"/><Relationship Id="rId16" Type="http://schemas.openxmlformats.org/officeDocument/2006/relationships/hyperlink" Target="https://www.cipd.org/uk/knowledge/guides/inclusive-employers/" TargetMode="External"/><Relationship Id="rId20" Type="http://schemas.openxmlformats.org/officeDocument/2006/relationships/hyperlink" Target="https://www.cipd.org/uk/knowledge/factsheets/strategic-total-factsheet/" TargetMode="External"/><Relationship Id="rId29" Type="http://schemas.openxmlformats.org/officeDocument/2006/relationships/hyperlink" Target="https://doi.org/10.18278/jep.1.2.7"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doi.org/10.1108/JOEPP-08-2014-0042" TargetMode="External"/><Relationship Id="rId24" Type="http://schemas.openxmlformats.org/officeDocument/2006/relationships/hyperlink" Target="https://www.england.nhs.uk/wp-content/uploads/2023/06/nhs-long-term-workforce-plan-v1.2.pdf" TargetMode="External"/><Relationship Id="rId32" Type="http://schemas.openxmlformats.org/officeDocument/2006/relationships/hyperlink" Target="https://www.cipd.org/uk/knowledge/factsheets/discipline-factsheet/" TargetMode="External"/><Relationship Id="rId37"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hyperlink" Target="https://www.cipd.org/uk/the-people-profession/the-profession-map/explore-the-profession-map/specialist-knowledge/wellbeing/" TargetMode="External"/><Relationship Id="rId23" Type="http://schemas.openxmlformats.org/officeDocument/2006/relationships/hyperlink" Target="https://www.kotterinc.com/wp-content/uploads/2024/06/8-Steps-eBook_2024-Update2.pdf?utm_campaign=Marketing_8%20Steps%20eBook%20Download&amp;utm_source=email&amp;utm_content=Thank%20You" TargetMode="External"/><Relationship Id="rId28" Type="http://schemas.openxmlformats.org/officeDocument/2006/relationships/hyperlink" Target="https://www.youtube.com/watch?v=rh5Egsa-bg4" TargetMode="External"/><Relationship Id="rId36" Type="http://schemas.openxmlformats.org/officeDocument/2006/relationships/fontTable" Target="fontTable.xml"/><Relationship Id="rId10" Type="http://schemas.openxmlformats.org/officeDocument/2006/relationships/hyperlink" Target="https://www.emerald.com/insight/publication/issn/2051-6614" TargetMode="External"/><Relationship Id="rId19" Type="http://schemas.openxmlformats.org/officeDocument/2006/relationships/hyperlink" Target="https://www.cipd.org/uk/knowledge/podcasts/employee-engagement-and-the-evolving-psychological-contract/" TargetMode="External"/><Relationship Id="rId31" Type="http://schemas.openxmlformats.org/officeDocument/2006/relationships/hyperlink" Target="https://pubmed.ncbi.nlm.nih.gov/35169787/" TargetMode="External"/><Relationship Id="rId4" Type="http://schemas.openxmlformats.org/officeDocument/2006/relationships/image" Target="media/image1.png"/><Relationship Id="rId9" Type="http://schemas.openxmlformats.org/officeDocument/2006/relationships/hyperlink" Target="https://userguiding.com/blog/kubler-ross-change-curve-model/" TargetMode="External"/><Relationship Id="rId14" Type="http://schemas.openxmlformats.org/officeDocument/2006/relationships/hyperlink" Target="https://www.cipd.org/uk/knowledge/reports/goodwork/wales/" TargetMode="External"/><Relationship Id="rId22" Type="http://schemas.openxmlformats.org/officeDocument/2006/relationships/hyperlink" Target="https://wcpp.org.uk/commentary/social-care-workforce-crisis-in-wales-what-is-causing-it-and-what-is-being-done-to-fix-it/" TargetMode="External"/><Relationship Id="rId27" Type="http://schemas.openxmlformats.org/officeDocument/2006/relationships/hyperlink" Target="https://www.cipd.org/uk/knowledge/guides/change-management/" TargetMode="External"/><Relationship Id="rId30" Type="http://schemas.openxmlformats.org/officeDocument/2006/relationships/hyperlink" Target="http://www.ncbi.nlm.nih.gov/pmc/articles/pmc8841953/" TargetMode="External"/><Relationship Id="rId35" Type="http://schemas.openxmlformats.org/officeDocument/2006/relationships/hyperlink" Target="https://greatermanchester.ac.uk/blogs/how-technology-is-improving-nursing-home-care" TargetMode="External"/><Relationship Id="rId8" Type="http://schemas.openxmlformats.org/officeDocument/2006/relationships/image" Target="media/image5.pn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6002</Words>
  <Characters>37218</Characters>
  <Application>Microsoft Office Word</Application>
  <DocSecurity>0</DocSecurity>
  <Lines>641</Lines>
  <Paragraphs>138</Paragraphs>
  <ScaleCrop>false</ScaleCrop>
  <Company/>
  <LinksUpToDate>false</LinksUpToDate>
  <CharactersWithSpaces>43082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Celia Stavarache</dc:creator>
  <cp:keywords/>
  <dc:description/>
  <cp:lastModifiedBy>Celia Stavarache</cp:lastModifiedBy>
  <cp:revision>3</cp:revision>
  <dcterms:created xsi:type="dcterms:W3CDTF">2025-11-30T12:40:00Z</dcterms:created>
  <dcterms:modified xsi:type="dcterms:W3CDTF">2025-12-01T09:31:00Z</dcterms:modified>
</cp:coreProperties>
</file>