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2A04FBC"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2F4CA6">
        <w:rPr>
          <w:rFonts w:asciiTheme="minorBidi" w:hAnsiTheme="minorBidi"/>
          <w:sz w:val="28"/>
          <w:szCs w:val="28"/>
        </w:rPr>
        <w:t>Soner Yarasikli</w:t>
      </w:r>
    </w:p>
    <w:p w14:paraId="485B6F49" w14:textId="2A9F11AE"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2F4CA6">
        <w:rPr>
          <w:rFonts w:asciiTheme="minorBidi" w:hAnsiTheme="minorBidi"/>
          <w:sz w:val="28"/>
          <w:szCs w:val="28"/>
        </w:rPr>
        <w:t>2519545</w:t>
      </w:r>
    </w:p>
    <w:p w14:paraId="3C1E7A20" w14:textId="7FE7AE8B"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2F4CA6" w:rsidRPr="002F4CA6">
        <w:rPr>
          <w:rFonts w:asciiTheme="minorBidi" w:hAnsiTheme="minorBidi"/>
          <w:sz w:val="28"/>
          <w:szCs w:val="28"/>
        </w:rPr>
        <w:t>LCHS4001</w:t>
      </w:r>
    </w:p>
    <w:p w14:paraId="4EEB2DA3" w14:textId="637CD5DD"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B67099" w:rsidRPr="00B67099">
        <w:rPr>
          <w:rFonts w:asciiTheme="minorBidi" w:hAnsiTheme="minorBidi"/>
          <w:sz w:val="28"/>
          <w:szCs w:val="28"/>
        </w:rPr>
        <w:t>Academic and Employability Skills</w:t>
      </w:r>
    </w:p>
    <w:p w14:paraId="112342CB" w14:textId="1BD5AB0B"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B67099" w:rsidRPr="00B67099">
        <w:rPr>
          <w:rFonts w:asciiTheme="minorBidi" w:hAnsiTheme="minorBidi"/>
          <w:sz w:val="28"/>
          <w:szCs w:val="28"/>
        </w:rPr>
        <w:t>Reza Taghizadeh </w:t>
      </w:r>
    </w:p>
    <w:p w14:paraId="072506E1" w14:textId="2AD94E0F" w:rsidR="00ED5964"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B156D4">
        <w:rPr>
          <w:rFonts w:asciiTheme="minorBidi" w:hAnsiTheme="minorBidi"/>
          <w:sz w:val="28"/>
          <w:szCs w:val="28"/>
        </w:rPr>
        <w:t>26/03/2026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1885690B" w14:textId="77777777" w:rsidR="002F4CA6" w:rsidRDefault="002F4CA6" w:rsidP="00ED5964">
      <w:pPr>
        <w:jc w:val="both"/>
        <w:rPr>
          <w:rFonts w:asciiTheme="minorBidi" w:hAnsiTheme="minorBidi"/>
          <w:sz w:val="28"/>
          <w:szCs w:val="28"/>
        </w:rPr>
      </w:pPr>
    </w:p>
    <w:p w14:paraId="69E9F527" w14:textId="77777777" w:rsidR="00B156D4" w:rsidRDefault="00B156D4" w:rsidP="00ED5964">
      <w:pPr>
        <w:jc w:val="both"/>
        <w:rPr>
          <w:rFonts w:asciiTheme="minorBidi" w:hAnsiTheme="minorBidi"/>
          <w:sz w:val="28"/>
          <w:szCs w:val="28"/>
        </w:rPr>
      </w:pPr>
    </w:p>
    <w:p w14:paraId="682BDEFD" w14:textId="77777777" w:rsidR="00B156D4" w:rsidRDefault="00B156D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p w14:paraId="3818598B" w14:textId="77777777" w:rsidR="00CC62E2" w:rsidRPr="00CC62E2" w:rsidRDefault="00CC62E2" w:rsidP="00CC62E2">
      <w:pPr>
        <w:jc w:val="both"/>
        <w:rPr>
          <w:rFonts w:asciiTheme="minorBidi" w:hAnsiTheme="minorBidi"/>
          <w:sz w:val="22"/>
        </w:rPr>
      </w:pPr>
      <w:r w:rsidRPr="00CC62E2">
        <w:rPr>
          <w:rFonts w:asciiTheme="minorBidi" w:hAnsiTheme="minorBidi"/>
          <w:sz w:val="22"/>
        </w:rPr>
        <w:t>Table of Contents</w:t>
      </w:r>
    </w:p>
    <w:p w14:paraId="19300330" w14:textId="77777777" w:rsidR="00CC62E2" w:rsidRPr="00CC62E2" w:rsidRDefault="00CC62E2" w:rsidP="00CC62E2">
      <w:pPr>
        <w:jc w:val="both"/>
        <w:rPr>
          <w:rFonts w:asciiTheme="minorBidi" w:hAnsiTheme="minorBidi"/>
          <w:sz w:val="22"/>
        </w:rPr>
      </w:pPr>
      <w:r w:rsidRPr="00CC62E2">
        <w:rPr>
          <w:rFonts w:asciiTheme="minorBidi" w:hAnsiTheme="minorBidi"/>
          <w:sz w:val="22"/>
        </w:rPr>
        <w:t xml:space="preserve">1: Written Report </w:t>
      </w:r>
    </w:p>
    <w:p w14:paraId="61F70C2C" w14:textId="77777777" w:rsidR="00CC62E2" w:rsidRPr="00CC62E2" w:rsidRDefault="00CC62E2" w:rsidP="00CC62E2">
      <w:pPr>
        <w:jc w:val="both"/>
        <w:rPr>
          <w:rFonts w:asciiTheme="minorBidi" w:hAnsiTheme="minorBidi"/>
          <w:sz w:val="22"/>
        </w:rPr>
      </w:pPr>
      <w:r w:rsidRPr="00CC62E2">
        <w:rPr>
          <w:rFonts w:asciiTheme="minorBidi" w:hAnsiTheme="minorBidi"/>
          <w:sz w:val="22"/>
        </w:rPr>
        <w:t xml:space="preserve">1.1 Introduction </w:t>
      </w:r>
    </w:p>
    <w:p w14:paraId="5D9AD59D" w14:textId="1FB38481" w:rsidR="00CC62E2" w:rsidRPr="00CC62E2" w:rsidRDefault="00CC62E2" w:rsidP="00CC62E2">
      <w:pPr>
        <w:jc w:val="both"/>
        <w:rPr>
          <w:rFonts w:asciiTheme="minorBidi" w:hAnsiTheme="minorBidi"/>
          <w:sz w:val="22"/>
        </w:rPr>
      </w:pPr>
      <w:r w:rsidRPr="00CC62E2">
        <w:rPr>
          <w:rFonts w:asciiTheme="minorBidi" w:hAnsiTheme="minorBidi"/>
          <w:sz w:val="22"/>
        </w:rPr>
        <w:t>1.2 Description of</w:t>
      </w:r>
      <w:r w:rsidR="00FC50F7">
        <w:rPr>
          <w:rFonts w:asciiTheme="minorBidi" w:hAnsiTheme="minorBidi"/>
          <w:sz w:val="22"/>
        </w:rPr>
        <w:t xml:space="preserve"> </w:t>
      </w:r>
      <w:r w:rsidRPr="00CC62E2">
        <w:rPr>
          <w:rFonts w:asciiTheme="minorBidi" w:hAnsiTheme="minorBidi"/>
          <w:sz w:val="22"/>
        </w:rPr>
        <w:t>supported ho</w:t>
      </w:r>
      <w:r>
        <w:rPr>
          <w:rFonts w:asciiTheme="minorBidi" w:hAnsiTheme="minorBidi"/>
          <w:sz w:val="22"/>
        </w:rPr>
        <w:t>us</w:t>
      </w:r>
      <w:r w:rsidRPr="00CC62E2">
        <w:rPr>
          <w:rFonts w:asciiTheme="minorBidi" w:hAnsiTheme="minorBidi"/>
          <w:sz w:val="22"/>
        </w:rPr>
        <w:t>ing</w:t>
      </w:r>
      <w:r>
        <w:rPr>
          <w:rFonts w:asciiTheme="minorBidi" w:hAnsiTheme="minorBidi"/>
          <w:sz w:val="22"/>
        </w:rPr>
        <w:t xml:space="preserve"> support</w:t>
      </w:r>
      <w:r w:rsidRPr="00CC62E2">
        <w:rPr>
          <w:rFonts w:asciiTheme="minorBidi" w:hAnsiTheme="minorBidi"/>
          <w:sz w:val="22"/>
        </w:rPr>
        <w:t xml:space="preserve"> worker in healthcare </w:t>
      </w:r>
    </w:p>
    <w:p w14:paraId="1801DBE1" w14:textId="53C65215" w:rsidR="00CC62E2" w:rsidRPr="00CC62E2" w:rsidRDefault="00CC62E2" w:rsidP="00CC62E2">
      <w:pPr>
        <w:jc w:val="both"/>
        <w:rPr>
          <w:rFonts w:asciiTheme="minorBidi" w:hAnsiTheme="minorBidi"/>
          <w:sz w:val="22"/>
        </w:rPr>
      </w:pPr>
      <w:r w:rsidRPr="00CC62E2">
        <w:rPr>
          <w:rFonts w:asciiTheme="minorBidi" w:hAnsiTheme="minorBidi"/>
          <w:sz w:val="22"/>
        </w:rPr>
        <w:t xml:space="preserve">1.4 Strategies to improve the skills for supported housing </w:t>
      </w:r>
      <w:r>
        <w:rPr>
          <w:rFonts w:asciiTheme="minorBidi" w:hAnsiTheme="minorBidi"/>
          <w:sz w:val="22"/>
        </w:rPr>
        <w:t xml:space="preserve">support </w:t>
      </w:r>
      <w:r w:rsidRPr="00CC62E2">
        <w:rPr>
          <w:rFonts w:asciiTheme="minorBidi" w:hAnsiTheme="minorBidi"/>
          <w:sz w:val="22"/>
        </w:rPr>
        <w:t xml:space="preserve">worker </w:t>
      </w:r>
    </w:p>
    <w:p w14:paraId="1A5CF32C" w14:textId="77777777" w:rsidR="00CC62E2" w:rsidRPr="00CC62E2" w:rsidRDefault="00CC62E2" w:rsidP="00CC62E2">
      <w:pPr>
        <w:jc w:val="both"/>
        <w:rPr>
          <w:rFonts w:asciiTheme="minorBidi" w:hAnsiTheme="minorBidi"/>
          <w:sz w:val="22"/>
        </w:rPr>
      </w:pPr>
      <w:r w:rsidRPr="00CC62E2">
        <w:rPr>
          <w:rFonts w:asciiTheme="minorBidi" w:hAnsiTheme="minorBidi"/>
          <w:sz w:val="22"/>
        </w:rPr>
        <w:t>1.4 Conclusion</w:t>
      </w:r>
    </w:p>
    <w:p w14:paraId="3E34A5EF" w14:textId="6F119162" w:rsidR="002E71BA" w:rsidRPr="00B156D4" w:rsidRDefault="00CC62E2" w:rsidP="00B156D4">
      <w:pPr>
        <w:jc w:val="both"/>
        <w:rPr>
          <w:rFonts w:asciiTheme="minorBidi" w:hAnsiTheme="minorBidi"/>
          <w:sz w:val="22"/>
        </w:rPr>
      </w:pPr>
      <w:r w:rsidRPr="00CC62E2">
        <w:rPr>
          <w:rFonts w:asciiTheme="minorBidi" w:hAnsiTheme="minorBidi"/>
          <w:sz w:val="22"/>
        </w:rPr>
        <w:t>1.5 Reference List</w:t>
      </w:r>
    </w:p>
    <w:p w14:paraId="77C18CB4" w14:textId="0BAF03F8" w:rsidR="00933720" w:rsidRPr="005826C2" w:rsidRDefault="00CC62E2" w:rsidP="00CC62E2">
      <w:pPr>
        <w:pStyle w:val="Heading1"/>
        <w:jc w:val="center"/>
        <w:rPr>
          <w:rFonts w:ascii="Arial" w:hAnsi="Arial" w:cs="Arial"/>
          <w:color w:val="000000" w:themeColor="text1"/>
        </w:rPr>
      </w:pPr>
      <w:r w:rsidRPr="005826C2">
        <w:rPr>
          <w:rFonts w:ascii="Arial" w:hAnsi="Arial" w:cs="Arial"/>
          <w:color w:val="000000" w:themeColor="text1"/>
        </w:rPr>
        <w:lastRenderedPageBreak/>
        <w:t>Supported Housing Support Worker</w:t>
      </w:r>
    </w:p>
    <w:p w14:paraId="7E817B09" w14:textId="7D3A23D8" w:rsidR="00A035CD" w:rsidRPr="00FC50F7" w:rsidRDefault="00A035CD" w:rsidP="008E767A">
      <w:pPr>
        <w:pStyle w:val="Heading2"/>
        <w:numPr>
          <w:ilvl w:val="1"/>
          <w:numId w:val="23"/>
        </w:numPr>
        <w:rPr>
          <w:rFonts w:ascii="Arial" w:hAnsi="Arial" w:cs="Arial"/>
          <w:b/>
          <w:bCs/>
          <w:color w:val="000000" w:themeColor="text1"/>
          <w:sz w:val="24"/>
          <w:szCs w:val="24"/>
        </w:rPr>
      </w:pPr>
      <w:bookmarkStart w:id="0" w:name="_Toc224677529"/>
      <w:r w:rsidRPr="00FC50F7">
        <w:rPr>
          <w:rFonts w:ascii="Arial" w:hAnsi="Arial" w:cs="Arial"/>
          <w:b/>
          <w:bCs/>
          <w:color w:val="000000" w:themeColor="text1"/>
          <w:sz w:val="24"/>
          <w:szCs w:val="24"/>
        </w:rPr>
        <w:t>Introduction</w:t>
      </w:r>
      <w:bookmarkEnd w:id="0"/>
    </w:p>
    <w:p w14:paraId="13A87AA1" w14:textId="77777777" w:rsidR="001D4DF2" w:rsidRPr="003B180C" w:rsidRDefault="001D4DF2" w:rsidP="001D4DF2">
      <w:pPr>
        <w:pStyle w:val="ListParagraph"/>
        <w:ind w:left="435"/>
        <w:rPr>
          <w:rFonts w:ascii="Arial" w:hAnsi="Arial" w:cs="Arial"/>
          <w:sz w:val="22"/>
        </w:rPr>
      </w:pPr>
      <w:r w:rsidRPr="003B180C">
        <w:rPr>
          <w:rFonts w:ascii="Arial" w:hAnsi="Arial" w:cs="Arial"/>
          <w:sz w:val="22"/>
        </w:rPr>
        <w:t>The role of a Housing Support Worker has seen a significant increase in demand due to the rising number of individuals facing housing instability. This trend is driven by complex socioeconomic factors, including the risk of homelessness, mental health challenges, physical or learning disabilities, and financial hardship. The core function of this role involves conducting regular site visits to provide holistic interventions aimed at tenancy maintenance. By fostering essential life skills and addressing personal vulnerabilities, support workers play a critical role in facilitating independent living and ensuring long-term residential stability for marginalized populations. This report will explain why supported housing support worker role is important in health and social care.</w:t>
      </w:r>
    </w:p>
    <w:p w14:paraId="4CC61BC1" w14:textId="77777777" w:rsidR="00F36ADC" w:rsidRPr="005826C2" w:rsidRDefault="00F36ADC" w:rsidP="00500295">
      <w:pPr>
        <w:spacing w:after="0" w:line="240" w:lineRule="auto"/>
        <w:jc w:val="both"/>
        <w:rPr>
          <w:rFonts w:ascii="Arial" w:hAnsi="Arial" w:cs="Arial"/>
          <w:sz w:val="21"/>
          <w:szCs w:val="21"/>
        </w:rPr>
      </w:pPr>
    </w:p>
    <w:p w14:paraId="5431A1CF" w14:textId="77777777" w:rsidR="00552A95" w:rsidRPr="00FC50F7" w:rsidRDefault="006912C4" w:rsidP="00552A95">
      <w:pPr>
        <w:pStyle w:val="Heading2"/>
        <w:numPr>
          <w:ilvl w:val="1"/>
          <w:numId w:val="23"/>
        </w:numPr>
        <w:shd w:val="clear" w:color="auto" w:fill="FFFFFF"/>
        <w:spacing w:line="360" w:lineRule="atLeast"/>
        <w:rPr>
          <w:rFonts w:ascii="Arial" w:eastAsia="Times New Roman" w:hAnsi="Arial" w:cs="Arial"/>
          <w:b/>
          <w:bCs/>
          <w:color w:val="0A0A0A"/>
          <w:kern w:val="0"/>
          <w:sz w:val="24"/>
          <w:szCs w:val="24"/>
          <w:lang w:eastAsia="en-GB"/>
          <w14:ligatures w14:val="none"/>
        </w:rPr>
      </w:pPr>
      <w:bookmarkStart w:id="1" w:name="_Toc224677530"/>
      <w:r w:rsidRPr="00FC50F7">
        <w:rPr>
          <w:rFonts w:ascii="Arial" w:hAnsi="Arial" w:cs="Arial"/>
          <w:b/>
          <w:bCs/>
          <w:color w:val="000000" w:themeColor="text1"/>
          <w:sz w:val="24"/>
          <w:szCs w:val="24"/>
        </w:rPr>
        <w:t>Description</w:t>
      </w:r>
      <w:r w:rsidR="00070818" w:rsidRPr="00FC50F7">
        <w:rPr>
          <w:rFonts w:ascii="Arial" w:hAnsi="Arial" w:cs="Arial"/>
          <w:b/>
          <w:bCs/>
          <w:color w:val="000000" w:themeColor="text1"/>
          <w:sz w:val="24"/>
          <w:szCs w:val="24"/>
        </w:rPr>
        <w:t xml:space="preserve"> </w:t>
      </w:r>
      <w:bookmarkEnd w:id="1"/>
    </w:p>
    <w:p w14:paraId="7BF014CE" w14:textId="288C0537" w:rsidR="00B156D4" w:rsidRPr="00B156D4" w:rsidRDefault="00B156D4" w:rsidP="00B156D4">
      <w:pPr>
        <w:ind w:left="435"/>
        <w:rPr>
          <w:rFonts w:ascii="Arial" w:hAnsi="Arial" w:cs="Arial"/>
          <w:sz w:val="22"/>
        </w:rPr>
      </w:pPr>
      <w:r w:rsidRPr="00B156D4">
        <w:rPr>
          <w:rFonts w:ascii="Arial" w:hAnsi="Arial" w:cs="Arial"/>
          <w:sz w:val="22"/>
        </w:rPr>
        <w:t>Working as a Housing Support Worker is a deeply practical role that focuses on providing housing-related assistance to vulnerable adults who often come from complex backgrounds. The core of this position is built on a preventative, low-level service model. The goal is to intervene early and facilitate a smoother transition toward independent living and helping to individuals to develop personal skills and create sustainable pathways that lead to long-term self-reliance and building independent living skills. Beyond the office or residential setting, the role also involves vital outreach support. This "on-the-ground" work is essential for promoting tenancy sustainment and helping vulnerable populations reclaim their autonomy over the long term (</w:t>
      </w:r>
      <w:r w:rsidRPr="00B156D4">
        <w:rPr>
          <w:rFonts w:ascii="Arial" w:hAnsi="Arial" w:cs="Arial"/>
          <w:b/>
          <w:bCs/>
          <w:sz w:val="22"/>
        </w:rPr>
        <w:t>NHS Jobs, 2026</w:t>
      </w:r>
      <w:r w:rsidRPr="00B156D4">
        <w:rPr>
          <w:rFonts w:ascii="Arial" w:hAnsi="Arial" w:cs="Arial"/>
          <w:sz w:val="22"/>
        </w:rPr>
        <w:t>).</w:t>
      </w:r>
    </w:p>
    <w:p w14:paraId="445B1CE5" w14:textId="77777777" w:rsidR="00B156D4" w:rsidRPr="007A0A78" w:rsidRDefault="00B156D4" w:rsidP="00B156D4">
      <w:pPr>
        <w:pStyle w:val="ListParagraph"/>
        <w:ind w:left="435"/>
        <w:rPr>
          <w:rFonts w:ascii="Arial" w:hAnsi="Arial" w:cs="Arial"/>
          <w:sz w:val="22"/>
        </w:rPr>
      </w:pPr>
      <w:r w:rsidRPr="003650B6">
        <w:rPr>
          <w:rFonts w:ascii="Arial" w:hAnsi="Arial" w:cs="Arial"/>
          <w:sz w:val="22"/>
        </w:rPr>
        <w:t>Becoming a successful supported housing support worker requires a unique synthesis of skills. It isn’t enough to just be good with people; also need advanced interpersonal competencies, practical life-management experience, and a high level of administrative proficiency to keep track of progress and compliance. The work is fundamentally centred on providing highly specific, tailored interventions for people who may be experiencing homelessness, struggling with mental health complexities, or navigating neurodevelopmental disorders. The ultimate objective of these interventions is to bridge the gap between instability and independence. By offering consistent, compassionate guidance, practitioners help these individuals move toward the successful maintenance of their own independent tenancies, ensuring they have a stable foundation for the future (</w:t>
      </w:r>
      <w:r w:rsidRPr="003650B6">
        <w:rPr>
          <w:rFonts w:ascii="Arial" w:hAnsi="Arial" w:cs="Arial"/>
          <w:b/>
          <w:bCs/>
          <w:sz w:val="22"/>
        </w:rPr>
        <w:t>Skills for Care, 2026</w:t>
      </w:r>
      <w:r w:rsidRPr="003650B6">
        <w:rPr>
          <w:rFonts w:ascii="Arial" w:hAnsi="Arial" w:cs="Arial"/>
          <w:sz w:val="22"/>
        </w:rPr>
        <w:t>).</w:t>
      </w:r>
    </w:p>
    <w:p w14:paraId="425D6155" w14:textId="22F60E0C" w:rsidR="00676FEB" w:rsidRPr="005826C2" w:rsidRDefault="00676FEB" w:rsidP="00676FEB">
      <w:pPr>
        <w:spacing w:after="0" w:line="240" w:lineRule="auto"/>
        <w:jc w:val="both"/>
        <w:rPr>
          <w:rFonts w:ascii="Arial" w:hAnsi="Arial" w:cs="Arial"/>
          <w:sz w:val="21"/>
          <w:szCs w:val="21"/>
        </w:rPr>
      </w:pPr>
    </w:p>
    <w:p w14:paraId="4010C35E" w14:textId="677DCEBA" w:rsidR="00EC7EBE" w:rsidRPr="00FC50F7" w:rsidRDefault="00805726" w:rsidP="001D4DF2">
      <w:pPr>
        <w:pStyle w:val="ListParagraph"/>
        <w:numPr>
          <w:ilvl w:val="1"/>
          <w:numId w:val="23"/>
        </w:numPr>
        <w:spacing w:after="0" w:line="240" w:lineRule="auto"/>
        <w:jc w:val="both"/>
        <w:rPr>
          <w:rFonts w:ascii="Arial" w:hAnsi="Arial" w:cs="Arial"/>
          <w:b/>
          <w:bCs/>
          <w:color w:val="000000" w:themeColor="text1"/>
          <w:sz w:val="24"/>
          <w:szCs w:val="24"/>
        </w:rPr>
      </w:pPr>
      <w:r w:rsidRPr="00FC50F7">
        <w:rPr>
          <w:rFonts w:ascii="Arial" w:hAnsi="Arial" w:cs="Arial"/>
          <w:b/>
          <w:bCs/>
          <w:color w:val="000000" w:themeColor="text1"/>
          <w:sz w:val="24"/>
          <w:szCs w:val="24"/>
        </w:rPr>
        <w:t xml:space="preserve">Evaluation of the </w:t>
      </w:r>
      <w:r w:rsidR="00D4006B" w:rsidRPr="00FC50F7">
        <w:rPr>
          <w:rFonts w:ascii="Arial" w:hAnsi="Arial" w:cs="Arial"/>
          <w:b/>
          <w:bCs/>
          <w:color w:val="000000" w:themeColor="text1"/>
          <w:sz w:val="24"/>
          <w:szCs w:val="24"/>
        </w:rPr>
        <w:t xml:space="preserve">skills needed for </w:t>
      </w:r>
      <w:r w:rsidR="002F4CA6" w:rsidRPr="00FC50F7">
        <w:rPr>
          <w:rFonts w:ascii="Arial" w:hAnsi="Arial" w:cs="Arial"/>
          <w:b/>
          <w:bCs/>
          <w:color w:val="000000" w:themeColor="text1"/>
          <w:sz w:val="24"/>
          <w:szCs w:val="24"/>
        </w:rPr>
        <w:t>supported housing support worker</w:t>
      </w:r>
      <w:r w:rsidR="007138EF" w:rsidRPr="00FC50F7">
        <w:rPr>
          <w:rFonts w:ascii="Arial" w:hAnsi="Arial" w:cs="Arial"/>
          <w:b/>
          <w:bCs/>
          <w:color w:val="000000" w:themeColor="text1"/>
          <w:sz w:val="24"/>
          <w:szCs w:val="24"/>
        </w:rPr>
        <w:t xml:space="preserve"> in </w:t>
      </w:r>
      <w:r w:rsidR="002F4CA6" w:rsidRPr="00FC50F7">
        <w:rPr>
          <w:rFonts w:ascii="Arial" w:hAnsi="Arial" w:cs="Arial"/>
          <w:b/>
          <w:bCs/>
          <w:color w:val="000000" w:themeColor="text1"/>
          <w:sz w:val="24"/>
          <w:szCs w:val="24"/>
        </w:rPr>
        <w:t>h</w:t>
      </w:r>
      <w:r w:rsidR="007138EF" w:rsidRPr="00FC50F7">
        <w:rPr>
          <w:rFonts w:ascii="Arial" w:hAnsi="Arial" w:cs="Arial"/>
          <w:b/>
          <w:bCs/>
          <w:color w:val="000000" w:themeColor="text1"/>
          <w:sz w:val="24"/>
          <w:szCs w:val="24"/>
        </w:rPr>
        <w:t>ealthcare</w:t>
      </w:r>
    </w:p>
    <w:p w14:paraId="5EBDF95B" w14:textId="77777777" w:rsidR="001D4DF2" w:rsidRPr="005826C2" w:rsidRDefault="001D4DF2" w:rsidP="001D4DF2">
      <w:pPr>
        <w:spacing w:after="0" w:line="240" w:lineRule="auto"/>
        <w:jc w:val="both"/>
        <w:rPr>
          <w:rFonts w:ascii="Arial" w:hAnsi="Arial" w:cs="Arial"/>
          <w:color w:val="000000" w:themeColor="text1"/>
          <w:sz w:val="28"/>
          <w:szCs w:val="28"/>
        </w:rPr>
      </w:pPr>
    </w:p>
    <w:p w14:paraId="145E8D82" w14:textId="7D57C01C" w:rsidR="003B180C" w:rsidRPr="003B180C" w:rsidRDefault="00B339F1" w:rsidP="003B180C">
      <w:pPr>
        <w:ind w:left="435"/>
        <w:rPr>
          <w:rFonts w:ascii="Arial" w:hAnsi="Arial" w:cs="Arial"/>
          <w:sz w:val="22"/>
        </w:rPr>
      </w:pPr>
      <w:r w:rsidRPr="003B180C">
        <w:rPr>
          <w:rFonts w:ascii="Arial" w:hAnsi="Arial" w:cs="Arial"/>
          <w:sz w:val="22"/>
        </w:rPr>
        <w:t xml:space="preserve">The primary competencies essential for a supported housing </w:t>
      </w:r>
      <w:r w:rsidR="00005E4D">
        <w:rPr>
          <w:rFonts w:ascii="Arial" w:hAnsi="Arial" w:cs="Arial"/>
          <w:sz w:val="22"/>
        </w:rPr>
        <w:t>support worker</w:t>
      </w:r>
      <w:r w:rsidRPr="003B180C">
        <w:rPr>
          <w:rFonts w:ascii="Arial" w:hAnsi="Arial" w:cs="Arial"/>
          <w:sz w:val="22"/>
        </w:rPr>
        <w:t xml:space="preserve"> encompass advanced communication, empathy, rigorous analysis, and proactive problem-solving. Within the complex landscape of supported housing, these skills are fundamental to achieving efficacious, person-centred outcomes that prioritise the service user's unique circumstances (Department of Health, 2014). Proficient communication transcends basic interaction; it necessitates a sophisticated integration of active listening, the interpretation of non-verbal cues, and the cultivation of authentic rapport (Andrews, 2024). By establishing this foundational trust, support workers ensure that individual needs and personal preferences are accurately identified a core principle </w:t>
      </w:r>
      <w:r w:rsidRPr="003B180C">
        <w:rPr>
          <w:rFonts w:ascii="Arial" w:hAnsi="Arial" w:cs="Arial"/>
          <w:sz w:val="22"/>
        </w:rPr>
        <w:lastRenderedPageBreak/>
        <w:t>of the humanistic approach, which emphasises empathy and unconditional positive regard to foster a supportive environment (Cuff et al., 2016). Furthermore, the exigencies of contemporary healthcare demand that practitioners possess the linguistic precision to convey complex medical data and negotiate support plans effectively, ensuring that service users remain active participants in their own care trajectories (MGI Learning, 2025).</w:t>
      </w:r>
    </w:p>
    <w:p w14:paraId="7866D5A1" w14:textId="560E4C75" w:rsidR="00483201" w:rsidRPr="003B180C" w:rsidRDefault="00B339F1" w:rsidP="003B180C">
      <w:pPr>
        <w:ind w:left="435"/>
        <w:rPr>
          <w:rFonts w:ascii="Arial" w:hAnsi="Arial" w:cs="Arial"/>
          <w:color w:val="000000" w:themeColor="text1"/>
          <w:sz w:val="22"/>
        </w:rPr>
      </w:pPr>
      <w:r w:rsidRPr="003B180C">
        <w:rPr>
          <w:rFonts w:ascii="Arial" w:hAnsi="Arial" w:cs="Arial"/>
          <w:sz w:val="22"/>
        </w:rPr>
        <w:t>In addition to</w:t>
      </w:r>
      <w:r w:rsidR="00EB6838">
        <w:rPr>
          <w:rFonts w:ascii="Arial" w:hAnsi="Arial" w:cs="Arial"/>
          <w:sz w:val="22"/>
        </w:rPr>
        <w:t xml:space="preserve"> these</w:t>
      </w:r>
      <w:r w:rsidRPr="003B180C">
        <w:rPr>
          <w:rFonts w:ascii="Arial" w:hAnsi="Arial" w:cs="Arial"/>
          <w:sz w:val="22"/>
        </w:rPr>
        <w:t xml:space="preserve"> skills, the capacity for keen observation and clinical analysis is instrumental in safeguarding holistic well-being. Support workers must maintain high vigilance regarding an individual’s behaviour and physical indicators to detect subtle longitudinal changes in their health or psychological status (Walton, Antaki and Finlay, 2020). Recognising variations in energy levels, emotional regulation, or physical functionality such as increased restlessness or nutritional decline is critical for early, respectful intervention that aligns with reflective housing practice (Agustín and Jørgensen, 2019). This observational prowess is further complemented by adept problem-solving abilities, which are vital for navigating the dynamic challenges inherent in social care (Lynch, 2025). Whether addressing sensory sensitivities, mitigating anxiety, or facilitating community reintegration, support workers must develop proactive, evidence-based solutions that reflect the user’s specific values and goals (Smith, 2018). Ultimately, the synthesis of these skills creates a secure environment that cultivates long-term trust among service users and their families, strengthening the overall quality of care (Bernard and Greenwood, 2019).</w:t>
      </w:r>
    </w:p>
    <w:p w14:paraId="7338813D" w14:textId="77777777" w:rsidR="00C85A7C" w:rsidRPr="005826C2" w:rsidRDefault="00C85A7C" w:rsidP="00C85A7C">
      <w:pPr>
        <w:spacing w:after="0" w:line="240" w:lineRule="auto"/>
        <w:jc w:val="both"/>
        <w:rPr>
          <w:rFonts w:ascii="Arial" w:hAnsi="Arial" w:cs="Arial"/>
          <w:sz w:val="21"/>
          <w:szCs w:val="21"/>
        </w:rPr>
      </w:pPr>
    </w:p>
    <w:p w14:paraId="349F620D" w14:textId="34821D09" w:rsidR="005826C2" w:rsidRPr="005826C2" w:rsidRDefault="003003FD" w:rsidP="005826C2">
      <w:pPr>
        <w:pStyle w:val="Heading2"/>
        <w:numPr>
          <w:ilvl w:val="1"/>
          <w:numId w:val="23"/>
        </w:numPr>
        <w:rPr>
          <w:rFonts w:ascii="Arial" w:hAnsi="Arial" w:cs="Arial"/>
          <w:color w:val="000000" w:themeColor="text1"/>
          <w:szCs w:val="24"/>
        </w:rPr>
      </w:pPr>
      <w:bookmarkStart w:id="2" w:name="_Toc224677531"/>
      <w:r w:rsidRPr="005826C2">
        <w:rPr>
          <w:rFonts w:ascii="Arial" w:hAnsi="Arial" w:cs="Arial"/>
          <w:color w:val="000000" w:themeColor="text1"/>
          <w:szCs w:val="24"/>
        </w:rPr>
        <w:t>Strategies</w:t>
      </w:r>
      <w:r w:rsidR="00183CB9" w:rsidRPr="005826C2">
        <w:rPr>
          <w:rFonts w:ascii="Arial" w:hAnsi="Arial" w:cs="Arial"/>
          <w:color w:val="000000" w:themeColor="text1"/>
          <w:szCs w:val="24"/>
        </w:rPr>
        <w:t xml:space="preserve"> to improve the skills</w:t>
      </w:r>
      <w:r w:rsidR="005D5457" w:rsidRPr="005826C2">
        <w:rPr>
          <w:rFonts w:ascii="Arial" w:hAnsi="Arial" w:cs="Arial"/>
          <w:color w:val="000000" w:themeColor="text1"/>
          <w:szCs w:val="24"/>
        </w:rPr>
        <w:t xml:space="preserve"> </w:t>
      </w:r>
      <w:r w:rsidR="00070818" w:rsidRPr="005826C2">
        <w:rPr>
          <w:rFonts w:ascii="Arial" w:hAnsi="Arial" w:cs="Arial"/>
          <w:color w:val="000000" w:themeColor="text1"/>
          <w:szCs w:val="24"/>
        </w:rPr>
        <w:t xml:space="preserve">for </w:t>
      </w:r>
      <w:bookmarkEnd w:id="2"/>
      <w:r w:rsidR="002F4CA6" w:rsidRPr="005826C2">
        <w:rPr>
          <w:rFonts w:ascii="Arial" w:hAnsi="Arial" w:cs="Arial"/>
          <w:color w:val="000000" w:themeColor="text1"/>
          <w:szCs w:val="24"/>
        </w:rPr>
        <w:t>supported housing support worke</w:t>
      </w:r>
      <w:r w:rsidR="005826C2">
        <w:rPr>
          <w:rFonts w:ascii="Arial" w:hAnsi="Arial" w:cs="Arial"/>
          <w:color w:val="000000" w:themeColor="text1"/>
          <w:szCs w:val="24"/>
        </w:rPr>
        <w:t>r</w:t>
      </w:r>
    </w:p>
    <w:p w14:paraId="3C1D55ED" w14:textId="77777777" w:rsidR="005826C2" w:rsidRDefault="005826C2" w:rsidP="005826C2">
      <w:pPr>
        <w:pStyle w:val="Heading2"/>
        <w:rPr>
          <w:rFonts w:ascii="Arial" w:hAnsi="Arial" w:cs="Arial"/>
          <w:color w:val="000000" w:themeColor="text1"/>
          <w:szCs w:val="24"/>
        </w:rPr>
      </w:pPr>
    </w:p>
    <w:p w14:paraId="49BFCB07" w14:textId="050151FA" w:rsidR="005826C2" w:rsidRPr="003B180C" w:rsidRDefault="005826C2" w:rsidP="003B180C">
      <w:pPr>
        <w:ind w:left="435"/>
        <w:rPr>
          <w:rFonts w:ascii="Arial" w:hAnsi="Arial" w:cs="Arial"/>
          <w:sz w:val="22"/>
        </w:rPr>
      </w:pPr>
      <w:r w:rsidRPr="003B180C">
        <w:rPr>
          <w:rFonts w:ascii="Arial" w:hAnsi="Arial" w:cs="Arial"/>
          <w:sz w:val="22"/>
        </w:rPr>
        <w:t xml:space="preserve">To elevate the practice of a supported housing support worker, professionals should focus on mastering Psychologically Informed Environments (PIE), honing Trauma-Informed Care (TIC), and committing to </w:t>
      </w:r>
      <w:r w:rsidR="00046B30">
        <w:rPr>
          <w:rFonts w:ascii="Arial" w:hAnsi="Arial" w:cs="Arial"/>
          <w:sz w:val="22"/>
        </w:rPr>
        <w:t>r</w:t>
      </w:r>
      <w:r w:rsidRPr="003B180C">
        <w:rPr>
          <w:rFonts w:ascii="Arial" w:hAnsi="Arial" w:cs="Arial"/>
          <w:sz w:val="22"/>
        </w:rPr>
        <w:t xml:space="preserve">eflective </w:t>
      </w:r>
      <w:r w:rsidR="00046B30">
        <w:rPr>
          <w:rFonts w:ascii="Arial" w:hAnsi="Arial" w:cs="Arial"/>
          <w:sz w:val="22"/>
        </w:rPr>
        <w:t>p</w:t>
      </w:r>
      <w:r w:rsidRPr="003B180C">
        <w:rPr>
          <w:rFonts w:ascii="Arial" w:hAnsi="Arial" w:cs="Arial"/>
          <w:sz w:val="22"/>
        </w:rPr>
        <w:t>ractice. These three strategies create a robust framework for managing the complex needs of residents while preventing staff burnout.</w:t>
      </w:r>
    </w:p>
    <w:p w14:paraId="5DDCA2E8" w14:textId="456ABD65" w:rsidR="005826C2" w:rsidRPr="003B180C" w:rsidRDefault="005826C2" w:rsidP="003B180C">
      <w:pPr>
        <w:ind w:left="435"/>
        <w:rPr>
          <w:rFonts w:ascii="Arial" w:hAnsi="Arial" w:cs="Arial"/>
          <w:sz w:val="22"/>
        </w:rPr>
      </w:pPr>
      <w:r w:rsidRPr="003B180C">
        <w:rPr>
          <w:rFonts w:ascii="Arial" w:hAnsi="Arial" w:cs="Arial"/>
          <w:sz w:val="22"/>
        </w:rPr>
        <w:t>The first strategy involves implementing Psychologically Informed Environments (PIE). This approach shifts the focus from managing behaviour to understanding the emotional and psychological needs behind a resident’s actions. By considering how the physical space and social environment affect a person’s well-being, workers can create a "therapeutic atmosphere" that fosters security (Keats et al., 2012). This requires training in basic psychological frameworks, such as attachment theory, to help workers recognize that "challenging behaviour" is often a coping mechanism for past instability.</w:t>
      </w:r>
    </w:p>
    <w:p w14:paraId="7462968A" w14:textId="5AB12E69" w:rsidR="005826C2" w:rsidRPr="003B180C" w:rsidRDefault="005826C2" w:rsidP="003B180C">
      <w:pPr>
        <w:ind w:left="435"/>
        <w:rPr>
          <w:rFonts w:ascii="Arial" w:hAnsi="Arial" w:cs="Arial"/>
          <w:sz w:val="22"/>
        </w:rPr>
      </w:pPr>
      <w:r w:rsidRPr="003B180C">
        <w:rPr>
          <w:rFonts w:ascii="Arial" w:hAnsi="Arial" w:cs="Arial"/>
          <w:sz w:val="22"/>
        </w:rPr>
        <w:t>The second strategy is the integration of Trauma-Informed Care (TIC). Since many individuals in supported housing have histories of homelessness, abuse, or systemic failure, workers must operate under the assumption that ever</w:t>
      </w:r>
      <w:r w:rsidR="00046B30">
        <w:rPr>
          <w:rFonts w:ascii="Arial" w:hAnsi="Arial" w:cs="Arial"/>
          <w:sz w:val="22"/>
        </w:rPr>
        <w:t>y one of them</w:t>
      </w:r>
      <w:r w:rsidRPr="003B180C">
        <w:rPr>
          <w:rFonts w:ascii="Arial" w:hAnsi="Arial" w:cs="Arial"/>
          <w:sz w:val="22"/>
        </w:rPr>
        <w:t xml:space="preserve"> has experienced trauma. TIC training teaches staff to prioritize "safety, choice, collaboration, and empowerment" (Substance Abuse and Mental Health Services Administration [SAMHSA], 2014). Instead of asking "What is</w:t>
      </w:r>
      <w:r w:rsidR="00423192">
        <w:rPr>
          <w:rFonts w:ascii="Arial" w:hAnsi="Arial" w:cs="Arial"/>
          <w:sz w:val="22"/>
        </w:rPr>
        <w:t xml:space="preserve"> the</w:t>
      </w:r>
      <w:r w:rsidRPr="003B180C">
        <w:rPr>
          <w:rFonts w:ascii="Arial" w:hAnsi="Arial" w:cs="Arial"/>
          <w:sz w:val="22"/>
        </w:rPr>
        <w:t xml:space="preserve"> </w:t>
      </w:r>
      <w:r w:rsidR="00423192">
        <w:rPr>
          <w:rFonts w:ascii="Arial" w:hAnsi="Arial" w:cs="Arial"/>
          <w:sz w:val="22"/>
        </w:rPr>
        <w:t>matter or problem</w:t>
      </w:r>
      <w:r w:rsidRPr="003B180C">
        <w:rPr>
          <w:rFonts w:ascii="Arial" w:hAnsi="Arial" w:cs="Arial"/>
          <w:sz w:val="22"/>
        </w:rPr>
        <w:t xml:space="preserve"> with you?", the worker learns to ask "What happened to you?" This shift reduces the risk of re-traumatisation and builds the trust necessary for long-term recovery and housing stability.</w:t>
      </w:r>
    </w:p>
    <w:p w14:paraId="2703A512" w14:textId="74D7F1EB" w:rsidR="00500295" w:rsidRPr="003B180C" w:rsidRDefault="005826C2" w:rsidP="003B180C">
      <w:pPr>
        <w:ind w:left="435"/>
        <w:rPr>
          <w:rFonts w:ascii="Arial" w:hAnsi="Arial" w:cs="Arial"/>
          <w:sz w:val="22"/>
        </w:rPr>
      </w:pPr>
      <w:r w:rsidRPr="003B180C">
        <w:rPr>
          <w:rFonts w:ascii="Arial" w:hAnsi="Arial" w:cs="Arial"/>
          <w:sz w:val="22"/>
        </w:rPr>
        <w:t xml:space="preserve">The third strategy is the consistent use of Reflective Practice. The nature of supported housing is emotionally taxing, making workers vulnerable to compassion fatigue. </w:t>
      </w:r>
      <w:r w:rsidRPr="003B180C">
        <w:rPr>
          <w:rFonts w:ascii="Arial" w:hAnsi="Arial" w:cs="Arial"/>
          <w:sz w:val="22"/>
        </w:rPr>
        <w:lastRenderedPageBreak/>
        <w:t>Reflective practice involves a structured process of looking back on interactions to identify what worked and what didn't (Bolton &amp; Delderfield, 2018). By engaging in regular clinical supervision or peer-led "reflective circles," workers can process their emotional responses and develop a deeper level of self-awareness. This continuous loop of action and reflection ensures that skills remain sharp and that the worker’s approach remains person-</w:t>
      </w:r>
      <w:r w:rsidR="00973357" w:rsidRPr="003B180C">
        <w:rPr>
          <w:rFonts w:ascii="Arial" w:hAnsi="Arial" w:cs="Arial"/>
          <w:sz w:val="22"/>
        </w:rPr>
        <w:t>centred</w:t>
      </w:r>
      <w:r w:rsidRPr="003B180C">
        <w:rPr>
          <w:rFonts w:ascii="Arial" w:hAnsi="Arial" w:cs="Arial"/>
          <w:sz w:val="22"/>
        </w:rPr>
        <w:t xml:space="preserve"> rather than </w:t>
      </w:r>
      <w:r w:rsidR="00973357" w:rsidRPr="003B180C">
        <w:rPr>
          <w:rFonts w:ascii="Arial" w:hAnsi="Arial" w:cs="Arial"/>
          <w:sz w:val="22"/>
        </w:rPr>
        <w:t>task oriented</w:t>
      </w:r>
      <w:r w:rsidRPr="003B180C">
        <w:rPr>
          <w:rFonts w:ascii="Arial" w:hAnsi="Arial" w:cs="Arial"/>
          <w:sz w:val="22"/>
        </w:rPr>
        <w:t>.</w:t>
      </w:r>
    </w:p>
    <w:p w14:paraId="368A4E76" w14:textId="77777777" w:rsidR="005826C2" w:rsidRPr="005826C2" w:rsidRDefault="005826C2" w:rsidP="005826C2">
      <w:pPr>
        <w:rPr>
          <w:rFonts w:ascii="Arial" w:hAnsi="Arial" w:cs="Arial"/>
          <w:sz w:val="24"/>
          <w:szCs w:val="24"/>
        </w:rPr>
      </w:pPr>
    </w:p>
    <w:p w14:paraId="0592CDAD" w14:textId="72A4843D" w:rsidR="00973357" w:rsidRDefault="00A946CB" w:rsidP="00FC50F7">
      <w:pPr>
        <w:pStyle w:val="Heading2"/>
        <w:numPr>
          <w:ilvl w:val="1"/>
          <w:numId w:val="23"/>
        </w:numPr>
        <w:rPr>
          <w:rFonts w:ascii="Arial" w:hAnsi="Arial" w:cs="Arial"/>
          <w:color w:val="000000" w:themeColor="text1"/>
          <w:szCs w:val="24"/>
        </w:rPr>
      </w:pPr>
      <w:bookmarkStart w:id="3" w:name="_Toc224677532"/>
      <w:r w:rsidRPr="005826C2">
        <w:rPr>
          <w:rFonts w:ascii="Arial" w:hAnsi="Arial" w:cs="Arial"/>
          <w:color w:val="000000" w:themeColor="text1"/>
          <w:szCs w:val="24"/>
        </w:rPr>
        <w:t>Conclusion</w:t>
      </w:r>
      <w:bookmarkEnd w:id="3"/>
    </w:p>
    <w:p w14:paraId="398CCA89" w14:textId="58B500F1" w:rsidR="00FC50F7" w:rsidRPr="003B180C" w:rsidRDefault="00FC50F7" w:rsidP="003B180C">
      <w:pPr>
        <w:ind w:left="435"/>
        <w:rPr>
          <w:rFonts w:ascii="Arial" w:hAnsi="Arial" w:cs="Arial"/>
          <w:sz w:val="22"/>
        </w:rPr>
      </w:pPr>
      <w:r w:rsidRPr="003B180C">
        <w:rPr>
          <w:rFonts w:ascii="Arial" w:hAnsi="Arial" w:cs="Arial"/>
          <w:sz w:val="22"/>
        </w:rPr>
        <w:t xml:space="preserve">In Summary, the Housing Support Worker acts as a vital bridge between crisis and stability within the healthcare landscape. By blending deep empathy with clinical observation, these professionals do more than just manage tenancies; they rebuild the shattered confidence of marginalized individuals. Shifting toward frameworks like </w:t>
      </w:r>
      <w:r w:rsidR="00B156D4">
        <w:rPr>
          <w:rFonts w:ascii="Arial" w:hAnsi="Arial" w:cs="Arial"/>
          <w:sz w:val="22"/>
        </w:rPr>
        <w:t>t</w:t>
      </w:r>
      <w:r w:rsidRPr="003B180C">
        <w:rPr>
          <w:rFonts w:ascii="Arial" w:hAnsi="Arial" w:cs="Arial"/>
          <w:sz w:val="22"/>
        </w:rPr>
        <w:t>rauma</w:t>
      </w:r>
      <w:r w:rsidR="00B156D4">
        <w:rPr>
          <w:rFonts w:ascii="Arial" w:hAnsi="Arial" w:cs="Arial"/>
          <w:sz w:val="22"/>
        </w:rPr>
        <w:t xml:space="preserve"> i</w:t>
      </w:r>
      <w:r w:rsidRPr="003B180C">
        <w:rPr>
          <w:rFonts w:ascii="Arial" w:hAnsi="Arial" w:cs="Arial"/>
          <w:sz w:val="22"/>
        </w:rPr>
        <w:t xml:space="preserve">nformed </w:t>
      </w:r>
      <w:r w:rsidR="00B156D4">
        <w:rPr>
          <w:rFonts w:ascii="Arial" w:hAnsi="Arial" w:cs="Arial"/>
          <w:sz w:val="22"/>
        </w:rPr>
        <w:t>c</w:t>
      </w:r>
      <w:r w:rsidRPr="003B180C">
        <w:rPr>
          <w:rFonts w:ascii="Arial" w:hAnsi="Arial" w:cs="Arial"/>
          <w:sz w:val="22"/>
        </w:rPr>
        <w:t xml:space="preserve">are and </w:t>
      </w:r>
      <w:r w:rsidR="00B156D4">
        <w:rPr>
          <w:rFonts w:ascii="Arial" w:hAnsi="Arial" w:cs="Arial"/>
          <w:sz w:val="22"/>
        </w:rPr>
        <w:t>p</w:t>
      </w:r>
      <w:r w:rsidRPr="003B180C">
        <w:rPr>
          <w:rFonts w:ascii="Arial" w:hAnsi="Arial" w:cs="Arial"/>
          <w:sz w:val="22"/>
        </w:rPr>
        <w:t xml:space="preserve">sychologically </w:t>
      </w:r>
      <w:r w:rsidR="00B156D4">
        <w:rPr>
          <w:rFonts w:ascii="Arial" w:hAnsi="Arial" w:cs="Arial"/>
          <w:sz w:val="22"/>
        </w:rPr>
        <w:t>i</w:t>
      </w:r>
      <w:r w:rsidRPr="003B180C">
        <w:rPr>
          <w:rFonts w:ascii="Arial" w:hAnsi="Arial" w:cs="Arial"/>
          <w:sz w:val="22"/>
        </w:rPr>
        <w:t xml:space="preserve">nformed </w:t>
      </w:r>
      <w:r w:rsidR="00B156D4">
        <w:rPr>
          <w:rFonts w:ascii="Arial" w:hAnsi="Arial" w:cs="Arial"/>
          <w:sz w:val="22"/>
        </w:rPr>
        <w:t>e</w:t>
      </w:r>
      <w:r w:rsidRPr="003B180C">
        <w:rPr>
          <w:rFonts w:ascii="Arial" w:hAnsi="Arial" w:cs="Arial"/>
          <w:sz w:val="22"/>
        </w:rPr>
        <w:t>nvironments ensures that support is rooted in understanding rather than just compliance. As this report has shown, the role demands a sophisticated mix of emotional intelligence and practical problem</w:t>
      </w:r>
      <w:r w:rsidR="00EB6838">
        <w:rPr>
          <w:rFonts w:ascii="Arial" w:hAnsi="Arial" w:cs="Arial"/>
          <w:sz w:val="22"/>
        </w:rPr>
        <w:t xml:space="preserve"> </w:t>
      </w:r>
      <w:r w:rsidRPr="003B180C">
        <w:rPr>
          <w:rFonts w:ascii="Arial" w:hAnsi="Arial" w:cs="Arial"/>
          <w:sz w:val="22"/>
        </w:rPr>
        <w:t>solving. Prioritizing these skills not only fosters individual independence but also creates a more resilient, compassionate social care system for the future.</w:t>
      </w:r>
    </w:p>
    <w:p w14:paraId="66A5EC08" w14:textId="77777777" w:rsidR="00973357" w:rsidRPr="005826C2" w:rsidRDefault="00973357" w:rsidP="00973357">
      <w:pPr>
        <w:pStyle w:val="ListParagraph"/>
        <w:spacing w:after="0" w:line="240" w:lineRule="auto"/>
        <w:rPr>
          <w:rFonts w:ascii="Arial" w:hAnsi="Arial" w:cs="Arial"/>
          <w:sz w:val="21"/>
          <w:szCs w:val="21"/>
        </w:rPr>
      </w:pPr>
    </w:p>
    <w:p w14:paraId="1212FFD3" w14:textId="45D570C5" w:rsidR="00B339F1" w:rsidRPr="00973357" w:rsidRDefault="00226D31" w:rsidP="00973357">
      <w:pPr>
        <w:pStyle w:val="Heading2"/>
        <w:numPr>
          <w:ilvl w:val="1"/>
          <w:numId w:val="23"/>
        </w:numPr>
        <w:rPr>
          <w:rFonts w:ascii="Arial" w:hAnsi="Arial" w:cs="Arial"/>
          <w:color w:val="000000" w:themeColor="text1"/>
          <w:szCs w:val="24"/>
        </w:rPr>
      </w:pPr>
      <w:bookmarkStart w:id="4" w:name="_Toc224677533"/>
      <w:r w:rsidRPr="00973357">
        <w:rPr>
          <w:rFonts w:ascii="Arial" w:hAnsi="Arial" w:cs="Arial"/>
          <w:color w:val="000000" w:themeColor="text1"/>
          <w:szCs w:val="24"/>
        </w:rPr>
        <w:t>Reference Lis</w:t>
      </w:r>
      <w:bookmarkEnd w:id="4"/>
      <w:r w:rsidR="00973357" w:rsidRPr="00973357">
        <w:rPr>
          <w:rFonts w:ascii="Arial" w:hAnsi="Arial" w:cs="Arial"/>
          <w:color w:val="000000" w:themeColor="text1"/>
          <w:szCs w:val="24"/>
        </w:rPr>
        <w:t>t</w:t>
      </w:r>
    </w:p>
    <w:p w14:paraId="79DBCCD6" w14:textId="77777777" w:rsidR="00973357" w:rsidRPr="004C7C98" w:rsidRDefault="00973357" w:rsidP="00973357">
      <w:pPr>
        <w:pStyle w:val="ListParagraph"/>
        <w:ind w:left="435"/>
      </w:pPr>
    </w:p>
    <w:p w14:paraId="7DECFEA4" w14:textId="77777777" w:rsidR="00B339F1" w:rsidRPr="004C7C98" w:rsidRDefault="00B339F1" w:rsidP="00B339F1">
      <w:pPr>
        <w:numPr>
          <w:ilvl w:val="0"/>
          <w:numId w:val="24"/>
        </w:numPr>
        <w:spacing w:line="278" w:lineRule="auto"/>
        <w:rPr>
          <w:rFonts w:ascii="Arial" w:hAnsi="Arial" w:cs="Arial"/>
        </w:rPr>
      </w:pPr>
      <w:r w:rsidRPr="004C7C98">
        <w:rPr>
          <w:rFonts w:ascii="Arial" w:hAnsi="Arial" w:cs="Arial"/>
          <w:b/>
          <w:bCs/>
        </w:rPr>
        <w:t>Agustín, O.G. and Jørgensen, M.B.</w:t>
      </w:r>
      <w:r w:rsidRPr="004C7C98">
        <w:rPr>
          <w:rFonts w:ascii="Arial" w:hAnsi="Arial" w:cs="Arial"/>
        </w:rPr>
        <w:t> (2019) </w:t>
      </w:r>
      <w:r w:rsidRPr="004C7C98">
        <w:rPr>
          <w:rFonts w:ascii="Arial" w:hAnsi="Arial" w:cs="Arial"/>
          <w:i/>
          <w:iCs/>
        </w:rPr>
        <w:t>Solidarity and the City: Practices of Care and Support in Urban Spaces</w:t>
      </w:r>
      <w:r w:rsidRPr="004C7C98">
        <w:rPr>
          <w:rFonts w:ascii="Arial" w:hAnsi="Arial" w:cs="Arial"/>
        </w:rPr>
        <w:t>. New York: Palgrave Macmillan.</w:t>
      </w:r>
    </w:p>
    <w:p w14:paraId="07F1D43D" w14:textId="5F8721DF" w:rsidR="00B339F1" w:rsidRPr="004C7C98" w:rsidRDefault="00B339F1" w:rsidP="00B339F1">
      <w:pPr>
        <w:numPr>
          <w:ilvl w:val="0"/>
          <w:numId w:val="24"/>
        </w:numPr>
        <w:spacing w:line="278" w:lineRule="auto"/>
        <w:rPr>
          <w:rFonts w:ascii="Arial" w:hAnsi="Arial" w:cs="Arial"/>
        </w:rPr>
      </w:pPr>
      <w:r w:rsidRPr="004C7C98">
        <w:rPr>
          <w:rFonts w:ascii="Arial" w:hAnsi="Arial" w:cs="Arial"/>
          <w:b/>
          <w:bCs/>
        </w:rPr>
        <w:t>Andrews, L.</w:t>
      </w:r>
      <w:r w:rsidRPr="004C7C98">
        <w:rPr>
          <w:rFonts w:ascii="Arial" w:hAnsi="Arial" w:cs="Arial"/>
        </w:rPr>
        <w:t> (2024) </w:t>
      </w:r>
      <w:r w:rsidRPr="004C7C98">
        <w:rPr>
          <w:rFonts w:ascii="Arial" w:hAnsi="Arial" w:cs="Arial"/>
          <w:i/>
          <w:iCs/>
        </w:rPr>
        <w:t>Think you know about communication in homelessness settings?</w:t>
      </w:r>
      <w:r w:rsidRPr="004C7C98">
        <w:rPr>
          <w:rFonts w:ascii="Arial" w:hAnsi="Arial" w:cs="Arial"/>
        </w:rPr>
        <w:t> [PDF] London: King's College London. Available at:</w:t>
      </w:r>
      <w:r w:rsidR="00973357">
        <w:rPr>
          <w:rFonts w:ascii="Arial" w:hAnsi="Arial" w:cs="Arial"/>
        </w:rPr>
        <w:t xml:space="preserve"> </w:t>
      </w:r>
      <w:hyperlink r:id="rId9" w:history="1">
        <w:r w:rsidR="00973357" w:rsidRPr="00973357">
          <w:rPr>
            <w:rStyle w:val="Hyperlink"/>
            <w:rFonts w:ascii="Arial" w:hAnsi="Arial" w:cs="Arial"/>
          </w:rPr>
          <w:t>http://</w:t>
        </w:r>
        <w:r w:rsidRPr="004C7C98">
          <w:rPr>
            <w:rStyle w:val="Hyperlink"/>
            <w:rFonts w:ascii="Arial" w:hAnsi="Arial" w:cs="Arial"/>
          </w:rPr>
          <w:t>kcl.ac.uk </w:t>
        </w:r>
      </w:hyperlink>
      <w:r w:rsidRPr="004C7C98">
        <w:rPr>
          <w:rFonts w:ascii="Arial" w:hAnsi="Arial" w:cs="Arial"/>
        </w:rPr>
        <w:t>(Accessed: 20 March 2026).</w:t>
      </w:r>
    </w:p>
    <w:p w14:paraId="6367E8F9" w14:textId="77777777" w:rsidR="00B339F1" w:rsidRDefault="00B339F1" w:rsidP="00B339F1">
      <w:pPr>
        <w:numPr>
          <w:ilvl w:val="0"/>
          <w:numId w:val="24"/>
        </w:numPr>
        <w:spacing w:line="278" w:lineRule="auto"/>
        <w:rPr>
          <w:rFonts w:ascii="Arial" w:hAnsi="Arial" w:cs="Arial"/>
        </w:rPr>
      </w:pPr>
      <w:r w:rsidRPr="004C7C98">
        <w:rPr>
          <w:rFonts w:ascii="Arial" w:hAnsi="Arial" w:cs="Arial"/>
          <w:b/>
          <w:bCs/>
        </w:rPr>
        <w:t>Bernard, C. and Greenwood, A.</w:t>
      </w:r>
      <w:r w:rsidRPr="004C7C98">
        <w:rPr>
          <w:rFonts w:ascii="Arial" w:hAnsi="Arial" w:cs="Arial"/>
        </w:rPr>
        <w:t> (2019) 'Partnership and collaboration in family support', </w:t>
      </w:r>
      <w:r w:rsidRPr="004C7C98">
        <w:rPr>
          <w:rFonts w:ascii="Arial" w:hAnsi="Arial" w:cs="Arial"/>
          <w:i/>
          <w:iCs/>
        </w:rPr>
        <w:t>Journal of Social Work Practice</w:t>
      </w:r>
      <w:r w:rsidRPr="004C7C98">
        <w:rPr>
          <w:rFonts w:ascii="Arial" w:hAnsi="Arial" w:cs="Arial"/>
        </w:rPr>
        <w:t>, 33(2), pp. 145-159.</w:t>
      </w:r>
    </w:p>
    <w:p w14:paraId="54653D78" w14:textId="37C3E294" w:rsidR="00973357" w:rsidRPr="00973357" w:rsidRDefault="00973357" w:rsidP="00973357">
      <w:pPr>
        <w:pStyle w:val="ListParagraph"/>
        <w:numPr>
          <w:ilvl w:val="0"/>
          <w:numId w:val="24"/>
        </w:numPr>
        <w:rPr>
          <w:rFonts w:ascii="Arial" w:hAnsi="Arial" w:cs="Arial"/>
        </w:rPr>
      </w:pPr>
      <w:r w:rsidRPr="00973357">
        <w:rPr>
          <w:rFonts w:ascii="Arial" w:hAnsi="Arial" w:cs="Arial"/>
          <w:b/>
          <w:bCs/>
        </w:rPr>
        <w:t>Bolton, G., &amp; Delderfield, R.</w:t>
      </w:r>
      <w:r w:rsidRPr="00973357">
        <w:rPr>
          <w:rFonts w:ascii="Arial" w:hAnsi="Arial" w:cs="Arial"/>
        </w:rPr>
        <w:t xml:space="preserve"> (2018). Reflective Practice: Writing and Professional Development. SAGE Publications.</w:t>
      </w:r>
    </w:p>
    <w:p w14:paraId="246176DE" w14:textId="77777777" w:rsidR="00B339F1" w:rsidRPr="004C7C98" w:rsidRDefault="00B339F1" w:rsidP="00B339F1">
      <w:pPr>
        <w:numPr>
          <w:ilvl w:val="0"/>
          <w:numId w:val="24"/>
        </w:numPr>
        <w:spacing w:line="278" w:lineRule="auto"/>
        <w:rPr>
          <w:rFonts w:ascii="Arial" w:hAnsi="Arial" w:cs="Arial"/>
        </w:rPr>
      </w:pPr>
      <w:r w:rsidRPr="004C7C98">
        <w:rPr>
          <w:rFonts w:ascii="Arial" w:hAnsi="Arial" w:cs="Arial"/>
          <w:b/>
          <w:bCs/>
        </w:rPr>
        <w:t>Cuff, B.M.P., Brown, S.J., Taylor, L. and Howat, D.J.</w:t>
      </w:r>
      <w:r w:rsidRPr="004C7C98">
        <w:rPr>
          <w:rFonts w:ascii="Arial" w:hAnsi="Arial" w:cs="Arial"/>
        </w:rPr>
        <w:t> (2016) 'Empathy: A Review of the Concept', </w:t>
      </w:r>
      <w:r w:rsidRPr="004C7C98">
        <w:rPr>
          <w:rFonts w:ascii="Arial" w:hAnsi="Arial" w:cs="Arial"/>
          <w:i/>
          <w:iCs/>
        </w:rPr>
        <w:t>Emotion Review</w:t>
      </w:r>
      <w:r w:rsidRPr="004C7C98">
        <w:rPr>
          <w:rFonts w:ascii="Arial" w:hAnsi="Arial" w:cs="Arial"/>
        </w:rPr>
        <w:t>, 8(2), pp. 144–153.</w:t>
      </w:r>
    </w:p>
    <w:p w14:paraId="4A19F764" w14:textId="77777777" w:rsidR="00B339F1" w:rsidRDefault="00B339F1" w:rsidP="00B339F1">
      <w:pPr>
        <w:numPr>
          <w:ilvl w:val="0"/>
          <w:numId w:val="24"/>
        </w:numPr>
        <w:spacing w:line="278" w:lineRule="auto"/>
        <w:rPr>
          <w:rFonts w:ascii="Arial" w:hAnsi="Arial" w:cs="Arial"/>
        </w:rPr>
      </w:pPr>
      <w:r w:rsidRPr="004C7C98">
        <w:rPr>
          <w:rFonts w:ascii="Arial" w:hAnsi="Arial" w:cs="Arial"/>
          <w:b/>
          <w:bCs/>
        </w:rPr>
        <w:t>Department of Health</w:t>
      </w:r>
      <w:r w:rsidRPr="004C7C98">
        <w:rPr>
          <w:rFonts w:ascii="Arial" w:hAnsi="Arial" w:cs="Arial"/>
        </w:rPr>
        <w:t> (2014) </w:t>
      </w:r>
      <w:r w:rsidRPr="004C7C98">
        <w:rPr>
          <w:rFonts w:ascii="Arial" w:hAnsi="Arial" w:cs="Arial"/>
          <w:i/>
          <w:iCs/>
        </w:rPr>
        <w:t>Care and Support Statutory Guidance: Issued under the Care Act 2014</w:t>
      </w:r>
      <w:r w:rsidRPr="004C7C98">
        <w:rPr>
          <w:rFonts w:ascii="Arial" w:hAnsi="Arial" w:cs="Arial"/>
        </w:rPr>
        <w:t>. London: The Stationery Office.</w:t>
      </w:r>
    </w:p>
    <w:p w14:paraId="37B9DE9A" w14:textId="0AC208D1" w:rsidR="00973357" w:rsidRPr="004C7C98" w:rsidRDefault="00973357" w:rsidP="00973357">
      <w:pPr>
        <w:numPr>
          <w:ilvl w:val="0"/>
          <w:numId w:val="24"/>
        </w:numPr>
        <w:spacing w:line="278" w:lineRule="auto"/>
      </w:pPr>
      <w:r w:rsidRPr="004C7C98">
        <w:rPr>
          <w:b/>
          <w:bCs/>
        </w:rPr>
        <w:t>Keats, H., Maguire, N., Johnson, R., &amp; Cockersell, P.</w:t>
      </w:r>
      <w:r w:rsidRPr="004C7C98">
        <w:t xml:space="preserve"> (2012). </w:t>
      </w:r>
      <w:r w:rsidRPr="004C7C98">
        <w:rPr>
          <w:i/>
          <w:iCs/>
        </w:rPr>
        <w:t>Psychologically Informed Services for Homeless People</w:t>
      </w:r>
      <w:r w:rsidRPr="004C7C98">
        <w:t>. Department for Communities and Local Government.</w:t>
      </w:r>
    </w:p>
    <w:p w14:paraId="6134A1E0" w14:textId="77777777" w:rsidR="00B339F1" w:rsidRPr="004C7C98" w:rsidRDefault="00B339F1" w:rsidP="00B339F1">
      <w:pPr>
        <w:numPr>
          <w:ilvl w:val="0"/>
          <w:numId w:val="24"/>
        </w:numPr>
        <w:spacing w:line="278" w:lineRule="auto"/>
        <w:rPr>
          <w:rFonts w:ascii="Arial" w:hAnsi="Arial" w:cs="Arial"/>
        </w:rPr>
      </w:pPr>
      <w:r w:rsidRPr="004C7C98">
        <w:rPr>
          <w:rFonts w:ascii="Arial" w:hAnsi="Arial" w:cs="Arial"/>
          <w:b/>
          <w:bCs/>
        </w:rPr>
        <w:t>Lynch, S.</w:t>
      </w:r>
      <w:r w:rsidRPr="004C7C98">
        <w:rPr>
          <w:rFonts w:ascii="Arial" w:hAnsi="Arial" w:cs="Arial"/>
        </w:rPr>
        <w:t> (2025) 'A review of empathy in social work: A relational and situated practice', </w:t>
      </w:r>
      <w:r w:rsidRPr="004C7C98">
        <w:rPr>
          <w:rFonts w:ascii="Arial" w:hAnsi="Arial" w:cs="Arial"/>
          <w:i/>
          <w:iCs/>
        </w:rPr>
        <w:t>Journal of Social Work</w:t>
      </w:r>
      <w:r w:rsidRPr="004C7C98">
        <w:rPr>
          <w:rFonts w:ascii="Arial" w:hAnsi="Arial" w:cs="Arial"/>
        </w:rPr>
        <w:t>, 25(1), pp. 45-67.</w:t>
      </w:r>
    </w:p>
    <w:p w14:paraId="3B32F374" w14:textId="651AB3BC" w:rsidR="00B339F1" w:rsidRDefault="00B339F1" w:rsidP="00B339F1">
      <w:pPr>
        <w:numPr>
          <w:ilvl w:val="0"/>
          <w:numId w:val="24"/>
        </w:numPr>
        <w:spacing w:line="278" w:lineRule="auto"/>
        <w:rPr>
          <w:rFonts w:ascii="Arial" w:hAnsi="Arial" w:cs="Arial"/>
        </w:rPr>
      </w:pPr>
      <w:r w:rsidRPr="004C7C98">
        <w:rPr>
          <w:rFonts w:ascii="Arial" w:hAnsi="Arial" w:cs="Arial"/>
          <w:b/>
          <w:bCs/>
        </w:rPr>
        <w:t>MGI Learning</w:t>
      </w:r>
      <w:r w:rsidRPr="004C7C98">
        <w:rPr>
          <w:rFonts w:ascii="Arial" w:hAnsi="Arial" w:cs="Arial"/>
        </w:rPr>
        <w:t> (2025) </w:t>
      </w:r>
      <w:r w:rsidRPr="004C7C98">
        <w:rPr>
          <w:rFonts w:ascii="Arial" w:hAnsi="Arial" w:cs="Arial"/>
          <w:i/>
          <w:iCs/>
        </w:rPr>
        <w:t>Seven people skills vital to meet Housing Tenant Satisfaction Measures</w:t>
      </w:r>
      <w:r w:rsidRPr="004C7C98">
        <w:rPr>
          <w:rFonts w:ascii="Arial" w:hAnsi="Arial" w:cs="Arial"/>
        </w:rPr>
        <w:t>. Available at: </w:t>
      </w:r>
      <w:hyperlink r:id="rId10" w:history="1">
        <w:r w:rsidR="00973357" w:rsidRPr="00973357">
          <w:rPr>
            <w:rStyle w:val="Hyperlink"/>
            <w:rFonts w:ascii="Arial" w:hAnsi="Arial" w:cs="Arial"/>
          </w:rPr>
          <w:t>https://</w:t>
        </w:r>
        <w:r w:rsidRPr="004C7C98">
          <w:rPr>
            <w:rStyle w:val="Hyperlink"/>
            <w:rFonts w:ascii="Arial" w:hAnsi="Arial" w:cs="Arial"/>
          </w:rPr>
          <w:t>mgilearning.com</w:t>
        </w:r>
      </w:hyperlink>
      <w:r w:rsidRPr="004C7C98">
        <w:rPr>
          <w:rFonts w:ascii="Arial" w:hAnsi="Arial" w:cs="Arial"/>
        </w:rPr>
        <w:t> (Accessed: 20 March 2026).</w:t>
      </w:r>
    </w:p>
    <w:p w14:paraId="44565BAF" w14:textId="1F58BE02" w:rsidR="00973357" w:rsidRDefault="005826C2" w:rsidP="00973357">
      <w:pPr>
        <w:pStyle w:val="ListParagraph"/>
        <w:numPr>
          <w:ilvl w:val="0"/>
          <w:numId w:val="24"/>
        </w:numPr>
        <w:rPr>
          <w:rFonts w:ascii="Arial" w:hAnsi="Arial" w:cs="Arial"/>
          <w:color w:val="000000" w:themeColor="text1"/>
        </w:rPr>
      </w:pPr>
      <w:r w:rsidRPr="005826C2">
        <w:rPr>
          <w:rFonts w:ascii="Arial" w:hAnsi="Arial" w:cs="Arial"/>
          <w:b/>
          <w:bCs/>
          <w:color w:val="000000" w:themeColor="text1"/>
        </w:rPr>
        <w:t>NHS Jobs</w:t>
      </w:r>
      <w:r w:rsidRPr="005826C2">
        <w:rPr>
          <w:rFonts w:ascii="Arial" w:hAnsi="Arial" w:cs="Arial"/>
          <w:color w:val="000000" w:themeColor="text1"/>
        </w:rPr>
        <w:t xml:space="preserve"> (2026) The Social Interest Group, Housing Support Worker Available at: </w:t>
      </w:r>
      <w:hyperlink r:id="rId11" w:anchor=":~:text=Job%20summary,meet%20key%20KPIs%20and%20objectives" w:history="1">
        <w:r w:rsidRPr="005826C2">
          <w:rPr>
            <w:rStyle w:val="Hyperlink"/>
            <w:rFonts w:ascii="Arial" w:hAnsi="Arial" w:cs="Arial"/>
          </w:rPr>
          <w:t>https://beta.jobs.nhs.uk</w:t>
        </w:r>
      </w:hyperlink>
      <w:r w:rsidRPr="005826C2">
        <w:rPr>
          <w:rFonts w:ascii="Arial" w:hAnsi="Arial" w:cs="Arial"/>
          <w:color w:val="000000" w:themeColor="text1"/>
        </w:rPr>
        <w:t xml:space="preserve"> (Accessed: 18 March 2026)</w:t>
      </w:r>
    </w:p>
    <w:p w14:paraId="41813663" w14:textId="77777777" w:rsidR="00973357" w:rsidRPr="00973357" w:rsidRDefault="00973357" w:rsidP="00973357">
      <w:pPr>
        <w:pStyle w:val="ListParagraph"/>
        <w:numPr>
          <w:ilvl w:val="0"/>
          <w:numId w:val="24"/>
        </w:numPr>
        <w:rPr>
          <w:rFonts w:ascii="Arial" w:hAnsi="Arial" w:cs="Arial"/>
          <w:color w:val="000000" w:themeColor="text1"/>
        </w:rPr>
      </w:pPr>
    </w:p>
    <w:p w14:paraId="583FE72B" w14:textId="3CD81CE1" w:rsidR="00B339F1" w:rsidRPr="005826C2" w:rsidRDefault="00B339F1" w:rsidP="00B339F1">
      <w:pPr>
        <w:pStyle w:val="ListParagraph"/>
        <w:numPr>
          <w:ilvl w:val="0"/>
          <w:numId w:val="24"/>
        </w:numPr>
        <w:rPr>
          <w:rFonts w:ascii="Arial" w:hAnsi="Arial" w:cs="Arial"/>
          <w:color w:val="000000" w:themeColor="text1"/>
        </w:rPr>
      </w:pPr>
      <w:r w:rsidRPr="005826C2">
        <w:rPr>
          <w:rFonts w:ascii="Arial" w:hAnsi="Arial" w:cs="Arial"/>
          <w:b/>
          <w:bCs/>
          <w:color w:val="000000" w:themeColor="text1"/>
        </w:rPr>
        <w:t>Skills for Care</w:t>
      </w:r>
      <w:r w:rsidRPr="005826C2">
        <w:rPr>
          <w:rFonts w:ascii="Arial" w:hAnsi="Arial" w:cs="Arial"/>
          <w:color w:val="000000" w:themeColor="text1"/>
        </w:rPr>
        <w:t xml:space="preserve"> (2026) Housing Support Worker Skills. Available at: </w:t>
      </w:r>
      <w:hyperlink r:id="rId12" w:history="1">
        <w:r w:rsidR="00973357" w:rsidRPr="00DE47A1">
          <w:rPr>
            <w:rStyle w:val="Hyperlink"/>
            <w:rFonts w:ascii="Arial" w:hAnsi="Arial" w:cs="Arial"/>
          </w:rPr>
          <w:t>https://www.skillsforcare.org.uk</w:t>
        </w:r>
      </w:hyperlink>
      <w:r w:rsidRPr="005826C2">
        <w:rPr>
          <w:rFonts w:ascii="Arial" w:hAnsi="Arial" w:cs="Arial"/>
          <w:color w:val="000000" w:themeColor="text1"/>
        </w:rPr>
        <w:t xml:space="preserve"> (Accessed: 18 March 2026)</w:t>
      </w:r>
    </w:p>
    <w:p w14:paraId="2CB28441" w14:textId="77777777" w:rsidR="00B339F1" w:rsidRDefault="00B339F1" w:rsidP="00B339F1">
      <w:pPr>
        <w:numPr>
          <w:ilvl w:val="0"/>
          <w:numId w:val="24"/>
        </w:numPr>
        <w:spacing w:line="278" w:lineRule="auto"/>
        <w:rPr>
          <w:rFonts w:ascii="Arial" w:hAnsi="Arial" w:cs="Arial"/>
        </w:rPr>
      </w:pPr>
      <w:r w:rsidRPr="004C7C98">
        <w:rPr>
          <w:rFonts w:ascii="Arial" w:hAnsi="Arial" w:cs="Arial"/>
          <w:b/>
          <w:bCs/>
        </w:rPr>
        <w:lastRenderedPageBreak/>
        <w:t>Smith, J.</w:t>
      </w:r>
      <w:r w:rsidRPr="004C7C98">
        <w:rPr>
          <w:rFonts w:ascii="Arial" w:hAnsi="Arial" w:cs="Arial"/>
        </w:rPr>
        <w:t> (2018) 'The Role of Empathy in Supporting Homeless Individuals', </w:t>
      </w:r>
      <w:r w:rsidRPr="004C7C98">
        <w:rPr>
          <w:rFonts w:ascii="Arial" w:hAnsi="Arial" w:cs="Arial"/>
          <w:i/>
          <w:iCs/>
        </w:rPr>
        <w:t>Journal of Social Services</w:t>
      </w:r>
      <w:r w:rsidRPr="004C7C98">
        <w:rPr>
          <w:rFonts w:ascii="Arial" w:hAnsi="Arial" w:cs="Arial"/>
        </w:rPr>
        <w:t>, 42(2), pp. 123-135.</w:t>
      </w:r>
    </w:p>
    <w:p w14:paraId="6A4CD953" w14:textId="246971EA" w:rsidR="00973357" w:rsidRPr="004C7C98" w:rsidRDefault="00973357" w:rsidP="00973357">
      <w:pPr>
        <w:numPr>
          <w:ilvl w:val="0"/>
          <w:numId w:val="24"/>
        </w:numPr>
        <w:spacing w:line="278" w:lineRule="auto"/>
      </w:pPr>
      <w:r w:rsidRPr="004C7C98">
        <w:rPr>
          <w:b/>
          <w:bCs/>
        </w:rPr>
        <w:t>Substance Abuse and Mental Health Services Administration</w:t>
      </w:r>
      <w:r w:rsidRPr="004C7C98">
        <w:t>. (2014). </w:t>
      </w:r>
      <w:r w:rsidRPr="004C7C98">
        <w:rPr>
          <w:i/>
          <w:iCs/>
        </w:rPr>
        <w:t>SAMHSA’s Concept of Trauma and Guidance for a Trauma-Informed Approach</w:t>
      </w:r>
      <w:r w:rsidRPr="004C7C98">
        <w:t>. SAMHSA.</w:t>
      </w:r>
    </w:p>
    <w:p w14:paraId="578886A8" w14:textId="77777777" w:rsidR="00B339F1" w:rsidRPr="004C7C98" w:rsidRDefault="00B339F1" w:rsidP="00B339F1">
      <w:pPr>
        <w:numPr>
          <w:ilvl w:val="0"/>
          <w:numId w:val="24"/>
        </w:numPr>
        <w:spacing w:line="278" w:lineRule="auto"/>
        <w:rPr>
          <w:rFonts w:ascii="Arial" w:hAnsi="Arial" w:cs="Arial"/>
        </w:rPr>
      </w:pPr>
      <w:r w:rsidRPr="004C7C98">
        <w:rPr>
          <w:rFonts w:ascii="Arial" w:hAnsi="Arial" w:cs="Arial"/>
          <w:b/>
          <w:bCs/>
        </w:rPr>
        <w:t>Walton, C., Antaki, C. and Finlay, W.M.L.</w:t>
      </w:r>
      <w:r w:rsidRPr="004C7C98">
        <w:rPr>
          <w:rFonts w:ascii="Arial" w:hAnsi="Arial" w:cs="Arial"/>
        </w:rPr>
        <w:t> (2020) 'Support workers recognising the affective stance of residents', </w:t>
      </w:r>
      <w:r w:rsidRPr="004C7C98">
        <w:rPr>
          <w:rFonts w:ascii="Arial" w:hAnsi="Arial" w:cs="Arial"/>
          <w:i/>
          <w:iCs/>
        </w:rPr>
        <w:t>Journal of Intellectual Disabilities</w:t>
      </w:r>
      <w:r w:rsidRPr="004C7C98">
        <w:rPr>
          <w:rFonts w:ascii="Arial" w:hAnsi="Arial" w:cs="Arial"/>
        </w:rPr>
        <w:t>, 24(3), pp. 312-328.</w:t>
      </w:r>
    </w:p>
    <w:p w14:paraId="64F12485" w14:textId="77777777" w:rsidR="00B339F1" w:rsidRPr="005826C2" w:rsidRDefault="00B339F1" w:rsidP="005E44B5">
      <w:pPr>
        <w:rPr>
          <w:rFonts w:ascii="Arial" w:hAnsi="Arial" w:cs="Arial"/>
          <w:color w:val="000000" w:themeColor="text1"/>
        </w:rPr>
      </w:pPr>
    </w:p>
    <w:sectPr w:rsidR="00B339F1" w:rsidRPr="005826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47840B" w14:textId="77777777" w:rsidR="0031034A" w:rsidRDefault="0031034A" w:rsidP="003C7C97">
      <w:pPr>
        <w:spacing w:after="0" w:line="240" w:lineRule="auto"/>
      </w:pPr>
      <w:r>
        <w:separator/>
      </w:r>
    </w:p>
  </w:endnote>
  <w:endnote w:type="continuationSeparator" w:id="0">
    <w:p w14:paraId="5808AB64" w14:textId="77777777" w:rsidR="0031034A" w:rsidRDefault="0031034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06AB27" w14:textId="77777777" w:rsidR="0031034A" w:rsidRDefault="0031034A" w:rsidP="003C7C97">
      <w:pPr>
        <w:spacing w:after="0" w:line="240" w:lineRule="auto"/>
      </w:pPr>
      <w:r>
        <w:separator/>
      </w:r>
    </w:p>
  </w:footnote>
  <w:footnote w:type="continuationSeparator" w:id="0">
    <w:p w14:paraId="10AD3524" w14:textId="77777777" w:rsidR="0031034A" w:rsidRDefault="0031034A"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2E7591"/>
    <w:multiLevelType w:val="multilevel"/>
    <w:tmpl w:val="172E99A6"/>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31EF4BBC"/>
    <w:multiLevelType w:val="multilevel"/>
    <w:tmpl w:val="74881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0D65952"/>
    <w:multiLevelType w:val="multilevel"/>
    <w:tmpl w:val="C3B6C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1"/>
  </w:num>
  <w:num w:numId="3" w16cid:durableId="1067413603">
    <w:abstractNumId w:val="10"/>
  </w:num>
  <w:num w:numId="4" w16cid:durableId="931426930">
    <w:abstractNumId w:val="21"/>
  </w:num>
  <w:num w:numId="5" w16cid:durableId="1422484198">
    <w:abstractNumId w:val="18"/>
  </w:num>
  <w:num w:numId="6" w16cid:durableId="552929862">
    <w:abstractNumId w:val="19"/>
  </w:num>
  <w:num w:numId="7" w16cid:durableId="587203086">
    <w:abstractNumId w:val="22"/>
  </w:num>
  <w:num w:numId="8" w16cid:durableId="389156196">
    <w:abstractNumId w:val="15"/>
  </w:num>
  <w:num w:numId="9" w16cid:durableId="1393503788">
    <w:abstractNumId w:val="3"/>
  </w:num>
  <w:num w:numId="10" w16cid:durableId="1579359955">
    <w:abstractNumId w:val="12"/>
  </w:num>
  <w:num w:numId="11" w16cid:durableId="806699681">
    <w:abstractNumId w:val="14"/>
  </w:num>
  <w:num w:numId="12" w16cid:durableId="1314750107">
    <w:abstractNumId w:val="11"/>
  </w:num>
  <w:num w:numId="13" w16cid:durableId="1766919701">
    <w:abstractNumId w:val="17"/>
  </w:num>
  <w:num w:numId="14" w16cid:durableId="1957908719">
    <w:abstractNumId w:val="8"/>
  </w:num>
  <w:num w:numId="15" w16cid:durableId="1132019979">
    <w:abstractNumId w:val="2"/>
  </w:num>
  <w:num w:numId="16" w16cid:durableId="1457524365">
    <w:abstractNumId w:val="4"/>
  </w:num>
  <w:num w:numId="17" w16cid:durableId="1386294306">
    <w:abstractNumId w:val="23"/>
  </w:num>
  <w:num w:numId="18" w16cid:durableId="1838374920">
    <w:abstractNumId w:val="20"/>
  </w:num>
  <w:num w:numId="19" w16cid:durableId="1827044992">
    <w:abstractNumId w:val="7"/>
  </w:num>
  <w:num w:numId="20" w16cid:durableId="895820667">
    <w:abstractNumId w:val="16"/>
  </w:num>
  <w:num w:numId="21" w16cid:durableId="817497522">
    <w:abstractNumId w:val="24"/>
  </w:num>
  <w:num w:numId="22" w16cid:durableId="725690465">
    <w:abstractNumId w:val="0"/>
  </w:num>
  <w:num w:numId="23" w16cid:durableId="38433851">
    <w:abstractNumId w:val="5"/>
  </w:num>
  <w:num w:numId="24" w16cid:durableId="1557740477">
    <w:abstractNumId w:val="13"/>
  </w:num>
  <w:num w:numId="25" w16cid:durableId="178134198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5E4D"/>
    <w:rsid w:val="0001715D"/>
    <w:rsid w:val="00022C42"/>
    <w:rsid w:val="00027B15"/>
    <w:rsid w:val="00030A05"/>
    <w:rsid w:val="00046B30"/>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1D4DF2"/>
    <w:rsid w:val="001E5296"/>
    <w:rsid w:val="002205D4"/>
    <w:rsid w:val="00222C3A"/>
    <w:rsid w:val="00226D31"/>
    <w:rsid w:val="00236401"/>
    <w:rsid w:val="002370CE"/>
    <w:rsid w:val="00242974"/>
    <w:rsid w:val="00247B89"/>
    <w:rsid w:val="002976D4"/>
    <w:rsid w:val="002A5577"/>
    <w:rsid w:val="002B4AA4"/>
    <w:rsid w:val="002D3881"/>
    <w:rsid w:val="002E71BA"/>
    <w:rsid w:val="002F4CA6"/>
    <w:rsid w:val="002F5066"/>
    <w:rsid w:val="003003FD"/>
    <w:rsid w:val="00310245"/>
    <w:rsid w:val="0031034A"/>
    <w:rsid w:val="00316C95"/>
    <w:rsid w:val="003458DB"/>
    <w:rsid w:val="003523D3"/>
    <w:rsid w:val="00364C35"/>
    <w:rsid w:val="003650B6"/>
    <w:rsid w:val="00396F60"/>
    <w:rsid w:val="003A51D6"/>
    <w:rsid w:val="003B125E"/>
    <w:rsid w:val="003B180C"/>
    <w:rsid w:val="003B2A5E"/>
    <w:rsid w:val="003C7C97"/>
    <w:rsid w:val="00406B8D"/>
    <w:rsid w:val="00410068"/>
    <w:rsid w:val="0041618E"/>
    <w:rsid w:val="0042295C"/>
    <w:rsid w:val="00423192"/>
    <w:rsid w:val="00426EEC"/>
    <w:rsid w:val="004466C3"/>
    <w:rsid w:val="004552CE"/>
    <w:rsid w:val="00481FF7"/>
    <w:rsid w:val="00483201"/>
    <w:rsid w:val="00500295"/>
    <w:rsid w:val="00501AAF"/>
    <w:rsid w:val="00527AFA"/>
    <w:rsid w:val="005419DA"/>
    <w:rsid w:val="00552A95"/>
    <w:rsid w:val="00566EF5"/>
    <w:rsid w:val="005678AC"/>
    <w:rsid w:val="005709B1"/>
    <w:rsid w:val="00572B3B"/>
    <w:rsid w:val="005826C2"/>
    <w:rsid w:val="005836D2"/>
    <w:rsid w:val="00584CF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520F8"/>
    <w:rsid w:val="00855F34"/>
    <w:rsid w:val="008826B6"/>
    <w:rsid w:val="008B0B22"/>
    <w:rsid w:val="008C58B0"/>
    <w:rsid w:val="008C591B"/>
    <w:rsid w:val="008C6182"/>
    <w:rsid w:val="008E767A"/>
    <w:rsid w:val="00926458"/>
    <w:rsid w:val="00933720"/>
    <w:rsid w:val="00973357"/>
    <w:rsid w:val="009C7E52"/>
    <w:rsid w:val="009E4934"/>
    <w:rsid w:val="009F40A7"/>
    <w:rsid w:val="009F5CE6"/>
    <w:rsid w:val="00A035CD"/>
    <w:rsid w:val="00A50E80"/>
    <w:rsid w:val="00A513B0"/>
    <w:rsid w:val="00A558F6"/>
    <w:rsid w:val="00A6058C"/>
    <w:rsid w:val="00A63F7F"/>
    <w:rsid w:val="00A667CE"/>
    <w:rsid w:val="00A75042"/>
    <w:rsid w:val="00A75853"/>
    <w:rsid w:val="00A774BC"/>
    <w:rsid w:val="00A82678"/>
    <w:rsid w:val="00A946CB"/>
    <w:rsid w:val="00AA77C8"/>
    <w:rsid w:val="00AC45D0"/>
    <w:rsid w:val="00AC7BE2"/>
    <w:rsid w:val="00AE35BF"/>
    <w:rsid w:val="00B024A0"/>
    <w:rsid w:val="00B1067E"/>
    <w:rsid w:val="00B156D4"/>
    <w:rsid w:val="00B339F1"/>
    <w:rsid w:val="00B36A23"/>
    <w:rsid w:val="00B67099"/>
    <w:rsid w:val="00B81790"/>
    <w:rsid w:val="00B81BBC"/>
    <w:rsid w:val="00BD03D5"/>
    <w:rsid w:val="00C3215E"/>
    <w:rsid w:val="00C45272"/>
    <w:rsid w:val="00C47770"/>
    <w:rsid w:val="00C75856"/>
    <w:rsid w:val="00C85A7C"/>
    <w:rsid w:val="00C95214"/>
    <w:rsid w:val="00CC3F59"/>
    <w:rsid w:val="00CC62E2"/>
    <w:rsid w:val="00CD4774"/>
    <w:rsid w:val="00D10AAF"/>
    <w:rsid w:val="00D27540"/>
    <w:rsid w:val="00D4006B"/>
    <w:rsid w:val="00D40D7A"/>
    <w:rsid w:val="00D4475B"/>
    <w:rsid w:val="00D54685"/>
    <w:rsid w:val="00D64A0D"/>
    <w:rsid w:val="00D750B4"/>
    <w:rsid w:val="00D81C18"/>
    <w:rsid w:val="00D8461A"/>
    <w:rsid w:val="00D95CAF"/>
    <w:rsid w:val="00DB60B6"/>
    <w:rsid w:val="00DC1CC6"/>
    <w:rsid w:val="00E067A8"/>
    <w:rsid w:val="00E13924"/>
    <w:rsid w:val="00E15F9E"/>
    <w:rsid w:val="00E15FD5"/>
    <w:rsid w:val="00E1725A"/>
    <w:rsid w:val="00E33758"/>
    <w:rsid w:val="00E53E5E"/>
    <w:rsid w:val="00E64325"/>
    <w:rsid w:val="00E673C5"/>
    <w:rsid w:val="00E67967"/>
    <w:rsid w:val="00E82723"/>
    <w:rsid w:val="00E913BC"/>
    <w:rsid w:val="00EA29A5"/>
    <w:rsid w:val="00EB6838"/>
    <w:rsid w:val="00EC107C"/>
    <w:rsid w:val="00EC7EBE"/>
    <w:rsid w:val="00EC7FD2"/>
    <w:rsid w:val="00ED5964"/>
    <w:rsid w:val="00F1720B"/>
    <w:rsid w:val="00F36ADC"/>
    <w:rsid w:val="00F47329"/>
    <w:rsid w:val="00F605C6"/>
    <w:rsid w:val="00F6785B"/>
    <w:rsid w:val="00F915D6"/>
    <w:rsid w:val="00FC50F7"/>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D54685"/>
    <w:rPr>
      <w:color w:val="605E5C"/>
      <w:shd w:val="clear" w:color="auto" w:fill="E1DFDD"/>
    </w:rPr>
  </w:style>
  <w:style w:type="paragraph" w:styleId="NoSpacing">
    <w:name w:val="No Spacing"/>
    <w:uiPriority w:val="1"/>
    <w:qFormat/>
    <w:rsid w:val="003B180C"/>
    <w:pPr>
      <w:spacing w:after="0" w:line="240" w:lineRule="auto"/>
    </w:pPr>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killsforcare.org.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eta.jobs.nhs.uk/candidate/jobadvert/B0113-23-0027" TargetMode="External"/><Relationship Id="rId5" Type="http://schemas.openxmlformats.org/officeDocument/2006/relationships/webSettings" Target="webSettings.xml"/><Relationship Id="rId10" Type="http://schemas.openxmlformats.org/officeDocument/2006/relationships/hyperlink" Target="https://mgilearning.com" TargetMode="External"/><Relationship Id="rId4" Type="http://schemas.openxmlformats.org/officeDocument/2006/relationships/settings" Target="settings.xml"/><Relationship Id="rId9" Type="http://schemas.openxmlformats.org/officeDocument/2006/relationships/hyperlink" Target="http://kcl.ac.uk&#16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5</Pages>
  <Words>1609</Words>
  <Characters>9173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Soner Yarasikli (2519545)</cp:lastModifiedBy>
  <cp:revision>10</cp:revision>
  <dcterms:created xsi:type="dcterms:W3CDTF">2026-03-18T01:28:00Z</dcterms:created>
  <dcterms:modified xsi:type="dcterms:W3CDTF">2026-03-26T18:40:00Z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