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FB166" w14:textId="404D6E1D" w:rsidR="00A31AB9" w:rsidRDefault="00A76312" w:rsidP="00A76312">
      <w:pPr>
        <w:jc w:val="center"/>
      </w:pPr>
      <w:r>
        <w:rPr>
          <w:noProof/>
        </w:rPr>
        <w:drawing>
          <wp:inline distT="0" distB="0" distL="0" distR="0" wp14:anchorId="02557B49" wp14:editId="24676248">
            <wp:extent cx="3450590" cy="1457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0590" cy="1457325"/>
                    </a:xfrm>
                    <a:prstGeom prst="rect">
                      <a:avLst/>
                    </a:prstGeom>
                    <a:noFill/>
                  </pic:spPr>
                </pic:pic>
              </a:graphicData>
            </a:graphic>
          </wp:inline>
        </w:drawing>
      </w:r>
    </w:p>
    <w:p w14:paraId="758622D4" w14:textId="35F3061E" w:rsidR="00A76312" w:rsidRDefault="00A76312" w:rsidP="00A76312">
      <w:pPr>
        <w:jc w:val="center"/>
      </w:pPr>
    </w:p>
    <w:p w14:paraId="473E8457" w14:textId="4467D678" w:rsidR="00A76312" w:rsidRDefault="00A76312" w:rsidP="00A76312">
      <w:pPr>
        <w:jc w:val="center"/>
      </w:pPr>
    </w:p>
    <w:p w14:paraId="5E9BA3C4" w14:textId="13E67ECE" w:rsidR="00A76312" w:rsidRPr="00D91B02" w:rsidRDefault="00A76312" w:rsidP="00A76312">
      <w:pPr>
        <w:jc w:val="center"/>
        <w:rPr>
          <w:rFonts w:ascii="Arial" w:hAnsi="Arial" w:cs="Arial"/>
        </w:rPr>
      </w:pPr>
    </w:p>
    <w:p w14:paraId="0C9B6E32" w14:textId="41DF20F9" w:rsidR="00A76312" w:rsidRPr="00D91B02" w:rsidRDefault="00A76312" w:rsidP="00A76312">
      <w:pPr>
        <w:jc w:val="center"/>
        <w:rPr>
          <w:rFonts w:ascii="Arial" w:hAnsi="Arial" w:cs="Arial"/>
        </w:rPr>
      </w:pPr>
    </w:p>
    <w:p w14:paraId="2800BBC3" w14:textId="07819DBE" w:rsidR="00A76312" w:rsidRPr="00D91B02" w:rsidRDefault="00A76312" w:rsidP="00A76312">
      <w:pPr>
        <w:jc w:val="center"/>
        <w:rPr>
          <w:rStyle w:val="eop"/>
          <w:rFonts w:ascii="Arial" w:hAnsi="Arial" w:cs="Arial"/>
          <w:color w:val="000000"/>
          <w:shd w:val="clear" w:color="auto" w:fill="FFFFFF"/>
        </w:rPr>
      </w:pPr>
      <w:r w:rsidRPr="00D91B02">
        <w:rPr>
          <w:rStyle w:val="normaltextrun"/>
          <w:rFonts w:ascii="Arial" w:hAnsi="Arial" w:cs="Arial"/>
          <w:i/>
          <w:iCs/>
          <w:color w:val="000000"/>
          <w:shd w:val="clear" w:color="auto" w:fill="FFFFFF"/>
        </w:rPr>
        <w:t>A Critical Analysis of The Effectiveness of Schedule 7 in detecting and preventing terrorist activities within the Common Travel Area (CTA)</w:t>
      </w:r>
      <w:r w:rsidRPr="00D91B02">
        <w:rPr>
          <w:rStyle w:val="eop"/>
          <w:rFonts w:ascii="Arial" w:hAnsi="Arial" w:cs="Arial"/>
          <w:color w:val="000000"/>
          <w:shd w:val="clear" w:color="auto" w:fill="FFFFFF"/>
        </w:rPr>
        <w:t> </w:t>
      </w:r>
    </w:p>
    <w:p w14:paraId="128D4097" w14:textId="4FF3AE08" w:rsidR="00A76312" w:rsidRPr="00D91B02" w:rsidRDefault="00A76312" w:rsidP="00A76312">
      <w:pPr>
        <w:jc w:val="center"/>
        <w:rPr>
          <w:rStyle w:val="eop"/>
          <w:rFonts w:ascii="Arial" w:hAnsi="Arial" w:cs="Arial"/>
          <w:color w:val="000000"/>
          <w:shd w:val="clear" w:color="auto" w:fill="FFFFFF"/>
        </w:rPr>
      </w:pPr>
    </w:p>
    <w:p w14:paraId="5F0F9156" w14:textId="77777777" w:rsidR="00A76312" w:rsidRPr="00D91B02" w:rsidRDefault="00A76312" w:rsidP="00A76312">
      <w:pPr>
        <w:spacing w:after="0" w:line="480" w:lineRule="auto"/>
        <w:jc w:val="center"/>
        <w:rPr>
          <w:rFonts w:ascii="Arial" w:eastAsia="Calibri" w:hAnsi="Arial" w:cs="Arial"/>
        </w:rPr>
      </w:pPr>
      <w:r w:rsidRPr="00D91B02">
        <w:rPr>
          <w:rFonts w:ascii="Arial" w:eastAsia="Calibri" w:hAnsi="Arial" w:cs="Arial"/>
        </w:rPr>
        <w:t>A Dissertation submitted for the</w:t>
      </w:r>
    </w:p>
    <w:p w14:paraId="73476E59" w14:textId="791ED3BF" w:rsidR="00A76312" w:rsidRPr="00D91B02" w:rsidRDefault="00791D78" w:rsidP="00A76312">
      <w:pPr>
        <w:spacing w:after="0" w:line="480" w:lineRule="auto"/>
        <w:jc w:val="center"/>
        <w:rPr>
          <w:rFonts w:ascii="Arial" w:eastAsia="Calibri" w:hAnsi="Arial" w:cs="Arial"/>
        </w:rPr>
      </w:pPr>
      <w:r w:rsidRPr="00D91B02">
        <w:rPr>
          <w:rFonts w:ascii="Arial" w:eastAsia="Calibri" w:hAnsi="Arial" w:cs="Arial"/>
        </w:rPr>
        <w:t>Master of Sciences Policing: Operational and Strategic Leadership</w:t>
      </w:r>
    </w:p>
    <w:p w14:paraId="166151EF" w14:textId="77777777" w:rsidR="00A76312" w:rsidRPr="00D91B02" w:rsidRDefault="00A76312" w:rsidP="00A76312">
      <w:pPr>
        <w:spacing w:after="0" w:line="480" w:lineRule="auto"/>
        <w:jc w:val="center"/>
        <w:rPr>
          <w:rFonts w:ascii="Arial" w:eastAsia="Calibri" w:hAnsi="Arial" w:cs="Arial"/>
        </w:rPr>
      </w:pPr>
      <w:r w:rsidRPr="00D91B02">
        <w:rPr>
          <w:rFonts w:ascii="Arial" w:eastAsia="Calibri" w:hAnsi="Arial" w:cs="Arial"/>
        </w:rPr>
        <w:t>University Of Wales, Trinity Saint David</w:t>
      </w:r>
    </w:p>
    <w:p w14:paraId="2E90EC35" w14:textId="1AE5DC29" w:rsidR="00A76312" w:rsidRPr="00D91B02" w:rsidRDefault="00A76312" w:rsidP="00A76312">
      <w:pPr>
        <w:spacing w:after="0" w:line="480" w:lineRule="auto"/>
        <w:jc w:val="center"/>
        <w:rPr>
          <w:rFonts w:ascii="Arial" w:eastAsia="Calibri" w:hAnsi="Arial" w:cs="Arial"/>
        </w:rPr>
      </w:pPr>
      <w:r w:rsidRPr="00D91B02">
        <w:rPr>
          <w:rFonts w:ascii="Arial" w:eastAsia="Calibri" w:hAnsi="Arial" w:cs="Arial"/>
        </w:rPr>
        <w:t xml:space="preserve">Submitted: </w:t>
      </w:r>
      <w:r w:rsidR="00B74D47">
        <w:rPr>
          <w:rFonts w:ascii="Arial" w:eastAsia="Calibri" w:hAnsi="Arial" w:cs="Arial"/>
        </w:rPr>
        <w:t>Ju</w:t>
      </w:r>
      <w:r w:rsidR="007D4C7D">
        <w:rPr>
          <w:rFonts w:ascii="Arial" w:eastAsia="Calibri" w:hAnsi="Arial" w:cs="Arial"/>
        </w:rPr>
        <w:t xml:space="preserve">ne </w:t>
      </w:r>
      <w:r w:rsidR="00F05B19">
        <w:rPr>
          <w:rFonts w:ascii="Arial" w:eastAsia="Calibri" w:hAnsi="Arial" w:cs="Arial"/>
        </w:rPr>
        <w:t>30</w:t>
      </w:r>
      <w:r w:rsidR="007D4C7D" w:rsidRPr="0034029A">
        <w:rPr>
          <w:rFonts w:ascii="Arial" w:eastAsia="Calibri" w:hAnsi="Arial" w:cs="Arial"/>
          <w:vertAlign w:val="superscript"/>
        </w:rPr>
        <w:t>th</w:t>
      </w:r>
      <w:proofErr w:type="gramStart"/>
      <w:r w:rsidR="0034029A">
        <w:rPr>
          <w:rFonts w:ascii="Arial" w:eastAsia="Calibri" w:hAnsi="Arial" w:cs="Arial"/>
        </w:rPr>
        <w:t xml:space="preserve"> </w:t>
      </w:r>
      <w:r w:rsidR="00B74D47">
        <w:rPr>
          <w:rFonts w:ascii="Arial" w:eastAsia="Calibri" w:hAnsi="Arial" w:cs="Arial"/>
        </w:rPr>
        <w:t>2024</w:t>
      </w:r>
      <w:proofErr w:type="gramEnd"/>
    </w:p>
    <w:p w14:paraId="08C27171" w14:textId="77777777" w:rsidR="00A76312" w:rsidRPr="00D91B02" w:rsidRDefault="00A76312" w:rsidP="00A76312">
      <w:pPr>
        <w:spacing w:after="0" w:line="480" w:lineRule="auto"/>
        <w:jc w:val="both"/>
        <w:rPr>
          <w:rFonts w:ascii="Arial" w:eastAsia="Calibri" w:hAnsi="Arial" w:cs="Arial"/>
        </w:rPr>
      </w:pPr>
    </w:p>
    <w:p w14:paraId="2686BAC5" w14:textId="77777777" w:rsidR="00A76312" w:rsidRPr="00D91B02" w:rsidRDefault="00A76312" w:rsidP="00A76312">
      <w:pPr>
        <w:spacing w:after="0" w:line="480" w:lineRule="auto"/>
        <w:jc w:val="center"/>
        <w:rPr>
          <w:rFonts w:ascii="Arial" w:eastAsia="Calibri" w:hAnsi="Arial" w:cs="Arial"/>
        </w:rPr>
      </w:pPr>
    </w:p>
    <w:p w14:paraId="19B7CC52" w14:textId="1D1D78B6" w:rsidR="00A76312" w:rsidRPr="00D91B02" w:rsidRDefault="00A76312" w:rsidP="00A76312">
      <w:pPr>
        <w:spacing w:after="0" w:line="480" w:lineRule="auto"/>
        <w:jc w:val="center"/>
        <w:rPr>
          <w:rFonts w:ascii="Arial" w:eastAsia="Calibri" w:hAnsi="Arial" w:cs="Arial"/>
        </w:rPr>
      </w:pPr>
      <w:r w:rsidRPr="00D91B02">
        <w:rPr>
          <w:rFonts w:ascii="Arial" w:eastAsia="Calibri" w:hAnsi="Arial" w:cs="Arial"/>
        </w:rPr>
        <w:t xml:space="preserve">Student: </w:t>
      </w:r>
      <w:r w:rsidR="00650A61" w:rsidRPr="00D91B02">
        <w:rPr>
          <w:rFonts w:ascii="Arial" w:eastAsia="Calibri" w:hAnsi="Arial" w:cs="Arial"/>
        </w:rPr>
        <w:t xml:space="preserve">Jonny Griffiths </w:t>
      </w:r>
    </w:p>
    <w:p w14:paraId="3B261478" w14:textId="5175AB6D" w:rsidR="00A76312" w:rsidRPr="00D91B02" w:rsidRDefault="00A76312" w:rsidP="00A76312">
      <w:pPr>
        <w:spacing w:after="0" w:line="480" w:lineRule="auto"/>
        <w:jc w:val="center"/>
        <w:rPr>
          <w:rFonts w:ascii="Arial" w:eastAsia="Calibri" w:hAnsi="Arial" w:cs="Arial"/>
        </w:rPr>
      </w:pPr>
      <w:r w:rsidRPr="00D91B02">
        <w:rPr>
          <w:rFonts w:ascii="Arial" w:eastAsia="Calibri" w:hAnsi="Arial" w:cs="Arial"/>
        </w:rPr>
        <w:t xml:space="preserve">Student Number: </w:t>
      </w:r>
      <w:r w:rsidR="00650A61" w:rsidRPr="00D91B02">
        <w:rPr>
          <w:rFonts w:ascii="Arial" w:eastAsia="Calibri" w:hAnsi="Arial" w:cs="Arial"/>
        </w:rPr>
        <w:t>2110925</w:t>
      </w:r>
    </w:p>
    <w:p w14:paraId="52684631" w14:textId="59411A33" w:rsidR="00A76312" w:rsidRPr="00D91B02" w:rsidRDefault="00A76312" w:rsidP="00A76312">
      <w:pPr>
        <w:jc w:val="center"/>
        <w:rPr>
          <w:rFonts w:ascii="Arial" w:eastAsia="Calibri" w:hAnsi="Arial" w:cs="Arial"/>
        </w:rPr>
      </w:pPr>
      <w:r w:rsidRPr="00D91B02">
        <w:rPr>
          <w:rFonts w:ascii="Arial" w:eastAsia="Calibri" w:hAnsi="Arial" w:cs="Arial"/>
        </w:rPr>
        <w:t xml:space="preserve">Supervisor: </w:t>
      </w:r>
      <w:r w:rsidR="00650A61" w:rsidRPr="00D91B02">
        <w:rPr>
          <w:rFonts w:ascii="Arial" w:eastAsia="Calibri" w:hAnsi="Arial" w:cs="Arial"/>
        </w:rPr>
        <w:t>Alison Cooke</w:t>
      </w:r>
    </w:p>
    <w:p w14:paraId="78420B68" w14:textId="18BC7BA9" w:rsidR="00A76312" w:rsidRPr="00D91B02" w:rsidRDefault="00A76312" w:rsidP="00A76312">
      <w:pPr>
        <w:jc w:val="center"/>
        <w:rPr>
          <w:rFonts w:ascii="Arial" w:eastAsia="Calibri" w:hAnsi="Arial" w:cs="Arial"/>
        </w:rPr>
      </w:pPr>
    </w:p>
    <w:p w14:paraId="11E0C502" w14:textId="76F2A38F" w:rsidR="00A76312" w:rsidRPr="00D91B02" w:rsidRDefault="00A76312" w:rsidP="00A76312">
      <w:pPr>
        <w:jc w:val="center"/>
        <w:rPr>
          <w:rFonts w:ascii="Arial" w:eastAsia="Calibri" w:hAnsi="Arial" w:cs="Arial"/>
        </w:rPr>
      </w:pPr>
    </w:p>
    <w:p w14:paraId="557989E0" w14:textId="32AB49FE" w:rsidR="00A76312" w:rsidRDefault="00A76312" w:rsidP="00A76312">
      <w:pPr>
        <w:jc w:val="center"/>
        <w:rPr>
          <w:rFonts w:ascii="Arial" w:eastAsia="Calibri" w:hAnsi="Arial" w:cs="Arial"/>
        </w:rPr>
      </w:pPr>
    </w:p>
    <w:p w14:paraId="128D1C14" w14:textId="77777777" w:rsidR="00856B25" w:rsidRPr="00D91B02" w:rsidRDefault="00856B25" w:rsidP="00A76312">
      <w:pPr>
        <w:jc w:val="center"/>
        <w:rPr>
          <w:rFonts w:ascii="Arial" w:eastAsia="Calibri" w:hAnsi="Arial" w:cs="Arial"/>
        </w:rPr>
      </w:pPr>
    </w:p>
    <w:p w14:paraId="70425329" w14:textId="3B7D4D72" w:rsidR="00A76312" w:rsidRPr="00D91B02" w:rsidRDefault="00A76312" w:rsidP="00A76312">
      <w:pPr>
        <w:jc w:val="center"/>
        <w:rPr>
          <w:rFonts w:ascii="Arial" w:eastAsia="Calibri" w:hAnsi="Arial" w:cs="Arial"/>
        </w:rPr>
      </w:pPr>
    </w:p>
    <w:p w14:paraId="5110EA80" w14:textId="11011369" w:rsidR="00A76312" w:rsidRPr="00D91B02" w:rsidRDefault="00A76312" w:rsidP="00A76312">
      <w:pPr>
        <w:jc w:val="center"/>
        <w:rPr>
          <w:rFonts w:ascii="Arial" w:eastAsia="Calibri" w:hAnsi="Arial" w:cs="Arial"/>
        </w:rPr>
      </w:pPr>
    </w:p>
    <w:p w14:paraId="71524DA0" w14:textId="7D78F2F3" w:rsidR="00A76312" w:rsidRPr="00D91B02" w:rsidRDefault="00A76312" w:rsidP="00A76312">
      <w:pPr>
        <w:jc w:val="center"/>
        <w:rPr>
          <w:rFonts w:ascii="Arial" w:eastAsia="Calibri" w:hAnsi="Arial" w:cs="Arial"/>
        </w:rPr>
      </w:pPr>
    </w:p>
    <w:p w14:paraId="240D4FFC" w14:textId="2DC24C31" w:rsidR="00A76312" w:rsidRPr="00D91B02" w:rsidRDefault="00A76312" w:rsidP="00A76312">
      <w:pPr>
        <w:jc w:val="center"/>
        <w:rPr>
          <w:rFonts w:ascii="Arial" w:eastAsia="Calibri" w:hAnsi="Arial" w:cs="Arial"/>
        </w:rPr>
      </w:pPr>
    </w:p>
    <w:p w14:paraId="632BA850" w14:textId="77777777" w:rsidR="00A76312" w:rsidRPr="00D91B02" w:rsidRDefault="00A76312" w:rsidP="00A76312">
      <w:pPr>
        <w:keepNext/>
        <w:keepLines/>
        <w:spacing w:after="0" w:line="480" w:lineRule="auto"/>
        <w:ind w:left="432" w:hanging="432"/>
        <w:outlineLvl w:val="0"/>
        <w:rPr>
          <w:rFonts w:ascii="Arial" w:eastAsia="Times New Roman" w:hAnsi="Arial" w:cs="Arial"/>
          <w:b/>
        </w:rPr>
      </w:pPr>
      <w:bookmarkStart w:id="0" w:name="_Toc512189481"/>
      <w:r w:rsidRPr="00D91B02">
        <w:rPr>
          <w:rFonts w:ascii="Arial" w:eastAsia="Times New Roman" w:hAnsi="Arial" w:cs="Arial"/>
          <w:b/>
        </w:rPr>
        <w:lastRenderedPageBreak/>
        <w:t>Declaration/Statements</w:t>
      </w:r>
      <w:bookmarkEnd w:id="0"/>
    </w:p>
    <w:p w14:paraId="1CE4F156" w14:textId="77777777" w:rsidR="00A76312" w:rsidRPr="00D91B02" w:rsidRDefault="00A76312" w:rsidP="00A76312">
      <w:pPr>
        <w:spacing w:after="0" w:line="240" w:lineRule="auto"/>
        <w:jc w:val="both"/>
        <w:rPr>
          <w:rFonts w:ascii="Arial" w:eastAsia="Calibri" w:hAnsi="Arial" w:cs="Arial"/>
        </w:rPr>
      </w:pPr>
    </w:p>
    <w:p w14:paraId="160B35C7" w14:textId="77777777" w:rsidR="00A76312" w:rsidRPr="00D91B02" w:rsidRDefault="00A76312" w:rsidP="00A76312">
      <w:pPr>
        <w:spacing w:after="0" w:line="240" w:lineRule="auto"/>
        <w:jc w:val="both"/>
        <w:rPr>
          <w:rFonts w:ascii="Arial" w:eastAsia="Calibri" w:hAnsi="Arial" w:cs="Arial"/>
          <w:spacing w:val="-2"/>
        </w:rPr>
      </w:pPr>
      <w:r w:rsidRPr="00D91B02">
        <w:rPr>
          <w:rFonts w:ascii="Arial" w:eastAsia="Calibri" w:hAnsi="Arial" w:cs="Arial"/>
          <w:spacing w:val="-2"/>
        </w:rPr>
        <w:t>This work has not previously been accepted in substance for any degree and is not being concurrently submitted in candidature for any degree.</w:t>
      </w:r>
      <w:r w:rsidRPr="00D91B02">
        <w:rPr>
          <w:rFonts w:ascii="Arial" w:eastAsia="Calibri" w:hAnsi="Arial" w:cs="Arial"/>
          <w:spacing w:val="-2"/>
        </w:rPr>
        <w:tab/>
      </w:r>
    </w:p>
    <w:p w14:paraId="471ADC59" w14:textId="77777777" w:rsidR="00A76312" w:rsidRPr="00D91B02" w:rsidRDefault="00A76312" w:rsidP="00A76312">
      <w:pPr>
        <w:spacing w:after="0" w:line="240" w:lineRule="auto"/>
        <w:ind w:left="720"/>
        <w:jc w:val="both"/>
        <w:rPr>
          <w:rFonts w:ascii="Arial" w:eastAsia="Calibri" w:hAnsi="Arial" w:cs="Arial"/>
          <w:spacing w:val="-2"/>
        </w:rPr>
      </w:pPr>
    </w:p>
    <w:p w14:paraId="6C841FFD" w14:textId="77777777" w:rsidR="00A76312" w:rsidRPr="00D91B02" w:rsidRDefault="00A76312" w:rsidP="00A76312">
      <w:pPr>
        <w:spacing w:after="0" w:line="240" w:lineRule="auto"/>
        <w:ind w:left="720"/>
        <w:jc w:val="both"/>
        <w:rPr>
          <w:rFonts w:ascii="Arial" w:eastAsia="Calibri" w:hAnsi="Arial" w:cs="Arial"/>
          <w:spacing w:val="-2"/>
        </w:rPr>
      </w:pPr>
    </w:p>
    <w:p w14:paraId="23CC2F10" w14:textId="1663D4F1" w:rsidR="00A76312" w:rsidRPr="00D91B02" w:rsidRDefault="00A76312" w:rsidP="00A76312">
      <w:pPr>
        <w:spacing w:after="0" w:line="240" w:lineRule="auto"/>
        <w:jc w:val="both"/>
        <w:rPr>
          <w:rFonts w:ascii="Arial" w:eastAsia="Calibri" w:hAnsi="Arial" w:cs="Arial"/>
          <w:spacing w:val="-2"/>
        </w:rPr>
      </w:pPr>
      <w:r w:rsidRPr="00D91B02">
        <w:rPr>
          <w:rFonts w:ascii="Arial" w:eastAsia="Calibri" w:hAnsi="Arial" w:cs="Arial"/>
          <w:spacing w:val="-2"/>
        </w:rPr>
        <w:t xml:space="preserve">Signed </w:t>
      </w:r>
      <w:r w:rsidR="00B74D47">
        <w:rPr>
          <w:rFonts w:ascii="Arial" w:eastAsia="Calibri" w:hAnsi="Arial" w:cs="Arial"/>
          <w:noProof/>
          <w:spacing w:val="-2"/>
        </w:rPr>
        <w:drawing>
          <wp:inline distT="0" distB="0" distL="0" distR="0" wp14:anchorId="25BA971E" wp14:editId="03398DF6">
            <wp:extent cx="1162050" cy="323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62050" cy="323850"/>
                    </a:xfrm>
                    <a:prstGeom prst="rect">
                      <a:avLst/>
                    </a:prstGeom>
                    <a:noFill/>
                  </pic:spPr>
                </pic:pic>
              </a:graphicData>
            </a:graphic>
          </wp:inline>
        </w:drawing>
      </w:r>
    </w:p>
    <w:p w14:paraId="6B363FEB" w14:textId="77777777" w:rsidR="00A76312" w:rsidRPr="00D91B02" w:rsidRDefault="00A76312" w:rsidP="00A76312">
      <w:pPr>
        <w:spacing w:after="0" w:line="240" w:lineRule="auto"/>
        <w:ind w:left="720"/>
        <w:jc w:val="both"/>
        <w:rPr>
          <w:rFonts w:ascii="Arial" w:eastAsia="Calibri" w:hAnsi="Arial" w:cs="Arial"/>
          <w:spacing w:val="-2"/>
        </w:rPr>
      </w:pPr>
    </w:p>
    <w:p w14:paraId="1B3F02AD" w14:textId="1E653D1C" w:rsidR="00A76312" w:rsidRPr="00D91B02" w:rsidRDefault="00A76312" w:rsidP="00A76312">
      <w:pPr>
        <w:spacing w:after="0" w:line="240" w:lineRule="auto"/>
        <w:jc w:val="both"/>
        <w:rPr>
          <w:rFonts w:ascii="Arial" w:eastAsia="Calibri" w:hAnsi="Arial" w:cs="Arial"/>
          <w:spacing w:val="-2"/>
        </w:rPr>
      </w:pPr>
      <w:r w:rsidRPr="00D91B02">
        <w:rPr>
          <w:rFonts w:ascii="Arial" w:eastAsia="Calibri" w:hAnsi="Arial" w:cs="Arial"/>
          <w:spacing w:val="-2"/>
        </w:rPr>
        <w:t>Date</w:t>
      </w:r>
      <w:r w:rsidR="007E22E3">
        <w:rPr>
          <w:rFonts w:ascii="Arial" w:eastAsia="Calibri" w:hAnsi="Arial" w:cs="Arial"/>
          <w:spacing w:val="-2"/>
        </w:rPr>
        <w:t>:</w:t>
      </w:r>
      <w:r w:rsidRPr="00D91B02">
        <w:rPr>
          <w:rFonts w:ascii="Arial" w:eastAsia="Calibri" w:hAnsi="Arial" w:cs="Arial"/>
          <w:spacing w:val="-2"/>
        </w:rPr>
        <w:t xml:space="preserve"> </w:t>
      </w:r>
      <w:r w:rsidR="0034029A">
        <w:rPr>
          <w:rFonts w:ascii="Arial" w:eastAsia="Calibri" w:hAnsi="Arial" w:cs="Arial"/>
          <w:spacing w:val="-2"/>
        </w:rPr>
        <w:t xml:space="preserve">June </w:t>
      </w:r>
      <w:r w:rsidR="00F05B19">
        <w:rPr>
          <w:rFonts w:ascii="Arial" w:eastAsia="Calibri" w:hAnsi="Arial" w:cs="Arial"/>
          <w:spacing w:val="-2"/>
        </w:rPr>
        <w:t>30</w:t>
      </w:r>
      <w:r w:rsidR="0034029A" w:rsidRPr="0034029A">
        <w:rPr>
          <w:rFonts w:ascii="Arial" w:eastAsia="Calibri" w:hAnsi="Arial" w:cs="Arial"/>
          <w:spacing w:val="-2"/>
          <w:vertAlign w:val="superscript"/>
        </w:rPr>
        <w:t>th</w:t>
      </w:r>
      <w:proofErr w:type="gramStart"/>
      <w:r w:rsidR="0034029A">
        <w:rPr>
          <w:rFonts w:ascii="Arial" w:eastAsia="Calibri" w:hAnsi="Arial" w:cs="Arial"/>
          <w:spacing w:val="-2"/>
        </w:rPr>
        <w:t xml:space="preserve"> 2024</w:t>
      </w:r>
      <w:proofErr w:type="gramEnd"/>
    </w:p>
    <w:p w14:paraId="5B565454" w14:textId="77777777" w:rsidR="00A76312" w:rsidRPr="00D91B02" w:rsidRDefault="00A76312" w:rsidP="00A76312">
      <w:pPr>
        <w:spacing w:after="0" w:line="240" w:lineRule="auto"/>
        <w:ind w:left="720"/>
        <w:jc w:val="both"/>
        <w:rPr>
          <w:rFonts w:ascii="Arial" w:eastAsia="Calibri" w:hAnsi="Arial" w:cs="Arial"/>
          <w:spacing w:val="-2"/>
        </w:rPr>
      </w:pPr>
    </w:p>
    <w:p w14:paraId="19EDFE2C" w14:textId="77777777" w:rsidR="00A76312" w:rsidRPr="00D91B02" w:rsidRDefault="00A76312" w:rsidP="00A76312">
      <w:pPr>
        <w:spacing w:after="0" w:line="240" w:lineRule="auto"/>
        <w:ind w:left="720"/>
        <w:jc w:val="both"/>
        <w:rPr>
          <w:rFonts w:ascii="Arial" w:eastAsia="Calibri" w:hAnsi="Arial" w:cs="Arial"/>
          <w:spacing w:val="-2"/>
        </w:rPr>
      </w:pPr>
    </w:p>
    <w:p w14:paraId="5A3CA7CA" w14:textId="0081AE0E" w:rsidR="00A76312" w:rsidRPr="00D91B02" w:rsidRDefault="00A76312" w:rsidP="00A76312">
      <w:pPr>
        <w:spacing w:after="0" w:line="240" w:lineRule="auto"/>
        <w:jc w:val="both"/>
        <w:rPr>
          <w:rFonts w:ascii="Arial" w:eastAsia="Calibri" w:hAnsi="Arial" w:cs="Arial"/>
          <w:spacing w:val="-2"/>
        </w:rPr>
      </w:pPr>
    </w:p>
    <w:p w14:paraId="63FDC700" w14:textId="77777777" w:rsidR="00A76312" w:rsidRPr="00D91B02" w:rsidRDefault="00A76312" w:rsidP="00A76312">
      <w:pPr>
        <w:spacing w:after="0" w:line="240" w:lineRule="auto"/>
        <w:ind w:left="720"/>
        <w:jc w:val="both"/>
        <w:rPr>
          <w:rFonts w:ascii="Arial" w:eastAsia="Calibri" w:hAnsi="Arial" w:cs="Arial"/>
          <w:spacing w:val="-2"/>
        </w:rPr>
      </w:pPr>
    </w:p>
    <w:p w14:paraId="19C823F1" w14:textId="77777777" w:rsidR="00A76312" w:rsidRPr="00D91B02" w:rsidRDefault="00A76312" w:rsidP="00A76312">
      <w:pPr>
        <w:spacing w:after="0" w:line="240" w:lineRule="auto"/>
        <w:jc w:val="both"/>
        <w:rPr>
          <w:rFonts w:ascii="Arial" w:eastAsia="Calibri" w:hAnsi="Arial" w:cs="Arial"/>
          <w:spacing w:val="-2"/>
        </w:rPr>
      </w:pPr>
      <w:r w:rsidRPr="00D91B02">
        <w:rPr>
          <w:rFonts w:ascii="Arial" w:eastAsia="Calibri" w:hAnsi="Arial" w:cs="Arial"/>
          <w:spacing w:val="-2"/>
        </w:rPr>
        <w:t>This work is the result of my own investigations, except where otherwise stated. Other sources are acknowledged by giving explicit references.  A bibliography is appended.</w:t>
      </w:r>
    </w:p>
    <w:p w14:paraId="2E179F55" w14:textId="77777777" w:rsidR="00A76312" w:rsidRPr="00D91B02" w:rsidRDefault="00A76312" w:rsidP="00A76312">
      <w:pPr>
        <w:spacing w:after="0" w:line="240" w:lineRule="auto"/>
        <w:ind w:left="720"/>
        <w:jc w:val="both"/>
        <w:rPr>
          <w:rFonts w:ascii="Arial" w:eastAsia="Calibri" w:hAnsi="Arial" w:cs="Arial"/>
          <w:spacing w:val="-2"/>
        </w:rPr>
      </w:pPr>
    </w:p>
    <w:p w14:paraId="5B483DFE" w14:textId="77777777" w:rsidR="00A76312" w:rsidRPr="00D91B02" w:rsidRDefault="00A76312" w:rsidP="00A76312">
      <w:pPr>
        <w:spacing w:after="0" w:line="240" w:lineRule="auto"/>
        <w:ind w:left="720"/>
        <w:jc w:val="both"/>
        <w:rPr>
          <w:rFonts w:ascii="Arial" w:eastAsia="Calibri" w:hAnsi="Arial" w:cs="Arial"/>
          <w:spacing w:val="-2"/>
        </w:rPr>
      </w:pPr>
    </w:p>
    <w:p w14:paraId="7D7F295D" w14:textId="304296A9" w:rsidR="00A76312" w:rsidRPr="00D91B02" w:rsidRDefault="00A76312" w:rsidP="00A76312">
      <w:pPr>
        <w:spacing w:after="0" w:line="240" w:lineRule="auto"/>
        <w:jc w:val="both"/>
        <w:rPr>
          <w:rFonts w:ascii="Arial" w:eastAsia="Calibri" w:hAnsi="Arial" w:cs="Arial"/>
          <w:spacing w:val="-2"/>
        </w:rPr>
      </w:pPr>
      <w:r w:rsidRPr="00D91B02">
        <w:rPr>
          <w:rFonts w:ascii="Arial" w:eastAsia="Calibri" w:hAnsi="Arial" w:cs="Arial"/>
          <w:spacing w:val="-2"/>
        </w:rPr>
        <w:t xml:space="preserve">Signed </w:t>
      </w:r>
      <w:r w:rsidR="007E22E3">
        <w:rPr>
          <w:rFonts w:ascii="Arial" w:eastAsia="Calibri" w:hAnsi="Arial" w:cs="Arial"/>
          <w:noProof/>
          <w:spacing w:val="-2"/>
        </w:rPr>
        <w:drawing>
          <wp:inline distT="0" distB="0" distL="0" distR="0" wp14:anchorId="196F46F3" wp14:editId="0F57A431">
            <wp:extent cx="1162050" cy="323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62050" cy="323850"/>
                    </a:xfrm>
                    <a:prstGeom prst="rect">
                      <a:avLst/>
                    </a:prstGeom>
                    <a:noFill/>
                  </pic:spPr>
                </pic:pic>
              </a:graphicData>
            </a:graphic>
          </wp:inline>
        </w:drawing>
      </w:r>
    </w:p>
    <w:p w14:paraId="1262CACD" w14:textId="77777777" w:rsidR="00A76312" w:rsidRPr="00D91B02" w:rsidRDefault="00A76312" w:rsidP="00A76312">
      <w:pPr>
        <w:spacing w:after="0" w:line="240" w:lineRule="auto"/>
        <w:ind w:left="720"/>
        <w:jc w:val="both"/>
        <w:rPr>
          <w:rFonts w:ascii="Arial" w:eastAsia="Calibri" w:hAnsi="Arial" w:cs="Arial"/>
          <w:spacing w:val="-2"/>
        </w:rPr>
      </w:pPr>
    </w:p>
    <w:p w14:paraId="730AD13E" w14:textId="2879546E" w:rsidR="00A76312" w:rsidRPr="00D91B02" w:rsidRDefault="00A76312" w:rsidP="00A76312">
      <w:pPr>
        <w:spacing w:after="0" w:line="240" w:lineRule="auto"/>
        <w:jc w:val="both"/>
        <w:rPr>
          <w:rFonts w:ascii="Arial" w:eastAsia="Calibri" w:hAnsi="Arial" w:cs="Arial"/>
          <w:spacing w:val="-2"/>
        </w:rPr>
      </w:pPr>
      <w:r w:rsidRPr="00D91B02">
        <w:rPr>
          <w:rFonts w:ascii="Arial" w:eastAsia="Calibri" w:hAnsi="Arial" w:cs="Arial"/>
          <w:spacing w:val="-2"/>
        </w:rPr>
        <w:t>Date</w:t>
      </w:r>
      <w:r w:rsidR="007E22E3">
        <w:rPr>
          <w:rFonts w:ascii="Arial" w:eastAsia="Calibri" w:hAnsi="Arial" w:cs="Arial"/>
          <w:spacing w:val="-2"/>
        </w:rPr>
        <w:t>: Ju</w:t>
      </w:r>
      <w:r w:rsidR="0034029A">
        <w:rPr>
          <w:rFonts w:ascii="Arial" w:eastAsia="Calibri" w:hAnsi="Arial" w:cs="Arial"/>
          <w:spacing w:val="-2"/>
        </w:rPr>
        <w:t xml:space="preserve">ne </w:t>
      </w:r>
      <w:r w:rsidR="00F05B19">
        <w:rPr>
          <w:rFonts w:ascii="Arial" w:eastAsia="Calibri" w:hAnsi="Arial" w:cs="Arial"/>
          <w:spacing w:val="-2"/>
        </w:rPr>
        <w:t>30</w:t>
      </w:r>
      <w:r w:rsidR="0034029A" w:rsidRPr="0034029A">
        <w:rPr>
          <w:rFonts w:ascii="Arial" w:eastAsia="Calibri" w:hAnsi="Arial" w:cs="Arial"/>
          <w:spacing w:val="-2"/>
          <w:vertAlign w:val="superscript"/>
        </w:rPr>
        <w:t>th</w:t>
      </w:r>
      <w:proofErr w:type="gramStart"/>
      <w:r w:rsidR="0034029A">
        <w:rPr>
          <w:rFonts w:ascii="Arial" w:eastAsia="Calibri" w:hAnsi="Arial" w:cs="Arial"/>
          <w:spacing w:val="-2"/>
        </w:rPr>
        <w:t xml:space="preserve"> 2024</w:t>
      </w:r>
      <w:proofErr w:type="gramEnd"/>
    </w:p>
    <w:p w14:paraId="010A2F43" w14:textId="77777777" w:rsidR="00A76312" w:rsidRPr="00D91B02" w:rsidRDefault="00A76312" w:rsidP="00A76312">
      <w:pPr>
        <w:spacing w:after="0" w:line="240" w:lineRule="auto"/>
        <w:ind w:left="720"/>
        <w:jc w:val="both"/>
        <w:rPr>
          <w:rFonts w:ascii="Arial" w:eastAsia="Calibri" w:hAnsi="Arial" w:cs="Arial"/>
          <w:spacing w:val="-2"/>
        </w:rPr>
      </w:pPr>
    </w:p>
    <w:p w14:paraId="7EC3DB01" w14:textId="77777777" w:rsidR="00A76312" w:rsidRPr="00D91B02" w:rsidRDefault="00A76312" w:rsidP="00A76312">
      <w:pPr>
        <w:spacing w:after="0" w:line="240" w:lineRule="auto"/>
        <w:ind w:left="720"/>
        <w:jc w:val="both"/>
        <w:rPr>
          <w:rFonts w:ascii="Arial" w:eastAsia="Calibri" w:hAnsi="Arial" w:cs="Arial"/>
          <w:spacing w:val="-2"/>
        </w:rPr>
      </w:pPr>
    </w:p>
    <w:p w14:paraId="60D7DBE8" w14:textId="77777777" w:rsidR="00A76312" w:rsidRPr="00D91B02" w:rsidRDefault="00A76312" w:rsidP="00A76312">
      <w:pPr>
        <w:spacing w:after="0" w:line="240" w:lineRule="auto"/>
        <w:ind w:left="720"/>
        <w:jc w:val="both"/>
        <w:rPr>
          <w:rFonts w:ascii="Arial" w:eastAsia="Calibri" w:hAnsi="Arial" w:cs="Arial"/>
          <w:spacing w:val="-2"/>
        </w:rPr>
      </w:pPr>
    </w:p>
    <w:p w14:paraId="541C3CDB" w14:textId="77777777" w:rsidR="00A76312" w:rsidRPr="00D91B02" w:rsidRDefault="00A76312" w:rsidP="00A76312">
      <w:pPr>
        <w:spacing w:after="0" w:line="240" w:lineRule="auto"/>
        <w:jc w:val="both"/>
        <w:rPr>
          <w:rFonts w:ascii="Arial" w:eastAsia="Calibri" w:hAnsi="Arial" w:cs="Arial"/>
        </w:rPr>
      </w:pPr>
    </w:p>
    <w:p w14:paraId="5A5774C6" w14:textId="77777777" w:rsidR="00A76312" w:rsidRPr="00D91B02" w:rsidRDefault="00A76312" w:rsidP="00A76312">
      <w:pPr>
        <w:spacing w:after="0" w:line="240" w:lineRule="auto"/>
        <w:jc w:val="both"/>
        <w:rPr>
          <w:rFonts w:ascii="Arial" w:eastAsia="Calibri" w:hAnsi="Arial" w:cs="Arial"/>
        </w:rPr>
      </w:pPr>
    </w:p>
    <w:p w14:paraId="73CFD073" w14:textId="77777777" w:rsidR="007E22E3" w:rsidRDefault="007E22E3" w:rsidP="007E22E3">
      <w:pPr>
        <w:spacing w:after="0" w:line="240" w:lineRule="auto"/>
        <w:rPr>
          <w:rFonts w:ascii="Arial" w:eastAsia="Calibri" w:hAnsi="Arial" w:cs="Arial"/>
        </w:rPr>
      </w:pPr>
    </w:p>
    <w:p w14:paraId="7AF261CA" w14:textId="77777777" w:rsidR="007E22E3" w:rsidRDefault="007E22E3" w:rsidP="007E22E3">
      <w:pPr>
        <w:spacing w:after="0" w:line="240" w:lineRule="auto"/>
        <w:rPr>
          <w:rFonts w:ascii="Arial" w:eastAsia="Calibri" w:hAnsi="Arial" w:cs="Arial"/>
        </w:rPr>
      </w:pPr>
    </w:p>
    <w:p w14:paraId="3DCB3469" w14:textId="77777777" w:rsidR="007E22E3" w:rsidRDefault="007E22E3" w:rsidP="007E22E3">
      <w:pPr>
        <w:spacing w:after="0" w:line="240" w:lineRule="auto"/>
        <w:rPr>
          <w:rFonts w:ascii="Arial" w:eastAsia="Calibri" w:hAnsi="Arial" w:cs="Arial"/>
        </w:rPr>
      </w:pPr>
    </w:p>
    <w:p w14:paraId="08FBA637" w14:textId="77777777" w:rsidR="007E22E3" w:rsidRDefault="007E22E3" w:rsidP="007E22E3">
      <w:pPr>
        <w:spacing w:after="0" w:line="240" w:lineRule="auto"/>
        <w:rPr>
          <w:rFonts w:ascii="Arial" w:eastAsia="Calibri" w:hAnsi="Arial" w:cs="Arial"/>
        </w:rPr>
      </w:pPr>
    </w:p>
    <w:p w14:paraId="3CAC33CF" w14:textId="77777777" w:rsidR="007E22E3" w:rsidRDefault="007E22E3" w:rsidP="007E22E3">
      <w:pPr>
        <w:spacing w:after="0" w:line="240" w:lineRule="auto"/>
        <w:rPr>
          <w:rFonts w:ascii="Arial" w:eastAsia="Calibri" w:hAnsi="Arial" w:cs="Arial"/>
        </w:rPr>
      </w:pPr>
    </w:p>
    <w:p w14:paraId="4DBA0D67" w14:textId="77777777" w:rsidR="007E22E3" w:rsidRDefault="007E22E3" w:rsidP="007E22E3">
      <w:pPr>
        <w:spacing w:after="0" w:line="240" w:lineRule="auto"/>
        <w:rPr>
          <w:rFonts w:ascii="Arial" w:eastAsia="Calibri" w:hAnsi="Arial" w:cs="Arial"/>
        </w:rPr>
      </w:pPr>
    </w:p>
    <w:p w14:paraId="3B22E3B2" w14:textId="77777777" w:rsidR="007E22E3" w:rsidRDefault="007E22E3" w:rsidP="007E22E3">
      <w:pPr>
        <w:spacing w:after="0" w:line="240" w:lineRule="auto"/>
        <w:rPr>
          <w:rFonts w:ascii="Arial" w:eastAsia="Calibri" w:hAnsi="Arial" w:cs="Arial"/>
        </w:rPr>
      </w:pPr>
    </w:p>
    <w:p w14:paraId="614A2754" w14:textId="77777777" w:rsidR="007E22E3" w:rsidRDefault="007E22E3" w:rsidP="007E22E3">
      <w:pPr>
        <w:spacing w:after="0" w:line="240" w:lineRule="auto"/>
        <w:rPr>
          <w:rFonts w:ascii="Arial" w:eastAsia="Calibri" w:hAnsi="Arial" w:cs="Arial"/>
        </w:rPr>
      </w:pPr>
    </w:p>
    <w:p w14:paraId="795151CF" w14:textId="77777777" w:rsidR="007E22E3" w:rsidRDefault="007E22E3" w:rsidP="007E22E3">
      <w:pPr>
        <w:spacing w:after="0" w:line="240" w:lineRule="auto"/>
        <w:rPr>
          <w:rFonts w:ascii="Arial" w:eastAsia="Calibri" w:hAnsi="Arial" w:cs="Arial"/>
        </w:rPr>
      </w:pPr>
    </w:p>
    <w:p w14:paraId="38C04AB9" w14:textId="77777777" w:rsidR="007E22E3" w:rsidRDefault="007E22E3" w:rsidP="007E22E3">
      <w:pPr>
        <w:spacing w:after="0" w:line="240" w:lineRule="auto"/>
        <w:rPr>
          <w:rFonts w:ascii="Arial" w:eastAsia="Calibri" w:hAnsi="Arial" w:cs="Arial"/>
        </w:rPr>
      </w:pPr>
    </w:p>
    <w:p w14:paraId="36AAE807" w14:textId="77777777" w:rsidR="007E22E3" w:rsidRDefault="007E22E3" w:rsidP="007E22E3">
      <w:pPr>
        <w:spacing w:after="0" w:line="240" w:lineRule="auto"/>
        <w:rPr>
          <w:rFonts w:ascii="Arial" w:eastAsia="Calibri" w:hAnsi="Arial" w:cs="Arial"/>
        </w:rPr>
      </w:pPr>
    </w:p>
    <w:p w14:paraId="3100948F" w14:textId="77777777" w:rsidR="007E22E3" w:rsidRDefault="007E22E3" w:rsidP="007E22E3">
      <w:pPr>
        <w:spacing w:after="0" w:line="240" w:lineRule="auto"/>
        <w:rPr>
          <w:rFonts w:ascii="Arial" w:eastAsia="Calibri" w:hAnsi="Arial" w:cs="Arial"/>
        </w:rPr>
      </w:pPr>
    </w:p>
    <w:p w14:paraId="5E5747C5" w14:textId="77777777" w:rsidR="007E22E3" w:rsidRDefault="007E22E3" w:rsidP="007E22E3">
      <w:pPr>
        <w:spacing w:after="0" w:line="240" w:lineRule="auto"/>
        <w:rPr>
          <w:rFonts w:ascii="Arial" w:eastAsia="Calibri" w:hAnsi="Arial" w:cs="Arial"/>
        </w:rPr>
      </w:pPr>
    </w:p>
    <w:p w14:paraId="429D3AA3" w14:textId="77777777" w:rsidR="007E22E3" w:rsidRDefault="007E22E3" w:rsidP="007E22E3">
      <w:pPr>
        <w:spacing w:after="0" w:line="240" w:lineRule="auto"/>
        <w:rPr>
          <w:rFonts w:ascii="Arial" w:eastAsia="Calibri" w:hAnsi="Arial" w:cs="Arial"/>
        </w:rPr>
      </w:pPr>
    </w:p>
    <w:p w14:paraId="27FDB909" w14:textId="77777777" w:rsidR="007E22E3" w:rsidRDefault="007E22E3" w:rsidP="007E22E3">
      <w:pPr>
        <w:spacing w:after="0" w:line="240" w:lineRule="auto"/>
        <w:rPr>
          <w:rFonts w:ascii="Arial" w:eastAsia="Calibri" w:hAnsi="Arial" w:cs="Arial"/>
        </w:rPr>
      </w:pPr>
    </w:p>
    <w:p w14:paraId="4627336B" w14:textId="77777777" w:rsidR="007E22E3" w:rsidRDefault="007E22E3" w:rsidP="007E22E3">
      <w:pPr>
        <w:spacing w:after="0" w:line="240" w:lineRule="auto"/>
        <w:rPr>
          <w:rFonts w:ascii="Arial" w:eastAsia="Calibri" w:hAnsi="Arial" w:cs="Arial"/>
        </w:rPr>
      </w:pPr>
    </w:p>
    <w:p w14:paraId="4FD1461A" w14:textId="77777777" w:rsidR="007E22E3" w:rsidRDefault="007E22E3" w:rsidP="007E22E3">
      <w:pPr>
        <w:spacing w:after="0" w:line="240" w:lineRule="auto"/>
        <w:rPr>
          <w:rFonts w:ascii="Arial" w:eastAsia="Calibri" w:hAnsi="Arial" w:cs="Arial"/>
        </w:rPr>
      </w:pPr>
    </w:p>
    <w:p w14:paraId="50ECED8E" w14:textId="77777777" w:rsidR="007E22E3" w:rsidRDefault="007E22E3" w:rsidP="007E22E3">
      <w:pPr>
        <w:spacing w:after="0" w:line="240" w:lineRule="auto"/>
        <w:rPr>
          <w:rFonts w:ascii="Arial" w:eastAsia="Calibri" w:hAnsi="Arial" w:cs="Arial"/>
        </w:rPr>
      </w:pPr>
    </w:p>
    <w:p w14:paraId="50CCA93B" w14:textId="77777777" w:rsidR="007E22E3" w:rsidRDefault="007E22E3" w:rsidP="007E22E3">
      <w:pPr>
        <w:spacing w:after="0" w:line="240" w:lineRule="auto"/>
        <w:rPr>
          <w:rFonts w:ascii="Arial" w:eastAsia="Calibri" w:hAnsi="Arial" w:cs="Arial"/>
        </w:rPr>
      </w:pPr>
    </w:p>
    <w:p w14:paraId="4E8B60DF" w14:textId="77777777" w:rsidR="007E22E3" w:rsidRDefault="007E22E3" w:rsidP="007E22E3">
      <w:pPr>
        <w:spacing w:after="0" w:line="240" w:lineRule="auto"/>
        <w:rPr>
          <w:rFonts w:ascii="Arial" w:eastAsia="Calibri" w:hAnsi="Arial" w:cs="Arial"/>
        </w:rPr>
      </w:pPr>
    </w:p>
    <w:p w14:paraId="0BD28051" w14:textId="77777777" w:rsidR="007E22E3" w:rsidRDefault="007E22E3" w:rsidP="007E22E3">
      <w:pPr>
        <w:spacing w:after="0" w:line="240" w:lineRule="auto"/>
        <w:rPr>
          <w:rFonts w:ascii="Arial" w:eastAsia="Calibri" w:hAnsi="Arial" w:cs="Arial"/>
        </w:rPr>
      </w:pPr>
    </w:p>
    <w:p w14:paraId="551E5DD0" w14:textId="77777777" w:rsidR="007E22E3" w:rsidRDefault="007E22E3" w:rsidP="007E22E3">
      <w:pPr>
        <w:spacing w:after="0" w:line="240" w:lineRule="auto"/>
        <w:rPr>
          <w:rFonts w:ascii="Arial" w:eastAsia="Calibri" w:hAnsi="Arial" w:cs="Arial"/>
        </w:rPr>
      </w:pPr>
    </w:p>
    <w:p w14:paraId="24AB9EDA" w14:textId="77777777" w:rsidR="007E22E3" w:rsidRDefault="007E22E3" w:rsidP="007E22E3">
      <w:pPr>
        <w:spacing w:after="0" w:line="240" w:lineRule="auto"/>
        <w:rPr>
          <w:rFonts w:ascii="Arial" w:eastAsia="Calibri" w:hAnsi="Arial" w:cs="Arial"/>
        </w:rPr>
      </w:pPr>
    </w:p>
    <w:p w14:paraId="1978EF73" w14:textId="77777777" w:rsidR="007E22E3" w:rsidRDefault="007E22E3" w:rsidP="007E22E3">
      <w:pPr>
        <w:spacing w:after="0" w:line="240" w:lineRule="auto"/>
        <w:rPr>
          <w:rFonts w:ascii="Arial" w:eastAsia="Calibri" w:hAnsi="Arial" w:cs="Arial"/>
        </w:rPr>
      </w:pPr>
    </w:p>
    <w:p w14:paraId="00A5FFFA" w14:textId="77777777" w:rsidR="007E22E3" w:rsidRDefault="007E22E3" w:rsidP="007E22E3">
      <w:pPr>
        <w:spacing w:after="0" w:line="240" w:lineRule="auto"/>
        <w:rPr>
          <w:rFonts w:ascii="Arial" w:eastAsia="Calibri" w:hAnsi="Arial" w:cs="Arial"/>
        </w:rPr>
      </w:pPr>
    </w:p>
    <w:p w14:paraId="409B5D78" w14:textId="77777777" w:rsidR="007E22E3" w:rsidRDefault="007E22E3" w:rsidP="007E22E3">
      <w:pPr>
        <w:spacing w:after="0" w:line="240" w:lineRule="auto"/>
        <w:rPr>
          <w:rFonts w:ascii="Arial" w:eastAsia="Calibri" w:hAnsi="Arial" w:cs="Arial"/>
        </w:rPr>
      </w:pPr>
    </w:p>
    <w:p w14:paraId="009A8308" w14:textId="77777777" w:rsidR="00096ADA" w:rsidRPr="00096ADA" w:rsidRDefault="00B34BA6" w:rsidP="007E22E3">
      <w:pPr>
        <w:spacing w:after="0" w:line="240" w:lineRule="auto"/>
        <w:jc w:val="both"/>
        <w:rPr>
          <w:rFonts w:ascii="Arial" w:hAnsi="Arial" w:cs="Arial"/>
          <w:b/>
          <w:bCs/>
          <w:u w:val="single"/>
        </w:rPr>
      </w:pPr>
      <w:r w:rsidRPr="00096ADA">
        <w:rPr>
          <w:rFonts w:ascii="Arial" w:hAnsi="Arial" w:cs="Arial"/>
          <w:b/>
          <w:bCs/>
          <w:u w:val="single"/>
        </w:rPr>
        <w:lastRenderedPageBreak/>
        <w:t>Abstract</w:t>
      </w:r>
      <w:r w:rsidR="00096ADA" w:rsidRPr="00096ADA">
        <w:rPr>
          <w:rFonts w:ascii="Arial" w:hAnsi="Arial" w:cs="Arial"/>
          <w:b/>
          <w:bCs/>
          <w:u w:val="single"/>
        </w:rPr>
        <w:t>.</w:t>
      </w:r>
    </w:p>
    <w:p w14:paraId="4A9B7005" w14:textId="77777777" w:rsidR="00096ADA" w:rsidRDefault="00096ADA" w:rsidP="007E22E3">
      <w:pPr>
        <w:spacing w:after="0" w:line="240" w:lineRule="auto"/>
        <w:jc w:val="both"/>
        <w:rPr>
          <w:rFonts w:ascii="Arial" w:hAnsi="Arial" w:cs="Arial"/>
          <w:b/>
          <w:bCs/>
        </w:rPr>
      </w:pPr>
    </w:p>
    <w:p w14:paraId="5C4AA3E3" w14:textId="77777777" w:rsidR="00096ADA" w:rsidRDefault="00096ADA" w:rsidP="007E22E3">
      <w:pPr>
        <w:spacing w:after="0" w:line="240" w:lineRule="auto"/>
        <w:jc w:val="both"/>
        <w:rPr>
          <w:rFonts w:ascii="Arial" w:hAnsi="Arial" w:cs="Arial"/>
          <w:b/>
          <w:bCs/>
        </w:rPr>
      </w:pPr>
    </w:p>
    <w:p w14:paraId="2ACE9615" w14:textId="2A7A5CD2" w:rsidR="000F6C07" w:rsidRDefault="000F6C07" w:rsidP="007E22E3">
      <w:pPr>
        <w:spacing w:after="0" w:line="240" w:lineRule="auto"/>
        <w:jc w:val="both"/>
        <w:rPr>
          <w:rFonts w:ascii="Arial" w:hAnsi="Arial" w:cs="Arial"/>
        </w:rPr>
      </w:pPr>
      <w:r>
        <w:rPr>
          <w:rFonts w:ascii="Arial" w:hAnsi="Arial" w:cs="Arial"/>
        </w:rPr>
        <w:t xml:space="preserve">Schedule 7 of the Terrorism Act 2000 is a powerful piece of legislation that </w:t>
      </w:r>
      <w:r w:rsidR="00434464">
        <w:rPr>
          <w:rFonts w:ascii="Arial" w:hAnsi="Arial" w:cs="Arial"/>
        </w:rPr>
        <w:t xml:space="preserve">presents itself as necessary </w:t>
      </w:r>
      <w:proofErr w:type="gramStart"/>
      <w:r w:rsidR="00434464">
        <w:rPr>
          <w:rFonts w:ascii="Arial" w:hAnsi="Arial" w:cs="Arial"/>
        </w:rPr>
        <w:t>in order to</w:t>
      </w:r>
      <w:proofErr w:type="gramEnd"/>
      <w:r w:rsidR="00434464">
        <w:rPr>
          <w:rFonts w:ascii="Arial" w:hAnsi="Arial" w:cs="Arial"/>
        </w:rPr>
        <w:t xml:space="preserve"> keep citizens of the United Kingdom safe from the threat of terrorism by providing </w:t>
      </w:r>
      <w:r w:rsidR="00DE4499">
        <w:rPr>
          <w:rFonts w:ascii="Arial" w:hAnsi="Arial" w:cs="Arial"/>
        </w:rPr>
        <w:t xml:space="preserve">measures of border controls that </w:t>
      </w:r>
      <w:r w:rsidR="0039043D">
        <w:rPr>
          <w:rFonts w:ascii="Arial" w:hAnsi="Arial" w:cs="Arial"/>
        </w:rPr>
        <w:t>both detects instances of terrorism, an</w:t>
      </w:r>
      <w:r w:rsidR="00DC58E4">
        <w:rPr>
          <w:rFonts w:ascii="Arial" w:hAnsi="Arial" w:cs="Arial"/>
        </w:rPr>
        <w:t xml:space="preserve">d through </w:t>
      </w:r>
      <w:r w:rsidR="001B257D">
        <w:rPr>
          <w:rFonts w:ascii="Arial" w:hAnsi="Arial" w:cs="Arial"/>
        </w:rPr>
        <w:t xml:space="preserve">its strong </w:t>
      </w:r>
      <w:r w:rsidR="008847B9">
        <w:rPr>
          <w:rFonts w:ascii="Arial" w:hAnsi="Arial" w:cs="Arial"/>
        </w:rPr>
        <w:t xml:space="preserve">deterrence effect, </w:t>
      </w:r>
      <w:r w:rsidR="00DC58E4">
        <w:rPr>
          <w:rFonts w:ascii="Arial" w:hAnsi="Arial" w:cs="Arial"/>
        </w:rPr>
        <w:t xml:space="preserve">provides a basis </w:t>
      </w:r>
      <w:r w:rsidR="008847B9">
        <w:rPr>
          <w:rFonts w:ascii="Arial" w:hAnsi="Arial" w:cs="Arial"/>
        </w:rPr>
        <w:t xml:space="preserve">for the prevention of terrorism.  However, the </w:t>
      </w:r>
      <w:r w:rsidR="00C0640D">
        <w:rPr>
          <w:rFonts w:ascii="Arial" w:hAnsi="Arial" w:cs="Arial"/>
        </w:rPr>
        <w:t xml:space="preserve">presence of the Common Travel Area between the UK and Ireland poses unique challenges which are further compounded by the </w:t>
      </w:r>
      <w:r w:rsidR="000C66FC">
        <w:rPr>
          <w:rFonts w:ascii="Arial" w:hAnsi="Arial" w:cs="Arial"/>
        </w:rPr>
        <w:t xml:space="preserve">departure of the UK from the European Union.  This trilogy of </w:t>
      </w:r>
      <w:r w:rsidR="003500DD">
        <w:rPr>
          <w:rFonts w:ascii="Arial" w:hAnsi="Arial" w:cs="Arial"/>
        </w:rPr>
        <w:t xml:space="preserve">circumstance and </w:t>
      </w:r>
      <w:r w:rsidR="0021211D">
        <w:rPr>
          <w:rFonts w:ascii="Arial" w:hAnsi="Arial" w:cs="Arial"/>
        </w:rPr>
        <w:t xml:space="preserve">the operational realities that are faced by law enforcement at the border </w:t>
      </w:r>
      <w:proofErr w:type="gramStart"/>
      <w:r w:rsidR="0021211D">
        <w:rPr>
          <w:rFonts w:ascii="Arial" w:hAnsi="Arial" w:cs="Arial"/>
        </w:rPr>
        <w:t>as a consequence</w:t>
      </w:r>
      <w:proofErr w:type="gramEnd"/>
      <w:r w:rsidR="0021211D">
        <w:rPr>
          <w:rFonts w:ascii="Arial" w:hAnsi="Arial" w:cs="Arial"/>
        </w:rPr>
        <w:t xml:space="preserve"> necessitate further research </w:t>
      </w:r>
      <w:r w:rsidR="00D506E6">
        <w:rPr>
          <w:rFonts w:ascii="Arial" w:hAnsi="Arial" w:cs="Arial"/>
        </w:rPr>
        <w:t>in order to raise the platform of the</w:t>
      </w:r>
      <w:r w:rsidR="00586116">
        <w:rPr>
          <w:rFonts w:ascii="Arial" w:hAnsi="Arial" w:cs="Arial"/>
        </w:rPr>
        <w:t xml:space="preserve">se </w:t>
      </w:r>
      <w:r w:rsidR="00D506E6">
        <w:rPr>
          <w:rFonts w:ascii="Arial" w:hAnsi="Arial" w:cs="Arial"/>
        </w:rPr>
        <w:t xml:space="preserve">complexities and </w:t>
      </w:r>
      <w:r w:rsidR="00586116">
        <w:rPr>
          <w:rFonts w:ascii="Arial" w:hAnsi="Arial" w:cs="Arial"/>
        </w:rPr>
        <w:t>influence future policy, both within Counter Terrorism Policing, and more widely.</w:t>
      </w:r>
    </w:p>
    <w:p w14:paraId="593627B9" w14:textId="77777777" w:rsidR="000F6C07" w:rsidRDefault="000F6C07" w:rsidP="007E22E3">
      <w:pPr>
        <w:spacing w:after="0" w:line="240" w:lineRule="auto"/>
        <w:jc w:val="both"/>
        <w:rPr>
          <w:rFonts w:ascii="Arial" w:hAnsi="Arial" w:cs="Arial"/>
        </w:rPr>
      </w:pPr>
    </w:p>
    <w:p w14:paraId="0972D566" w14:textId="6370CFFD" w:rsidR="008C6668" w:rsidRDefault="00E2242A" w:rsidP="007E22E3">
      <w:pPr>
        <w:spacing w:after="0" w:line="240" w:lineRule="auto"/>
        <w:jc w:val="both"/>
        <w:rPr>
          <w:rFonts w:ascii="Arial" w:hAnsi="Arial" w:cs="Arial"/>
        </w:rPr>
      </w:pPr>
      <w:r>
        <w:rPr>
          <w:rFonts w:ascii="Arial" w:hAnsi="Arial" w:cs="Arial"/>
        </w:rPr>
        <w:t xml:space="preserve">The data collected from 29 respondents </w:t>
      </w:r>
      <w:r w:rsidR="006D724B">
        <w:rPr>
          <w:rFonts w:ascii="Arial" w:hAnsi="Arial" w:cs="Arial"/>
        </w:rPr>
        <w:t xml:space="preserve">via a </w:t>
      </w:r>
      <w:r w:rsidR="00BA04AD">
        <w:rPr>
          <w:rFonts w:ascii="Arial" w:hAnsi="Arial" w:cs="Arial"/>
        </w:rPr>
        <w:t xml:space="preserve">mixture of a </w:t>
      </w:r>
      <w:r w:rsidR="006D724B">
        <w:rPr>
          <w:rFonts w:ascii="Arial" w:hAnsi="Arial" w:cs="Arial"/>
        </w:rPr>
        <w:t>structured</w:t>
      </w:r>
      <w:r w:rsidR="00BA04AD">
        <w:rPr>
          <w:rFonts w:ascii="Arial" w:hAnsi="Arial" w:cs="Arial"/>
        </w:rPr>
        <w:t xml:space="preserve"> and semi structured</w:t>
      </w:r>
      <w:r w:rsidR="006D724B">
        <w:rPr>
          <w:rFonts w:ascii="Arial" w:hAnsi="Arial" w:cs="Arial"/>
        </w:rPr>
        <w:t xml:space="preserve"> questionnaire</w:t>
      </w:r>
      <w:r w:rsidR="00BA04AD">
        <w:rPr>
          <w:rFonts w:ascii="Arial" w:hAnsi="Arial" w:cs="Arial"/>
        </w:rPr>
        <w:t xml:space="preserve"> </w:t>
      </w:r>
      <w:r>
        <w:rPr>
          <w:rFonts w:ascii="Arial" w:hAnsi="Arial" w:cs="Arial"/>
        </w:rPr>
        <w:t xml:space="preserve">was analysed quantitively to establish the impact </w:t>
      </w:r>
      <w:r w:rsidR="00B95E50">
        <w:rPr>
          <w:rFonts w:ascii="Arial" w:hAnsi="Arial" w:cs="Arial"/>
        </w:rPr>
        <w:t xml:space="preserve">factors around the ability of </w:t>
      </w:r>
      <w:r w:rsidR="00E4693E">
        <w:rPr>
          <w:rFonts w:ascii="Arial" w:hAnsi="Arial" w:cs="Arial"/>
        </w:rPr>
        <w:t>respondents</w:t>
      </w:r>
      <w:r w:rsidR="00B95E50">
        <w:rPr>
          <w:rFonts w:ascii="Arial" w:hAnsi="Arial" w:cs="Arial"/>
        </w:rPr>
        <w:t xml:space="preserve">, as practitioners at the Border, to undertake their role and provide an </w:t>
      </w:r>
      <w:r w:rsidR="00E4693E">
        <w:rPr>
          <w:rFonts w:ascii="Arial" w:hAnsi="Arial" w:cs="Arial"/>
        </w:rPr>
        <w:t xml:space="preserve">insight </w:t>
      </w:r>
      <w:r w:rsidR="00DC7E6D">
        <w:rPr>
          <w:rFonts w:ascii="Arial" w:hAnsi="Arial" w:cs="Arial"/>
        </w:rPr>
        <w:t xml:space="preserve">in </w:t>
      </w:r>
      <w:proofErr w:type="gramStart"/>
      <w:r w:rsidR="00DC7E6D">
        <w:rPr>
          <w:rFonts w:ascii="Arial" w:hAnsi="Arial" w:cs="Arial"/>
        </w:rPr>
        <w:t xml:space="preserve">to </w:t>
      </w:r>
      <w:r w:rsidR="00E4693E">
        <w:rPr>
          <w:rFonts w:ascii="Arial" w:hAnsi="Arial" w:cs="Arial"/>
        </w:rPr>
        <w:t xml:space="preserve"> any</w:t>
      </w:r>
      <w:proofErr w:type="gramEnd"/>
      <w:r w:rsidR="00E4693E">
        <w:rPr>
          <w:rFonts w:ascii="Arial" w:hAnsi="Arial" w:cs="Arial"/>
        </w:rPr>
        <w:t xml:space="preserve"> impact factors that </w:t>
      </w:r>
      <w:r w:rsidR="00FB7F01">
        <w:rPr>
          <w:rFonts w:ascii="Arial" w:hAnsi="Arial" w:cs="Arial"/>
        </w:rPr>
        <w:t xml:space="preserve">were presented.  </w:t>
      </w:r>
      <w:r w:rsidR="00643392">
        <w:rPr>
          <w:rFonts w:ascii="Arial" w:hAnsi="Arial" w:cs="Arial"/>
        </w:rPr>
        <w:t>These empirical findings were reviewed alongside a comprehensive review of literature, including previous topical research, government data</w:t>
      </w:r>
      <w:r w:rsidR="006D724B">
        <w:rPr>
          <w:rFonts w:ascii="Arial" w:hAnsi="Arial" w:cs="Arial"/>
        </w:rPr>
        <w:t xml:space="preserve"> and corresponding reports.</w:t>
      </w:r>
    </w:p>
    <w:p w14:paraId="1846B25F" w14:textId="77777777" w:rsidR="006D724B" w:rsidRPr="00F66B3C" w:rsidRDefault="006D724B" w:rsidP="007E22E3">
      <w:pPr>
        <w:spacing w:after="0" w:line="240" w:lineRule="auto"/>
        <w:jc w:val="both"/>
        <w:rPr>
          <w:rFonts w:ascii="Arial" w:hAnsi="Arial" w:cs="Arial"/>
        </w:rPr>
      </w:pPr>
    </w:p>
    <w:p w14:paraId="008AE3C4" w14:textId="74F02E17" w:rsidR="003B4296" w:rsidRPr="00F66B3C" w:rsidRDefault="006C2B64" w:rsidP="007E22E3">
      <w:pPr>
        <w:spacing w:after="0" w:line="240" w:lineRule="auto"/>
        <w:jc w:val="both"/>
        <w:rPr>
          <w:rFonts w:ascii="Arial" w:hAnsi="Arial" w:cs="Arial"/>
        </w:rPr>
      </w:pPr>
      <w:r>
        <w:rPr>
          <w:rFonts w:ascii="Arial" w:hAnsi="Arial" w:cs="Arial"/>
        </w:rPr>
        <w:t xml:space="preserve">There is a clear </w:t>
      </w:r>
      <w:r w:rsidR="003B4296" w:rsidRPr="003B4296">
        <w:rPr>
          <w:rFonts w:ascii="Arial" w:hAnsi="Arial" w:cs="Arial"/>
        </w:rPr>
        <w:t xml:space="preserve">belief </w:t>
      </w:r>
      <w:r>
        <w:rPr>
          <w:rFonts w:ascii="Arial" w:hAnsi="Arial" w:cs="Arial"/>
        </w:rPr>
        <w:t xml:space="preserve">from respondents </w:t>
      </w:r>
      <w:r w:rsidR="003B4296" w:rsidRPr="003B4296">
        <w:rPr>
          <w:rFonts w:ascii="Arial" w:hAnsi="Arial" w:cs="Arial"/>
        </w:rPr>
        <w:t xml:space="preserve">that there are potential gaps and weaknesses in the Common Travel Area that terrorists can exploit.  </w:t>
      </w:r>
      <w:r w:rsidR="005076DA">
        <w:rPr>
          <w:rFonts w:ascii="Arial" w:hAnsi="Arial" w:cs="Arial"/>
        </w:rPr>
        <w:t>There</w:t>
      </w:r>
      <w:r w:rsidR="003B4296" w:rsidRPr="003B4296">
        <w:rPr>
          <w:rFonts w:ascii="Arial" w:hAnsi="Arial" w:cs="Arial"/>
        </w:rPr>
        <w:t xml:space="preserve"> is a strong indication that lack of necessity to show an official ID presented the biggest area of concern</w:t>
      </w:r>
      <w:r w:rsidR="00051986">
        <w:rPr>
          <w:rFonts w:ascii="Arial" w:hAnsi="Arial" w:cs="Arial"/>
        </w:rPr>
        <w:t xml:space="preserve"> whilst</w:t>
      </w:r>
      <w:r w:rsidR="003B4296" w:rsidRPr="003B4296">
        <w:rPr>
          <w:rFonts w:ascii="Arial" w:hAnsi="Arial" w:cs="Arial"/>
        </w:rPr>
        <w:t xml:space="preserve"> the lack of requirement to provide </w:t>
      </w:r>
      <w:r w:rsidR="00051986">
        <w:rPr>
          <w:rFonts w:ascii="Arial" w:hAnsi="Arial" w:cs="Arial"/>
        </w:rPr>
        <w:t xml:space="preserve">accurate </w:t>
      </w:r>
      <w:r w:rsidR="003B4296" w:rsidRPr="003B4296">
        <w:rPr>
          <w:rFonts w:ascii="Arial" w:hAnsi="Arial" w:cs="Arial"/>
        </w:rPr>
        <w:t xml:space="preserve">advanced passenger information when travelling by ferry from </w:t>
      </w:r>
      <w:r w:rsidR="0051669C">
        <w:rPr>
          <w:rFonts w:ascii="Arial" w:hAnsi="Arial" w:cs="Arial"/>
        </w:rPr>
        <w:t xml:space="preserve">the </w:t>
      </w:r>
      <w:r w:rsidR="003B4296" w:rsidRPr="003B4296">
        <w:rPr>
          <w:rFonts w:ascii="Arial" w:hAnsi="Arial" w:cs="Arial"/>
        </w:rPr>
        <w:t>UK to Ireland and the fact that the</w:t>
      </w:r>
      <w:r w:rsidR="0051669C">
        <w:rPr>
          <w:rFonts w:ascii="Arial" w:hAnsi="Arial" w:cs="Arial"/>
        </w:rPr>
        <w:t xml:space="preserve">re is limited </w:t>
      </w:r>
      <w:r w:rsidR="003B4296" w:rsidRPr="003B4296">
        <w:rPr>
          <w:rFonts w:ascii="Arial" w:hAnsi="Arial" w:cs="Arial"/>
        </w:rPr>
        <w:t xml:space="preserve">political appetite to make any changes due </w:t>
      </w:r>
      <w:r w:rsidR="00051986">
        <w:rPr>
          <w:rFonts w:ascii="Arial" w:hAnsi="Arial" w:cs="Arial"/>
        </w:rPr>
        <w:t xml:space="preserve">to </w:t>
      </w:r>
      <w:r w:rsidR="00B63E0F">
        <w:rPr>
          <w:rFonts w:ascii="Arial" w:hAnsi="Arial" w:cs="Arial"/>
        </w:rPr>
        <w:t>current and historic political policy</w:t>
      </w:r>
      <w:r w:rsidR="00051986">
        <w:rPr>
          <w:rFonts w:ascii="Arial" w:hAnsi="Arial" w:cs="Arial"/>
        </w:rPr>
        <w:t xml:space="preserve"> remain a challenge</w:t>
      </w:r>
      <w:r w:rsidR="00625A6E">
        <w:rPr>
          <w:rFonts w:ascii="Arial" w:hAnsi="Arial" w:cs="Arial"/>
        </w:rPr>
        <w:t xml:space="preserve">.  </w:t>
      </w:r>
      <w:r w:rsidR="001B6DC4">
        <w:rPr>
          <w:rFonts w:ascii="Arial" w:hAnsi="Arial" w:cs="Arial"/>
        </w:rPr>
        <w:t>Whilst the Common Travel Area predates both Brexit and The European Union, it is the complexities following Brexit which have proved to be one of the biggest challenges</w:t>
      </w:r>
      <w:r w:rsidR="00ED6DAE">
        <w:rPr>
          <w:rFonts w:ascii="Arial" w:hAnsi="Arial" w:cs="Arial"/>
        </w:rPr>
        <w:t xml:space="preserve"> and given the relative recency of the re-negotiated agreements between the EU and the UK</w:t>
      </w:r>
      <w:r w:rsidR="00B63E0F">
        <w:rPr>
          <w:rFonts w:ascii="Arial" w:hAnsi="Arial" w:cs="Arial"/>
        </w:rPr>
        <w:t>,</w:t>
      </w:r>
      <w:r w:rsidR="00ED6DAE">
        <w:rPr>
          <w:rFonts w:ascii="Arial" w:hAnsi="Arial" w:cs="Arial"/>
        </w:rPr>
        <w:t xml:space="preserve"> this is an area that requires further research as issues continue to present themselves.  It is also likely that </w:t>
      </w:r>
      <w:r w:rsidR="00542AAC">
        <w:rPr>
          <w:rFonts w:ascii="Arial" w:hAnsi="Arial" w:cs="Arial"/>
        </w:rPr>
        <w:t>impending UK elections will further change the dynamics in the policy space.</w:t>
      </w:r>
    </w:p>
    <w:p w14:paraId="4D95A199" w14:textId="77777777" w:rsidR="0029488E" w:rsidRPr="00F66B3C" w:rsidRDefault="0029488E" w:rsidP="007E22E3">
      <w:pPr>
        <w:spacing w:after="0" w:line="240" w:lineRule="auto"/>
        <w:jc w:val="both"/>
        <w:rPr>
          <w:rFonts w:ascii="Arial" w:hAnsi="Arial" w:cs="Arial"/>
        </w:rPr>
      </w:pPr>
    </w:p>
    <w:p w14:paraId="47DC3675" w14:textId="49B0A7E4" w:rsidR="0029488E" w:rsidRPr="00F66B3C" w:rsidRDefault="002A6AF3" w:rsidP="007E22E3">
      <w:pPr>
        <w:spacing w:after="0" w:line="240" w:lineRule="auto"/>
        <w:jc w:val="both"/>
        <w:rPr>
          <w:rFonts w:ascii="Arial" w:hAnsi="Arial" w:cs="Arial"/>
        </w:rPr>
      </w:pPr>
      <w:r>
        <w:rPr>
          <w:rFonts w:ascii="Arial" w:hAnsi="Arial" w:cs="Arial"/>
        </w:rPr>
        <w:t xml:space="preserve">This research argues </w:t>
      </w:r>
      <w:r w:rsidR="008635D5">
        <w:rPr>
          <w:rFonts w:ascii="Arial" w:hAnsi="Arial" w:cs="Arial"/>
        </w:rPr>
        <w:t xml:space="preserve">a clear need for a coordination piece to bring together the interested parties across law enforcement and government in both the United Kingdom and Ireland.  </w:t>
      </w:r>
      <w:r w:rsidR="000B6FB8">
        <w:rPr>
          <w:rFonts w:ascii="Arial" w:hAnsi="Arial" w:cs="Arial"/>
        </w:rPr>
        <w:t xml:space="preserve">The </w:t>
      </w:r>
      <w:r w:rsidR="00E74148">
        <w:rPr>
          <w:rFonts w:ascii="Arial" w:hAnsi="Arial" w:cs="Arial"/>
        </w:rPr>
        <w:t>mixed economy</w:t>
      </w:r>
      <w:r w:rsidR="000B6FB8">
        <w:rPr>
          <w:rFonts w:ascii="Arial" w:hAnsi="Arial" w:cs="Arial"/>
        </w:rPr>
        <w:t xml:space="preserve"> at the Border has blurred lines between terrorism and traditional crime, including the </w:t>
      </w:r>
      <w:r w:rsidR="00FF2C02">
        <w:rPr>
          <w:rFonts w:ascii="Arial" w:hAnsi="Arial" w:cs="Arial"/>
        </w:rPr>
        <w:t>ever-increasing</w:t>
      </w:r>
      <w:r w:rsidR="00C45F50">
        <w:rPr>
          <w:rFonts w:ascii="Arial" w:hAnsi="Arial" w:cs="Arial"/>
        </w:rPr>
        <w:t xml:space="preserve"> threat of organised immigration crime.  </w:t>
      </w:r>
      <w:r w:rsidR="003C41E9">
        <w:rPr>
          <w:rFonts w:ascii="Arial" w:hAnsi="Arial" w:cs="Arial"/>
        </w:rPr>
        <w:t xml:space="preserve">In addition to a coordination piece, this research </w:t>
      </w:r>
      <w:r w:rsidR="000D3F3F">
        <w:rPr>
          <w:rFonts w:ascii="Arial" w:hAnsi="Arial" w:cs="Arial"/>
        </w:rPr>
        <w:t xml:space="preserve">argues for a review of law enforcement activity at the border, to take </w:t>
      </w:r>
      <w:r w:rsidR="00FD6C15">
        <w:rPr>
          <w:rFonts w:ascii="Arial" w:hAnsi="Arial" w:cs="Arial"/>
        </w:rPr>
        <w:t xml:space="preserve">account of the crossover between crime, terrorism and other notable activity, </w:t>
      </w:r>
      <w:r w:rsidR="00E74148">
        <w:rPr>
          <w:rFonts w:ascii="Arial" w:hAnsi="Arial" w:cs="Arial"/>
        </w:rPr>
        <w:t>particularly</w:t>
      </w:r>
      <w:r w:rsidR="00FD6C15">
        <w:rPr>
          <w:rFonts w:ascii="Arial" w:hAnsi="Arial" w:cs="Arial"/>
        </w:rPr>
        <w:t xml:space="preserve"> </w:t>
      </w:r>
      <w:r w:rsidR="00E74148">
        <w:rPr>
          <w:rFonts w:ascii="Arial" w:hAnsi="Arial" w:cs="Arial"/>
        </w:rPr>
        <w:t>organised</w:t>
      </w:r>
      <w:r w:rsidR="00FD6C15">
        <w:rPr>
          <w:rFonts w:ascii="Arial" w:hAnsi="Arial" w:cs="Arial"/>
        </w:rPr>
        <w:t xml:space="preserve"> </w:t>
      </w:r>
      <w:r w:rsidR="00E74148">
        <w:rPr>
          <w:rFonts w:ascii="Arial" w:hAnsi="Arial" w:cs="Arial"/>
        </w:rPr>
        <w:t>immigration crime.</w:t>
      </w:r>
    </w:p>
    <w:p w14:paraId="546CD085" w14:textId="77777777" w:rsidR="00096ADA" w:rsidRDefault="00096ADA" w:rsidP="007E22E3">
      <w:pPr>
        <w:spacing w:after="0" w:line="240" w:lineRule="auto"/>
        <w:jc w:val="both"/>
        <w:rPr>
          <w:rFonts w:ascii="Arial" w:hAnsi="Arial" w:cs="Arial"/>
          <w:b/>
          <w:bCs/>
        </w:rPr>
      </w:pPr>
    </w:p>
    <w:p w14:paraId="23CA3B46" w14:textId="77777777" w:rsidR="00096ADA" w:rsidRDefault="00096ADA" w:rsidP="007E22E3">
      <w:pPr>
        <w:spacing w:after="0" w:line="240" w:lineRule="auto"/>
        <w:jc w:val="both"/>
        <w:rPr>
          <w:rFonts w:ascii="Arial" w:hAnsi="Arial" w:cs="Arial"/>
          <w:b/>
          <w:bCs/>
        </w:rPr>
      </w:pPr>
    </w:p>
    <w:p w14:paraId="51834866" w14:textId="77777777" w:rsidR="00096ADA" w:rsidRDefault="00096ADA" w:rsidP="007E22E3">
      <w:pPr>
        <w:spacing w:after="0" w:line="240" w:lineRule="auto"/>
        <w:jc w:val="both"/>
        <w:rPr>
          <w:rFonts w:ascii="Arial" w:hAnsi="Arial" w:cs="Arial"/>
          <w:b/>
          <w:bCs/>
        </w:rPr>
      </w:pPr>
    </w:p>
    <w:p w14:paraId="470DB516" w14:textId="77777777" w:rsidR="00096ADA" w:rsidRDefault="00096ADA" w:rsidP="007E22E3">
      <w:pPr>
        <w:spacing w:after="0" w:line="240" w:lineRule="auto"/>
        <w:jc w:val="both"/>
        <w:rPr>
          <w:rFonts w:ascii="Arial" w:hAnsi="Arial" w:cs="Arial"/>
          <w:b/>
          <w:bCs/>
        </w:rPr>
      </w:pPr>
    </w:p>
    <w:p w14:paraId="483FD2CF" w14:textId="77777777" w:rsidR="00096ADA" w:rsidRDefault="00096ADA" w:rsidP="007E22E3">
      <w:pPr>
        <w:spacing w:after="0" w:line="240" w:lineRule="auto"/>
        <w:jc w:val="both"/>
        <w:rPr>
          <w:rFonts w:ascii="Arial" w:hAnsi="Arial" w:cs="Arial"/>
          <w:b/>
          <w:bCs/>
        </w:rPr>
      </w:pPr>
    </w:p>
    <w:p w14:paraId="05C21957" w14:textId="77777777" w:rsidR="00096ADA" w:rsidRDefault="00096ADA" w:rsidP="007E22E3">
      <w:pPr>
        <w:spacing w:after="0" w:line="240" w:lineRule="auto"/>
        <w:jc w:val="both"/>
        <w:rPr>
          <w:rFonts w:ascii="Arial" w:hAnsi="Arial" w:cs="Arial"/>
          <w:b/>
          <w:bCs/>
        </w:rPr>
      </w:pPr>
    </w:p>
    <w:p w14:paraId="3DE50637" w14:textId="77777777" w:rsidR="00096ADA" w:rsidRDefault="00096ADA" w:rsidP="007E22E3">
      <w:pPr>
        <w:spacing w:after="0" w:line="240" w:lineRule="auto"/>
        <w:jc w:val="both"/>
        <w:rPr>
          <w:rFonts w:ascii="Arial" w:hAnsi="Arial" w:cs="Arial"/>
          <w:b/>
          <w:bCs/>
        </w:rPr>
      </w:pPr>
    </w:p>
    <w:p w14:paraId="3BE6ED4F" w14:textId="77777777" w:rsidR="00096ADA" w:rsidRDefault="00096ADA" w:rsidP="007E22E3">
      <w:pPr>
        <w:spacing w:after="0" w:line="240" w:lineRule="auto"/>
        <w:jc w:val="both"/>
        <w:rPr>
          <w:rFonts w:ascii="Arial" w:hAnsi="Arial" w:cs="Arial"/>
          <w:b/>
          <w:bCs/>
        </w:rPr>
      </w:pPr>
    </w:p>
    <w:p w14:paraId="74D8EC6F" w14:textId="77777777" w:rsidR="00096ADA" w:rsidRDefault="00096ADA" w:rsidP="007E22E3">
      <w:pPr>
        <w:spacing w:after="0" w:line="240" w:lineRule="auto"/>
        <w:jc w:val="both"/>
        <w:rPr>
          <w:rFonts w:ascii="Arial" w:hAnsi="Arial" w:cs="Arial"/>
          <w:b/>
          <w:bCs/>
        </w:rPr>
      </w:pPr>
    </w:p>
    <w:p w14:paraId="4F9E7F7B" w14:textId="77777777" w:rsidR="00096ADA" w:rsidRDefault="00096ADA" w:rsidP="007E22E3">
      <w:pPr>
        <w:spacing w:after="0" w:line="240" w:lineRule="auto"/>
        <w:jc w:val="both"/>
        <w:rPr>
          <w:rFonts w:ascii="Arial" w:hAnsi="Arial" w:cs="Arial"/>
          <w:b/>
          <w:bCs/>
        </w:rPr>
      </w:pPr>
    </w:p>
    <w:p w14:paraId="64C14A10" w14:textId="77777777" w:rsidR="00096ADA" w:rsidRDefault="00096ADA" w:rsidP="007E22E3">
      <w:pPr>
        <w:spacing w:after="0" w:line="240" w:lineRule="auto"/>
        <w:jc w:val="both"/>
        <w:rPr>
          <w:rFonts w:ascii="Arial" w:hAnsi="Arial" w:cs="Arial"/>
          <w:b/>
          <w:bCs/>
        </w:rPr>
      </w:pPr>
    </w:p>
    <w:p w14:paraId="3A492000" w14:textId="77777777" w:rsidR="00096ADA" w:rsidRDefault="00096ADA" w:rsidP="007E22E3">
      <w:pPr>
        <w:spacing w:after="0" w:line="240" w:lineRule="auto"/>
        <w:jc w:val="both"/>
        <w:rPr>
          <w:rFonts w:ascii="Arial" w:hAnsi="Arial" w:cs="Arial"/>
          <w:b/>
          <w:bCs/>
        </w:rPr>
      </w:pPr>
    </w:p>
    <w:p w14:paraId="63305DE7" w14:textId="77777777" w:rsidR="00790386" w:rsidRDefault="00790386" w:rsidP="007E22E3">
      <w:pPr>
        <w:spacing w:after="0" w:line="240" w:lineRule="auto"/>
        <w:jc w:val="both"/>
        <w:rPr>
          <w:rFonts w:ascii="Arial" w:hAnsi="Arial" w:cs="Arial"/>
          <w:b/>
          <w:bCs/>
        </w:rPr>
      </w:pPr>
    </w:p>
    <w:p w14:paraId="7FA8A4AA" w14:textId="77777777" w:rsidR="00790386" w:rsidRDefault="00790386" w:rsidP="007E22E3">
      <w:pPr>
        <w:spacing w:after="0" w:line="240" w:lineRule="auto"/>
        <w:jc w:val="both"/>
        <w:rPr>
          <w:rFonts w:ascii="Arial" w:hAnsi="Arial" w:cs="Arial"/>
          <w:b/>
          <w:bCs/>
        </w:rPr>
      </w:pPr>
    </w:p>
    <w:p w14:paraId="4345CEA7" w14:textId="77777777" w:rsidR="00790386" w:rsidRDefault="00790386" w:rsidP="007E22E3">
      <w:pPr>
        <w:spacing w:after="0" w:line="240" w:lineRule="auto"/>
        <w:jc w:val="both"/>
        <w:rPr>
          <w:rFonts w:ascii="Arial" w:hAnsi="Arial" w:cs="Arial"/>
          <w:b/>
          <w:bCs/>
        </w:rPr>
      </w:pPr>
    </w:p>
    <w:p w14:paraId="6A201FF2" w14:textId="77777777" w:rsidR="008E6D31" w:rsidRPr="00507D8A" w:rsidRDefault="008E6D31" w:rsidP="007E22E3">
      <w:pPr>
        <w:spacing w:after="0" w:line="240" w:lineRule="auto"/>
        <w:jc w:val="both"/>
        <w:rPr>
          <w:rFonts w:ascii="Arial" w:hAnsi="Arial" w:cs="Arial"/>
          <w:b/>
          <w:bCs/>
          <w:u w:val="single"/>
        </w:rPr>
      </w:pPr>
      <w:r w:rsidRPr="00507D8A">
        <w:rPr>
          <w:rFonts w:ascii="Arial" w:hAnsi="Arial" w:cs="Arial"/>
          <w:b/>
          <w:bCs/>
          <w:u w:val="single"/>
        </w:rPr>
        <w:lastRenderedPageBreak/>
        <w:t>Dedication.</w:t>
      </w:r>
    </w:p>
    <w:p w14:paraId="72C94E01" w14:textId="77777777" w:rsidR="008E6D31" w:rsidRDefault="008E6D31" w:rsidP="007E22E3">
      <w:pPr>
        <w:spacing w:after="0" w:line="240" w:lineRule="auto"/>
        <w:jc w:val="both"/>
        <w:rPr>
          <w:rFonts w:ascii="Arial" w:hAnsi="Arial" w:cs="Arial"/>
          <w:b/>
          <w:bCs/>
        </w:rPr>
      </w:pPr>
    </w:p>
    <w:p w14:paraId="5285202E" w14:textId="77777777" w:rsidR="008E6D31" w:rsidRDefault="008E6D31" w:rsidP="007E22E3">
      <w:pPr>
        <w:spacing w:after="0" w:line="240" w:lineRule="auto"/>
        <w:jc w:val="both"/>
        <w:rPr>
          <w:rFonts w:ascii="Arial" w:hAnsi="Arial" w:cs="Arial"/>
          <w:b/>
          <w:bCs/>
        </w:rPr>
      </w:pPr>
    </w:p>
    <w:p w14:paraId="721AEC39" w14:textId="7771A2B8" w:rsidR="008E6D31" w:rsidRPr="00D109B3" w:rsidRDefault="00377D84" w:rsidP="007E22E3">
      <w:pPr>
        <w:spacing w:after="0" w:line="240" w:lineRule="auto"/>
        <w:jc w:val="both"/>
        <w:rPr>
          <w:rFonts w:ascii="Arial" w:hAnsi="Arial" w:cs="Arial"/>
        </w:rPr>
      </w:pPr>
      <w:r>
        <w:rPr>
          <w:rFonts w:ascii="Arial" w:hAnsi="Arial" w:cs="Arial"/>
        </w:rPr>
        <w:t xml:space="preserve">To my family, who have supported me in time and patience since I embarked on this </w:t>
      </w:r>
      <w:r w:rsidR="007B4BA1">
        <w:rPr>
          <w:rFonts w:ascii="Arial" w:hAnsi="Arial" w:cs="Arial"/>
        </w:rPr>
        <w:t xml:space="preserve">feat – with love and thanks forever.  To my Grandparents, </w:t>
      </w:r>
      <w:proofErr w:type="gramStart"/>
      <w:r w:rsidR="007B4BA1">
        <w:rPr>
          <w:rFonts w:ascii="Arial" w:hAnsi="Arial" w:cs="Arial"/>
        </w:rPr>
        <w:t>Gwyneth</w:t>
      </w:r>
      <w:proofErr w:type="gramEnd"/>
      <w:r w:rsidR="007B4BA1">
        <w:rPr>
          <w:rFonts w:ascii="Arial" w:hAnsi="Arial" w:cs="Arial"/>
        </w:rPr>
        <w:t xml:space="preserve"> and Kenneth whom I always </w:t>
      </w:r>
      <w:r w:rsidR="00A440A5">
        <w:rPr>
          <w:rFonts w:ascii="Arial" w:hAnsi="Arial" w:cs="Arial"/>
        </w:rPr>
        <w:t>wanted to make proud, and to my Dad, who</w:t>
      </w:r>
      <w:r w:rsidR="0090665B">
        <w:rPr>
          <w:rFonts w:ascii="Arial" w:hAnsi="Arial" w:cs="Arial"/>
        </w:rPr>
        <w:t>m I miss beyond words.</w:t>
      </w:r>
    </w:p>
    <w:p w14:paraId="2E3D5D38" w14:textId="77777777" w:rsidR="008E6D31" w:rsidRDefault="008E6D31" w:rsidP="007E22E3">
      <w:pPr>
        <w:spacing w:after="0" w:line="240" w:lineRule="auto"/>
        <w:jc w:val="both"/>
        <w:rPr>
          <w:rFonts w:ascii="Arial" w:hAnsi="Arial" w:cs="Arial"/>
          <w:b/>
          <w:bCs/>
        </w:rPr>
      </w:pPr>
    </w:p>
    <w:p w14:paraId="176C0C89" w14:textId="77777777" w:rsidR="008E6D31" w:rsidRDefault="008E6D31" w:rsidP="007E22E3">
      <w:pPr>
        <w:spacing w:after="0" w:line="240" w:lineRule="auto"/>
        <w:jc w:val="both"/>
        <w:rPr>
          <w:rFonts w:ascii="Arial" w:hAnsi="Arial" w:cs="Arial"/>
          <w:b/>
          <w:bCs/>
        </w:rPr>
      </w:pPr>
    </w:p>
    <w:p w14:paraId="01659706" w14:textId="77777777" w:rsidR="008E6D31" w:rsidRDefault="008E6D31" w:rsidP="007E22E3">
      <w:pPr>
        <w:spacing w:after="0" w:line="240" w:lineRule="auto"/>
        <w:jc w:val="both"/>
        <w:rPr>
          <w:rFonts w:ascii="Arial" w:hAnsi="Arial" w:cs="Arial"/>
          <w:b/>
          <w:bCs/>
        </w:rPr>
      </w:pPr>
    </w:p>
    <w:p w14:paraId="34DA706A" w14:textId="77777777" w:rsidR="008E6D31" w:rsidRDefault="008E6D31" w:rsidP="007E22E3">
      <w:pPr>
        <w:spacing w:after="0" w:line="240" w:lineRule="auto"/>
        <w:jc w:val="both"/>
        <w:rPr>
          <w:rFonts w:ascii="Arial" w:hAnsi="Arial" w:cs="Arial"/>
          <w:b/>
          <w:bCs/>
        </w:rPr>
      </w:pPr>
    </w:p>
    <w:p w14:paraId="0AC5C98A" w14:textId="77777777" w:rsidR="008E6D31" w:rsidRDefault="008E6D31" w:rsidP="007E22E3">
      <w:pPr>
        <w:spacing w:after="0" w:line="240" w:lineRule="auto"/>
        <w:jc w:val="both"/>
        <w:rPr>
          <w:rFonts w:ascii="Arial" w:hAnsi="Arial" w:cs="Arial"/>
          <w:b/>
          <w:bCs/>
        </w:rPr>
      </w:pPr>
    </w:p>
    <w:p w14:paraId="5E7F47A4" w14:textId="77777777" w:rsidR="008E6D31" w:rsidRDefault="008E6D31" w:rsidP="007E22E3">
      <w:pPr>
        <w:spacing w:after="0" w:line="240" w:lineRule="auto"/>
        <w:jc w:val="both"/>
        <w:rPr>
          <w:rFonts w:ascii="Arial" w:hAnsi="Arial" w:cs="Arial"/>
          <w:b/>
          <w:bCs/>
        </w:rPr>
      </w:pPr>
    </w:p>
    <w:p w14:paraId="2AF1F361" w14:textId="77777777" w:rsidR="008E6D31" w:rsidRDefault="008E6D31" w:rsidP="007E22E3">
      <w:pPr>
        <w:spacing w:after="0" w:line="240" w:lineRule="auto"/>
        <w:jc w:val="both"/>
        <w:rPr>
          <w:rFonts w:ascii="Arial" w:hAnsi="Arial" w:cs="Arial"/>
          <w:b/>
          <w:bCs/>
        </w:rPr>
      </w:pPr>
    </w:p>
    <w:p w14:paraId="24E66E8F" w14:textId="77777777" w:rsidR="008E6D31" w:rsidRDefault="008E6D31" w:rsidP="007E22E3">
      <w:pPr>
        <w:spacing w:after="0" w:line="240" w:lineRule="auto"/>
        <w:jc w:val="both"/>
        <w:rPr>
          <w:rFonts w:ascii="Arial" w:hAnsi="Arial" w:cs="Arial"/>
          <w:b/>
          <w:bCs/>
        </w:rPr>
      </w:pPr>
    </w:p>
    <w:p w14:paraId="3479C084" w14:textId="77777777" w:rsidR="008E6D31" w:rsidRDefault="008E6D31" w:rsidP="007E22E3">
      <w:pPr>
        <w:spacing w:after="0" w:line="240" w:lineRule="auto"/>
        <w:jc w:val="both"/>
        <w:rPr>
          <w:rFonts w:ascii="Arial" w:hAnsi="Arial" w:cs="Arial"/>
          <w:b/>
          <w:bCs/>
        </w:rPr>
      </w:pPr>
    </w:p>
    <w:p w14:paraId="23FB9DA7" w14:textId="77777777" w:rsidR="008E6D31" w:rsidRDefault="008E6D31" w:rsidP="007E22E3">
      <w:pPr>
        <w:spacing w:after="0" w:line="240" w:lineRule="auto"/>
        <w:jc w:val="both"/>
        <w:rPr>
          <w:rFonts w:ascii="Arial" w:hAnsi="Arial" w:cs="Arial"/>
          <w:b/>
          <w:bCs/>
        </w:rPr>
      </w:pPr>
    </w:p>
    <w:p w14:paraId="3BB9E77F" w14:textId="77777777" w:rsidR="008E6D31" w:rsidRDefault="008E6D31" w:rsidP="007E22E3">
      <w:pPr>
        <w:spacing w:after="0" w:line="240" w:lineRule="auto"/>
        <w:jc w:val="both"/>
        <w:rPr>
          <w:rFonts w:ascii="Arial" w:hAnsi="Arial" w:cs="Arial"/>
          <w:b/>
          <w:bCs/>
        </w:rPr>
      </w:pPr>
    </w:p>
    <w:p w14:paraId="2E440947" w14:textId="77777777" w:rsidR="008E6D31" w:rsidRDefault="008E6D31" w:rsidP="007E22E3">
      <w:pPr>
        <w:spacing w:after="0" w:line="240" w:lineRule="auto"/>
        <w:jc w:val="both"/>
        <w:rPr>
          <w:rFonts w:ascii="Arial" w:hAnsi="Arial" w:cs="Arial"/>
          <w:b/>
          <w:bCs/>
        </w:rPr>
      </w:pPr>
    </w:p>
    <w:p w14:paraId="3414F4FB" w14:textId="77777777" w:rsidR="008E6D31" w:rsidRDefault="008E6D31" w:rsidP="007E22E3">
      <w:pPr>
        <w:spacing w:after="0" w:line="240" w:lineRule="auto"/>
        <w:jc w:val="both"/>
        <w:rPr>
          <w:rFonts w:ascii="Arial" w:hAnsi="Arial" w:cs="Arial"/>
          <w:b/>
          <w:bCs/>
        </w:rPr>
      </w:pPr>
    </w:p>
    <w:p w14:paraId="063FDBD7" w14:textId="77777777" w:rsidR="0090665B" w:rsidRDefault="0090665B" w:rsidP="007E22E3">
      <w:pPr>
        <w:spacing w:after="0" w:line="240" w:lineRule="auto"/>
        <w:jc w:val="both"/>
        <w:rPr>
          <w:rFonts w:ascii="Arial" w:hAnsi="Arial" w:cs="Arial"/>
          <w:b/>
          <w:bCs/>
        </w:rPr>
      </w:pPr>
    </w:p>
    <w:p w14:paraId="154E2D24" w14:textId="77777777" w:rsidR="0090665B" w:rsidRDefault="0090665B" w:rsidP="007E22E3">
      <w:pPr>
        <w:spacing w:after="0" w:line="240" w:lineRule="auto"/>
        <w:jc w:val="both"/>
        <w:rPr>
          <w:rFonts w:ascii="Arial" w:hAnsi="Arial" w:cs="Arial"/>
          <w:b/>
          <w:bCs/>
        </w:rPr>
      </w:pPr>
    </w:p>
    <w:p w14:paraId="28F8570E" w14:textId="77777777" w:rsidR="0090665B" w:rsidRDefault="0090665B" w:rsidP="007E22E3">
      <w:pPr>
        <w:spacing w:after="0" w:line="240" w:lineRule="auto"/>
        <w:jc w:val="both"/>
        <w:rPr>
          <w:rFonts w:ascii="Arial" w:hAnsi="Arial" w:cs="Arial"/>
          <w:b/>
          <w:bCs/>
        </w:rPr>
      </w:pPr>
    </w:p>
    <w:p w14:paraId="127F9D42" w14:textId="77777777" w:rsidR="0090665B" w:rsidRDefault="0090665B" w:rsidP="007E22E3">
      <w:pPr>
        <w:spacing w:after="0" w:line="240" w:lineRule="auto"/>
        <w:jc w:val="both"/>
        <w:rPr>
          <w:rFonts w:ascii="Arial" w:hAnsi="Arial" w:cs="Arial"/>
          <w:b/>
          <w:bCs/>
        </w:rPr>
      </w:pPr>
    </w:p>
    <w:p w14:paraId="2CF51285" w14:textId="77777777" w:rsidR="0090665B" w:rsidRDefault="0090665B" w:rsidP="007E22E3">
      <w:pPr>
        <w:spacing w:after="0" w:line="240" w:lineRule="auto"/>
        <w:jc w:val="both"/>
        <w:rPr>
          <w:rFonts w:ascii="Arial" w:hAnsi="Arial" w:cs="Arial"/>
          <w:b/>
          <w:bCs/>
        </w:rPr>
      </w:pPr>
    </w:p>
    <w:p w14:paraId="7BE21FE4" w14:textId="77777777" w:rsidR="0090665B" w:rsidRDefault="0090665B" w:rsidP="007E22E3">
      <w:pPr>
        <w:spacing w:after="0" w:line="240" w:lineRule="auto"/>
        <w:jc w:val="both"/>
        <w:rPr>
          <w:rFonts w:ascii="Arial" w:hAnsi="Arial" w:cs="Arial"/>
          <w:b/>
          <w:bCs/>
        </w:rPr>
      </w:pPr>
    </w:p>
    <w:p w14:paraId="505C4D89" w14:textId="77777777" w:rsidR="0090665B" w:rsidRDefault="0090665B" w:rsidP="007E22E3">
      <w:pPr>
        <w:spacing w:after="0" w:line="240" w:lineRule="auto"/>
        <w:jc w:val="both"/>
        <w:rPr>
          <w:rFonts w:ascii="Arial" w:hAnsi="Arial" w:cs="Arial"/>
          <w:b/>
          <w:bCs/>
        </w:rPr>
      </w:pPr>
    </w:p>
    <w:p w14:paraId="1A244E0C" w14:textId="77777777" w:rsidR="0090665B" w:rsidRDefault="0090665B" w:rsidP="007E22E3">
      <w:pPr>
        <w:spacing w:after="0" w:line="240" w:lineRule="auto"/>
        <w:jc w:val="both"/>
        <w:rPr>
          <w:rFonts w:ascii="Arial" w:hAnsi="Arial" w:cs="Arial"/>
          <w:b/>
          <w:bCs/>
        </w:rPr>
      </w:pPr>
    </w:p>
    <w:p w14:paraId="1CA46F19" w14:textId="77777777" w:rsidR="0090665B" w:rsidRDefault="0090665B" w:rsidP="007E22E3">
      <w:pPr>
        <w:spacing w:after="0" w:line="240" w:lineRule="auto"/>
        <w:jc w:val="both"/>
        <w:rPr>
          <w:rFonts w:ascii="Arial" w:hAnsi="Arial" w:cs="Arial"/>
          <w:b/>
          <w:bCs/>
        </w:rPr>
      </w:pPr>
    </w:p>
    <w:p w14:paraId="173DB7CB" w14:textId="77777777" w:rsidR="0090665B" w:rsidRDefault="0090665B" w:rsidP="007E22E3">
      <w:pPr>
        <w:spacing w:after="0" w:line="240" w:lineRule="auto"/>
        <w:jc w:val="both"/>
        <w:rPr>
          <w:rFonts w:ascii="Arial" w:hAnsi="Arial" w:cs="Arial"/>
          <w:b/>
          <w:bCs/>
        </w:rPr>
      </w:pPr>
    </w:p>
    <w:p w14:paraId="3B05B611" w14:textId="77777777" w:rsidR="0090665B" w:rsidRDefault="0090665B" w:rsidP="007E22E3">
      <w:pPr>
        <w:spacing w:after="0" w:line="240" w:lineRule="auto"/>
        <w:jc w:val="both"/>
        <w:rPr>
          <w:rFonts w:ascii="Arial" w:hAnsi="Arial" w:cs="Arial"/>
          <w:b/>
          <w:bCs/>
        </w:rPr>
      </w:pPr>
    </w:p>
    <w:p w14:paraId="1072ACD6" w14:textId="77777777" w:rsidR="0090665B" w:rsidRDefault="0090665B" w:rsidP="007E22E3">
      <w:pPr>
        <w:spacing w:after="0" w:line="240" w:lineRule="auto"/>
        <w:jc w:val="both"/>
        <w:rPr>
          <w:rFonts w:ascii="Arial" w:hAnsi="Arial" w:cs="Arial"/>
          <w:b/>
          <w:bCs/>
        </w:rPr>
      </w:pPr>
    </w:p>
    <w:p w14:paraId="08C3BA30" w14:textId="77777777" w:rsidR="0090665B" w:rsidRDefault="0090665B" w:rsidP="007E22E3">
      <w:pPr>
        <w:spacing w:after="0" w:line="240" w:lineRule="auto"/>
        <w:jc w:val="both"/>
        <w:rPr>
          <w:rFonts w:ascii="Arial" w:hAnsi="Arial" w:cs="Arial"/>
          <w:b/>
          <w:bCs/>
        </w:rPr>
      </w:pPr>
    </w:p>
    <w:p w14:paraId="0F5768A1" w14:textId="77777777" w:rsidR="0090665B" w:rsidRDefault="0090665B" w:rsidP="007E22E3">
      <w:pPr>
        <w:spacing w:after="0" w:line="240" w:lineRule="auto"/>
        <w:jc w:val="both"/>
        <w:rPr>
          <w:rFonts w:ascii="Arial" w:hAnsi="Arial" w:cs="Arial"/>
          <w:b/>
          <w:bCs/>
        </w:rPr>
      </w:pPr>
    </w:p>
    <w:p w14:paraId="1A58A3E3" w14:textId="77777777" w:rsidR="0090665B" w:rsidRDefault="0090665B" w:rsidP="007E22E3">
      <w:pPr>
        <w:spacing w:after="0" w:line="240" w:lineRule="auto"/>
        <w:jc w:val="both"/>
        <w:rPr>
          <w:rFonts w:ascii="Arial" w:hAnsi="Arial" w:cs="Arial"/>
          <w:b/>
          <w:bCs/>
        </w:rPr>
      </w:pPr>
    </w:p>
    <w:p w14:paraId="2A78803D" w14:textId="77777777" w:rsidR="0090665B" w:rsidRDefault="0090665B" w:rsidP="007E22E3">
      <w:pPr>
        <w:spacing w:after="0" w:line="240" w:lineRule="auto"/>
        <w:jc w:val="both"/>
        <w:rPr>
          <w:rFonts w:ascii="Arial" w:hAnsi="Arial" w:cs="Arial"/>
          <w:b/>
          <w:bCs/>
        </w:rPr>
      </w:pPr>
    </w:p>
    <w:p w14:paraId="00A1C84D" w14:textId="77777777" w:rsidR="0090665B" w:rsidRDefault="0090665B" w:rsidP="007E22E3">
      <w:pPr>
        <w:spacing w:after="0" w:line="240" w:lineRule="auto"/>
        <w:jc w:val="both"/>
        <w:rPr>
          <w:rFonts w:ascii="Arial" w:hAnsi="Arial" w:cs="Arial"/>
          <w:b/>
          <w:bCs/>
        </w:rPr>
      </w:pPr>
    </w:p>
    <w:p w14:paraId="35DBA51A" w14:textId="77777777" w:rsidR="0090665B" w:rsidRDefault="0090665B" w:rsidP="007E22E3">
      <w:pPr>
        <w:spacing w:after="0" w:line="240" w:lineRule="auto"/>
        <w:jc w:val="both"/>
        <w:rPr>
          <w:rFonts w:ascii="Arial" w:hAnsi="Arial" w:cs="Arial"/>
          <w:b/>
          <w:bCs/>
        </w:rPr>
      </w:pPr>
    </w:p>
    <w:p w14:paraId="7B22C2CC" w14:textId="77777777" w:rsidR="0090665B" w:rsidRDefault="0090665B" w:rsidP="007E22E3">
      <w:pPr>
        <w:spacing w:after="0" w:line="240" w:lineRule="auto"/>
        <w:jc w:val="both"/>
        <w:rPr>
          <w:rFonts w:ascii="Arial" w:hAnsi="Arial" w:cs="Arial"/>
          <w:b/>
          <w:bCs/>
        </w:rPr>
      </w:pPr>
    </w:p>
    <w:p w14:paraId="084AFD29" w14:textId="77777777" w:rsidR="0090665B" w:rsidRDefault="0090665B" w:rsidP="007E22E3">
      <w:pPr>
        <w:spacing w:after="0" w:line="240" w:lineRule="auto"/>
        <w:jc w:val="both"/>
        <w:rPr>
          <w:rFonts w:ascii="Arial" w:hAnsi="Arial" w:cs="Arial"/>
          <w:b/>
          <w:bCs/>
        </w:rPr>
      </w:pPr>
    </w:p>
    <w:p w14:paraId="5E03BE53" w14:textId="77777777" w:rsidR="0090665B" w:rsidRDefault="0090665B" w:rsidP="007E22E3">
      <w:pPr>
        <w:spacing w:after="0" w:line="240" w:lineRule="auto"/>
        <w:jc w:val="both"/>
        <w:rPr>
          <w:rFonts w:ascii="Arial" w:hAnsi="Arial" w:cs="Arial"/>
          <w:b/>
          <w:bCs/>
        </w:rPr>
      </w:pPr>
    </w:p>
    <w:p w14:paraId="09C7DC73" w14:textId="77777777" w:rsidR="0090665B" w:rsidRDefault="0090665B" w:rsidP="007E22E3">
      <w:pPr>
        <w:spacing w:after="0" w:line="240" w:lineRule="auto"/>
        <w:jc w:val="both"/>
        <w:rPr>
          <w:rFonts w:ascii="Arial" w:hAnsi="Arial" w:cs="Arial"/>
          <w:b/>
          <w:bCs/>
        </w:rPr>
      </w:pPr>
    </w:p>
    <w:p w14:paraId="470A0FCD" w14:textId="77777777" w:rsidR="0090665B" w:rsidRDefault="0090665B" w:rsidP="007E22E3">
      <w:pPr>
        <w:spacing w:after="0" w:line="240" w:lineRule="auto"/>
        <w:jc w:val="both"/>
        <w:rPr>
          <w:rFonts w:ascii="Arial" w:hAnsi="Arial" w:cs="Arial"/>
          <w:b/>
          <w:bCs/>
        </w:rPr>
      </w:pPr>
    </w:p>
    <w:p w14:paraId="56526294" w14:textId="77777777" w:rsidR="0090665B" w:rsidRDefault="0090665B" w:rsidP="007E22E3">
      <w:pPr>
        <w:spacing w:after="0" w:line="240" w:lineRule="auto"/>
        <w:jc w:val="both"/>
        <w:rPr>
          <w:rFonts w:ascii="Arial" w:hAnsi="Arial" w:cs="Arial"/>
          <w:b/>
          <w:bCs/>
        </w:rPr>
      </w:pPr>
    </w:p>
    <w:p w14:paraId="62F5F1B3" w14:textId="77777777" w:rsidR="0090665B" w:rsidRDefault="0090665B" w:rsidP="007E22E3">
      <w:pPr>
        <w:spacing w:after="0" w:line="240" w:lineRule="auto"/>
        <w:jc w:val="both"/>
        <w:rPr>
          <w:rFonts w:ascii="Arial" w:hAnsi="Arial" w:cs="Arial"/>
          <w:b/>
          <w:bCs/>
        </w:rPr>
      </w:pPr>
    </w:p>
    <w:p w14:paraId="74E6E01F" w14:textId="77777777" w:rsidR="0090665B" w:rsidRDefault="0090665B" w:rsidP="007E22E3">
      <w:pPr>
        <w:spacing w:after="0" w:line="240" w:lineRule="auto"/>
        <w:jc w:val="both"/>
        <w:rPr>
          <w:rFonts w:ascii="Arial" w:hAnsi="Arial" w:cs="Arial"/>
          <w:b/>
          <w:bCs/>
        </w:rPr>
      </w:pPr>
    </w:p>
    <w:p w14:paraId="6C4C70BC" w14:textId="77777777" w:rsidR="0090665B" w:rsidRDefault="0090665B" w:rsidP="007E22E3">
      <w:pPr>
        <w:spacing w:after="0" w:line="240" w:lineRule="auto"/>
        <w:jc w:val="both"/>
        <w:rPr>
          <w:rFonts w:ascii="Arial" w:hAnsi="Arial" w:cs="Arial"/>
          <w:b/>
          <w:bCs/>
        </w:rPr>
      </w:pPr>
    </w:p>
    <w:p w14:paraId="17744453" w14:textId="77777777" w:rsidR="0090665B" w:rsidRDefault="0090665B" w:rsidP="007E22E3">
      <w:pPr>
        <w:spacing w:after="0" w:line="240" w:lineRule="auto"/>
        <w:jc w:val="both"/>
        <w:rPr>
          <w:rFonts w:ascii="Arial" w:hAnsi="Arial" w:cs="Arial"/>
          <w:b/>
          <w:bCs/>
        </w:rPr>
      </w:pPr>
    </w:p>
    <w:p w14:paraId="2A2FB616" w14:textId="77777777" w:rsidR="0090665B" w:rsidRDefault="0090665B" w:rsidP="007E22E3">
      <w:pPr>
        <w:spacing w:after="0" w:line="240" w:lineRule="auto"/>
        <w:jc w:val="both"/>
        <w:rPr>
          <w:rFonts w:ascii="Arial" w:hAnsi="Arial" w:cs="Arial"/>
          <w:b/>
          <w:bCs/>
        </w:rPr>
      </w:pPr>
    </w:p>
    <w:p w14:paraId="74E99BC0" w14:textId="77777777" w:rsidR="0090665B" w:rsidRDefault="0090665B" w:rsidP="007E22E3">
      <w:pPr>
        <w:spacing w:after="0" w:line="240" w:lineRule="auto"/>
        <w:jc w:val="both"/>
        <w:rPr>
          <w:rFonts w:ascii="Arial" w:hAnsi="Arial" w:cs="Arial"/>
          <w:b/>
          <w:bCs/>
        </w:rPr>
      </w:pPr>
    </w:p>
    <w:p w14:paraId="1444C8AA" w14:textId="77777777" w:rsidR="0090665B" w:rsidRDefault="0090665B" w:rsidP="007E22E3">
      <w:pPr>
        <w:spacing w:after="0" w:line="240" w:lineRule="auto"/>
        <w:jc w:val="both"/>
        <w:rPr>
          <w:rFonts w:ascii="Arial" w:hAnsi="Arial" w:cs="Arial"/>
          <w:b/>
          <w:bCs/>
        </w:rPr>
      </w:pPr>
    </w:p>
    <w:p w14:paraId="0D50C4B4" w14:textId="77777777" w:rsidR="0090665B" w:rsidRDefault="0090665B" w:rsidP="007E22E3">
      <w:pPr>
        <w:spacing w:after="0" w:line="240" w:lineRule="auto"/>
        <w:jc w:val="both"/>
        <w:rPr>
          <w:rFonts w:ascii="Arial" w:hAnsi="Arial" w:cs="Arial"/>
          <w:b/>
          <w:bCs/>
        </w:rPr>
      </w:pPr>
    </w:p>
    <w:p w14:paraId="2E76C83A" w14:textId="77777777" w:rsidR="0090665B" w:rsidRDefault="0090665B" w:rsidP="007E22E3">
      <w:pPr>
        <w:spacing w:after="0" w:line="240" w:lineRule="auto"/>
        <w:jc w:val="both"/>
        <w:rPr>
          <w:rFonts w:ascii="Arial" w:hAnsi="Arial" w:cs="Arial"/>
          <w:b/>
          <w:bCs/>
        </w:rPr>
      </w:pPr>
    </w:p>
    <w:p w14:paraId="054815EA" w14:textId="77777777" w:rsidR="0090665B" w:rsidRDefault="0090665B" w:rsidP="007E22E3">
      <w:pPr>
        <w:spacing w:after="0" w:line="240" w:lineRule="auto"/>
        <w:jc w:val="both"/>
        <w:rPr>
          <w:rFonts w:ascii="Arial" w:hAnsi="Arial" w:cs="Arial"/>
          <w:b/>
          <w:bCs/>
        </w:rPr>
      </w:pPr>
    </w:p>
    <w:p w14:paraId="17E7F789" w14:textId="77777777" w:rsidR="0090665B" w:rsidRDefault="0090665B" w:rsidP="007E22E3">
      <w:pPr>
        <w:spacing w:after="0" w:line="240" w:lineRule="auto"/>
        <w:jc w:val="both"/>
        <w:rPr>
          <w:rFonts w:ascii="Arial" w:hAnsi="Arial" w:cs="Arial"/>
          <w:b/>
          <w:bCs/>
        </w:rPr>
      </w:pPr>
    </w:p>
    <w:p w14:paraId="6A08AC0F" w14:textId="77777777" w:rsidR="0090665B" w:rsidRDefault="0090665B" w:rsidP="007E22E3">
      <w:pPr>
        <w:spacing w:after="0" w:line="240" w:lineRule="auto"/>
        <w:jc w:val="both"/>
        <w:rPr>
          <w:rFonts w:ascii="Arial" w:hAnsi="Arial" w:cs="Arial"/>
          <w:b/>
          <w:bCs/>
        </w:rPr>
      </w:pPr>
    </w:p>
    <w:p w14:paraId="0C0BB495" w14:textId="2AEDA93E" w:rsidR="00F72D3E" w:rsidRPr="00507D8A" w:rsidRDefault="00F72D3E" w:rsidP="007E22E3">
      <w:pPr>
        <w:spacing w:after="0" w:line="240" w:lineRule="auto"/>
        <w:jc w:val="both"/>
        <w:rPr>
          <w:rFonts w:ascii="Arial" w:hAnsi="Arial" w:cs="Arial"/>
          <w:b/>
          <w:bCs/>
          <w:u w:val="single"/>
        </w:rPr>
      </w:pPr>
      <w:r w:rsidRPr="00507D8A">
        <w:rPr>
          <w:rFonts w:ascii="Arial" w:hAnsi="Arial" w:cs="Arial"/>
          <w:b/>
          <w:bCs/>
          <w:u w:val="single"/>
        </w:rPr>
        <w:lastRenderedPageBreak/>
        <w:t>Table of Contents</w:t>
      </w:r>
      <w:r w:rsidR="00507D8A">
        <w:rPr>
          <w:rFonts w:ascii="Arial" w:hAnsi="Arial" w:cs="Arial"/>
          <w:b/>
          <w:bCs/>
          <w:u w:val="single"/>
        </w:rPr>
        <w:t>.</w:t>
      </w:r>
    </w:p>
    <w:p w14:paraId="0CFC4201" w14:textId="77777777" w:rsidR="00F72D3E" w:rsidRDefault="00F72D3E" w:rsidP="007E22E3">
      <w:pPr>
        <w:spacing w:after="0" w:line="240" w:lineRule="auto"/>
        <w:jc w:val="both"/>
        <w:rPr>
          <w:rFonts w:ascii="Arial" w:hAnsi="Arial" w:cs="Arial"/>
          <w:b/>
          <w:bCs/>
        </w:rPr>
      </w:pPr>
    </w:p>
    <w:p w14:paraId="0478A98A" w14:textId="77777777" w:rsidR="00F72D3E" w:rsidRDefault="00F72D3E" w:rsidP="007E22E3">
      <w:pPr>
        <w:spacing w:after="0" w:line="240" w:lineRule="auto"/>
        <w:jc w:val="both"/>
        <w:rPr>
          <w:rFonts w:ascii="Arial" w:hAnsi="Arial" w:cs="Arial"/>
          <w:b/>
          <w:bCs/>
        </w:rPr>
      </w:pPr>
    </w:p>
    <w:p w14:paraId="1903E228" w14:textId="65FEDF3C" w:rsidR="00F72D3E" w:rsidRPr="00507D8A" w:rsidRDefault="001D4141" w:rsidP="007E22E3">
      <w:pPr>
        <w:spacing w:after="0" w:line="240" w:lineRule="auto"/>
        <w:jc w:val="both"/>
        <w:rPr>
          <w:rFonts w:ascii="Arial" w:hAnsi="Arial" w:cs="Arial"/>
        </w:rPr>
      </w:pPr>
      <w:r w:rsidRPr="00507D8A">
        <w:rPr>
          <w:rFonts w:ascii="Arial" w:hAnsi="Arial" w:cs="Arial"/>
        </w:rPr>
        <w:t>List of Tables and Figures………………………………………………………………………</w:t>
      </w:r>
      <w:r w:rsidR="00F514DB">
        <w:rPr>
          <w:rFonts w:ascii="Arial" w:hAnsi="Arial" w:cs="Arial"/>
        </w:rPr>
        <w:t>…</w:t>
      </w:r>
      <w:r w:rsidRPr="00507D8A">
        <w:rPr>
          <w:rFonts w:ascii="Arial" w:hAnsi="Arial" w:cs="Arial"/>
        </w:rPr>
        <w:t>…</w:t>
      </w:r>
      <w:r w:rsidR="00F514DB">
        <w:rPr>
          <w:rFonts w:ascii="Arial" w:hAnsi="Arial" w:cs="Arial"/>
        </w:rPr>
        <w:t>6</w:t>
      </w:r>
    </w:p>
    <w:p w14:paraId="34579D84" w14:textId="77777777" w:rsidR="001D4141" w:rsidRPr="00507D8A" w:rsidRDefault="001D4141" w:rsidP="007E22E3">
      <w:pPr>
        <w:spacing w:after="0" w:line="240" w:lineRule="auto"/>
        <w:jc w:val="both"/>
        <w:rPr>
          <w:rFonts w:ascii="Arial" w:hAnsi="Arial" w:cs="Arial"/>
        </w:rPr>
      </w:pPr>
    </w:p>
    <w:p w14:paraId="5AF86981" w14:textId="77777777" w:rsidR="000A6A85" w:rsidRPr="00507D8A" w:rsidRDefault="000A6A85" w:rsidP="007E22E3">
      <w:pPr>
        <w:spacing w:after="0" w:line="240" w:lineRule="auto"/>
        <w:jc w:val="both"/>
        <w:rPr>
          <w:rFonts w:ascii="Arial" w:hAnsi="Arial" w:cs="Arial"/>
        </w:rPr>
      </w:pPr>
    </w:p>
    <w:p w14:paraId="67E55EEC" w14:textId="0E446F3C" w:rsidR="000A6A85" w:rsidRPr="00507D8A" w:rsidRDefault="000A6A85" w:rsidP="007E22E3">
      <w:pPr>
        <w:spacing w:after="0" w:line="240" w:lineRule="auto"/>
        <w:jc w:val="both"/>
        <w:rPr>
          <w:rFonts w:ascii="Arial" w:hAnsi="Arial" w:cs="Arial"/>
        </w:rPr>
      </w:pPr>
      <w:r w:rsidRPr="00507D8A">
        <w:rPr>
          <w:rFonts w:ascii="Arial" w:hAnsi="Arial" w:cs="Arial"/>
        </w:rPr>
        <w:t>Introduction………………………………………………………………………………………</w:t>
      </w:r>
      <w:r w:rsidR="00F514DB">
        <w:rPr>
          <w:rFonts w:ascii="Arial" w:hAnsi="Arial" w:cs="Arial"/>
        </w:rPr>
        <w:t>..</w:t>
      </w:r>
      <w:r w:rsidRPr="00507D8A">
        <w:rPr>
          <w:rFonts w:ascii="Arial" w:hAnsi="Arial" w:cs="Arial"/>
        </w:rPr>
        <w:t>…..</w:t>
      </w:r>
      <w:r w:rsidR="00F514DB">
        <w:rPr>
          <w:rFonts w:ascii="Arial" w:hAnsi="Arial" w:cs="Arial"/>
        </w:rPr>
        <w:t>7</w:t>
      </w:r>
    </w:p>
    <w:p w14:paraId="42CA75B6" w14:textId="77777777" w:rsidR="000A6A85" w:rsidRPr="00507D8A" w:rsidRDefault="000A6A85" w:rsidP="007E22E3">
      <w:pPr>
        <w:spacing w:after="0" w:line="240" w:lineRule="auto"/>
        <w:jc w:val="both"/>
        <w:rPr>
          <w:rFonts w:ascii="Arial" w:hAnsi="Arial" w:cs="Arial"/>
        </w:rPr>
      </w:pPr>
    </w:p>
    <w:p w14:paraId="236D805B" w14:textId="6F64BB12" w:rsidR="000A6A85" w:rsidRPr="00507D8A" w:rsidRDefault="000A6A85" w:rsidP="007E22E3">
      <w:pPr>
        <w:spacing w:after="0" w:line="240" w:lineRule="auto"/>
        <w:jc w:val="both"/>
        <w:rPr>
          <w:rFonts w:ascii="Arial" w:hAnsi="Arial" w:cs="Arial"/>
        </w:rPr>
      </w:pPr>
    </w:p>
    <w:p w14:paraId="1D29CAE0" w14:textId="3759A72B" w:rsidR="000A6A85" w:rsidRPr="00507D8A" w:rsidRDefault="000A6A85" w:rsidP="007E22E3">
      <w:pPr>
        <w:spacing w:after="0" w:line="240" w:lineRule="auto"/>
        <w:jc w:val="both"/>
        <w:rPr>
          <w:rFonts w:ascii="Arial" w:hAnsi="Arial" w:cs="Arial"/>
        </w:rPr>
      </w:pPr>
      <w:r w:rsidRPr="00507D8A">
        <w:rPr>
          <w:rFonts w:ascii="Arial" w:hAnsi="Arial" w:cs="Arial"/>
        </w:rPr>
        <w:t>Literature Review……………………………………………………………………………………</w:t>
      </w:r>
      <w:r w:rsidR="00F514DB">
        <w:rPr>
          <w:rFonts w:ascii="Arial" w:hAnsi="Arial" w:cs="Arial"/>
        </w:rPr>
        <w:t>12</w:t>
      </w:r>
    </w:p>
    <w:p w14:paraId="7F68ABA9" w14:textId="77777777" w:rsidR="000A6A85" w:rsidRPr="00507D8A" w:rsidRDefault="000A6A85" w:rsidP="007E22E3">
      <w:pPr>
        <w:spacing w:after="0" w:line="240" w:lineRule="auto"/>
        <w:jc w:val="both"/>
        <w:rPr>
          <w:rFonts w:ascii="Arial" w:hAnsi="Arial" w:cs="Arial"/>
        </w:rPr>
      </w:pPr>
    </w:p>
    <w:p w14:paraId="0A9602F0" w14:textId="77777777" w:rsidR="000A6A85" w:rsidRPr="00507D8A" w:rsidRDefault="000A6A85" w:rsidP="007E22E3">
      <w:pPr>
        <w:spacing w:after="0" w:line="240" w:lineRule="auto"/>
        <w:jc w:val="both"/>
        <w:rPr>
          <w:rFonts w:ascii="Arial" w:hAnsi="Arial" w:cs="Arial"/>
        </w:rPr>
      </w:pPr>
    </w:p>
    <w:p w14:paraId="44DB4234" w14:textId="2E0EDAC5" w:rsidR="000A6A85" w:rsidRPr="00507D8A" w:rsidRDefault="009E2A3E" w:rsidP="007E22E3">
      <w:pPr>
        <w:spacing w:after="0" w:line="240" w:lineRule="auto"/>
        <w:jc w:val="both"/>
        <w:rPr>
          <w:rFonts w:ascii="Arial" w:hAnsi="Arial" w:cs="Arial"/>
        </w:rPr>
      </w:pPr>
      <w:r w:rsidRPr="00507D8A">
        <w:rPr>
          <w:rFonts w:ascii="Arial" w:hAnsi="Arial" w:cs="Arial"/>
        </w:rPr>
        <w:t>Research Methodology……………………………………………………………………</w:t>
      </w:r>
      <w:r w:rsidR="00F514DB">
        <w:rPr>
          <w:rFonts w:ascii="Arial" w:hAnsi="Arial" w:cs="Arial"/>
        </w:rPr>
        <w:t>.</w:t>
      </w:r>
      <w:r w:rsidRPr="00507D8A">
        <w:rPr>
          <w:rFonts w:ascii="Arial" w:hAnsi="Arial" w:cs="Arial"/>
        </w:rPr>
        <w:t>……….</w:t>
      </w:r>
      <w:r w:rsidR="00F514DB">
        <w:rPr>
          <w:rFonts w:ascii="Arial" w:hAnsi="Arial" w:cs="Arial"/>
        </w:rPr>
        <w:t>19</w:t>
      </w:r>
    </w:p>
    <w:p w14:paraId="215F544B" w14:textId="77777777" w:rsidR="009E2A3E" w:rsidRPr="00507D8A" w:rsidRDefault="009E2A3E" w:rsidP="007E22E3">
      <w:pPr>
        <w:spacing w:after="0" w:line="240" w:lineRule="auto"/>
        <w:jc w:val="both"/>
        <w:rPr>
          <w:rFonts w:ascii="Arial" w:hAnsi="Arial" w:cs="Arial"/>
        </w:rPr>
      </w:pPr>
    </w:p>
    <w:p w14:paraId="44966981" w14:textId="77777777" w:rsidR="009E2A3E" w:rsidRPr="00507D8A" w:rsidRDefault="009E2A3E" w:rsidP="007E22E3">
      <w:pPr>
        <w:spacing w:after="0" w:line="240" w:lineRule="auto"/>
        <w:jc w:val="both"/>
        <w:rPr>
          <w:rFonts w:ascii="Arial" w:hAnsi="Arial" w:cs="Arial"/>
        </w:rPr>
      </w:pPr>
    </w:p>
    <w:p w14:paraId="78F695CF" w14:textId="65A5CE70" w:rsidR="009E2A3E" w:rsidRPr="00507D8A" w:rsidRDefault="009E2A3E" w:rsidP="007E22E3">
      <w:pPr>
        <w:spacing w:after="0" w:line="240" w:lineRule="auto"/>
        <w:jc w:val="both"/>
        <w:rPr>
          <w:rFonts w:ascii="Arial" w:hAnsi="Arial" w:cs="Arial"/>
        </w:rPr>
      </w:pPr>
      <w:r w:rsidRPr="00507D8A">
        <w:rPr>
          <w:rFonts w:ascii="Arial" w:hAnsi="Arial" w:cs="Arial"/>
        </w:rPr>
        <w:t>Research Findings………………………………………………………………………………….</w:t>
      </w:r>
      <w:r w:rsidR="00F514DB">
        <w:rPr>
          <w:rFonts w:ascii="Arial" w:hAnsi="Arial" w:cs="Arial"/>
        </w:rPr>
        <w:t>.28</w:t>
      </w:r>
    </w:p>
    <w:p w14:paraId="707511A1" w14:textId="77777777" w:rsidR="009E2A3E" w:rsidRPr="00507D8A" w:rsidRDefault="009E2A3E" w:rsidP="007E22E3">
      <w:pPr>
        <w:spacing w:after="0" w:line="240" w:lineRule="auto"/>
        <w:jc w:val="both"/>
        <w:rPr>
          <w:rFonts w:ascii="Arial" w:hAnsi="Arial" w:cs="Arial"/>
        </w:rPr>
      </w:pPr>
    </w:p>
    <w:p w14:paraId="5F4EF9EA" w14:textId="77777777" w:rsidR="009E2A3E" w:rsidRPr="00507D8A" w:rsidRDefault="009E2A3E" w:rsidP="007E22E3">
      <w:pPr>
        <w:spacing w:after="0" w:line="240" w:lineRule="auto"/>
        <w:jc w:val="both"/>
        <w:rPr>
          <w:rFonts w:ascii="Arial" w:hAnsi="Arial" w:cs="Arial"/>
        </w:rPr>
      </w:pPr>
    </w:p>
    <w:p w14:paraId="02D171E1" w14:textId="0A89CEF1" w:rsidR="009E2A3E" w:rsidRPr="00507D8A" w:rsidRDefault="009E2A3E" w:rsidP="007E22E3">
      <w:pPr>
        <w:spacing w:after="0" w:line="240" w:lineRule="auto"/>
        <w:jc w:val="both"/>
        <w:rPr>
          <w:rFonts w:ascii="Arial" w:hAnsi="Arial" w:cs="Arial"/>
        </w:rPr>
      </w:pPr>
      <w:r w:rsidRPr="00507D8A">
        <w:rPr>
          <w:rFonts w:ascii="Arial" w:hAnsi="Arial" w:cs="Arial"/>
        </w:rPr>
        <w:t>Conclusion</w:t>
      </w:r>
      <w:r w:rsidR="00831ADC" w:rsidRPr="00507D8A">
        <w:rPr>
          <w:rFonts w:ascii="Arial" w:hAnsi="Arial" w:cs="Arial"/>
        </w:rPr>
        <w:t>s</w:t>
      </w:r>
      <w:r w:rsidRPr="00507D8A">
        <w:rPr>
          <w:rFonts w:ascii="Arial" w:hAnsi="Arial" w:cs="Arial"/>
        </w:rPr>
        <w:t>…………………………………………………………………………………………</w:t>
      </w:r>
      <w:r w:rsidR="00440BF7">
        <w:rPr>
          <w:rFonts w:ascii="Arial" w:hAnsi="Arial" w:cs="Arial"/>
        </w:rPr>
        <w:t>.39</w:t>
      </w:r>
    </w:p>
    <w:p w14:paraId="151CC66B" w14:textId="77777777" w:rsidR="009E2A3E" w:rsidRPr="00507D8A" w:rsidRDefault="009E2A3E" w:rsidP="007E22E3">
      <w:pPr>
        <w:spacing w:after="0" w:line="240" w:lineRule="auto"/>
        <w:jc w:val="both"/>
        <w:rPr>
          <w:rFonts w:ascii="Arial" w:hAnsi="Arial" w:cs="Arial"/>
        </w:rPr>
      </w:pPr>
    </w:p>
    <w:p w14:paraId="4751464F" w14:textId="77777777" w:rsidR="009E2A3E" w:rsidRPr="00507D8A" w:rsidRDefault="009E2A3E" w:rsidP="007E22E3">
      <w:pPr>
        <w:spacing w:after="0" w:line="240" w:lineRule="auto"/>
        <w:jc w:val="both"/>
        <w:rPr>
          <w:rFonts w:ascii="Arial" w:hAnsi="Arial" w:cs="Arial"/>
        </w:rPr>
      </w:pPr>
    </w:p>
    <w:p w14:paraId="58AB8F4D" w14:textId="2C4AB6AA" w:rsidR="009E2A3E" w:rsidRPr="00507D8A" w:rsidRDefault="00C91462" w:rsidP="007E22E3">
      <w:pPr>
        <w:spacing w:after="0" w:line="240" w:lineRule="auto"/>
        <w:jc w:val="both"/>
        <w:rPr>
          <w:rFonts w:ascii="Arial" w:hAnsi="Arial" w:cs="Arial"/>
        </w:rPr>
      </w:pPr>
      <w:r w:rsidRPr="00507D8A">
        <w:rPr>
          <w:rFonts w:ascii="Arial" w:hAnsi="Arial" w:cs="Arial"/>
        </w:rPr>
        <w:t>Reference List</w:t>
      </w:r>
      <w:r w:rsidR="009E2A3E" w:rsidRPr="00507D8A">
        <w:rPr>
          <w:rFonts w:ascii="Arial" w:hAnsi="Arial" w:cs="Arial"/>
        </w:rPr>
        <w:t>…………………………………………………………………………………</w:t>
      </w:r>
      <w:r w:rsidR="00440BF7">
        <w:rPr>
          <w:rFonts w:ascii="Arial" w:hAnsi="Arial" w:cs="Arial"/>
        </w:rPr>
        <w:t>…….42</w:t>
      </w:r>
    </w:p>
    <w:p w14:paraId="1E2C217E" w14:textId="77777777" w:rsidR="00831ADC" w:rsidRDefault="00831ADC" w:rsidP="007E22E3">
      <w:pPr>
        <w:spacing w:after="0" w:line="240" w:lineRule="auto"/>
        <w:jc w:val="both"/>
        <w:rPr>
          <w:rFonts w:ascii="Arial" w:hAnsi="Arial" w:cs="Arial"/>
          <w:b/>
          <w:bCs/>
        </w:rPr>
      </w:pPr>
    </w:p>
    <w:p w14:paraId="18AE18CE" w14:textId="77777777" w:rsidR="00C91462" w:rsidRDefault="00C91462" w:rsidP="007E22E3">
      <w:pPr>
        <w:spacing w:after="0" w:line="240" w:lineRule="auto"/>
        <w:jc w:val="both"/>
        <w:rPr>
          <w:rFonts w:ascii="Arial" w:hAnsi="Arial" w:cs="Arial"/>
          <w:b/>
          <w:bCs/>
        </w:rPr>
      </w:pPr>
    </w:p>
    <w:p w14:paraId="6014185C" w14:textId="77777777" w:rsidR="00507D8A" w:rsidRPr="002B2EB0" w:rsidRDefault="00507D8A" w:rsidP="007E22E3">
      <w:pPr>
        <w:spacing w:after="0" w:line="240" w:lineRule="auto"/>
        <w:jc w:val="both"/>
        <w:rPr>
          <w:rFonts w:ascii="Arial" w:hAnsi="Arial" w:cs="Arial"/>
        </w:rPr>
      </w:pPr>
    </w:p>
    <w:p w14:paraId="170758E9" w14:textId="77777777" w:rsidR="00507D8A" w:rsidRPr="002B2EB0" w:rsidRDefault="00507D8A" w:rsidP="007E22E3">
      <w:pPr>
        <w:spacing w:after="0" w:line="240" w:lineRule="auto"/>
        <w:jc w:val="both"/>
        <w:rPr>
          <w:rFonts w:ascii="Arial" w:hAnsi="Arial" w:cs="Arial"/>
        </w:rPr>
      </w:pPr>
    </w:p>
    <w:p w14:paraId="3548F80A" w14:textId="77777777" w:rsidR="00507D8A" w:rsidRPr="002B2EB0" w:rsidRDefault="00507D8A" w:rsidP="007E22E3">
      <w:pPr>
        <w:spacing w:after="0" w:line="240" w:lineRule="auto"/>
        <w:jc w:val="both"/>
        <w:rPr>
          <w:rFonts w:ascii="Arial" w:hAnsi="Arial" w:cs="Arial"/>
        </w:rPr>
      </w:pPr>
    </w:p>
    <w:p w14:paraId="4B6FDD57" w14:textId="77777777" w:rsidR="00507D8A" w:rsidRPr="002B2EB0" w:rsidRDefault="00507D8A" w:rsidP="007E22E3">
      <w:pPr>
        <w:spacing w:after="0" w:line="240" w:lineRule="auto"/>
        <w:jc w:val="both"/>
        <w:rPr>
          <w:rFonts w:ascii="Arial" w:hAnsi="Arial" w:cs="Arial"/>
        </w:rPr>
      </w:pPr>
    </w:p>
    <w:p w14:paraId="7E436DF2" w14:textId="77777777" w:rsidR="00507D8A" w:rsidRPr="002B2EB0" w:rsidRDefault="00507D8A" w:rsidP="007E22E3">
      <w:pPr>
        <w:spacing w:after="0" w:line="240" w:lineRule="auto"/>
        <w:jc w:val="both"/>
        <w:rPr>
          <w:rFonts w:ascii="Arial" w:hAnsi="Arial" w:cs="Arial"/>
        </w:rPr>
      </w:pPr>
    </w:p>
    <w:p w14:paraId="0989D8DF" w14:textId="77777777" w:rsidR="00507D8A" w:rsidRPr="002B2EB0" w:rsidRDefault="00507D8A" w:rsidP="007E22E3">
      <w:pPr>
        <w:spacing w:after="0" w:line="240" w:lineRule="auto"/>
        <w:jc w:val="both"/>
        <w:rPr>
          <w:rFonts w:ascii="Arial" w:hAnsi="Arial" w:cs="Arial"/>
        </w:rPr>
      </w:pPr>
    </w:p>
    <w:p w14:paraId="400F282A" w14:textId="77777777" w:rsidR="00507D8A" w:rsidRDefault="00507D8A" w:rsidP="007E22E3">
      <w:pPr>
        <w:spacing w:after="0" w:line="240" w:lineRule="auto"/>
        <w:jc w:val="both"/>
        <w:rPr>
          <w:rFonts w:ascii="Arial" w:hAnsi="Arial" w:cs="Arial"/>
          <w:b/>
          <w:bCs/>
        </w:rPr>
      </w:pPr>
    </w:p>
    <w:p w14:paraId="1CDA6ACA" w14:textId="77777777" w:rsidR="00507D8A" w:rsidRDefault="00507D8A" w:rsidP="007E22E3">
      <w:pPr>
        <w:spacing w:after="0" w:line="240" w:lineRule="auto"/>
        <w:jc w:val="both"/>
        <w:rPr>
          <w:rFonts w:ascii="Arial" w:hAnsi="Arial" w:cs="Arial"/>
          <w:b/>
          <w:bCs/>
        </w:rPr>
      </w:pPr>
    </w:p>
    <w:p w14:paraId="5D38A377" w14:textId="77777777" w:rsidR="00507D8A" w:rsidRDefault="00507D8A" w:rsidP="007E22E3">
      <w:pPr>
        <w:spacing w:after="0" w:line="240" w:lineRule="auto"/>
        <w:jc w:val="both"/>
        <w:rPr>
          <w:rFonts w:ascii="Arial" w:hAnsi="Arial" w:cs="Arial"/>
          <w:b/>
          <w:bCs/>
        </w:rPr>
      </w:pPr>
    </w:p>
    <w:p w14:paraId="241A90E7" w14:textId="77777777" w:rsidR="00507D8A" w:rsidRDefault="00507D8A" w:rsidP="007E22E3">
      <w:pPr>
        <w:spacing w:after="0" w:line="240" w:lineRule="auto"/>
        <w:jc w:val="both"/>
        <w:rPr>
          <w:rFonts w:ascii="Arial" w:hAnsi="Arial" w:cs="Arial"/>
          <w:b/>
          <w:bCs/>
        </w:rPr>
      </w:pPr>
    </w:p>
    <w:p w14:paraId="69B0AC81" w14:textId="77777777" w:rsidR="00507D8A" w:rsidRDefault="00507D8A" w:rsidP="007E22E3">
      <w:pPr>
        <w:spacing w:after="0" w:line="240" w:lineRule="auto"/>
        <w:jc w:val="both"/>
        <w:rPr>
          <w:rFonts w:ascii="Arial" w:hAnsi="Arial" w:cs="Arial"/>
          <w:b/>
          <w:bCs/>
        </w:rPr>
      </w:pPr>
    </w:p>
    <w:p w14:paraId="7D84945C" w14:textId="77777777" w:rsidR="00507D8A" w:rsidRDefault="00507D8A" w:rsidP="007E22E3">
      <w:pPr>
        <w:spacing w:after="0" w:line="240" w:lineRule="auto"/>
        <w:jc w:val="both"/>
        <w:rPr>
          <w:rFonts w:ascii="Arial" w:hAnsi="Arial" w:cs="Arial"/>
          <w:b/>
          <w:bCs/>
        </w:rPr>
      </w:pPr>
    </w:p>
    <w:p w14:paraId="450707D8" w14:textId="77777777" w:rsidR="00507D8A" w:rsidRDefault="00507D8A" w:rsidP="007E22E3">
      <w:pPr>
        <w:spacing w:after="0" w:line="240" w:lineRule="auto"/>
        <w:jc w:val="both"/>
        <w:rPr>
          <w:rFonts w:ascii="Arial" w:hAnsi="Arial" w:cs="Arial"/>
          <w:b/>
          <w:bCs/>
        </w:rPr>
      </w:pPr>
    </w:p>
    <w:p w14:paraId="4D1818C6" w14:textId="77777777" w:rsidR="00507D8A" w:rsidRDefault="00507D8A" w:rsidP="007E22E3">
      <w:pPr>
        <w:spacing w:after="0" w:line="240" w:lineRule="auto"/>
        <w:jc w:val="both"/>
        <w:rPr>
          <w:rFonts w:ascii="Arial" w:hAnsi="Arial" w:cs="Arial"/>
          <w:b/>
          <w:bCs/>
        </w:rPr>
      </w:pPr>
    </w:p>
    <w:p w14:paraId="05EBBE7D" w14:textId="77777777" w:rsidR="00507D8A" w:rsidRDefault="00507D8A" w:rsidP="007E22E3">
      <w:pPr>
        <w:spacing w:after="0" w:line="240" w:lineRule="auto"/>
        <w:jc w:val="both"/>
        <w:rPr>
          <w:rFonts w:ascii="Arial" w:hAnsi="Arial" w:cs="Arial"/>
          <w:b/>
          <w:bCs/>
        </w:rPr>
      </w:pPr>
    </w:p>
    <w:p w14:paraId="13041D5F" w14:textId="77777777" w:rsidR="00507D8A" w:rsidRDefault="00507D8A" w:rsidP="007E22E3">
      <w:pPr>
        <w:spacing w:after="0" w:line="240" w:lineRule="auto"/>
        <w:jc w:val="both"/>
        <w:rPr>
          <w:rFonts w:ascii="Arial" w:hAnsi="Arial" w:cs="Arial"/>
          <w:b/>
          <w:bCs/>
        </w:rPr>
      </w:pPr>
    </w:p>
    <w:p w14:paraId="11F906F8" w14:textId="77777777" w:rsidR="00507D8A" w:rsidRDefault="00507D8A" w:rsidP="007E22E3">
      <w:pPr>
        <w:spacing w:after="0" w:line="240" w:lineRule="auto"/>
        <w:jc w:val="both"/>
        <w:rPr>
          <w:rFonts w:ascii="Arial" w:hAnsi="Arial" w:cs="Arial"/>
          <w:b/>
          <w:bCs/>
        </w:rPr>
      </w:pPr>
    </w:p>
    <w:p w14:paraId="5297567F" w14:textId="77777777" w:rsidR="00507D8A" w:rsidRDefault="00507D8A" w:rsidP="007E22E3">
      <w:pPr>
        <w:spacing w:after="0" w:line="240" w:lineRule="auto"/>
        <w:jc w:val="both"/>
        <w:rPr>
          <w:rFonts w:ascii="Arial" w:hAnsi="Arial" w:cs="Arial"/>
          <w:b/>
          <w:bCs/>
        </w:rPr>
      </w:pPr>
    </w:p>
    <w:p w14:paraId="6E46EDF2" w14:textId="77777777" w:rsidR="00507D8A" w:rsidRDefault="00507D8A" w:rsidP="007E22E3">
      <w:pPr>
        <w:spacing w:after="0" w:line="240" w:lineRule="auto"/>
        <w:jc w:val="both"/>
        <w:rPr>
          <w:rFonts w:ascii="Arial" w:hAnsi="Arial" w:cs="Arial"/>
          <w:b/>
          <w:bCs/>
        </w:rPr>
      </w:pPr>
    </w:p>
    <w:p w14:paraId="11E337C9" w14:textId="77777777" w:rsidR="00507D8A" w:rsidRDefault="00507D8A" w:rsidP="007E22E3">
      <w:pPr>
        <w:spacing w:after="0" w:line="240" w:lineRule="auto"/>
        <w:jc w:val="both"/>
        <w:rPr>
          <w:rFonts w:ascii="Arial" w:hAnsi="Arial" w:cs="Arial"/>
          <w:b/>
          <w:bCs/>
        </w:rPr>
      </w:pPr>
    </w:p>
    <w:p w14:paraId="275D0403" w14:textId="77777777" w:rsidR="00507D8A" w:rsidRDefault="00507D8A" w:rsidP="007E22E3">
      <w:pPr>
        <w:spacing w:after="0" w:line="240" w:lineRule="auto"/>
        <w:jc w:val="both"/>
        <w:rPr>
          <w:rFonts w:ascii="Arial" w:hAnsi="Arial" w:cs="Arial"/>
          <w:b/>
          <w:bCs/>
        </w:rPr>
      </w:pPr>
    </w:p>
    <w:p w14:paraId="741ECC1C" w14:textId="77777777" w:rsidR="00507D8A" w:rsidRDefault="00507D8A" w:rsidP="007E22E3">
      <w:pPr>
        <w:spacing w:after="0" w:line="240" w:lineRule="auto"/>
        <w:jc w:val="both"/>
        <w:rPr>
          <w:rFonts w:ascii="Arial" w:hAnsi="Arial" w:cs="Arial"/>
          <w:b/>
          <w:bCs/>
        </w:rPr>
      </w:pPr>
    </w:p>
    <w:p w14:paraId="19A7B52D" w14:textId="77777777" w:rsidR="00507D8A" w:rsidRDefault="00507D8A" w:rsidP="007E22E3">
      <w:pPr>
        <w:spacing w:after="0" w:line="240" w:lineRule="auto"/>
        <w:jc w:val="both"/>
        <w:rPr>
          <w:rFonts w:ascii="Arial" w:hAnsi="Arial" w:cs="Arial"/>
          <w:b/>
          <w:bCs/>
        </w:rPr>
      </w:pPr>
    </w:p>
    <w:p w14:paraId="549E36D5" w14:textId="77777777" w:rsidR="00507D8A" w:rsidRDefault="00507D8A" w:rsidP="007E22E3">
      <w:pPr>
        <w:spacing w:after="0" w:line="240" w:lineRule="auto"/>
        <w:jc w:val="both"/>
        <w:rPr>
          <w:rFonts w:ascii="Arial" w:hAnsi="Arial" w:cs="Arial"/>
          <w:b/>
          <w:bCs/>
        </w:rPr>
      </w:pPr>
    </w:p>
    <w:p w14:paraId="282E8733" w14:textId="77777777" w:rsidR="00507D8A" w:rsidRDefault="00507D8A" w:rsidP="007E22E3">
      <w:pPr>
        <w:spacing w:after="0" w:line="240" w:lineRule="auto"/>
        <w:jc w:val="both"/>
        <w:rPr>
          <w:rFonts w:ascii="Arial" w:hAnsi="Arial" w:cs="Arial"/>
          <w:b/>
          <w:bCs/>
        </w:rPr>
      </w:pPr>
    </w:p>
    <w:p w14:paraId="169704D2" w14:textId="77777777" w:rsidR="00507D8A" w:rsidRDefault="00507D8A" w:rsidP="007E22E3">
      <w:pPr>
        <w:spacing w:after="0" w:line="240" w:lineRule="auto"/>
        <w:jc w:val="both"/>
        <w:rPr>
          <w:rFonts w:ascii="Arial" w:hAnsi="Arial" w:cs="Arial"/>
          <w:b/>
          <w:bCs/>
        </w:rPr>
      </w:pPr>
    </w:p>
    <w:p w14:paraId="4200B2A3" w14:textId="77777777" w:rsidR="00507D8A" w:rsidRDefault="00507D8A" w:rsidP="007E22E3">
      <w:pPr>
        <w:spacing w:after="0" w:line="240" w:lineRule="auto"/>
        <w:jc w:val="both"/>
        <w:rPr>
          <w:rFonts w:ascii="Arial" w:hAnsi="Arial" w:cs="Arial"/>
          <w:b/>
          <w:bCs/>
        </w:rPr>
      </w:pPr>
    </w:p>
    <w:p w14:paraId="2649FE8B" w14:textId="77777777" w:rsidR="00507D8A" w:rsidRDefault="00507D8A" w:rsidP="007E22E3">
      <w:pPr>
        <w:spacing w:after="0" w:line="240" w:lineRule="auto"/>
        <w:jc w:val="both"/>
        <w:rPr>
          <w:rFonts w:ascii="Arial" w:hAnsi="Arial" w:cs="Arial"/>
          <w:b/>
          <w:bCs/>
        </w:rPr>
      </w:pPr>
    </w:p>
    <w:p w14:paraId="2344F86A" w14:textId="77777777" w:rsidR="00507D8A" w:rsidRDefault="00507D8A" w:rsidP="007E22E3">
      <w:pPr>
        <w:spacing w:after="0" w:line="240" w:lineRule="auto"/>
        <w:jc w:val="both"/>
        <w:rPr>
          <w:rFonts w:ascii="Arial" w:hAnsi="Arial" w:cs="Arial"/>
          <w:b/>
          <w:bCs/>
        </w:rPr>
      </w:pPr>
    </w:p>
    <w:p w14:paraId="5B2A3D97" w14:textId="77777777" w:rsidR="00507D8A" w:rsidRDefault="00507D8A" w:rsidP="007E22E3">
      <w:pPr>
        <w:spacing w:after="0" w:line="240" w:lineRule="auto"/>
        <w:jc w:val="both"/>
        <w:rPr>
          <w:rFonts w:ascii="Arial" w:hAnsi="Arial" w:cs="Arial"/>
          <w:b/>
          <w:bCs/>
        </w:rPr>
      </w:pPr>
    </w:p>
    <w:p w14:paraId="63E11B6E" w14:textId="77777777" w:rsidR="00E0781B" w:rsidRDefault="00E0781B" w:rsidP="007E22E3">
      <w:pPr>
        <w:spacing w:after="0" w:line="240" w:lineRule="auto"/>
        <w:jc w:val="both"/>
        <w:rPr>
          <w:rFonts w:ascii="Arial" w:hAnsi="Arial" w:cs="Arial"/>
          <w:b/>
          <w:bCs/>
          <w:u w:val="single"/>
        </w:rPr>
      </w:pPr>
    </w:p>
    <w:p w14:paraId="04C94DC4" w14:textId="001294BF" w:rsidR="00507D8A" w:rsidRPr="00507D8A" w:rsidRDefault="00507D8A" w:rsidP="007E22E3">
      <w:pPr>
        <w:spacing w:after="0" w:line="240" w:lineRule="auto"/>
        <w:jc w:val="both"/>
        <w:rPr>
          <w:rFonts w:ascii="Arial" w:hAnsi="Arial" w:cs="Arial"/>
          <w:b/>
          <w:bCs/>
          <w:u w:val="single"/>
        </w:rPr>
      </w:pPr>
      <w:r w:rsidRPr="00507D8A">
        <w:rPr>
          <w:rFonts w:ascii="Arial" w:hAnsi="Arial" w:cs="Arial"/>
          <w:b/>
          <w:bCs/>
          <w:u w:val="single"/>
        </w:rPr>
        <w:lastRenderedPageBreak/>
        <w:t>List of Tables and Figures</w:t>
      </w:r>
    </w:p>
    <w:p w14:paraId="0A643635" w14:textId="77777777" w:rsidR="00507D8A" w:rsidRDefault="00507D8A" w:rsidP="007E22E3">
      <w:pPr>
        <w:spacing w:after="0" w:line="240" w:lineRule="auto"/>
        <w:jc w:val="both"/>
        <w:rPr>
          <w:rFonts w:ascii="Arial" w:hAnsi="Arial" w:cs="Arial"/>
          <w:b/>
          <w:bCs/>
        </w:rPr>
      </w:pPr>
    </w:p>
    <w:p w14:paraId="7036957C" w14:textId="77777777" w:rsidR="00507D8A" w:rsidRDefault="00507D8A" w:rsidP="007E22E3">
      <w:pPr>
        <w:spacing w:after="0" w:line="240" w:lineRule="auto"/>
        <w:jc w:val="both"/>
        <w:rPr>
          <w:rFonts w:ascii="Arial" w:hAnsi="Arial" w:cs="Arial"/>
          <w:b/>
          <w:bCs/>
        </w:rPr>
      </w:pPr>
    </w:p>
    <w:p w14:paraId="33003B3F" w14:textId="3690CAF9" w:rsidR="00507D8A" w:rsidRDefault="00507D8A" w:rsidP="007E22E3">
      <w:pPr>
        <w:spacing w:after="0" w:line="240" w:lineRule="auto"/>
        <w:jc w:val="both"/>
        <w:rPr>
          <w:rFonts w:ascii="Arial" w:hAnsi="Arial" w:cs="Arial"/>
          <w:b/>
          <w:bCs/>
        </w:rPr>
      </w:pPr>
      <w:r>
        <w:rPr>
          <w:rFonts w:ascii="Arial" w:hAnsi="Arial" w:cs="Arial"/>
          <w:b/>
          <w:bCs/>
        </w:rPr>
        <w:t>List of Tables:</w:t>
      </w:r>
    </w:p>
    <w:p w14:paraId="61B44D66" w14:textId="77777777" w:rsidR="00507D8A" w:rsidRDefault="00507D8A" w:rsidP="007E22E3">
      <w:pPr>
        <w:spacing w:after="0" w:line="240" w:lineRule="auto"/>
        <w:jc w:val="both"/>
        <w:rPr>
          <w:rFonts w:ascii="Arial" w:hAnsi="Arial" w:cs="Arial"/>
          <w:b/>
          <w:bCs/>
        </w:rPr>
      </w:pPr>
    </w:p>
    <w:p w14:paraId="6C43BF2A" w14:textId="7D229E25" w:rsidR="00507D8A" w:rsidRPr="003C3E0A" w:rsidRDefault="000A2C7A" w:rsidP="007E22E3">
      <w:pPr>
        <w:spacing w:after="0" w:line="240" w:lineRule="auto"/>
        <w:jc w:val="both"/>
        <w:rPr>
          <w:rFonts w:ascii="Arial" w:hAnsi="Arial" w:cs="Arial"/>
        </w:rPr>
      </w:pPr>
      <w:r w:rsidRPr="002446A1">
        <w:rPr>
          <w:rFonts w:ascii="Arial" w:hAnsi="Arial" w:cs="Arial"/>
          <w:b/>
          <w:bCs/>
        </w:rPr>
        <w:t>Table 1</w:t>
      </w:r>
      <w:r w:rsidRPr="003C3E0A">
        <w:rPr>
          <w:rFonts w:ascii="Arial" w:hAnsi="Arial" w:cs="Arial"/>
        </w:rPr>
        <w:t xml:space="preserve"> – Proposed Research Timeline</w:t>
      </w:r>
      <w:r w:rsidR="00BA6478" w:rsidRPr="003C3E0A">
        <w:rPr>
          <w:rFonts w:ascii="Arial" w:hAnsi="Arial" w:cs="Arial"/>
        </w:rPr>
        <w:t>……………………………………</w:t>
      </w:r>
      <w:r w:rsidR="00C06F79" w:rsidRPr="003C3E0A">
        <w:rPr>
          <w:rFonts w:ascii="Arial" w:hAnsi="Arial" w:cs="Arial"/>
        </w:rPr>
        <w:t>…………………...</w:t>
      </w:r>
      <w:r w:rsidR="00C06F79" w:rsidRPr="002446A1">
        <w:rPr>
          <w:rFonts w:ascii="Arial" w:hAnsi="Arial" w:cs="Arial"/>
          <w:b/>
          <w:bCs/>
        </w:rPr>
        <w:t>10</w:t>
      </w:r>
    </w:p>
    <w:p w14:paraId="4BB2100F" w14:textId="77777777" w:rsidR="00C06F79" w:rsidRPr="003C3E0A" w:rsidRDefault="00C06F79" w:rsidP="007E22E3">
      <w:pPr>
        <w:spacing w:after="0" w:line="240" w:lineRule="auto"/>
        <w:jc w:val="both"/>
        <w:rPr>
          <w:rFonts w:ascii="Arial" w:hAnsi="Arial" w:cs="Arial"/>
        </w:rPr>
      </w:pPr>
    </w:p>
    <w:p w14:paraId="02A08548" w14:textId="77777777" w:rsidR="00C06F79" w:rsidRDefault="00C06F79" w:rsidP="007E22E3">
      <w:pPr>
        <w:spacing w:after="0" w:line="240" w:lineRule="auto"/>
        <w:jc w:val="both"/>
        <w:rPr>
          <w:rFonts w:ascii="Arial" w:hAnsi="Arial" w:cs="Arial"/>
          <w:b/>
          <w:bCs/>
        </w:rPr>
      </w:pPr>
    </w:p>
    <w:p w14:paraId="0B42E0D2" w14:textId="355309A4" w:rsidR="00831ADC" w:rsidRDefault="00C06F79" w:rsidP="007E22E3">
      <w:pPr>
        <w:spacing w:after="0" w:line="240" w:lineRule="auto"/>
        <w:jc w:val="both"/>
        <w:rPr>
          <w:rFonts w:ascii="Arial" w:hAnsi="Arial" w:cs="Arial"/>
          <w:b/>
          <w:bCs/>
        </w:rPr>
      </w:pPr>
      <w:r>
        <w:rPr>
          <w:rFonts w:ascii="Arial" w:hAnsi="Arial" w:cs="Arial"/>
          <w:b/>
          <w:bCs/>
        </w:rPr>
        <w:t xml:space="preserve">List </w:t>
      </w:r>
      <w:r w:rsidR="007A1508">
        <w:rPr>
          <w:rFonts w:ascii="Arial" w:hAnsi="Arial" w:cs="Arial"/>
          <w:b/>
          <w:bCs/>
        </w:rPr>
        <w:t>o</w:t>
      </w:r>
      <w:r>
        <w:rPr>
          <w:rFonts w:ascii="Arial" w:hAnsi="Arial" w:cs="Arial"/>
          <w:b/>
          <w:bCs/>
        </w:rPr>
        <w:t>f Figures:</w:t>
      </w:r>
    </w:p>
    <w:p w14:paraId="1BA3AC85" w14:textId="77777777" w:rsidR="00C06F79" w:rsidRDefault="00C06F79" w:rsidP="007E22E3">
      <w:pPr>
        <w:spacing w:after="0" w:line="240" w:lineRule="auto"/>
        <w:jc w:val="both"/>
        <w:rPr>
          <w:rFonts w:ascii="Arial" w:hAnsi="Arial" w:cs="Arial"/>
          <w:b/>
          <w:bCs/>
        </w:rPr>
      </w:pPr>
    </w:p>
    <w:p w14:paraId="73A8B85C" w14:textId="42AD504A" w:rsidR="00C06F79" w:rsidRPr="003C3E0A" w:rsidRDefault="00C06F79" w:rsidP="00C06F79">
      <w:pPr>
        <w:rPr>
          <w:rFonts w:ascii="Arial" w:eastAsia="Calibri" w:hAnsi="Arial" w:cs="Arial"/>
        </w:rPr>
      </w:pPr>
      <w:r w:rsidRPr="002446A1">
        <w:rPr>
          <w:rFonts w:ascii="Arial" w:eastAsia="Calibri" w:hAnsi="Arial" w:cs="Arial"/>
          <w:b/>
          <w:bCs/>
        </w:rPr>
        <w:t>Figure 1</w:t>
      </w:r>
      <w:r w:rsidRPr="003C3E0A">
        <w:rPr>
          <w:rFonts w:ascii="Arial" w:eastAsia="Calibri" w:hAnsi="Arial" w:cs="Arial"/>
        </w:rPr>
        <w:t xml:space="preserve"> – Number of Schedule 7 TACT 2000 Examinations and resultant detentions</w:t>
      </w:r>
      <w:r w:rsidR="007A1508" w:rsidRPr="003C3E0A">
        <w:rPr>
          <w:rFonts w:ascii="Arial" w:eastAsia="Calibri" w:hAnsi="Arial" w:cs="Arial"/>
        </w:rPr>
        <w:t>……………………………………………………………………………………</w:t>
      </w:r>
      <w:r w:rsidR="002446A1">
        <w:rPr>
          <w:rFonts w:ascii="Arial" w:eastAsia="Calibri" w:hAnsi="Arial" w:cs="Arial"/>
        </w:rPr>
        <w:t>.</w:t>
      </w:r>
      <w:r w:rsidR="007A1508" w:rsidRPr="003C3E0A">
        <w:rPr>
          <w:rFonts w:ascii="Arial" w:eastAsia="Calibri" w:hAnsi="Arial" w:cs="Arial"/>
        </w:rPr>
        <w:t>……...</w:t>
      </w:r>
      <w:r w:rsidR="007A1508" w:rsidRPr="002446A1">
        <w:rPr>
          <w:rFonts w:ascii="Arial" w:eastAsia="Calibri" w:hAnsi="Arial" w:cs="Arial"/>
          <w:b/>
          <w:bCs/>
        </w:rPr>
        <w:t>13</w:t>
      </w:r>
    </w:p>
    <w:p w14:paraId="6910C0A9" w14:textId="634755A4" w:rsidR="007A1508" w:rsidRPr="003C3E0A" w:rsidRDefault="007A1508" w:rsidP="00C06F79">
      <w:pPr>
        <w:rPr>
          <w:rFonts w:ascii="Arial" w:eastAsia="Calibri" w:hAnsi="Arial" w:cs="Arial"/>
        </w:rPr>
      </w:pPr>
      <w:r w:rsidRPr="002446A1">
        <w:rPr>
          <w:rFonts w:ascii="Arial" w:eastAsia="Calibri" w:hAnsi="Arial" w:cs="Arial"/>
          <w:b/>
          <w:bCs/>
        </w:rPr>
        <w:t>Figure 2</w:t>
      </w:r>
      <w:r w:rsidRPr="003C3E0A">
        <w:rPr>
          <w:rFonts w:ascii="Arial" w:eastAsia="Calibri" w:hAnsi="Arial" w:cs="Arial"/>
        </w:rPr>
        <w:t xml:space="preserve"> - How long have you served with counter terrorism policing</w:t>
      </w:r>
      <w:r w:rsidR="00280282" w:rsidRPr="003C3E0A">
        <w:rPr>
          <w:rFonts w:ascii="Arial" w:eastAsia="Calibri" w:hAnsi="Arial" w:cs="Arial"/>
        </w:rPr>
        <w:t>?............</w:t>
      </w:r>
      <w:r w:rsidR="003E2913" w:rsidRPr="003C3E0A">
        <w:rPr>
          <w:rFonts w:ascii="Arial" w:eastAsia="Calibri" w:hAnsi="Arial" w:cs="Arial"/>
        </w:rPr>
        <w:t>....................................................................................................</w:t>
      </w:r>
      <w:r w:rsidR="002446A1">
        <w:rPr>
          <w:rFonts w:ascii="Arial" w:eastAsia="Calibri" w:hAnsi="Arial" w:cs="Arial"/>
        </w:rPr>
        <w:t>.</w:t>
      </w:r>
      <w:r w:rsidR="003E2913" w:rsidRPr="003C3E0A">
        <w:rPr>
          <w:rFonts w:ascii="Arial" w:eastAsia="Calibri" w:hAnsi="Arial" w:cs="Arial"/>
        </w:rPr>
        <w:t>...</w:t>
      </w:r>
      <w:r w:rsidR="00280282" w:rsidRPr="003C3E0A">
        <w:rPr>
          <w:rFonts w:ascii="Arial" w:eastAsia="Calibri" w:hAnsi="Arial" w:cs="Arial"/>
        </w:rPr>
        <w:t>..</w:t>
      </w:r>
      <w:r w:rsidR="002446A1">
        <w:rPr>
          <w:rFonts w:ascii="Arial" w:eastAsia="Calibri" w:hAnsi="Arial" w:cs="Arial"/>
        </w:rPr>
        <w:t>.</w:t>
      </w:r>
      <w:r w:rsidR="00280282" w:rsidRPr="003C3E0A">
        <w:rPr>
          <w:rFonts w:ascii="Arial" w:eastAsia="Calibri" w:hAnsi="Arial" w:cs="Arial"/>
        </w:rPr>
        <w:t>..........</w:t>
      </w:r>
      <w:r w:rsidR="002446A1" w:rsidRPr="002446A1">
        <w:rPr>
          <w:rFonts w:ascii="Arial" w:eastAsia="Calibri" w:hAnsi="Arial" w:cs="Arial"/>
          <w:b/>
          <w:bCs/>
        </w:rPr>
        <w:t>28</w:t>
      </w:r>
    </w:p>
    <w:p w14:paraId="770E49FA" w14:textId="4AF99148" w:rsidR="00280282" w:rsidRPr="003C3E0A" w:rsidRDefault="00280282" w:rsidP="00C06F79">
      <w:pPr>
        <w:rPr>
          <w:rFonts w:ascii="Arial" w:eastAsia="Calibri" w:hAnsi="Arial" w:cs="Arial"/>
        </w:rPr>
      </w:pPr>
      <w:r w:rsidRPr="002446A1">
        <w:rPr>
          <w:rFonts w:ascii="Arial" w:eastAsia="Calibri" w:hAnsi="Arial" w:cs="Arial"/>
          <w:b/>
          <w:bCs/>
        </w:rPr>
        <w:t>Figure 3</w:t>
      </w:r>
      <w:r w:rsidRPr="003C3E0A">
        <w:rPr>
          <w:rFonts w:ascii="Arial" w:eastAsia="Calibri" w:hAnsi="Arial" w:cs="Arial"/>
        </w:rPr>
        <w:t xml:space="preserve"> – </w:t>
      </w:r>
      <w:r w:rsidR="00720FD1" w:rsidRPr="003C3E0A">
        <w:rPr>
          <w:rFonts w:ascii="Arial" w:eastAsia="Calibri" w:hAnsi="Arial" w:cs="Arial"/>
        </w:rPr>
        <w:t>How many times have you used your Schedule 7 powers in last 6 months…………………………………………………………………………</w:t>
      </w:r>
      <w:r w:rsidR="002446A1">
        <w:rPr>
          <w:rFonts w:ascii="Arial" w:eastAsia="Calibri" w:hAnsi="Arial" w:cs="Arial"/>
        </w:rPr>
        <w:t>.</w:t>
      </w:r>
      <w:r w:rsidR="00720FD1" w:rsidRPr="003C3E0A">
        <w:rPr>
          <w:rFonts w:ascii="Arial" w:eastAsia="Calibri" w:hAnsi="Arial" w:cs="Arial"/>
        </w:rPr>
        <w:t>…………………….</w:t>
      </w:r>
      <w:r w:rsidR="002446A1" w:rsidRPr="002446A1">
        <w:rPr>
          <w:rFonts w:ascii="Arial" w:eastAsia="Calibri" w:hAnsi="Arial" w:cs="Arial"/>
          <w:b/>
          <w:bCs/>
        </w:rPr>
        <w:t>29</w:t>
      </w:r>
    </w:p>
    <w:p w14:paraId="0AA9AD6A" w14:textId="149A16A5" w:rsidR="00280282" w:rsidRPr="003C3E0A" w:rsidRDefault="00280282" w:rsidP="00C06F79">
      <w:pPr>
        <w:rPr>
          <w:rFonts w:ascii="Arial" w:eastAsia="Calibri" w:hAnsi="Arial" w:cs="Arial"/>
        </w:rPr>
      </w:pPr>
      <w:r w:rsidRPr="002446A1">
        <w:rPr>
          <w:rFonts w:ascii="Arial" w:eastAsia="Calibri" w:hAnsi="Arial" w:cs="Arial"/>
          <w:b/>
          <w:bCs/>
        </w:rPr>
        <w:t>Figure 4</w:t>
      </w:r>
      <w:r w:rsidRPr="003C3E0A">
        <w:rPr>
          <w:rFonts w:ascii="Arial" w:eastAsia="Calibri" w:hAnsi="Arial" w:cs="Arial"/>
        </w:rPr>
        <w:t xml:space="preserve"> –</w:t>
      </w:r>
      <w:r w:rsidR="003E2913" w:rsidRPr="003C3E0A">
        <w:rPr>
          <w:rFonts w:ascii="Arial" w:eastAsia="Calibri" w:hAnsi="Arial" w:cs="Arial"/>
        </w:rPr>
        <w:t xml:space="preserve"> Do you feel that the current legislation supports you to undertake your duties as an Examining Officer?........................................................................................</w:t>
      </w:r>
      <w:r w:rsidR="002446A1">
        <w:rPr>
          <w:rFonts w:ascii="Arial" w:eastAsia="Calibri" w:hAnsi="Arial" w:cs="Arial"/>
        </w:rPr>
        <w:t>....................</w:t>
      </w:r>
      <w:r w:rsidR="002446A1" w:rsidRPr="002446A1">
        <w:rPr>
          <w:rFonts w:ascii="Arial" w:eastAsia="Calibri" w:hAnsi="Arial" w:cs="Arial"/>
          <w:b/>
          <w:bCs/>
        </w:rPr>
        <w:t>30</w:t>
      </w:r>
    </w:p>
    <w:p w14:paraId="4D475656" w14:textId="00817528" w:rsidR="00280282" w:rsidRPr="003C3E0A" w:rsidRDefault="00280282" w:rsidP="00C06F79">
      <w:pPr>
        <w:rPr>
          <w:rFonts w:ascii="Arial" w:eastAsia="Calibri" w:hAnsi="Arial" w:cs="Arial"/>
        </w:rPr>
      </w:pPr>
      <w:r w:rsidRPr="002446A1">
        <w:rPr>
          <w:rFonts w:ascii="Arial" w:eastAsia="Calibri" w:hAnsi="Arial" w:cs="Arial"/>
          <w:b/>
          <w:bCs/>
        </w:rPr>
        <w:t>Figure 5</w:t>
      </w:r>
      <w:r w:rsidRPr="003C3E0A">
        <w:rPr>
          <w:rFonts w:ascii="Arial" w:eastAsia="Calibri" w:hAnsi="Arial" w:cs="Arial"/>
        </w:rPr>
        <w:t xml:space="preserve"> – </w:t>
      </w:r>
      <w:r w:rsidR="0059279A" w:rsidRPr="003C3E0A">
        <w:rPr>
          <w:rFonts w:ascii="Arial" w:eastAsia="Calibri" w:hAnsi="Arial" w:cs="Arial"/>
        </w:rPr>
        <w:t>In your opinion how effective is the common travel area in preventing terrorism and enhancing security?...............................................................................</w:t>
      </w:r>
      <w:r w:rsidR="002446A1">
        <w:rPr>
          <w:rFonts w:ascii="Arial" w:eastAsia="Calibri" w:hAnsi="Arial" w:cs="Arial"/>
        </w:rPr>
        <w:t>....................</w:t>
      </w:r>
      <w:r w:rsidR="0059279A" w:rsidRPr="003C3E0A">
        <w:rPr>
          <w:rFonts w:ascii="Arial" w:eastAsia="Calibri" w:hAnsi="Arial" w:cs="Arial"/>
        </w:rPr>
        <w:t>.....</w:t>
      </w:r>
      <w:r w:rsidR="002446A1" w:rsidRPr="002446A1">
        <w:rPr>
          <w:rFonts w:ascii="Arial" w:eastAsia="Calibri" w:hAnsi="Arial" w:cs="Arial"/>
          <w:b/>
          <w:bCs/>
        </w:rPr>
        <w:t>31</w:t>
      </w:r>
    </w:p>
    <w:p w14:paraId="4C2D428A" w14:textId="24C0174E" w:rsidR="00280282" w:rsidRPr="003C3E0A" w:rsidRDefault="00280282" w:rsidP="00C06F79">
      <w:pPr>
        <w:rPr>
          <w:rFonts w:ascii="Arial" w:eastAsia="Calibri" w:hAnsi="Arial" w:cs="Arial"/>
        </w:rPr>
      </w:pPr>
      <w:r w:rsidRPr="002446A1">
        <w:rPr>
          <w:rFonts w:ascii="Arial" w:eastAsia="Calibri" w:hAnsi="Arial" w:cs="Arial"/>
          <w:b/>
          <w:bCs/>
        </w:rPr>
        <w:t>Figure 6</w:t>
      </w:r>
      <w:r w:rsidRPr="003C3E0A">
        <w:rPr>
          <w:rFonts w:ascii="Arial" w:eastAsia="Calibri" w:hAnsi="Arial" w:cs="Arial"/>
        </w:rPr>
        <w:t xml:space="preserve"> – </w:t>
      </w:r>
      <w:r w:rsidR="00845C7C" w:rsidRPr="003C3E0A">
        <w:rPr>
          <w:rFonts w:ascii="Arial" w:eastAsia="Calibri" w:hAnsi="Arial" w:cs="Arial"/>
        </w:rPr>
        <w:t xml:space="preserve">Do you believe that the existence of the Common Travel Area makes it easier </w:t>
      </w:r>
      <w:r w:rsidR="00262F76" w:rsidRPr="003C3E0A">
        <w:rPr>
          <w:rFonts w:ascii="Arial" w:eastAsia="Calibri" w:hAnsi="Arial" w:cs="Arial"/>
        </w:rPr>
        <w:t>for potential terrorists to move undetected between the participating territories?………………………………………………………………………</w:t>
      </w:r>
      <w:r w:rsidR="00A65237" w:rsidRPr="003C3E0A">
        <w:rPr>
          <w:rFonts w:ascii="Arial" w:eastAsia="Calibri" w:hAnsi="Arial" w:cs="Arial"/>
        </w:rPr>
        <w:t>..</w:t>
      </w:r>
      <w:r w:rsidR="00262F76" w:rsidRPr="003C3E0A">
        <w:rPr>
          <w:rFonts w:ascii="Arial" w:eastAsia="Calibri" w:hAnsi="Arial" w:cs="Arial"/>
        </w:rPr>
        <w:t>……………</w:t>
      </w:r>
      <w:r w:rsidR="002446A1">
        <w:rPr>
          <w:rFonts w:ascii="Arial" w:eastAsia="Calibri" w:hAnsi="Arial" w:cs="Arial"/>
        </w:rPr>
        <w:t>..</w:t>
      </w:r>
      <w:r w:rsidR="00262F76" w:rsidRPr="003C3E0A">
        <w:rPr>
          <w:rFonts w:ascii="Arial" w:eastAsia="Calibri" w:hAnsi="Arial" w:cs="Arial"/>
        </w:rPr>
        <w:t>……</w:t>
      </w:r>
      <w:r w:rsidR="002446A1" w:rsidRPr="002446A1">
        <w:rPr>
          <w:rFonts w:ascii="Arial" w:eastAsia="Calibri" w:hAnsi="Arial" w:cs="Arial"/>
          <w:b/>
          <w:bCs/>
        </w:rPr>
        <w:t>32</w:t>
      </w:r>
    </w:p>
    <w:p w14:paraId="586460F1" w14:textId="318A6136" w:rsidR="00280282" w:rsidRPr="003C3E0A" w:rsidRDefault="00280282" w:rsidP="00C06F79">
      <w:pPr>
        <w:rPr>
          <w:rFonts w:ascii="Arial" w:eastAsia="Calibri" w:hAnsi="Arial" w:cs="Arial"/>
        </w:rPr>
      </w:pPr>
      <w:r w:rsidRPr="002446A1">
        <w:rPr>
          <w:rFonts w:ascii="Arial" w:eastAsia="Calibri" w:hAnsi="Arial" w:cs="Arial"/>
          <w:b/>
          <w:bCs/>
        </w:rPr>
        <w:t>Figure 7</w:t>
      </w:r>
      <w:r w:rsidRPr="003C3E0A">
        <w:rPr>
          <w:rFonts w:ascii="Arial" w:eastAsia="Calibri" w:hAnsi="Arial" w:cs="Arial"/>
        </w:rPr>
        <w:t xml:space="preserve"> – </w:t>
      </w:r>
      <w:r w:rsidR="00EF6655" w:rsidRPr="003C3E0A">
        <w:rPr>
          <w:rFonts w:ascii="Arial" w:eastAsia="Calibri" w:hAnsi="Arial" w:cs="Arial"/>
        </w:rPr>
        <w:t xml:space="preserve">How confident are you in the ability of the Common Travel Area to balance security concerns </w:t>
      </w:r>
      <w:r w:rsidR="00A65237" w:rsidRPr="003C3E0A">
        <w:rPr>
          <w:rFonts w:ascii="Arial" w:eastAsia="Calibri" w:hAnsi="Arial" w:cs="Arial"/>
        </w:rPr>
        <w:t>with free movement of people?........................................................</w:t>
      </w:r>
      <w:r w:rsidR="002446A1">
        <w:rPr>
          <w:rFonts w:ascii="Arial" w:eastAsia="Calibri" w:hAnsi="Arial" w:cs="Arial"/>
        </w:rPr>
        <w:t>.......</w:t>
      </w:r>
      <w:r w:rsidR="00A65237" w:rsidRPr="003C3E0A">
        <w:rPr>
          <w:rFonts w:ascii="Arial" w:eastAsia="Calibri" w:hAnsi="Arial" w:cs="Arial"/>
        </w:rPr>
        <w:t>..</w:t>
      </w:r>
      <w:r w:rsidR="002446A1" w:rsidRPr="002446A1">
        <w:rPr>
          <w:rFonts w:ascii="Arial" w:eastAsia="Calibri" w:hAnsi="Arial" w:cs="Arial"/>
          <w:b/>
          <w:bCs/>
        </w:rPr>
        <w:t>33</w:t>
      </w:r>
    </w:p>
    <w:p w14:paraId="4D591495" w14:textId="744EF857" w:rsidR="00A65237" w:rsidRPr="003C3E0A" w:rsidRDefault="00280282" w:rsidP="00C06F79">
      <w:pPr>
        <w:rPr>
          <w:rFonts w:ascii="Arial" w:eastAsia="Calibri" w:hAnsi="Arial" w:cs="Arial"/>
        </w:rPr>
      </w:pPr>
      <w:r w:rsidRPr="002446A1">
        <w:rPr>
          <w:rFonts w:ascii="Arial" w:eastAsia="Calibri" w:hAnsi="Arial" w:cs="Arial"/>
          <w:b/>
          <w:bCs/>
        </w:rPr>
        <w:t>Figure 8</w:t>
      </w:r>
      <w:r w:rsidRPr="003C3E0A">
        <w:rPr>
          <w:rFonts w:ascii="Arial" w:eastAsia="Calibri" w:hAnsi="Arial" w:cs="Arial"/>
        </w:rPr>
        <w:t xml:space="preserve"> – </w:t>
      </w:r>
      <w:r w:rsidR="00A65237" w:rsidRPr="003C3E0A">
        <w:rPr>
          <w:rFonts w:ascii="Arial" w:eastAsia="Calibri" w:hAnsi="Arial" w:cs="Arial"/>
        </w:rPr>
        <w:t>Do you think there are any potential gaps or weaknesses in the Common Travel Area that could be exploited by terrorsts?........................................................</w:t>
      </w:r>
      <w:r w:rsidR="002446A1">
        <w:rPr>
          <w:rFonts w:ascii="Arial" w:eastAsia="Calibri" w:hAnsi="Arial" w:cs="Arial"/>
        </w:rPr>
        <w:t>..................</w:t>
      </w:r>
      <w:r w:rsidR="00A65237" w:rsidRPr="003C3E0A">
        <w:rPr>
          <w:rFonts w:ascii="Arial" w:eastAsia="Calibri" w:hAnsi="Arial" w:cs="Arial"/>
        </w:rPr>
        <w:t>...</w:t>
      </w:r>
      <w:r w:rsidR="00A65237" w:rsidRPr="002446A1">
        <w:rPr>
          <w:rFonts w:ascii="Arial" w:eastAsia="Calibri" w:hAnsi="Arial" w:cs="Arial"/>
        </w:rPr>
        <w:t>.</w:t>
      </w:r>
      <w:r w:rsidR="002446A1" w:rsidRPr="002446A1">
        <w:rPr>
          <w:rFonts w:ascii="Arial" w:eastAsia="Calibri" w:hAnsi="Arial" w:cs="Arial"/>
          <w:b/>
          <w:bCs/>
        </w:rPr>
        <w:t>34</w:t>
      </w:r>
    </w:p>
    <w:p w14:paraId="03D6A49A" w14:textId="58CEBDF0" w:rsidR="00280282" w:rsidRPr="003C3E0A" w:rsidRDefault="00280282" w:rsidP="00C06F79">
      <w:pPr>
        <w:rPr>
          <w:rFonts w:ascii="Arial" w:eastAsia="Calibri" w:hAnsi="Arial" w:cs="Arial"/>
        </w:rPr>
      </w:pPr>
      <w:r w:rsidRPr="002446A1">
        <w:rPr>
          <w:rFonts w:ascii="Arial" w:eastAsia="Calibri" w:hAnsi="Arial" w:cs="Arial"/>
          <w:b/>
          <w:bCs/>
        </w:rPr>
        <w:t>Figure 9</w:t>
      </w:r>
      <w:r w:rsidRPr="003C3E0A">
        <w:rPr>
          <w:rFonts w:ascii="Arial" w:eastAsia="Calibri" w:hAnsi="Arial" w:cs="Arial"/>
        </w:rPr>
        <w:t xml:space="preserve"> – </w:t>
      </w:r>
      <w:r w:rsidR="00E0713A" w:rsidRPr="003C3E0A">
        <w:rPr>
          <w:rFonts w:ascii="Arial" w:eastAsia="Calibri" w:hAnsi="Arial" w:cs="Arial"/>
        </w:rPr>
        <w:t>Word Cloud illustrating common words and phrases……………………</w:t>
      </w:r>
      <w:r w:rsidR="002446A1">
        <w:rPr>
          <w:rFonts w:ascii="Arial" w:eastAsia="Calibri" w:hAnsi="Arial" w:cs="Arial"/>
        </w:rPr>
        <w:t>……</w:t>
      </w:r>
      <w:r w:rsidR="00E0713A" w:rsidRPr="003C3E0A">
        <w:rPr>
          <w:rFonts w:ascii="Arial" w:eastAsia="Calibri" w:hAnsi="Arial" w:cs="Arial"/>
        </w:rPr>
        <w:t>……</w:t>
      </w:r>
      <w:r w:rsidR="002446A1" w:rsidRPr="002446A1">
        <w:rPr>
          <w:rFonts w:ascii="Arial" w:eastAsia="Calibri" w:hAnsi="Arial" w:cs="Arial"/>
          <w:b/>
          <w:bCs/>
        </w:rPr>
        <w:t>35</w:t>
      </w:r>
    </w:p>
    <w:p w14:paraId="2E821D49" w14:textId="53E0C78B" w:rsidR="00280282" w:rsidRPr="003C3E0A" w:rsidRDefault="00280282" w:rsidP="00C06F79">
      <w:pPr>
        <w:rPr>
          <w:rFonts w:ascii="Arial" w:eastAsia="Calibri" w:hAnsi="Arial" w:cs="Arial"/>
        </w:rPr>
      </w:pPr>
      <w:r w:rsidRPr="002446A1">
        <w:rPr>
          <w:rFonts w:ascii="Arial" w:eastAsia="Calibri" w:hAnsi="Arial" w:cs="Arial"/>
          <w:b/>
          <w:bCs/>
        </w:rPr>
        <w:t>Figure 10</w:t>
      </w:r>
      <w:r w:rsidRPr="003C3E0A">
        <w:rPr>
          <w:rFonts w:ascii="Arial" w:eastAsia="Calibri" w:hAnsi="Arial" w:cs="Arial"/>
        </w:rPr>
        <w:t>-</w:t>
      </w:r>
      <w:r w:rsidR="00E0713A" w:rsidRPr="003C3E0A">
        <w:rPr>
          <w:rFonts w:ascii="Arial" w:eastAsia="Calibri" w:hAnsi="Arial" w:cs="Arial"/>
        </w:rPr>
        <w:t xml:space="preserve"> </w:t>
      </w:r>
      <w:r w:rsidR="0037457C" w:rsidRPr="003C3E0A">
        <w:rPr>
          <w:rFonts w:ascii="Arial" w:eastAsia="Calibri" w:hAnsi="Arial" w:cs="Arial"/>
        </w:rPr>
        <w:t xml:space="preserve">Do you perceive there to be any negative impacts on an </w:t>
      </w:r>
      <w:r w:rsidR="002446A1" w:rsidRPr="003C3E0A">
        <w:rPr>
          <w:rFonts w:ascii="Arial" w:eastAsia="Calibri" w:hAnsi="Arial" w:cs="Arial"/>
        </w:rPr>
        <w:t>individual’s</w:t>
      </w:r>
      <w:r w:rsidR="0037457C" w:rsidRPr="003C3E0A">
        <w:rPr>
          <w:rFonts w:ascii="Arial" w:eastAsia="Calibri" w:hAnsi="Arial" w:cs="Arial"/>
        </w:rPr>
        <w:t xml:space="preserve"> human rights when utilising S7 powers?..................................................................................</w:t>
      </w:r>
      <w:r w:rsidR="002446A1">
        <w:rPr>
          <w:rFonts w:ascii="Arial" w:eastAsia="Calibri" w:hAnsi="Arial" w:cs="Arial"/>
        </w:rPr>
        <w:t>.................</w:t>
      </w:r>
      <w:r w:rsidR="0037457C" w:rsidRPr="003C3E0A">
        <w:rPr>
          <w:rFonts w:ascii="Arial" w:eastAsia="Calibri" w:hAnsi="Arial" w:cs="Arial"/>
        </w:rPr>
        <w:t>...</w:t>
      </w:r>
      <w:r w:rsidR="002446A1" w:rsidRPr="002446A1">
        <w:rPr>
          <w:rFonts w:ascii="Arial" w:eastAsia="Calibri" w:hAnsi="Arial" w:cs="Arial"/>
          <w:b/>
          <w:bCs/>
        </w:rPr>
        <w:t>35</w:t>
      </w:r>
    </w:p>
    <w:p w14:paraId="24F035CB" w14:textId="738D0290" w:rsidR="00280282" w:rsidRPr="003C3E0A" w:rsidRDefault="00280282" w:rsidP="00C06F79">
      <w:pPr>
        <w:rPr>
          <w:rFonts w:ascii="Arial" w:eastAsia="Calibri" w:hAnsi="Arial" w:cs="Arial"/>
        </w:rPr>
      </w:pPr>
      <w:r w:rsidRPr="002446A1">
        <w:rPr>
          <w:rFonts w:ascii="Arial" w:eastAsia="Calibri" w:hAnsi="Arial" w:cs="Arial"/>
          <w:b/>
          <w:bCs/>
        </w:rPr>
        <w:t>Figure 11</w:t>
      </w:r>
      <w:r w:rsidRPr="003C3E0A">
        <w:rPr>
          <w:rFonts w:ascii="Arial" w:eastAsia="Calibri" w:hAnsi="Arial" w:cs="Arial"/>
        </w:rPr>
        <w:t>-</w:t>
      </w:r>
      <w:r w:rsidR="00556F2B" w:rsidRPr="003C3E0A">
        <w:rPr>
          <w:rFonts w:ascii="Arial" w:eastAsia="Calibri" w:hAnsi="Arial" w:cs="Arial"/>
        </w:rPr>
        <w:t xml:space="preserve"> How effective is Schedule 7 legislation in detecting terrorism?………</w:t>
      </w:r>
      <w:r w:rsidR="002446A1">
        <w:rPr>
          <w:rFonts w:ascii="Arial" w:eastAsia="Calibri" w:hAnsi="Arial" w:cs="Arial"/>
        </w:rPr>
        <w:t>…….</w:t>
      </w:r>
      <w:r w:rsidR="00556F2B" w:rsidRPr="003C3E0A">
        <w:rPr>
          <w:rFonts w:ascii="Arial" w:eastAsia="Calibri" w:hAnsi="Arial" w:cs="Arial"/>
        </w:rPr>
        <w:t>……</w:t>
      </w:r>
      <w:r w:rsidR="00F05B19">
        <w:rPr>
          <w:rFonts w:ascii="Arial" w:eastAsia="Calibri" w:hAnsi="Arial" w:cs="Arial"/>
        </w:rPr>
        <w:t>…………………………………………………………………………</w:t>
      </w:r>
      <w:r w:rsidR="002446A1" w:rsidRPr="00F05B19">
        <w:rPr>
          <w:rFonts w:ascii="Arial" w:eastAsia="Calibri" w:hAnsi="Arial" w:cs="Arial"/>
          <w:b/>
          <w:bCs/>
        </w:rPr>
        <w:t>36</w:t>
      </w:r>
    </w:p>
    <w:p w14:paraId="6AB5FE11" w14:textId="7AF36947" w:rsidR="00280282" w:rsidRPr="003C3E0A" w:rsidRDefault="00280282" w:rsidP="00C06F79">
      <w:pPr>
        <w:rPr>
          <w:rFonts w:ascii="Arial" w:eastAsia="Calibri" w:hAnsi="Arial" w:cs="Arial"/>
        </w:rPr>
      </w:pPr>
      <w:r w:rsidRPr="002446A1">
        <w:rPr>
          <w:rFonts w:ascii="Arial" w:eastAsia="Calibri" w:hAnsi="Arial" w:cs="Arial"/>
          <w:b/>
          <w:bCs/>
        </w:rPr>
        <w:t>Figure 12</w:t>
      </w:r>
      <w:r w:rsidRPr="003C3E0A">
        <w:rPr>
          <w:rFonts w:ascii="Arial" w:eastAsia="Calibri" w:hAnsi="Arial" w:cs="Arial"/>
        </w:rPr>
        <w:t xml:space="preserve"> – </w:t>
      </w:r>
      <w:r w:rsidR="00556F2B" w:rsidRPr="003C3E0A">
        <w:rPr>
          <w:rFonts w:ascii="Arial" w:eastAsia="Calibri" w:hAnsi="Arial" w:cs="Arial"/>
        </w:rPr>
        <w:t>How effective is Schedule 7 legislation in providing a deterrence effect?....................................................................................................................................</w:t>
      </w:r>
      <w:r w:rsidR="002446A1" w:rsidRPr="002446A1">
        <w:rPr>
          <w:rFonts w:ascii="Arial" w:eastAsia="Calibri" w:hAnsi="Arial" w:cs="Arial"/>
          <w:b/>
          <w:bCs/>
        </w:rPr>
        <w:t>37</w:t>
      </w:r>
    </w:p>
    <w:p w14:paraId="563620DF" w14:textId="3AF4D1B8" w:rsidR="00280282" w:rsidRPr="003C3E0A" w:rsidRDefault="00280282" w:rsidP="00C06F79">
      <w:pPr>
        <w:rPr>
          <w:rFonts w:ascii="Arial" w:eastAsia="Calibri" w:hAnsi="Arial" w:cs="Arial"/>
        </w:rPr>
      </w:pPr>
      <w:r w:rsidRPr="002446A1">
        <w:rPr>
          <w:rFonts w:ascii="Arial" w:eastAsia="Calibri" w:hAnsi="Arial" w:cs="Arial"/>
          <w:b/>
          <w:bCs/>
        </w:rPr>
        <w:t>Figure 13</w:t>
      </w:r>
      <w:r w:rsidRPr="003C3E0A">
        <w:rPr>
          <w:rFonts w:ascii="Arial" w:eastAsia="Calibri" w:hAnsi="Arial" w:cs="Arial"/>
        </w:rPr>
        <w:t xml:space="preserve"> </w:t>
      </w:r>
      <w:r w:rsidR="00DC3369" w:rsidRPr="003C3E0A">
        <w:rPr>
          <w:rFonts w:ascii="Arial" w:eastAsia="Calibri" w:hAnsi="Arial" w:cs="Arial"/>
        </w:rPr>
        <w:t>–</w:t>
      </w:r>
      <w:r w:rsidRPr="003C3E0A">
        <w:rPr>
          <w:rFonts w:ascii="Arial" w:eastAsia="Calibri" w:hAnsi="Arial" w:cs="Arial"/>
        </w:rPr>
        <w:t xml:space="preserve"> </w:t>
      </w:r>
      <w:r w:rsidR="00DC3369" w:rsidRPr="003C3E0A">
        <w:rPr>
          <w:rFonts w:ascii="Arial" w:eastAsia="Calibri" w:hAnsi="Arial" w:cs="Arial"/>
        </w:rPr>
        <w:t>In your opinion, can the exercise of Schedule 7 legislation lead to certain communities being targeted disproportionately?...................................................</w:t>
      </w:r>
      <w:r w:rsidR="003C3E0A" w:rsidRPr="003C3E0A">
        <w:rPr>
          <w:rFonts w:ascii="Arial" w:eastAsia="Calibri" w:hAnsi="Arial" w:cs="Arial"/>
        </w:rPr>
        <w:t>...</w:t>
      </w:r>
      <w:r w:rsidR="002446A1">
        <w:rPr>
          <w:rFonts w:ascii="Arial" w:eastAsia="Calibri" w:hAnsi="Arial" w:cs="Arial"/>
        </w:rPr>
        <w:t>..........</w:t>
      </w:r>
      <w:r w:rsidR="003C3E0A" w:rsidRPr="003C3E0A">
        <w:rPr>
          <w:rFonts w:ascii="Arial" w:eastAsia="Calibri" w:hAnsi="Arial" w:cs="Arial"/>
        </w:rPr>
        <w:t>....</w:t>
      </w:r>
      <w:r w:rsidR="002446A1" w:rsidRPr="002446A1">
        <w:rPr>
          <w:rFonts w:ascii="Arial" w:eastAsia="Calibri" w:hAnsi="Arial" w:cs="Arial"/>
          <w:b/>
          <w:bCs/>
        </w:rPr>
        <w:t>38</w:t>
      </w:r>
    </w:p>
    <w:p w14:paraId="5E719EE0" w14:textId="77777777" w:rsidR="007A1508" w:rsidRPr="003C3E0A" w:rsidRDefault="007A1508" w:rsidP="00C06F79">
      <w:pPr>
        <w:rPr>
          <w:rFonts w:ascii="Arial" w:eastAsia="Calibri" w:hAnsi="Arial" w:cs="Arial"/>
        </w:rPr>
      </w:pPr>
    </w:p>
    <w:p w14:paraId="4B136C9E" w14:textId="77777777" w:rsidR="007A1508" w:rsidRDefault="007A1508" w:rsidP="00C06F79">
      <w:pPr>
        <w:rPr>
          <w:rFonts w:ascii="Arial" w:eastAsia="Calibri" w:hAnsi="Arial" w:cs="Arial"/>
          <w:b/>
          <w:bCs/>
        </w:rPr>
      </w:pPr>
    </w:p>
    <w:p w14:paraId="2CFF142F" w14:textId="77777777" w:rsidR="00C06F79" w:rsidRDefault="00C06F79" w:rsidP="007E22E3">
      <w:pPr>
        <w:spacing w:after="0" w:line="240" w:lineRule="auto"/>
        <w:jc w:val="both"/>
        <w:rPr>
          <w:rFonts w:ascii="Arial" w:hAnsi="Arial" w:cs="Arial"/>
          <w:b/>
          <w:bCs/>
        </w:rPr>
      </w:pPr>
    </w:p>
    <w:p w14:paraId="3F0C2FBA" w14:textId="77777777" w:rsidR="00F72D3E" w:rsidRDefault="00F72D3E" w:rsidP="007E22E3">
      <w:pPr>
        <w:spacing w:after="0" w:line="240" w:lineRule="auto"/>
        <w:jc w:val="both"/>
        <w:rPr>
          <w:rFonts w:ascii="Arial" w:hAnsi="Arial" w:cs="Arial"/>
          <w:b/>
          <w:bCs/>
        </w:rPr>
      </w:pPr>
    </w:p>
    <w:p w14:paraId="4ED9940D" w14:textId="77777777" w:rsidR="003C3E0A" w:rsidRDefault="003C3E0A" w:rsidP="007E22E3">
      <w:pPr>
        <w:spacing w:after="0" w:line="240" w:lineRule="auto"/>
        <w:jc w:val="both"/>
        <w:rPr>
          <w:rFonts w:ascii="Arial" w:hAnsi="Arial" w:cs="Arial"/>
          <w:b/>
          <w:bCs/>
        </w:rPr>
      </w:pPr>
    </w:p>
    <w:p w14:paraId="15458273" w14:textId="77777777" w:rsidR="00F72D3E" w:rsidRDefault="00F72D3E" w:rsidP="007E22E3">
      <w:pPr>
        <w:spacing w:after="0" w:line="240" w:lineRule="auto"/>
        <w:jc w:val="both"/>
        <w:rPr>
          <w:rFonts w:ascii="Arial" w:hAnsi="Arial" w:cs="Arial"/>
          <w:b/>
          <w:bCs/>
        </w:rPr>
      </w:pPr>
    </w:p>
    <w:p w14:paraId="567DBA68" w14:textId="77777777" w:rsidR="00E0781B" w:rsidRDefault="00E0781B" w:rsidP="007E22E3">
      <w:pPr>
        <w:spacing w:after="0" w:line="240" w:lineRule="auto"/>
        <w:jc w:val="both"/>
        <w:rPr>
          <w:rFonts w:ascii="Arial" w:hAnsi="Arial" w:cs="Arial"/>
          <w:b/>
          <w:bCs/>
        </w:rPr>
      </w:pPr>
    </w:p>
    <w:p w14:paraId="22898CB1" w14:textId="615D61CC" w:rsidR="00DD1E50" w:rsidRPr="00E43012" w:rsidRDefault="00D91B02" w:rsidP="007E22E3">
      <w:pPr>
        <w:spacing w:after="0" w:line="240" w:lineRule="auto"/>
        <w:jc w:val="both"/>
        <w:rPr>
          <w:rFonts w:ascii="Arial" w:hAnsi="Arial" w:cs="Arial"/>
          <w:b/>
          <w:bCs/>
          <w:u w:val="single"/>
        </w:rPr>
      </w:pPr>
      <w:r w:rsidRPr="00E43012">
        <w:rPr>
          <w:rFonts w:ascii="Arial" w:hAnsi="Arial" w:cs="Arial"/>
          <w:b/>
          <w:bCs/>
          <w:u w:val="single"/>
        </w:rPr>
        <w:lastRenderedPageBreak/>
        <w:t>Introduction</w:t>
      </w:r>
      <w:r w:rsidR="00E43012" w:rsidRPr="00E43012">
        <w:rPr>
          <w:rFonts w:ascii="Arial" w:hAnsi="Arial" w:cs="Arial"/>
          <w:b/>
          <w:bCs/>
          <w:u w:val="single"/>
        </w:rPr>
        <w:t>.</w:t>
      </w:r>
    </w:p>
    <w:p w14:paraId="2C22883D" w14:textId="77777777" w:rsidR="007E22E3" w:rsidRPr="007E22E3" w:rsidRDefault="007E22E3" w:rsidP="007E22E3">
      <w:pPr>
        <w:spacing w:after="0" w:line="240" w:lineRule="auto"/>
        <w:jc w:val="both"/>
        <w:rPr>
          <w:rFonts w:ascii="Arial" w:eastAsia="Calibri" w:hAnsi="Arial" w:cs="Arial"/>
        </w:rPr>
      </w:pPr>
    </w:p>
    <w:p w14:paraId="430C8D96" w14:textId="07E8FAE1" w:rsidR="00A559C4" w:rsidRDefault="000954FF" w:rsidP="007E22E3">
      <w:pPr>
        <w:jc w:val="both"/>
        <w:rPr>
          <w:rFonts w:ascii="Arial" w:hAnsi="Arial" w:cs="Arial"/>
        </w:rPr>
      </w:pPr>
      <w:r w:rsidRPr="000954FF">
        <w:rPr>
          <w:rFonts w:ascii="Arial" w:hAnsi="Arial" w:cs="Arial"/>
        </w:rPr>
        <w:t>To comprehend the complexities of legislation pertaining to terrorism, it is crucial to have a comprehensive understanding of the broader scope within which counter-terrorism officers operate. In the United Kingdom, an individual can be charged with an offen</w:t>
      </w:r>
      <w:r w:rsidR="00552FE3">
        <w:rPr>
          <w:rFonts w:ascii="Arial" w:hAnsi="Arial" w:cs="Arial"/>
        </w:rPr>
        <w:t>c</w:t>
      </w:r>
      <w:r w:rsidRPr="000954FF">
        <w:rPr>
          <w:rFonts w:ascii="Arial" w:hAnsi="Arial" w:cs="Arial"/>
        </w:rPr>
        <w:t xml:space="preserve">e if they inflict physical harm on a person or property, pose a threat to the life of a third party, pose a serious threat to the well-being of the population or a portion of it, or intend to obstruct or disrupt any electronic system. These actions must be carried out with a religious, ideological, or political motive to influence a government or cause alarm among the population or a portion of it </w:t>
      </w:r>
      <w:sdt>
        <w:sdtPr>
          <w:rPr>
            <w:rFonts w:ascii="Arial" w:hAnsi="Arial" w:cs="Arial"/>
          </w:rPr>
          <w:id w:val="1441721250"/>
          <w:citation/>
        </w:sdtPr>
        <w:sdtContent>
          <w:r w:rsidR="00A559C4">
            <w:rPr>
              <w:rFonts w:ascii="Arial" w:hAnsi="Arial" w:cs="Arial"/>
            </w:rPr>
            <w:fldChar w:fldCharType="begin"/>
          </w:r>
          <w:r w:rsidR="00A559C4">
            <w:rPr>
              <w:rFonts w:ascii="Arial" w:hAnsi="Arial" w:cs="Arial"/>
            </w:rPr>
            <w:instrText xml:space="preserve">CITATION Ter00 \l 2057 </w:instrText>
          </w:r>
          <w:r w:rsidR="00A559C4">
            <w:rPr>
              <w:rFonts w:ascii="Arial" w:hAnsi="Arial" w:cs="Arial"/>
            </w:rPr>
            <w:fldChar w:fldCharType="separate"/>
          </w:r>
          <w:r w:rsidR="00A559C4">
            <w:rPr>
              <w:rFonts w:ascii="Arial" w:hAnsi="Arial" w:cs="Arial"/>
              <w:noProof/>
            </w:rPr>
            <w:t xml:space="preserve"> </w:t>
          </w:r>
          <w:r w:rsidR="00A559C4" w:rsidRPr="00A559C4">
            <w:rPr>
              <w:rFonts w:ascii="Arial" w:hAnsi="Arial" w:cs="Arial"/>
              <w:noProof/>
            </w:rPr>
            <w:t>(Terrorism Act, 2000)</w:t>
          </w:r>
          <w:r w:rsidR="00A559C4">
            <w:rPr>
              <w:rFonts w:ascii="Arial" w:hAnsi="Arial" w:cs="Arial"/>
            </w:rPr>
            <w:fldChar w:fldCharType="end"/>
          </w:r>
        </w:sdtContent>
      </w:sdt>
      <w:r w:rsidR="00A559C4">
        <w:rPr>
          <w:rFonts w:ascii="Arial" w:hAnsi="Arial" w:cs="Arial"/>
        </w:rPr>
        <w:t>.</w:t>
      </w:r>
    </w:p>
    <w:p w14:paraId="6A0BFA17" w14:textId="564529CD" w:rsidR="004930D5" w:rsidRDefault="00CB0741" w:rsidP="007E22E3">
      <w:pPr>
        <w:jc w:val="both"/>
        <w:rPr>
          <w:rFonts w:ascii="Arial" w:hAnsi="Arial" w:cs="Arial"/>
        </w:rPr>
      </w:pPr>
      <w:r>
        <w:rPr>
          <w:rFonts w:ascii="Arial" w:hAnsi="Arial" w:cs="Arial"/>
        </w:rPr>
        <w:t>Terrorism can also be defined a</w:t>
      </w:r>
      <w:r w:rsidR="00F05B19">
        <w:rPr>
          <w:rFonts w:ascii="Arial" w:hAnsi="Arial" w:cs="Arial"/>
        </w:rPr>
        <w:t>s</w:t>
      </w:r>
      <w:r>
        <w:rPr>
          <w:rFonts w:ascii="Arial" w:hAnsi="Arial" w:cs="Arial"/>
        </w:rPr>
        <w:t xml:space="preserve"> the intentional and indiscriminate</w:t>
      </w:r>
      <w:r w:rsidR="001362FC">
        <w:rPr>
          <w:rFonts w:ascii="Arial" w:hAnsi="Arial" w:cs="Arial"/>
        </w:rPr>
        <w:t xml:space="preserve"> use of violence by private actors that is intended to create terror </w:t>
      </w:r>
      <w:r w:rsidR="00792A75">
        <w:rPr>
          <w:rFonts w:ascii="Arial" w:hAnsi="Arial" w:cs="Arial"/>
        </w:rPr>
        <w:t xml:space="preserve">for the public to achieve a political, </w:t>
      </w:r>
      <w:r w:rsidR="00180461">
        <w:rPr>
          <w:rFonts w:ascii="Arial" w:hAnsi="Arial" w:cs="Arial"/>
        </w:rPr>
        <w:t>religious,</w:t>
      </w:r>
      <w:r w:rsidR="00792A75">
        <w:rPr>
          <w:rFonts w:ascii="Arial" w:hAnsi="Arial" w:cs="Arial"/>
        </w:rPr>
        <w:t xml:space="preserve"> or ideological aim </w:t>
      </w:r>
      <w:sdt>
        <w:sdtPr>
          <w:rPr>
            <w:rFonts w:ascii="Arial" w:hAnsi="Arial" w:cs="Arial"/>
          </w:rPr>
          <w:id w:val="-568651195"/>
          <w:citation/>
        </w:sdtPr>
        <w:sdtContent>
          <w:r w:rsidR="00792A75">
            <w:rPr>
              <w:rFonts w:ascii="Arial" w:hAnsi="Arial" w:cs="Arial"/>
            </w:rPr>
            <w:fldChar w:fldCharType="begin"/>
          </w:r>
          <w:r w:rsidR="00792A75">
            <w:rPr>
              <w:rFonts w:ascii="Arial" w:hAnsi="Arial" w:cs="Arial"/>
            </w:rPr>
            <w:instrText xml:space="preserve"> CITATION For15 \l 2057 </w:instrText>
          </w:r>
          <w:r w:rsidR="00792A75">
            <w:rPr>
              <w:rFonts w:ascii="Arial" w:hAnsi="Arial" w:cs="Arial"/>
            </w:rPr>
            <w:fldChar w:fldCharType="separate"/>
          </w:r>
          <w:r w:rsidR="00792A75" w:rsidRPr="00792A75">
            <w:rPr>
              <w:rFonts w:ascii="Arial" w:hAnsi="Arial" w:cs="Arial"/>
              <w:noProof/>
            </w:rPr>
            <w:t>(Fortna, 2015)</w:t>
          </w:r>
          <w:r w:rsidR="00792A75">
            <w:rPr>
              <w:rFonts w:ascii="Arial" w:hAnsi="Arial" w:cs="Arial"/>
            </w:rPr>
            <w:fldChar w:fldCharType="end"/>
          </w:r>
        </w:sdtContent>
      </w:sdt>
      <w:r w:rsidR="00792A75">
        <w:rPr>
          <w:rFonts w:ascii="Arial" w:hAnsi="Arial" w:cs="Arial"/>
        </w:rPr>
        <w:t>.</w:t>
      </w:r>
      <w:r w:rsidR="00F05B19" w:rsidRPr="00F05B19">
        <w:rPr>
          <w:rFonts w:ascii="Arial" w:hAnsi="Arial" w:cs="Arial"/>
        </w:rPr>
        <w:t xml:space="preserve"> </w:t>
      </w:r>
      <w:r w:rsidR="00F05B19">
        <w:rPr>
          <w:rFonts w:ascii="Arial" w:hAnsi="Arial" w:cs="Arial"/>
        </w:rPr>
        <w:t xml:space="preserve"> It </w:t>
      </w:r>
      <w:r w:rsidR="00F05B19">
        <w:rPr>
          <w:rFonts w:ascii="Arial" w:hAnsi="Arial" w:cs="Arial"/>
        </w:rPr>
        <w:t xml:space="preserve">is a complex and multifaceted phenomenon that has attracted significant attention from scholars, </w:t>
      </w:r>
      <w:proofErr w:type="gramStart"/>
      <w:r w:rsidR="00F05B19">
        <w:rPr>
          <w:rFonts w:ascii="Arial" w:hAnsi="Arial" w:cs="Arial"/>
        </w:rPr>
        <w:t>policymakers</w:t>
      </w:r>
      <w:proofErr w:type="gramEnd"/>
      <w:r w:rsidR="00F05B19">
        <w:rPr>
          <w:rFonts w:ascii="Arial" w:hAnsi="Arial" w:cs="Arial"/>
        </w:rPr>
        <w:t xml:space="preserve"> and the general public.  It </w:t>
      </w:r>
      <w:r w:rsidR="00F05B19">
        <w:rPr>
          <w:rFonts w:ascii="Arial" w:hAnsi="Arial" w:cs="Arial"/>
        </w:rPr>
        <w:t xml:space="preserve">is also </w:t>
      </w:r>
      <w:r w:rsidR="00F05B19">
        <w:rPr>
          <w:rFonts w:ascii="Arial" w:hAnsi="Arial" w:cs="Arial"/>
        </w:rPr>
        <w:t>refer</w:t>
      </w:r>
      <w:r w:rsidR="00F05B19">
        <w:rPr>
          <w:rFonts w:ascii="Arial" w:hAnsi="Arial" w:cs="Arial"/>
        </w:rPr>
        <w:t xml:space="preserve">red to as </w:t>
      </w:r>
      <w:r w:rsidR="00F05B19">
        <w:rPr>
          <w:rFonts w:ascii="Arial" w:hAnsi="Arial" w:cs="Arial"/>
        </w:rPr>
        <w:t xml:space="preserve">the use of violence or the threat of violence by non-state actors to instil fear, create panic, and advance political, </w:t>
      </w:r>
      <w:proofErr w:type="gramStart"/>
      <w:r w:rsidR="00F05B19">
        <w:rPr>
          <w:rFonts w:ascii="Arial" w:hAnsi="Arial" w:cs="Arial"/>
        </w:rPr>
        <w:t>religious</w:t>
      </w:r>
      <w:proofErr w:type="gramEnd"/>
      <w:r w:rsidR="00F05B19">
        <w:rPr>
          <w:rFonts w:ascii="Arial" w:hAnsi="Arial" w:cs="Arial"/>
        </w:rPr>
        <w:t xml:space="preserve"> or ideological objectives </w:t>
      </w:r>
      <w:sdt>
        <w:sdtPr>
          <w:rPr>
            <w:rFonts w:ascii="Arial" w:hAnsi="Arial" w:cs="Arial"/>
          </w:rPr>
          <w:id w:val="-563106056"/>
          <w:citation/>
        </w:sdtPr>
        <w:sdtContent>
          <w:r w:rsidR="00F05B19">
            <w:rPr>
              <w:rFonts w:ascii="Arial" w:hAnsi="Arial" w:cs="Arial"/>
            </w:rPr>
            <w:fldChar w:fldCharType="begin"/>
          </w:r>
          <w:r w:rsidR="00F05B19">
            <w:rPr>
              <w:rFonts w:ascii="Arial" w:hAnsi="Arial" w:cs="Arial"/>
            </w:rPr>
            <w:instrText xml:space="preserve"> CITATION Law16 \l 2057 </w:instrText>
          </w:r>
          <w:r w:rsidR="00F05B19">
            <w:rPr>
              <w:rFonts w:ascii="Arial" w:hAnsi="Arial" w:cs="Arial"/>
            </w:rPr>
            <w:fldChar w:fldCharType="separate"/>
          </w:r>
          <w:r w:rsidR="00F05B19" w:rsidRPr="00F413C9">
            <w:rPr>
              <w:rFonts w:ascii="Arial" w:hAnsi="Arial" w:cs="Arial"/>
              <w:noProof/>
            </w:rPr>
            <w:t>(Law, 2016)</w:t>
          </w:r>
          <w:r w:rsidR="00F05B19">
            <w:rPr>
              <w:rFonts w:ascii="Arial" w:hAnsi="Arial" w:cs="Arial"/>
            </w:rPr>
            <w:fldChar w:fldCharType="end"/>
          </w:r>
        </w:sdtContent>
      </w:sdt>
      <w:r w:rsidR="00F05B19">
        <w:rPr>
          <w:rFonts w:ascii="Arial" w:hAnsi="Arial" w:cs="Arial"/>
        </w:rPr>
        <w:t>.</w:t>
      </w:r>
    </w:p>
    <w:p w14:paraId="102D05CB" w14:textId="3465C591" w:rsidR="00F91B0C" w:rsidRDefault="00F91B0C" w:rsidP="007E22E3">
      <w:pPr>
        <w:jc w:val="both"/>
        <w:rPr>
          <w:rFonts w:ascii="Arial" w:hAnsi="Arial" w:cs="Arial"/>
        </w:rPr>
      </w:pPr>
      <w:r w:rsidRPr="00F91B0C">
        <w:rPr>
          <w:rFonts w:ascii="Arial" w:hAnsi="Arial" w:cs="Arial"/>
        </w:rPr>
        <w:t>Studying terrorism presents inherent challenges due to several factors. Firstly, the number of terrorist attacks is relatively small, making it difficult to gather sufficient data for analysis. Additionally, the ideologies and political aims of terrorists are dynamic and can evolve over time, further complicating the study of their motivations and actions. Furthermore, there are numerous potential factors that may influence an individual's decision to become a terrorist, such as social, economic, and psychological factors, making it a complex and nuanced subject to understand</w:t>
      </w:r>
      <w:r>
        <w:rPr>
          <w:rFonts w:ascii="Arial" w:hAnsi="Arial" w:cs="Arial"/>
        </w:rPr>
        <w:t xml:space="preserve"> </w:t>
      </w:r>
      <w:sdt>
        <w:sdtPr>
          <w:rPr>
            <w:rFonts w:ascii="Arial" w:hAnsi="Arial" w:cs="Arial"/>
          </w:rPr>
          <w:id w:val="-1586843974"/>
          <w:citation/>
        </w:sdtPr>
        <w:sdtContent>
          <w:r>
            <w:rPr>
              <w:rFonts w:ascii="Arial" w:hAnsi="Arial" w:cs="Arial"/>
            </w:rPr>
            <w:fldChar w:fldCharType="begin"/>
          </w:r>
          <w:r>
            <w:rPr>
              <w:rFonts w:ascii="Arial" w:hAnsi="Arial" w:cs="Arial"/>
            </w:rPr>
            <w:instrText xml:space="preserve"> CITATION For19 \l 2057 </w:instrText>
          </w:r>
          <w:r>
            <w:rPr>
              <w:rFonts w:ascii="Arial" w:hAnsi="Arial" w:cs="Arial"/>
            </w:rPr>
            <w:fldChar w:fldCharType="separate"/>
          </w:r>
          <w:r w:rsidRPr="00F91B0C">
            <w:rPr>
              <w:rFonts w:ascii="Arial" w:hAnsi="Arial" w:cs="Arial"/>
              <w:noProof/>
            </w:rPr>
            <w:t>(Forrester, 2019)</w:t>
          </w:r>
          <w:r>
            <w:rPr>
              <w:rFonts w:ascii="Arial" w:hAnsi="Arial" w:cs="Arial"/>
            </w:rPr>
            <w:fldChar w:fldCharType="end"/>
          </w:r>
        </w:sdtContent>
      </w:sdt>
      <w:r>
        <w:rPr>
          <w:rFonts w:ascii="Arial" w:hAnsi="Arial" w:cs="Arial"/>
        </w:rPr>
        <w:t>.</w:t>
      </w:r>
    </w:p>
    <w:p w14:paraId="5B6CE3DD" w14:textId="2CD2EE8F" w:rsidR="00A57038" w:rsidRDefault="00A57038" w:rsidP="007E22E3">
      <w:pPr>
        <w:jc w:val="both"/>
        <w:rPr>
          <w:rFonts w:ascii="Arial" w:hAnsi="Arial" w:cs="Arial"/>
        </w:rPr>
      </w:pPr>
      <w:r w:rsidRPr="00A57038">
        <w:rPr>
          <w:rFonts w:ascii="Arial" w:hAnsi="Arial" w:cs="Arial"/>
        </w:rPr>
        <w:t xml:space="preserve">The prevalence of terrorism, both globally and domestically will continue to ensure that its prevention will remain to be one of the major tasks of governments for some time to come. Given the global nature of anti-terrorism law </w:t>
      </w:r>
      <w:r w:rsidR="00F05B19">
        <w:rPr>
          <w:rFonts w:ascii="Arial" w:hAnsi="Arial" w:cs="Arial"/>
        </w:rPr>
        <w:t>which</w:t>
      </w:r>
      <w:r w:rsidRPr="00A57038">
        <w:rPr>
          <w:rFonts w:ascii="Arial" w:hAnsi="Arial" w:cs="Arial"/>
        </w:rPr>
        <w:t xml:space="preserve"> crosses boundaries between states, and between domestic, </w:t>
      </w:r>
      <w:proofErr w:type="gramStart"/>
      <w:r w:rsidRPr="00A57038">
        <w:rPr>
          <w:rFonts w:ascii="Arial" w:hAnsi="Arial" w:cs="Arial"/>
        </w:rPr>
        <w:t>regional</w:t>
      </w:r>
      <w:proofErr w:type="gramEnd"/>
      <w:r w:rsidRPr="00A57038">
        <w:rPr>
          <w:rFonts w:ascii="Arial" w:hAnsi="Arial" w:cs="Arial"/>
        </w:rPr>
        <w:t xml:space="preserve"> and international law. There is also a cross-over between traditional disciplinary boundaries - administrative, constitutional, criminal, immigration and military law, and the law of war</w:t>
      </w:r>
      <w:sdt>
        <w:sdtPr>
          <w:rPr>
            <w:rFonts w:ascii="Arial" w:hAnsi="Arial" w:cs="Arial"/>
          </w:rPr>
          <w:id w:val="-951480179"/>
          <w:citation/>
        </w:sdtPr>
        <w:sdtContent>
          <w:r w:rsidR="00C37340">
            <w:rPr>
              <w:rFonts w:ascii="Arial" w:hAnsi="Arial" w:cs="Arial"/>
            </w:rPr>
            <w:fldChar w:fldCharType="begin"/>
          </w:r>
          <w:r w:rsidR="00C37340">
            <w:rPr>
              <w:rFonts w:ascii="Arial" w:hAnsi="Arial" w:cs="Arial"/>
            </w:rPr>
            <w:instrText xml:space="preserve"> CITATION Ram11 \l 2057 </w:instrText>
          </w:r>
          <w:r w:rsidR="00C37340">
            <w:rPr>
              <w:rFonts w:ascii="Arial" w:hAnsi="Arial" w:cs="Arial"/>
            </w:rPr>
            <w:fldChar w:fldCharType="separate"/>
          </w:r>
          <w:r w:rsidR="00C37340">
            <w:rPr>
              <w:rFonts w:ascii="Arial" w:hAnsi="Arial" w:cs="Arial"/>
              <w:noProof/>
            </w:rPr>
            <w:t xml:space="preserve"> </w:t>
          </w:r>
          <w:r w:rsidR="00C37340" w:rsidRPr="00C37340">
            <w:rPr>
              <w:rFonts w:ascii="Arial" w:hAnsi="Arial" w:cs="Arial"/>
              <w:noProof/>
            </w:rPr>
            <w:t>(Ramraj, 2011)</w:t>
          </w:r>
          <w:r w:rsidR="00C37340">
            <w:rPr>
              <w:rFonts w:ascii="Arial" w:hAnsi="Arial" w:cs="Arial"/>
            </w:rPr>
            <w:fldChar w:fldCharType="end"/>
          </w:r>
        </w:sdtContent>
      </w:sdt>
      <w:r w:rsidR="0053579F">
        <w:rPr>
          <w:rFonts w:ascii="Arial" w:hAnsi="Arial" w:cs="Arial"/>
        </w:rPr>
        <w:t>.</w:t>
      </w:r>
    </w:p>
    <w:p w14:paraId="39E066B2" w14:textId="3834001D" w:rsidR="00BE65D1" w:rsidRDefault="00BE65D1" w:rsidP="007E22E3">
      <w:pPr>
        <w:jc w:val="both"/>
        <w:rPr>
          <w:rFonts w:ascii="Arial" w:hAnsi="Arial" w:cs="Arial"/>
        </w:rPr>
      </w:pPr>
      <w:r>
        <w:rPr>
          <w:rFonts w:ascii="Arial" w:hAnsi="Arial" w:cs="Arial"/>
        </w:rPr>
        <w:t>According to academic research, terrorism is often driven by a combination of political</w:t>
      </w:r>
      <w:r w:rsidR="00572BD3">
        <w:rPr>
          <w:rFonts w:ascii="Arial" w:hAnsi="Arial" w:cs="Arial"/>
        </w:rPr>
        <w:t xml:space="preserve">, social, </w:t>
      </w:r>
      <w:proofErr w:type="gramStart"/>
      <w:r w:rsidR="00572BD3">
        <w:rPr>
          <w:rFonts w:ascii="Arial" w:hAnsi="Arial" w:cs="Arial"/>
        </w:rPr>
        <w:t>economic</w:t>
      </w:r>
      <w:proofErr w:type="gramEnd"/>
      <w:r w:rsidR="00572BD3">
        <w:rPr>
          <w:rFonts w:ascii="Arial" w:hAnsi="Arial" w:cs="Arial"/>
        </w:rPr>
        <w:t xml:space="preserve"> and psychological factors.  Law (2016) argues that terrorism is often a response to perceived </w:t>
      </w:r>
      <w:r w:rsidR="000D1608">
        <w:rPr>
          <w:rFonts w:ascii="Arial" w:hAnsi="Arial" w:cs="Arial"/>
        </w:rPr>
        <w:t>grievances and injustice, such as political oppression, social inequality, or religious discrimination</w:t>
      </w:r>
      <w:r w:rsidR="00CC0760">
        <w:rPr>
          <w:rFonts w:ascii="Arial" w:hAnsi="Arial" w:cs="Arial"/>
        </w:rPr>
        <w:t xml:space="preserve"> and furthermore, terrorists </w:t>
      </w:r>
      <w:r w:rsidR="00987F86">
        <w:rPr>
          <w:rFonts w:ascii="Arial" w:hAnsi="Arial" w:cs="Arial"/>
        </w:rPr>
        <w:t>will often employ violence as a means to gain attention, provoke government repression or challenge established power structures.</w:t>
      </w:r>
    </w:p>
    <w:p w14:paraId="1D9AACAB" w14:textId="458940B5" w:rsidR="005A5CF8" w:rsidRPr="00526A5B" w:rsidRDefault="00C42508" w:rsidP="007E22E3">
      <w:pPr>
        <w:jc w:val="both"/>
        <w:rPr>
          <w:rFonts w:ascii="Arial" w:hAnsi="Arial" w:cs="Arial"/>
        </w:rPr>
      </w:pPr>
      <w:r>
        <w:rPr>
          <w:rFonts w:ascii="Arial" w:hAnsi="Arial" w:cs="Arial"/>
        </w:rPr>
        <w:t>Additionally, notable work undertaken by</w:t>
      </w:r>
      <w:r w:rsidR="00675E5E">
        <w:rPr>
          <w:rFonts w:ascii="Arial" w:hAnsi="Arial" w:cs="Arial"/>
        </w:rPr>
        <w:t xml:space="preserve"> Crenshaw (2011) </w:t>
      </w:r>
      <w:r w:rsidR="00FA444E">
        <w:rPr>
          <w:rFonts w:ascii="Arial" w:hAnsi="Arial" w:cs="Arial"/>
        </w:rPr>
        <w:t xml:space="preserve">argues that terrorism is a strategic choice made by individuals </w:t>
      </w:r>
      <w:r w:rsidR="00077EF9">
        <w:rPr>
          <w:rFonts w:ascii="Arial" w:hAnsi="Arial" w:cs="Arial"/>
        </w:rPr>
        <w:t xml:space="preserve">or groups who believe violence is the most </w:t>
      </w:r>
      <w:r w:rsidR="00180461">
        <w:rPr>
          <w:rFonts w:ascii="Arial" w:hAnsi="Arial" w:cs="Arial"/>
        </w:rPr>
        <w:t>cost-effective</w:t>
      </w:r>
      <w:r w:rsidR="00077EF9">
        <w:rPr>
          <w:rFonts w:ascii="Arial" w:hAnsi="Arial" w:cs="Arial"/>
        </w:rPr>
        <w:t xml:space="preserve"> way to achieve their objectives.  </w:t>
      </w:r>
      <w:r w:rsidR="00675E5E">
        <w:rPr>
          <w:rFonts w:ascii="Arial" w:hAnsi="Arial" w:cs="Arial"/>
        </w:rPr>
        <w:t xml:space="preserve">This sets it apart from traditional crime.  </w:t>
      </w:r>
      <w:r w:rsidR="00DF5A35">
        <w:rPr>
          <w:rFonts w:ascii="Arial" w:hAnsi="Arial" w:cs="Arial"/>
        </w:rPr>
        <w:t>This study also highlights the importance of studying individual motivations and group dynamics that drive terrorist behaviour.</w:t>
      </w:r>
    </w:p>
    <w:p w14:paraId="00C61BCB" w14:textId="4E3E5A0C" w:rsidR="00B43C4B" w:rsidRDefault="00CB3A10" w:rsidP="007E22E3">
      <w:pPr>
        <w:jc w:val="both"/>
        <w:rPr>
          <w:rFonts w:ascii="Arial" w:hAnsi="Arial" w:cs="Arial"/>
        </w:rPr>
      </w:pPr>
      <w:r>
        <w:rPr>
          <w:rFonts w:ascii="Arial" w:hAnsi="Arial" w:cs="Arial"/>
        </w:rPr>
        <w:t>Schedule</w:t>
      </w:r>
      <w:r w:rsidR="00B43C4B">
        <w:rPr>
          <w:rFonts w:ascii="Arial" w:hAnsi="Arial" w:cs="Arial"/>
        </w:rPr>
        <w:t xml:space="preserve"> 7 of the Terrorism Act</w:t>
      </w:r>
      <w:r w:rsidR="00A35949">
        <w:rPr>
          <w:rFonts w:ascii="Arial" w:hAnsi="Arial" w:cs="Arial"/>
        </w:rPr>
        <w:t xml:space="preserve"> grants accredited police officers with the power to stop, question, and search individuals at ports, </w:t>
      </w:r>
      <w:proofErr w:type="gramStart"/>
      <w:r w:rsidR="00A35949">
        <w:rPr>
          <w:rFonts w:ascii="Arial" w:hAnsi="Arial" w:cs="Arial"/>
        </w:rPr>
        <w:t>airports</w:t>
      </w:r>
      <w:proofErr w:type="gramEnd"/>
      <w:r w:rsidR="00A35949">
        <w:rPr>
          <w:rFonts w:ascii="Arial" w:hAnsi="Arial" w:cs="Arial"/>
        </w:rPr>
        <w:t xml:space="preserve"> and international rail stations for the purpose of determining </w:t>
      </w:r>
      <w:r w:rsidR="0033614A">
        <w:rPr>
          <w:rFonts w:ascii="Arial" w:hAnsi="Arial" w:cs="Arial"/>
        </w:rPr>
        <w:t>their involvement in terrorism related activities (Terrorism Act, 2000).</w:t>
      </w:r>
    </w:p>
    <w:p w14:paraId="5F350ED0" w14:textId="77777777" w:rsidR="00CA2C2E" w:rsidRDefault="00BB3E01" w:rsidP="007E22E3">
      <w:pPr>
        <w:jc w:val="both"/>
        <w:rPr>
          <w:rFonts w:ascii="Arial" w:hAnsi="Arial" w:cs="Arial"/>
        </w:rPr>
      </w:pPr>
      <w:r>
        <w:rPr>
          <w:rFonts w:ascii="Arial" w:hAnsi="Arial" w:cs="Arial"/>
        </w:rPr>
        <w:t xml:space="preserve">This legislation has been subject of academic debate, </w:t>
      </w:r>
      <w:r w:rsidR="0051186C">
        <w:rPr>
          <w:rFonts w:ascii="Arial" w:hAnsi="Arial" w:cs="Arial"/>
        </w:rPr>
        <w:t xml:space="preserve">both in relation to its effectiveness and its impact on civil liberties and potential discriminatory impacts.  </w:t>
      </w:r>
    </w:p>
    <w:p w14:paraId="61ADB4C6" w14:textId="4FB5C3B4" w:rsidR="00CA2C2E" w:rsidRDefault="00CA2C2E" w:rsidP="007E22E3">
      <w:pPr>
        <w:jc w:val="both"/>
        <w:rPr>
          <w:rFonts w:ascii="Arial" w:hAnsi="Arial" w:cs="Arial"/>
        </w:rPr>
      </w:pPr>
      <w:r>
        <w:rPr>
          <w:rFonts w:ascii="Arial" w:hAnsi="Arial" w:cs="Arial"/>
        </w:rPr>
        <w:t>One notable academic study undertaken by</w:t>
      </w:r>
      <w:r w:rsidR="000A1EED">
        <w:rPr>
          <w:rFonts w:ascii="Arial" w:hAnsi="Arial" w:cs="Arial"/>
        </w:rPr>
        <w:t xml:space="preserve"> Sottiaux</w:t>
      </w:r>
      <w:r w:rsidR="008F01E2">
        <w:rPr>
          <w:rFonts w:ascii="Arial" w:hAnsi="Arial" w:cs="Arial"/>
        </w:rPr>
        <w:t xml:space="preserve"> (2011) </w:t>
      </w:r>
      <w:r w:rsidR="000A1EED">
        <w:rPr>
          <w:rFonts w:ascii="Arial" w:hAnsi="Arial" w:cs="Arial"/>
        </w:rPr>
        <w:t>offers a comparative analysis of counter-terrorism measures, including Schedule 7</w:t>
      </w:r>
      <w:r w:rsidR="005929CE">
        <w:rPr>
          <w:rFonts w:ascii="Arial" w:hAnsi="Arial" w:cs="Arial"/>
        </w:rPr>
        <w:t xml:space="preserve">.  Sottiaux explores the legal and human </w:t>
      </w:r>
      <w:r w:rsidR="005929CE">
        <w:rPr>
          <w:rFonts w:ascii="Arial" w:hAnsi="Arial" w:cs="Arial"/>
        </w:rPr>
        <w:lastRenderedPageBreak/>
        <w:t>rights implications of such legislation</w:t>
      </w:r>
      <w:r w:rsidR="00427141">
        <w:rPr>
          <w:rFonts w:ascii="Arial" w:hAnsi="Arial" w:cs="Arial"/>
        </w:rPr>
        <w:t>, highlighting the challenges that exist between the balance of security and individual freedoms.</w:t>
      </w:r>
    </w:p>
    <w:p w14:paraId="58DD0E28" w14:textId="5A2855A8" w:rsidR="00BB3E01" w:rsidRDefault="00CA2C2E" w:rsidP="007E22E3">
      <w:pPr>
        <w:jc w:val="both"/>
        <w:rPr>
          <w:rFonts w:ascii="Arial" w:hAnsi="Arial" w:cs="Arial"/>
        </w:rPr>
      </w:pPr>
      <w:r>
        <w:rPr>
          <w:rFonts w:ascii="Arial" w:hAnsi="Arial" w:cs="Arial"/>
        </w:rPr>
        <w:t>This work was supported by</w:t>
      </w:r>
      <w:r w:rsidR="00B10213">
        <w:rPr>
          <w:rFonts w:ascii="Arial" w:hAnsi="Arial" w:cs="Arial"/>
        </w:rPr>
        <w:t xml:space="preserve"> </w:t>
      </w:r>
      <w:r w:rsidR="00CF798F">
        <w:rPr>
          <w:rFonts w:ascii="Arial" w:hAnsi="Arial" w:cs="Arial"/>
        </w:rPr>
        <w:t>Fenwick and Mead</w:t>
      </w:r>
      <w:r w:rsidR="00B10213">
        <w:rPr>
          <w:rFonts w:ascii="Arial" w:hAnsi="Arial" w:cs="Arial"/>
        </w:rPr>
        <w:t xml:space="preserve"> </w:t>
      </w:r>
      <w:r w:rsidR="00F575B3">
        <w:rPr>
          <w:rFonts w:ascii="Arial" w:hAnsi="Arial" w:cs="Arial"/>
        </w:rPr>
        <w:t xml:space="preserve">evaluated the provisions of Schedule 7 and its compatibility with human rights legislation and </w:t>
      </w:r>
      <w:r w:rsidR="00947B25">
        <w:rPr>
          <w:rFonts w:ascii="Arial" w:hAnsi="Arial" w:cs="Arial"/>
        </w:rPr>
        <w:t xml:space="preserve">standards.  Their work </w:t>
      </w:r>
      <w:r w:rsidR="00403687">
        <w:rPr>
          <w:rFonts w:ascii="Arial" w:hAnsi="Arial" w:cs="Arial"/>
        </w:rPr>
        <w:t xml:space="preserve">also </w:t>
      </w:r>
      <w:r w:rsidR="00947B25">
        <w:rPr>
          <w:rFonts w:ascii="Arial" w:hAnsi="Arial" w:cs="Arial"/>
        </w:rPr>
        <w:t xml:space="preserve">highlighted the balance that needs to be maintained between </w:t>
      </w:r>
      <w:r w:rsidR="00FD5A0D">
        <w:rPr>
          <w:rFonts w:ascii="Arial" w:hAnsi="Arial" w:cs="Arial"/>
        </w:rPr>
        <w:t>national security and the rights of individual freedoms and potential for abuse</w:t>
      </w:r>
      <w:r w:rsidR="00B900EE">
        <w:rPr>
          <w:rFonts w:ascii="Arial" w:hAnsi="Arial" w:cs="Arial"/>
        </w:rPr>
        <w:t>, recommending robust</w:t>
      </w:r>
      <w:r w:rsidR="00EA5B19">
        <w:rPr>
          <w:rFonts w:ascii="Arial" w:hAnsi="Arial" w:cs="Arial"/>
        </w:rPr>
        <w:t xml:space="preserve"> </w:t>
      </w:r>
      <w:r w:rsidR="00B900EE">
        <w:rPr>
          <w:rFonts w:ascii="Arial" w:hAnsi="Arial" w:cs="Arial"/>
        </w:rPr>
        <w:t>safeguards</w:t>
      </w:r>
      <w:sdt>
        <w:sdtPr>
          <w:rPr>
            <w:rFonts w:ascii="Arial" w:hAnsi="Arial" w:cs="Arial"/>
          </w:rPr>
          <w:id w:val="526537124"/>
          <w:citation/>
        </w:sdtPr>
        <w:sdtContent>
          <w:r w:rsidR="00EA5B19">
            <w:rPr>
              <w:rFonts w:ascii="Arial" w:hAnsi="Arial" w:cs="Arial"/>
            </w:rPr>
            <w:fldChar w:fldCharType="begin"/>
          </w:r>
          <w:r w:rsidR="00EA5B19">
            <w:rPr>
              <w:rFonts w:ascii="Arial" w:hAnsi="Arial" w:cs="Arial"/>
            </w:rPr>
            <w:instrText xml:space="preserve"> CITATION Fen11 \l 2057 </w:instrText>
          </w:r>
          <w:r w:rsidR="00EA5B19">
            <w:rPr>
              <w:rFonts w:ascii="Arial" w:hAnsi="Arial" w:cs="Arial"/>
            </w:rPr>
            <w:fldChar w:fldCharType="separate"/>
          </w:r>
          <w:r w:rsidR="00EA5B19">
            <w:rPr>
              <w:rFonts w:ascii="Arial" w:hAnsi="Arial" w:cs="Arial"/>
              <w:noProof/>
            </w:rPr>
            <w:t xml:space="preserve"> </w:t>
          </w:r>
          <w:r w:rsidR="00EA5B19" w:rsidRPr="00EA5B19">
            <w:rPr>
              <w:rFonts w:ascii="Arial" w:hAnsi="Arial" w:cs="Arial"/>
              <w:noProof/>
            </w:rPr>
            <w:t>(Fenwick, 2011)</w:t>
          </w:r>
          <w:r w:rsidR="00EA5B19">
            <w:rPr>
              <w:rFonts w:ascii="Arial" w:hAnsi="Arial" w:cs="Arial"/>
            </w:rPr>
            <w:fldChar w:fldCharType="end"/>
          </w:r>
        </w:sdtContent>
      </w:sdt>
      <w:r w:rsidR="00B10213">
        <w:rPr>
          <w:rFonts w:ascii="Arial" w:hAnsi="Arial" w:cs="Arial"/>
        </w:rPr>
        <w:t>.</w:t>
      </w:r>
    </w:p>
    <w:p w14:paraId="20D13CBF" w14:textId="2A87F770" w:rsidR="005A5CF8" w:rsidRDefault="005A5CF8" w:rsidP="007E22E3">
      <w:pPr>
        <w:jc w:val="both"/>
        <w:rPr>
          <w:rFonts w:ascii="Arial" w:hAnsi="Arial" w:cs="Arial"/>
        </w:rPr>
      </w:pPr>
      <w:r w:rsidRPr="00A57038">
        <w:rPr>
          <w:rFonts w:ascii="Arial" w:hAnsi="Arial" w:cs="Arial"/>
        </w:rPr>
        <w:t xml:space="preserve">The use of Schedule 7 is an integral part of the United Kingdom’s Strategy for Countering Terrorism </w:t>
      </w:r>
      <w:sdt>
        <w:sdtPr>
          <w:rPr>
            <w:rFonts w:ascii="Arial" w:hAnsi="Arial" w:cs="Arial"/>
          </w:rPr>
          <w:id w:val="912595876"/>
          <w:citation/>
        </w:sdtPr>
        <w:sdtContent>
          <w:r>
            <w:rPr>
              <w:rFonts w:ascii="Arial" w:hAnsi="Arial" w:cs="Arial"/>
            </w:rPr>
            <w:fldChar w:fldCharType="begin"/>
          </w:r>
          <w:r>
            <w:rPr>
              <w:rFonts w:ascii="Arial" w:hAnsi="Arial" w:cs="Arial"/>
            </w:rPr>
            <w:instrText xml:space="preserve">CITATION HMG23 \l 2057 </w:instrText>
          </w:r>
          <w:r>
            <w:rPr>
              <w:rFonts w:ascii="Arial" w:hAnsi="Arial" w:cs="Arial"/>
            </w:rPr>
            <w:fldChar w:fldCharType="separate"/>
          </w:r>
          <w:r w:rsidRPr="00F630B4">
            <w:rPr>
              <w:rFonts w:ascii="Arial" w:hAnsi="Arial" w:cs="Arial"/>
              <w:noProof/>
            </w:rPr>
            <w:t>(HM Government, 2023)</w:t>
          </w:r>
          <w:r>
            <w:rPr>
              <w:rFonts w:ascii="Arial" w:hAnsi="Arial" w:cs="Arial"/>
            </w:rPr>
            <w:fldChar w:fldCharType="end"/>
          </w:r>
        </w:sdtContent>
      </w:sdt>
      <w:r w:rsidRPr="00A57038">
        <w:rPr>
          <w:rFonts w:ascii="Arial" w:hAnsi="Arial" w:cs="Arial"/>
        </w:rPr>
        <w:t xml:space="preserve"> and the power is considered to be a vital tool for counter terrorism policing in keeping people of the UK safe </w:t>
      </w:r>
      <w:sdt>
        <w:sdtPr>
          <w:rPr>
            <w:rFonts w:ascii="Arial" w:hAnsi="Arial" w:cs="Arial"/>
          </w:rPr>
          <w:id w:val="-371690637"/>
          <w:citation/>
        </w:sdtPr>
        <w:sdtContent>
          <w:r>
            <w:rPr>
              <w:rFonts w:ascii="Arial" w:hAnsi="Arial" w:cs="Arial"/>
            </w:rPr>
            <w:fldChar w:fldCharType="begin"/>
          </w:r>
          <w:r>
            <w:rPr>
              <w:rFonts w:ascii="Arial" w:hAnsi="Arial" w:cs="Arial"/>
            </w:rPr>
            <w:instrText xml:space="preserve">CITATION Cou23 \l 2057 </w:instrText>
          </w:r>
          <w:r>
            <w:rPr>
              <w:rFonts w:ascii="Arial" w:hAnsi="Arial" w:cs="Arial"/>
            </w:rPr>
            <w:fldChar w:fldCharType="separate"/>
          </w:r>
          <w:r w:rsidRPr="00A031A6">
            <w:rPr>
              <w:rFonts w:ascii="Arial" w:hAnsi="Arial" w:cs="Arial"/>
              <w:noProof/>
            </w:rPr>
            <w:t>(Counter Terrorism Policing, 2023)</w:t>
          </w:r>
          <w:r>
            <w:rPr>
              <w:rFonts w:ascii="Arial" w:hAnsi="Arial" w:cs="Arial"/>
            </w:rPr>
            <w:fldChar w:fldCharType="end"/>
          </w:r>
        </w:sdtContent>
      </w:sdt>
      <w:r>
        <w:rPr>
          <w:rFonts w:ascii="Arial" w:hAnsi="Arial" w:cs="Arial"/>
        </w:rPr>
        <w:t>.</w:t>
      </w:r>
    </w:p>
    <w:p w14:paraId="161436FE" w14:textId="77777777" w:rsidR="005A5CF8" w:rsidRDefault="005A5CF8" w:rsidP="007E22E3">
      <w:pPr>
        <w:jc w:val="both"/>
        <w:rPr>
          <w:rFonts w:ascii="Arial" w:hAnsi="Arial" w:cs="Arial"/>
        </w:rPr>
      </w:pPr>
      <w:r w:rsidRPr="00A57038">
        <w:rPr>
          <w:rFonts w:ascii="Arial" w:hAnsi="Arial" w:cs="Arial"/>
        </w:rPr>
        <w:t>However, the use of the power has drawn attention from human rights think tanks</w:t>
      </w:r>
      <w:sdt>
        <w:sdtPr>
          <w:rPr>
            <w:rFonts w:ascii="Arial" w:hAnsi="Arial" w:cs="Arial"/>
          </w:rPr>
          <w:id w:val="-1337611083"/>
          <w:citation/>
        </w:sdtPr>
        <w:sdtContent>
          <w:r>
            <w:rPr>
              <w:rFonts w:ascii="Arial" w:hAnsi="Arial" w:cs="Arial"/>
            </w:rPr>
            <w:fldChar w:fldCharType="begin"/>
          </w:r>
          <w:r>
            <w:rPr>
              <w:rFonts w:ascii="Arial" w:hAnsi="Arial" w:cs="Arial"/>
            </w:rPr>
            <w:instrText xml:space="preserve"> CITATION Sto14 \l 2057 </w:instrText>
          </w:r>
          <w:r>
            <w:rPr>
              <w:rFonts w:ascii="Arial" w:hAnsi="Arial" w:cs="Arial"/>
            </w:rPr>
            <w:fldChar w:fldCharType="separate"/>
          </w:r>
          <w:r>
            <w:rPr>
              <w:rFonts w:ascii="Arial" w:hAnsi="Arial" w:cs="Arial"/>
              <w:noProof/>
            </w:rPr>
            <w:t xml:space="preserve"> </w:t>
          </w:r>
          <w:r w:rsidRPr="004E1C12">
            <w:rPr>
              <w:rFonts w:ascii="Arial" w:hAnsi="Arial" w:cs="Arial"/>
              <w:noProof/>
            </w:rPr>
            <w:t>(Stopwatch, 2014)</w:t>
          </w:r>
          <w:r>
            <w:rPr>
              <w:rFonts w:ascii="Arial" w:hAnsi="Arial" w:cs="Arial"/>
            </w:rPr>
            <w:fldChar w:fldCharType="end"/>
          </w:r>
        </w:sdtContent>
      </w:sdt>
      <w:r w:rsidRPr="00A57038">
        <w:rPr>
          <w:rFonts w:ascii="Arial" w:hAnsi="Arial" w:cs="Arial"/>
        </w:rPr>
        <w:t xml:space="preserve"> with other liberal and political theorists drawing comparisons between the tensions posed between those who endorse security at all costs versus those who endorse more liberal thinking and argue that rights have come to be thought of as getting in the way of,  and unduly constraining that which is deemed necessary to protect 'people' from disorderly activity</w:t>
      </w:r>
      <w:sdt>
        <w:sdtPr>
          <w:rPr>
            <w:rFonts w:ascii="Arial" w:hAnsi="Arial" w:cs="Arial"/>
          </w:rPr>
          <w:id w:val="457002367"/>
          <w:citation/>
        </w:sdtPr>
        <w:sdtContent>
          <w:r>
            <w:rPr>
              <w:rFonts w:ascii="Arial" w:hAnsi="Arial" w:cs="Arial"/>
            </w:rPr>
            <w:fldChar w:fldCharType="begin"/>
          </w:r>
          <w:r>
            <w:rPr>
              <w:rFonts w:ascii="Arial" w:hAnsi="Arial" w:cs="Arial"/>
            </w:rPr>
            <w:instrText xml:space="preserve"> CITATION Loa07 \l 2057 </w:instrText>
          </w:r>
          <w:r>
            <w:rPr>
              <w:rFonts w:ascii="Arial" w:hAnsi="Arial" w:cs="Arial"/>
            </w:rPr>
            <w:fldChar w:fldCharType="separate"/>
          </w:r>
          <w:r>
            <w:rPr>
              <w:rFonts w:ascii="Arial" w:hAnsi="Arial" w:cs="Arial"/>
              <w:noProof/>
            </w:rPr>
            <w:t xml:space="preserve"> </w:t>
          </w:r>
          <w:r w:rsidRPr="00101365">
            <w:rPr>
              <w:rFonts w:ascii="Arial" w:hAnsi="Arial" w:cs="Arial"/>
              <w:noProof/>
            </w:rPr>
            <w:t>(Loader, 2007)</w:t>
          </w:r>
          <w:r>
            <w:rPr>
              <w:rFonts w:ascii="Arial" w:hAnsi="Arial" w:cs="Arial"/>
            </w:rPr>
            <w:fldChar w:fldCharType="end"/>
          </w:r>
        </w:sdtContent>
      </w:sdt>
      <w:r>
        <w:rPr>
          <w:rFonts w:ascii="Arial" w:hAnsi="Arial" w:cs="Arial"/>
        </w:rPr>
        <w:t>.</w:t>
      </w:r>
    </w:p>
    <w:p w14:paraId="48CDB768" w14:textId="77777777" w:rsidR="005A5CF8" w:rsidRPr="00A57038" w:rsidRDefault="005A5CF8" w:rsidP="007E22E3">
      <w:pPr>
        <w:jc w:val="both"/>
        <w:rPr>
          <w:rFonts w:ascii="Arial" w:hAnsi="Arial" w:cs="Arial"/>
        </w:rPr>
      </w:pPr>
      <w:r w:rsidRPr="00441C2A">
        <w:rPr>
          <w:rFonts w:ascii="Arial" w:hAnsi="Arial" w:cs="Arial"/>
          <w:noProof/>
        </w:rPr>
        <w:t>Parker, 2019</w:t>
      </w:r>
      <w:r>
        <w:rPr>
          <w:rFonts w:ascii="Arial" w:hAnsi="Arial" w:cs="Arial"/>
        </w:rPr>
        <w:t xml:space="preserve"> </w:t>
      </w:r>
      <w:r w:rsidRPr="00A57038">
        <w:rPr>
          <w:rFonts w:ascii="Arial" w:hAnsi="Arial" w:cs="Arial"/>
        </w:rPr>
        <w:t>argues that a ‘human rights compliant’ response is the only rationale option if democracies are to destroy terrorism and not themselves.  There are obvious parallels to this thinking when considering Schedule 7 and the lack of a requirement for the police officer utilising this power to have any grounds to suspect that a subject is in fact, engaged in terrorism.</w:t>
      </w:r>
    </w:p>
    <w:p w14:paraId="35BA64BE" w14:textId="1B0BFC52" w:rsidR="00073385" w:rsidRDefault="00073385" w:rsidP="007E22E3">
      <w:pPr>
        <w:jc w:val="both"/>
        <w:rPr>
          <w:rFonts w:ascii="Arial" w:hAnsi="Arial" w:cs="Arial"/>
        </w:rPr>
      </w:pPr>
      <w:bookmarkStart w:id="1" w:name="_Hlk170397407"/>
      <w:r>
        <w:rPr>
          <w:rFonts w:ascii="Arial" w:hAnsi="Arial" w:cs="Arial"/>
        </w:rPr>
        <w:t>The Common Travel Area</w:t>
      </w:r>
      <w:r w:rsidR="00D032A5">
        <w:rPr>
          <w:rFonts w:ascii="Arial" w:hAnsi="Arial" w:cs="Arial"/>
        </w:rPr>
        <w:t xml:space="preserve"> (CTA) is a long-standing arrangement between the UK, the Crown Dependencies (</w:t>
      </w:r>
      <w:r w:rsidR="008349A2">
        <w:rPr>
          <w:rFonts w:ascii="Arial" w:hAnsi="Arial" w:cs="Arial"/>
        </w:rPr>
        <w:t>Bailiwick</w:t>
      </w:r>
      <w:r w:rsidR="00D032A5">
        <w:rPr>
          <w:rFonts w:ascii="Arial" w:hAnsi="Arial" w:cs="Arial"/>
        </w:rPr>
        <w:t xml:space="preserve"> of jersey</w:t>
      </w:r>
      <w:r w:rsidR="00DE2C3F">
        <w:rPr>
          <w:rFonts w:ascii="Arial" w:hAnsi="Arial" w:cs="Arial"/>
        </w:rPr>
        <w:t xml:space="preserve">, </w:t>
      </w:r>
      <w:r w:rsidR="008349A2">
        <w:rPr>
          <w:rFonts w:ascii="Arial" w:hAnsi="Arial" w:cs="Arial"/>
        </w:rPr>
        <w:t>Bailiwick</w:t>
      </w:r>
      <w:r w:rsidR="00DE2C3F">
        <w:rPr>
          <w:rFonts w:ascii="Arial" w:hAnsi="Arial" w:cs="Arial"/>
        </w:rPr>
        <w:t xml:space="preserve"> of </w:t>
      </w:r>
      <w:r w:rsidR="00180461">
        <w:rPr>
          <w:rFonts w:ascii="Arial" w:hAnsi="Arial" w:cs="Arial"/>
        </w:rPr>
        <w:t>Guernsey,</w:t>
      </w:r>
      <w:r w:rsidR="00DE2C3F">
        <w:rPr>
          <w:rFonts w:ascii="Arial" w:hAnsi="Arial" w:cs="Arial"/>
        </w:rPr>
        <w:t xml:space="preserve"> and the Isle of Man) and Ireland that pre-dates both</w:t>
      </w:r>
      <w:r w:rsidR="008349A2">
        <w:rPr>
          <w:rFonts w:ascii="Arial" w:hAnsi="Arial" w:cs="Arial"/>
        </w:rPr>
        <w:t xml:space="preserve"> </w:t>
      </w:r>
      <w:r w:rsidR="00DE2C3F">
        <w:rPr>
          <w:rFonts w:ascii="Arial" w:hAnsi="Arial" w:cs="Arial"/>
        </w:rPr>
        <w:t xml:space="preserve">the British and Irish membership of the European Union </w:t>
      </w:r>
      <w:r w:rsidR="00C44D05">
        <w:rPr>
          <w:rFonts w:ascii="Arial" w:hAnsi="Arial" w:cs="Arial"/>
        </w:rPr>
        <w:t xml:space="preserve">and is not dependant on it </w:t>
      </w:r>
      <w:sdt>
        <w:sdtPr>
          <w:rPr>
            <w:rFonts w:ascii="Arial" w:hAnsi="Arial" w:cs="Arial"/>
          </w:rPr>
          <w:id w:val="-745405428"/>
          <w:citation/>
        </w:sdtPr>
        <w:sdtContent>
          <w:r w:rsidR="00C44D05">
            <w:rPr>
              <w:rFonts w:ascii="Arial" w:hAnsi="Arial" w:cs="Arial"/>
            </w:rPr>
            <w:fldChar w:fldCharType="begin"/>
          </w:r>
          <w:r w:rsidR="00C44D05">
            <w:rPr>
              <w:rFonts w:ascii="Arial" w:hAnsi="Arial" w:cs="Arial"/>
            </w:rPr>
            <w:instrText xml:space="preserve"> CITATION Hom23 \l 2057 </w:instrText>
          </w:r>
          <w:r w:rsidR="00C44D05">
            <w:rPr>
              <w:rFonts w:ascii="Arial" w:hAnsi="Arial" w:cs="Arial"/>
            </w:rPr>
            <w:fldChar w:fldCharType="separate"/>
          </w:r>
          <w:r w:rsidR="00C44D05" w:rsidRPr="00C44D05">
            <w:rPr>
              <w:rFonts w:ascii="Arial" w:hAnsi="Arial" w:cs="Arial"/>
              <w:noProof/>
            </w:rPr>
            <w:t>(Home Office, 2023)</w:t>
          </w:r>
          <w:r w:rsidR="00C44D05">
            <w:rPr>
              <w:rFonts w:ascii="Arial" w:hAnsi="Arial" w:cs="Arial"/>
            </w:rPr>
            <w:fldChar w:fldCharType="end"/>
          </w:r>
        </w:sdtContent>
      </w:sdt>
      <w:r w:rsidR="00C44D05">
        <w:rPr>
          <w:rFonts w:ascii="Arial" w:hAnsi="Arial" w:cs="Arial"/>
        </w:rPr>
        <w:t>.</w:t>
      </w:r>
      <w:r w:rsidR="008349A2">
        <w:rPr>
          <w:rFonts w:ascii="Arial" w:hAnsi="Arial" w:cs="Arial"/>
        </w:rPr>
        <w:t xml:space="preserve">  </w:t>
      </w:r>
      <w:r w:rsidR="002106CF">
        <w:rPr>
          <w:rFonts w:ascii="Arial" w:hAnsi="Arial" w:cs="Arial"/>
        </w:rPr>
        <w:t xml:space="preserve">The CTA was developed to facilitate the principle of free movement </w:t>
      </w:r>
      <w:r w:rsidR="00C63157">
        <w:rPr>
          <w:rFonts w:ascii="Arial" w:hAnsi="Arial" w:cs="Arial"/>
        </w:rPr>
        <w:t xml:space="preserve">for British and Irish citizens between the UK, </w:t>
      </w:r>
      <w:r w:rsidR="00180461">
        <w:rPr>
          <w:rFonts w:ascii="Arial" w:hAnsi="Arial" w:cs="Arial"/>
        </w:rPr>
        <w:t>Ireland,</w:t>
      </w:r>
      <w:r w:rsidR="00C63157">
        <w:rPr>
          <w:rFonts w:ascii="Arial" w:hAnsi="Arial" w:cs="Arial"/>
        </w:rPr>
        <w:t xml:space="preserve"> and the </w:t>
      </w:r>
      <w:r w:rsidR="00B3360A">
        <w:rPr>
          <w:rFonts w:ascii="Arial" w:hAnsi="Arial" w:cs="Arial"/>
        </w:rPr>
        <w:t>islands (Home Office, 2023).</w:t>
      </w:r>
    </w:p>
    <w:p w14:paraId="70BABF7D" w14:textId="6FFFE3DF" w:rsidR="00B3360A" w:rsidRDefault="00B3360A" w:rsidP="007E22E3">
      <w:pPr>
        <w:jc w:val="both"/>
        <w:rPr>
          <w:rFonts w:ascii="Arial" w:hAnsi="Arial" w:cs="Arial"/>
        </w:rPr>
      </w:pPr>
      <w:r>
        <w:rPr>
          <w:rFonts w:ascii="Arial" w:hAnsi="Arial" w:cs="Arial"/>
        </w:rPr>
        <w:t xml:space="preserve">The precis of the legislation </w:t>
      </w:r>
      <w:r w:rsidR="00B45282">
        <w:rPr>
          <w:rFonts w:ascii="Arial" w:hAnsi="Arial" w:cs="Arial"/>
        </w:rPr>
        <w:t>is to allow movement of persons between the relevant locations without passport controls</w:t>
      </w:r>
      <w:r w:rsidR="00465FAF">
        <w:rPr>
          <w:rFonts w:ascii="Arial" w:hAnsi="Arial" w:cs="Arial"/>
        </w:rPr>
        <w:t>, with the UK approach being that border checks are to be undertaken at the first point of entry to the CTA</w:t>
      </w:r>
      <w:r w:rsidR="00BF1816">
        <w:rPr>
          <w:rFonts w:ascii="Arial" w:hAnsi="Arial" w:cs="Arial"/>
        </w:rPr>
        <w:t>.</w:t>
      </w:r>
    </w:p>
    <w:p w14:paraId="7B6E793C" w14:textId="525FF2DB" w:rsidR="00A57038" w:rsidRPr="00A57038" w:rsidRDefault="00A57038" w:rsidP="007E22E3">
      <w:pPr>
        <w:jc w:val="both"/>
        <w:rPr>
          <w:rFonts w:ascii="Arial" w:hAnsi="Arial" w:cs="Arial"/>
        </w:rPr>
      </w:pPr>
      <w:r w:rsidRPr="00A57038">
        <w:rPr>
          <w:rFonts w:ascii="Arial" w:hAnsi="Arial" w:cs="Arial"/>
        </w:rPr>
        <w:t xml:space="preserve">In existence since the 1920’s, the Common Travel Area operated without much debate until Brexit forced the CTA to the forefront of the UK’s political discourse </w:t>
      </w:r>
      <w:sdt>
        <w:sdtPr>
          <w:rPr>
            <w:rFonts w:ascii="Arial" w:hAnsi="Arial" w:cs="Arial"/>
          </w:rPr>
          <w:id w:val="-85840272"/>
          <w:citation/>
        </w:sdtPr>
        <w:sdtContent>
          <w:r w:rsidR="00A847C1">
            <w:rPr>
              <w:rFonts w:ascii="Arial" w:hAnsi="Arial" w:cs="Arial"/>
            </w:rPr>
            <w:fldChar w:fldCharType="begin"/>
          </w:r>
          <w:r w:rsidR="00A847C1">
            <w:rPr>
              <w:rFonts w:ascii="Arial" w:hAnsi="Arial" w:cs="Arial"/>
            </w:rPr>
            <w:instrText xml:space="preserve"> CITATION deM20 \l 2057 </w:instrText>
          </w:r>
          <w:r w:rsidR="00A847C1">
            <w:rPr>
              <w:rFonts w:ascii="Arial" w:hAnsi="Arial" w:cs="Arial"/>
            </w:rPr>
            <w:fldChar w:fldCharType="separate"/>
          </w:r>
          <w:r w:rsidR="00A847C1" w:rsidRPr="00A847C1">
            <w:rPr>
              <w:rFonts w:ascii="Arial" w:hAnsi="Arial" w:cs="Arial"/>
              <w:noProof/>
            </w:rPr>
            <w:t>(de Mars, 2020)</w:t>
          </w:r>
          <w:r w:rsidR="00A847C1">
            <w:rPr>
              <w:rFonts w:ascii="Arial" w:hAnsi="Arial" w:cs="Arial"/>
            </w:rPr>
            <w:fldChar w:fldCharType="end"/>
          </w:r>
        </w:sdtContent>
      </w:sdt>
      <w:r w:rsidR="00A847C1">
        <w:rPr>
          <w:rFonts w:ascii="Arial" w:hAnsi="Arial" w:cs="Arial"/>
        </w:rPr>
        <w:t xml:space="preserve"> </w:t>
      </w:r>
      <w:r w:rsidRPr="00A57038">
        <w:rPr>
          <w:rFonts w:ascii="Arial" w:hAnsi="Arial" w:cs="Arial"/>
        </w:rPr>
        <w:t>and thus providing opportunities for renewed research.</w:t>
      </w:r>
    </w:p>
    <w:p w14:paraId="034F375A" w14:textId="3A898D6B" w:rsidR="00DD1E50" w:rsidRDefault="00A57038" w:rsidP="007E22E3">
      <w:pPr>
        <w:jc w:val="both"/>
        <w:rPr>
          <w:rFonts w:ascii="Arial" w:hAnsi="Arial" w:cs="Arial"/>
        </w:rPr>
      </w:pPr>
      <w:r w:rsidRPr="00A57038">
        <w:rPr>
          <w:rFonts w:ascii="Arial" w:hAnsi="Arial" w:cs="Arial"/>
        </w:rPr>
        <w:t>Following the UK leaving the European Union the norms of European wide membership of important EU instruments such as the European Arrest Warrant, agencies like Europol and Eurojust, and crime and terrorism databases poses a recognised threat to both British and European security.  Given this, Irish officials have rightly emphasised the importance of the Common Travel Area (CTA), which has been acknowledged in EU documents on Brexit. It is challenging to separate terrorist activities from other types of crime in the border region, such as smuggling</w:t>
      </w:r>
      <w:sdt>
        <w:sdtPr>
          <w:rPr>
            <w:rFonts w:ascii="Arial" w:hAnsi="Arial" w:cs="Arial"/>
          </w:rPr>
          <w:id w:val="-647280307"/>
          <w:citation/>
        </w:sdtPr>
        <w:sdtContent>
          <w:r w:rsidR="00CA7195">
            <w:rPr>
              <w:rFonts w:ascii="Arial" w:hAnsi="Arial" w:cs="Arial"/>
            </w:rPr>
            <w:fldChar w:fldCharType="begin"/>
          </w:r>
          <w:r w:rsidR="00CA7195">
            <w:rPr>
              <w:rFonts w:ascii="Arial" w:hAnsi="Arial" w:cs="Arial"/>
            </w:rPr>
            <w:instrText xml:space="preserve"> CITATION Bur20 \l 2057 </w:instrText>
          </w:r>
          <w:r w:rsidR="00CA7195">
            <w:rPr>
              <w:rFonts w:ascii="Arial" w:hAnsi="Arial" w:cs="Arial"/>
            </w:rPr>
            <w:fldChar w:fldCharType="separate"/>
          </w:r>
          <w:r w:rsidR="00CA7195">
            <w:rPr>
              <w:rFonts w:ascii="Arial" w:hAnsi="Arial" w:cs="Arial"/>
              <w:noProof/>
            </w:rPr>
            <w:t xml:space="preserve"> </w:t>
          </w:r>
          <w:r w:rsidR="00CA7195" w:rsidRPr="00CA7195">
            <w:rPr>
              <w:rFonts w:ascii="Arial" w:hAnsi="Arial" w:cs="Arial"/>
              <w:noProof/>
            </w:rPr>
            <w:t>(Burke, 2020)</w:t>
          </w:r>
          <w:r w:rsidR="00CA7195">
            <w:rPr>
              <w:rFonts w:ascii="Arial" w:hAnsi="Arial" w:cs="Arial"/>
            </w:rPr>
            <w:fldChar w:fldCharType="end"/>
          </w:r>
        </w:sdtContent>
      </w:sdt>
      <w:r w:rsidR="00CA7195">
        <w:rPr>
          <w:rFonts w:ascii="Arial" w:hAnsi="Arial" w:cs="Arial"/>
        </w:rPr>
        <w:t>.</w:t>
      </w:r>
    </w:p>
    <w:bookmarkEnd w:id="1"/>
    <w:p w14:paraId="3925267E" w14:textId="58CF29A0" w:rsidR="00D91B02" w:rsidRDefault="008A229E" w:rsidP="007E22E3">
      <w:pPr>
        <w:jc w:val="both"/>
        <w:rPr>
          <w:rFonts w:ascii="Arial" w:hAnsi="Arial" w:cs="Arial"/>
        </w:rPr>
      </w:pPr>
      <w:r w:rsidRPr="008A229E">
        <w:rPr>
          <w:rFonts w:ascii="Arial" w:hAnsi="Arial" w:cs="Arial"/>
        </w:rPr>
        <w:t xml:space="preserve">The research aims to add value to this under-researched area of policing and seeks to answer </w:t>
      </w:r>
      <w:r>
        <w:rPr>
          <w:rFonts w:ascii="Arial" w:hAnsi="Arial" w:cs="Arial"/>
        </w:rPr>
        <w:t>four</w:t>
      </w:r>
      <w:r w:rsidRPr="008A229E">
        <w:rPr>
          <w:rFonts w:ascii="Arial" w:hAnsi="Arial" w:cs="Arial"/>
        </w:rPr>
        <w:t xml:space="preserve"> research questions</w:t>
      </w:r>
      <w:r>
        <w:rPr>
          <w:rFonts w:ascii="Arial" w:hAnsi="Arial" w:cs="Arial"/>
        </w:rPr>
        <w:t>:</w:t>
      </w:r>
    </w:p>
    <w:p w14:paraId="6EC45DE5" w14:textId="77777777" w:rsidR="00DE4CBE" w:rsidRPr="00DE4CBE" w:rsidRDefault="00DE4CBE" w:rsidP="007E22E3">
      <w:pPr>
        <w:jc w:val="both"/>
        <w:rPr>
          <w:rFonts w:ascii="Arial" w:hAnsi="Arial" w:cs="Arial"/>
        </w:rPr>
      </w:pPr>
    </w:p>
    <w:p w14:paraId="7E53161F" w14:textId="77777777" w:rsidR="00DE4CBE" w:rsidRPr="00DE4CBE" w:rsidRDefault="00DE4CBE" w:rsidP="00DE4CBE">
      <w:pPr>
        <w:ind w:left="720"/>
        <w:rPr>
          <w:rFonts w:ascii="Arial" w:hAnsi="Arial" w:cs="Arial"/>
        </w:rPr>
      </w:pPr>
      <w:bookmarkStart w:id="2" w:name="_Hlk170424647"/>
      <w:r w:rsidRPr="00DE4CBE">
        <w:rPr>
          <w:rFonts w:ascii="Arial" w:hAnsi="Arial" w:cs="Arial"/>
        </w:rPr>
        <w:t>1.</w:t>
      </w:r>
      <w:r w:rsidRPr="00DE4CBE">
        <w:rPr>
          <w:rFonts w:ascii="Arial" w:hAnsi="Arial" w:cs="Arial"/>
        </w:rPr>
        <w:tab/>
        <w:t>To critically evaluate the overall effectiveness of Schedule 7 Terrorism Act 2000 in keeping the UK safe.</w:t>
      </w:r>
    </w:p>
    <w:p w14:paraId="54848DE2" w14:textId="77777777" w:rsidR="00DE4CBE" w:rsidRPr="00DE4CBE" w:rsidRDefault="00DE4CBE" w:rsidP="00DE4CBE">
      <w:pPr>
        <w:ind w:left="720"/>
        <w:rPr>
          <w:rFonts w:ascii="Arial" w:hAnsi="Arial" w:cs="Arial"/>
        </w:rPr>
      </w:pPr>
      <w:r w:rsidRPr="00DE4CBE">
        <w:rPr>
          <w:rFonts w:ascii="Arial" w:hAnsi="Arial" w:cs="Arial"/>
        </w:rPr>
        <w:lastRenderedPageBreak/>
        <w:t>2.</w:t>
      </w:r>
      <w:r w:rsidRPr="00DE4CBE">
        <w:rPr>
          <w:rFonts w:ascii="Arial" w:hAnsi="Arial" w:cs="Arial"/>
        </w:rPr>
        <w:tab/>
        <w:t xml:space="preserve">Assess the legal and ethical implications of Schedule 7 in terms of civil liberties, human </w:t>
      </w:r>
      <w:proofErr w:type="gramStart"/>
      <w:r w:rsidRPr="00DE4CBE">
        <w:rPr>
          <w:rFonts w:ascii="Arial" w:hAnsi="Arial" w:cs="Arial"/>
        </w:rPr>
        <w:t>rights</w:t>
      </w:r>
      <w:proofErr w:type="gramEnd"/>
      <w:r w:rsidRPr="00DE4CBE">
        <w:rPr>
          <w:rFonts w:ascii="Arial" w:hAnsi="Arial" w:cs="Arial"/>
        </w:rPr>
        <w:t xml:space="preserve"> and privacy concerns.</w:t>
      </w:r>
    </w:p>
    <w:p w14:paraId="7C440338" w14:textId="77777777" w:rsidR="00DE4CBE" w:rsidRPr="00DE4CBE" w:rsidRDefault="00DE4CBE" w:rsidP="00DE4CBE">
      <w:pPr>
        <w:ind w:left="720"/>
        <w:rPr>
          <w:rFonts w:ascii="Arial" w:hAnsi="Arial" w:cs="Arial"/>
        </w:rPr>
      </w:pPr>
      <w:r w:rsidRPr="00DE4CBE">
        <w:rPr>
          <w:rFonts w:ascii="Arial" w:hAnsi="Arial" w:cs="Arial"/>
        </w:rPr>
        <w:t>3.</w:t>
      </w:r>
      <w:r w:rsidRPr="00DE4CBE">
        <w:rPr>
          <w:rFonts w:ascii="Arial" w:hAnsi="Arial" w:cs="Arial"/>
        </w:rPr>
        <w:tab/>
        <w:t>Examine the impact of Schedule 7 on the freedom of movement within the Common Travel Area (CTA) and its effectiveness in balancing security and individual rights and freedoms.</w:t>
      </w:r>
    </w:p>
    <w:p w14:paraId="34F58931" w14:textId="583C7FAA" w:rsidR="008A229E" w:rsidRDefault="00DE4CBE" w:rsidP="00DE4CBE">
      <w:pPr>
        <w:ind w:left="720"/>
        <w:rPr>
          <w:rFonts w:ascii="Arial" w:hAnsi="Arial" w:cs="Arial"/>
        </w:rPr>
      </w:pPr>
      <w:r w:rsidRPr="00DE4CBE">
        <w:rPr>
          <w:rFonts w:ascii="Arial" w:hAnsi="Arial" w:cs="Arial"/>
        </w:rPr>
        <w:t>4.</w:t>
      </w:r>
      <w:r w:rsidRPr="00DE4CBE">
        <w:rPr>
          <w:rFonts w:ascii="Arial" w:hAnsi="Arial" w:cs="Arial"/>
        </w:rPr>
        <w:tab/>
        <w:t>Formulate opinions based on the findings of the analysis to enhance the effectiveness of the use of Schedule 7 at CTA Ports whilst ensuring the protection of civil liberties and human rights.</w:t>
      </w:r>
    </w:p>
    <w:bookmarkEnd w:id="2"/>
    <w:p w14:paraId="69387538" w14:textId="22BB0573" w:rsidR="00D91B02" w:rsidRDefault="00D91B02" w:rsidP="007E22E3">
      <w:pPr>
        <w:jc w:val="both"/>
        <w:rPr>
          <w:rFonts w:ascii="Arial" w:hAnsi="Arial" w:cs="Arial"/>
        </w:rPr>
      </w:pPr>
    </w:p>
    <w:p w14:paraId="2850FF45" w14:textId="0EC2E114" w:rsidR="0048790C" w:rsidRPr="00DE4CBE" w:rsidRDefault="00BE168E" w:rsidP="007E22E3">
      <w:pPr>
        <w:jc w:val="both"/>
        <w:rPr>
          <w:rFonts w:ascii="Arial" w:hAnsi="Arial" w:cs="Arial"/>
        </w:rPr>
      </w:pPr>
      <w:r>
        <w:rPr>
          <w:rFonts w:ascii="Arial" w:hAnsi="Arial" w:cs="Arial"/>
        </w:rPr>
        <w:t xml:space="preserve">These research aims will </w:t>
      </w:r>
      <w:r w:rsidR="00BB6174">
        <w:rPr>
          <w:rFonts w:ascii="Arial" w:hAnsi="Arial" w:cs="Arial"/>
        </w:rPr>
        <w:t>advance understanding of the effectiveness of Schedule 7 in detecting and preventing terrorist activity within the Common Travel Area</w:t>
      </w:r>
      <w:r w:rsidR="00925F11">
        <w:rPr>
          <w:rFonts w:ascii="Arial" w:hAnsi="Arial" w:cs="Arial"/>
        </w:rPr>
        <w:t xml:space="preserve"> which is particularly relevant following the exit from the EU by the United Kingdom</w:t>
      </w:r>
      <w:r w:rsidR="00C97EBA">
        <w:rPr>
          <w:rFonts w:ascii="Arial" w:hAnsi="Arial" w:cs="Arial"/>
        </w:rPr>
        <w:t xml:space="preserve"> </w:t>
      </w:r>
      <w:r w:rsidR="00925F11">
        <w:rPr>
          <w:rFonts w:ascii="Arial" w:hAnsi="Arial" w:cs="Arial"/>
        </w:rPr>
        <w:t>(</w:t>
      </w:r>
      <w:r w:rsidR="00C97EBA">
        <w:rPr>
          <w:rFonts w:ascii="Arial" w:hAnsi="Arial" w:cs="Arial"/>
        </w:rPr>
        <w:t>De Mars, 2020</w:t>
      </w:r>
      <w:r w:rsidR="00925F11">
        <w:rPr>
          <w:rFonts w:ascii="Arial" w:hAnsi="Arial" w:cs="Arial"/>
        </w:rPr>
        <w:t>) and the impact of Government Policy around immigration, such as the current governments Rwanda Policy</w:t>
      </w:r>
      <w:r w:rsidR="008A5405">
        <w:rPr>
          <w:rFonts w:ascii="Arial" w:hAnsi="Arial" w:cs="Arial"/>
        </w:rPr>
        <w:t xml:space="preserve"> which lends itself to abuse of the Common Travel Area </w:t>
      </w:r>
      <w:sdt>
        <w:sdtPr>
          <w:rPr>
            <w:rFonts w:ascii="Arial" w:hAnsi="Arial" w:cs="Arial"/>
          </w:rPr>
          <w:id w:val="-1418941052"/>
          <w:citation/>
        </w:sdtPr>
        <w:sdtContent>
          <w:r w:rsidR="00B06856">
            <w:rPr>
              <w:rFonts w:ascii="Arial" w:hAnsi="Arial" w:cs="Arial"/>
            </w:rPr>
            <w:fldChar w:fldCharType="begin"/>
          </w:r>
          <w:r w:rsidR="00B06856">
            <w:rPr>
              <w:rFonts w:ascii="Arial" w:hAnsi="Arial" w:cs="Arial"/>
            </w:rPr>
            <w:instrText xml:space="preserve"> CITATION Reu24 \l 2057 </w:instrText>
          </w:r>
          <w:r w:rsidR="00B06856">
            <w:rPr>
              <w:rFonts w:ascii="Arial" w:hAnsi="Arial" w:cs="Arial"/>
            </w:rPr>
            <w:fldChar w:fldCharType="separate"/>
          </w:r>
          <w:r w:rsidR="00B06856">
            <w:rPr>
              <w:rFonts w:ascii="Arial" w:hAnsi="Arial" w:cs="Arial"/>
              <w:noProof/>
            </w:rPr>
            <w:t xml:space="preserve"> </w:t>
          </w:r>
          <w:r w:rsidR="00B06856" w:rsidRPr="00B06856">
            <w:rPr>
              <w:rFonts w:ascii="Arial" w:hAnsi="Arial" w:cs="Arial"/>
              <w:noProof/>
            </w:rPr>
            <w:t>(Reuters, 2024)</w:t>
          </w:r>
          <w:r w:rsidR="00B06856">
            <w:rPr>
              <w:rFonts w:ascii="Arial" w:hAnsi="Arial" w:cs="Arial"/>
            </w:rPr>
            <w:fldChar w:fldCharType="end"/>
          </w:r>
        </w:sdtContent>
      </w:sdt>
      <w:r w:rsidR="00B06856">
        <w:rPr>
          <w:rFonts w:ascii="Arial" w:hAnsi="Arial" w:cs="Arial"/>
        </w:rPr>
        <w:t>.</w:t>
      </w:r>
    </w:p>
    <w:p w14:paraId="02397CC8" w14:textId="15594B42" w:rsidR="00125EC5" w:rsidRDefault="00D52DCA" w:rsidP="007E22E3">
      <w:pPr>
        <w:jc w:val="both"/>
        <w:rPr>
          <w:rFonts w:ascii="Arial" w:hAnsi="Arial" w:cs="Arial"/>
        </w:rPr>
      </w:pPr>
      <w:r>
        <w:rPr>
          <w:rFonts w:ascii="Arial" w:hAnsi="Arial" w:cs="Arial"/>
        </w:rPr>
        <w:t xml:space="preserve">To facilitate </w:t>
      </w:r>
      <w:r w:rsidR="00F31783">
        <w:rPr>
          <w:rFonts w:ascii="Arial" w:hAnsi="Arial" w:cs="Arial"/>
        </w:rPr>
        <w:t xml:space="preserve">my research, two primary research methods will be used: a thourough review of relevant literature and the collection </w:t>
      </w:r>
      <w:r w:rsidR="004802AE">
        <w:rPr>
          <w:rFonts w:ascii="Arial" w:hAnsi="Arial" w:cs="Arial"/>
        </w:rPr>
        <w:t>and analysis of empirical data.</w:t>
      </w:r>
    </w:p>
    <w:p w14:paraId="176FCDF5" w14:textId="77777777" w:rsidR="001C32AE" w:rsidRDefault="0091790C" w:rsidP="007E22E3">
      <w:pPr>
        <w:jc w:val="both"/>
        <w:rPr>
          <w:rFonts w:ascii="Arial" w:hAnsi="Arial" w:cs="Arial"/>
        </w:rPr>
      </w:pPr>
      <w:r w:rsidRPr="0091790C">
        <w:rPr>
          <w:rFonts w:ascii="Arial" w:hAnsi="Arial" w:cs="Arial"/>
        </w:rPr>
        <w:t xml:space="preserve">The </w:t>
      </w:r>
      <w:r w:rsidR="004802AE">
        <w:rPr>
          <w:rFonts w:ascii="Arial" w:hAnsi="Arial" w:cs="Arial"/>
        </w:rPr>
        <w:t xml:space="preserve">literature review </w:t>
      </w:r>
      <w:r w:rsidRPr="0091790C">
        <w:rPr>
          <w:rFonts w:ascii="Arial" w:hAnsi="Arial" w:cs="Arial"/>
        </w:rPr>
        <w:t xml:space="preserve">will </w:t>
      </w:r>
      <w:r w:rsidR="004802AE">
        <w:rPr>
          <w:rFonts w:ascii="Arial" w:hAnsi="Arial" w:cs="Arial"/>
        </w:rPr>
        <w:t xml:space="preserve">examine </w:t>
      </w:r>
      <w:r w:rsidRPr="0091790C">
        <w:rPr>
          <w:rFonts w:ascii="Arial" w:hAnsi="Arial" w:cs="Arial"/>
        </w:rPr>
        <w:t xml:space="preserve">a collection of literature sources which will include journals, books, Government publications and strategy papers.  Examples of these will include the United Nations Global Counter Terrorism Strategy, The Journal of Policing, Intelligence and Counter Terrorism and the UK Governments most recent counter terrorism strategy, Contest (HM Government, 2023).  </w:t>
      </w:r>
    </w:p>
    <w:p w14:paraId="090F0EAF" w14:textId="335AA342" w:rsidR="0091790C" w:rsidRPr="0091790C" w:rsidRDefault="001C32AE" w:rsidP="007E22E3">
      <w:pPr>
        <w:jc w:val="both"/>
        <w:rPr>
          <w:rFonts w:ascii="Arial" w:hAnsi="Arial" w:cs="Arial"/>
        </w:rPr>
      </w:pPr>
      <w:r>
        <w:rPr>
          <w:rFonts w:ascii="Arial" w:hAnsi="Arial" w:cs="Arial"/>
        </w:rPr>
        <w:t>A collection and analysis of empirical data</w:t>
      </w:r>
      <w:r w:rsidR="002D409F">
        <w:rPr>
          <w:rFonts w:ascii="Arial" w:hAnsi="Arial" w:cs="Arial"/>
        </w:rPr>
        <w:t xml:space="preserve"> </w:t>
      </w:r>
      <w:r w:rsidR="0091790C" w:rsidRPr="0091790C">
        <w:rPr>
          <w:rFonts w:ascii="Arial" w:hAnsi="Arial" w:cs="Arial"/>
        </w:rPr>
        <w:t xml:space="preserve">will be accomplished through a mixed method of data collection </w:t>
      </w:r>
      <w:proofErr w:type="gramStart"/>
      <w:r w:rsidR="0091790C" w:rsidRPr="0091790C">
        <w:rPr>
          <w:rFonts w:ascii="Arial" w:hAnsi="Arial" w:cs="Arial"/>
        </w:rPr>
        <w:t>in order to</w:t>
      </w:r>
      <w:proofErr w:type="gramEnd"/>
      <w:r w:rsidR="0091790C" w:rsidRPr="0091790C">
        <w:rPr>
          <w:rFonts w:ascii="Arial" w:hAnsi="Arial" w:cs="Arial"/>
        </w:rPr>
        <w:t xml:space="preserve"> accumulate qualitative and quantitative data.</w:t>
      </w:r>
      <w:r w:rsidR="00D15D27">
        <w:rPr>
          <w:rFonts w:ascii="Arial" w:hAnsi="Arial" w:cs="Arial"/>
          <w:noProof/>
        </w:rPr>
        <w:t xml:space="preserve"> </w:t>
      </w:r>
      <w:r w:rsidR="00D15D27" w:rsidRPr="00D15D27">
        <w:rPr>
          <w:rFonts w:ascii="Arial" w:hAnsi="Arial" w:cs="Arial"/>
          <w:noProof/>
        </w:rPr>
        <w:t>Lakshman</w:t>
      </w:r>
      <w:r w:rsidR="002E1FB6">
        <w:rPr>
          <w:rFonts w:ascii="Arial" w:hAnsi="Arial" w:cs="Arial"/>
          <w:noProof/>
        </w:rPr>
        <w:t xml:space="preserve"> (</w:t>
      </w:r>
      <w:r w:rsidR="00D15D27" w:rsidRPr="00D15D27">
        <w:rPr>
          <w:rFonts w:ascii="Arial" w:hAnsi="Arial" w:cs="Arial"/>
          <w:noProof/>
        </w:rPr>
        <w:t>2000</w:t>
      </w:r>
      <w:r w:rsidR="002E1FB6">
        <w:rPr>
          <w:rFonts w:ascii="Arial" w:hAnsi="Arial" w:cs="Arial"/>
          <w:noProof/>
        </w:rPr>
        <w:t xml:space="preserve">), </w:t>
      </w:r>
      <w:r w:rsidR="0091790C" w:rsidRPr="0091790C">
        <w:rPr>
          <w:rFonts w:ascii="Arial" w:hAnsi="Arial" w:cs="Arial"/>
        </w:rPr>
        <w:t xml:space="preserve">argues that whilst quantitative data provides scientific credibility given that things can be counted and measured, it is the mixed method of analysis that adds greater value and provides for qualitative methods to take a holistic perspective preserving the complexities of human </w:t>
      </w:r>
      <w:r w:rsidR="003865CC" w:rsidRPr="0091790C">
        <w:rPr>
          <w:rFonts w:ascii="Arial" w:hAnsi="Arial" w:cs="Arial"/>
        </w:rPr>
        <w:t>behaviour</w:t>
      </w:r>
      <w:r w:rsidR="0091790C" w:rsidRPr="0091790C">
        <w:rPr>
          <w:rFonts w:ascii="Arial" w:hAnsi="Arial" w:cs="Arial"/>
        </w:rPr>
        <w:t xml:space="preserve"> by addressing the “why” and “how” questions.</w:t>
      </w:r>
    </w:p>
    <w:p w14:paraId="12199A2E" w14:textId="77777777" w:rsidR="004B00D7" w:rsidRDefault="0091790C" w:rsidP="007E22E3">
      <w:pPr>
        <w:jc w:val="both"/>
        <w:rPr>
          <w:rFonts w:ascii="Arial" w:hAnsi="Arial" w:cs="Arial"/>
        </w:rPr>
      </w:pPr>
      <w:r w:rsidRPr="0091790C">
        <w:rPr>
          <w:rFonts w:ascii="Arial" w:hAnsi="Arial" w:cs="Arial"/>
        </w:rPr>
        <w:t xml:space="preserve">There is publicly accessible data available that reports on the use of Schedule 7 powers, including from organisations such as Stopwatch and Liberty.  The researcher will also consider the use of Freedom of Information requests where necessary.  </w:t>
      </w:r>
    </w:p>
    <w:p w14:paraId="3E6FF686" w14:textId="22D005FE" w:rsidR="004B00D7" w:rsidRDefault="0091790C" w:rsidP="007E22E3">
      <w:pPr>
        <w:jc w:val="both"/>
        <w:rPr>
          <w:rFonts w:ascii="Arial" w:hAnsi="Arial" w:cs="Arial"/>
        </w:rPr>
      </w:pPr>
      <w:r w:rsidRPr="0091790C">
        <w:rPr>
          <w:rFonts w:ascii="Arial" w:hAnsi="Arial" w:cs="Arial"/>
        </w:rPr>
        <w:t>Th</w:t>
      </w:r>
      <w:r w:rsidR="00EE5ED6">
        <w:rPr>
          <w:rFonts w:ascii="Arial" w:hAnsi="Arial" w:cs="Arial"/>
        </w:rPr>
        <w:t>is research</w:t>
      </w:r>
      <w:r w:rsidRPr="0091790C">
        <w:rPr>
          <w:rFonts w:ascii="Arial" w:hAnsi="Arial" w:cs="Arial"/>
        </w:rPr>
        <w:t xml:space="preserve"> will employ a </w:t>
      </w:r>
      <w:r w:rsidR="003865CC" w:rsidRPr="0091790C">
        <w:rPr>
          <w:rFonts w:ascii="Arial" w:hAnsi="Arial" w:cs="Arial"/>
        </w:rPr>
        <w:t>quantitative</w:t>
      </w:r>
      <w:r w:rsidRPr="0091790C">
        <w:rPr>
          <w:rFonts w:ascii="Arial" w:hAnsi="Arial" w:cs="Arial"/>
        </w:rPr>
        <w:t xml:space="preserve"> approach to collect and analyse data and use a cross-sectional design where data can be obtained relatively quickly in comparison to longitudinal designs that would require a follow up over time </w:t>
      </w:r>
      <w:sdt>
        <w:sdtPr>
          <w:rPr>
            <w:rFonts w:ascii="Arial" w:hAnsi="Arial" w:cs="Arial"/>
          </w:rPr>
          <w:id w:val="-899441035"/>
          <w:citation/>
        </w:sdtPr>
        <w:sdtContent>
          <w:r w:rsidR="00D15D27">
            <w:rPr>
              <w:rFonts w:ascii="Arial" w:hAnsi="Arial" w:cs="Arial"/>
            </w:rPr>
            <w:fldChar w:fldCharType="begin"/>
          </w:r>
          <w:r w:rsidR="00D15D27">
            <w:rPr>
              <w:rFonts w:ascii="Arial" w:hAnsi="Arial" w:cs="Arial"/>
            </w:rPr>
            <w:instrText xml:space="preserve"> CITATION Rin08 \l 2057 </w:instrText>
          </w:r>
          <w:r w:rsidR="00D15D27">
            <w:rPr>
              <w:rFonts w:ascii="Arial" w:hAnsi="Arial" w:cs="Arial"/>
            </w:rPr>
            <w:fldChar w:fldCharType="separate"/>
          </w:r>
          <w:r w:rsidR="00D15D27">
            <w:rPr>
              <w:rFonts w:ascii="Arial" w:hAnsi="Arial" w:cs="Arial"/>
              <w:noProof/>
            </w:rPr>
            <w:t xml:space="preserve"> </w:t>
          </w:r>
          <w:r w:rsidR="00D15D27" w:rsidRPr="00D15D27">
            <w:rPr>
              <w:rFonts w:ascii="Arial" w:hAnsi="Arial" w:cs="Arial"/>
              <w:noProof/>
            </w:rPr>
            <w:t>(Rindfleisch, 2008)</w:t>
          </w:r>
          <w:r w:rsidR="00D15D27">
            <w:rPr>
              <w:rFonts w:ascii="Arial" w:hAnsi="Arial" w:cs="Arial"/>
            </w:rPr>
            <w:fldChar w:fldCharType="end"/>
          </w:r>
        </w:sdtContent>
      </w:sdt>
      <w:r w:rsidR="00D15D27">
        <w:rPr>
          <w:rFonts w:ascii="Arial" w:hAnsi="Arial" w:cs="Arial"/>
        </w:rPr>
        <w:t>.</w:t>
      </w:r>
    </w:p>
    <w:p w14:paraId="6E2B82E2" w14:textId="56B474EF" w:rsidR="0091790C" w:rsidRPr="0091790C" w:rsidRDefault="0091790C" w:rsidP="007E22E3">
      <w:pPr>
        <w:jc w:val="both"/>
        <w:rPr>
          <w:rFonts w:ascii="Arial" w:hAnsi="Arial" w:cs="Arial"/>
        </w:rPr>
      </w:pPr>
      <w:r w:rsidRPr="0091790C">
        <w:rPr>
          <w:rFonts w:ascii="Arial" w:hAnsi="Arial" w:cs="Arial"/>
        </w:rPr>
        <w:t>The intended participants will be employees of the four Welsh forces and wider Counter Terrorism Police Wales (CTPW) colleagues.  The researcher has obtained permission from the organisation (Dyfed-Powys Police</w:t>
      </w:r>
      <w:r w:rsidR="00540390">
        <w:rPr>
          <w:rFonts w:ascii="Arial" w:hAnsi="Arial" w:cs="Arial"/>
        </w:rPr>
        <w:t>, Counter Terrorism Policing</w:t>
      </w:r>
      <w:r w:rsidRPr="0091790C">
        <w:rPr>
          <w:rFonts w:ascii="Arial" w:hAnsi="Arial" w:cs="Arial"/>
        </w:rPr>
        <w:t xml:space="preserve"> and South Wales Police as lead force for CTPW to </w:t>
      </w:r>
      <w:r w:rsidR="00AC2162">
        <w:rPr>
          <w:rFonts w:ascii="Arial" w:hAnsi="Arial" w:cs="Arial"/>
        </w:rPr>
        <w:t xml:space="preserve">conduct this research but will not utilise data held on police </w:t>
      </w:r>
      <w:r w:rsidR="005A2917">
        <w:rPr>
          <w:rFonts w:ascii="Arial" w:hAnsi="Arial" w:cs="Arial"/>
        </w:rPr>
        <w:t xml:space="preserve">or partner </w:t>
      </w:r>
      <w:r w:rsidR="00AC2162">
        <w:rPr>
          <w:rFonts w:ascii="Arial" w:hAnsi="Arial" w:cs="Arial"/>
        </w:rPr>
        <w:t>systems</w:t>
      </w:r>
      <w:r w:rsidR="005A2917">
        <w:rPr>
          <w:rFonts w:ascii="Arial" w:hAnsi="Arial" w:cs="Arial"/>
        </w:rPr>
        <w:t xml:space="preserve">.  </w:t>
      </w:r>
      <w:r w:rsidRPr="0091790C">
        <w:rPr>
          <w:rFonts w:ascii="Arial" w:hAnsi="Arial" w:cs="Arial"/>
        </w:rPr>
        <w:t>Th</w:t>
      </w:r>
      <w:r w:rsidR="005A2917">
        <w:rPr>
          <w:rFonts w:ascii="Arial" w:hAnsi="Arial" w:cs="Arial"/>
        </w:rPr>
        <w:t>is research</w:t>
      </w:r>
      <w:r w:rsidRPr="0091790C">
        <w:rPr>
          <w:rFonts w:ascii="Arial" w:hAnsi="Arial" w:cs="Arial"/>
        </w:rPr>
        <w:t xml:space="preserve"> will not </w:t>
      </w:r>
      <w:r w:rsidR="005A2917">
        <w:rPr>
          <w:rFonts w:ascii="Arial" w:hAnsi="Arial" w:cs="Arial"/>
        </w:rPr>
        <w:t xml:space="preserve">necessitate formal </w:t>
      </w:r>
      <w:r w:rsidRPr="0091790C">
        <w:rPr>
          <w:rFonts w:ascii="Arial" w:hAnsi="Arial" w:cs="Arial"/>
        </w:rPr>
        <w:t>engage</w:t>
      </w:r>
      <w:r w:rsidR="005A2917">
        <w:rPr>
          <w:rFonts w:ascii="Arial" w:hAnsi="Arial" w:cs="Arial"/>
        </w:rPr>
        <w:t>ment</w:t>
      </w:r>
      <w:r w:rsidRPr="0091790C">
        <w:rPr>
          <w:rFonts w:ascii="Arial" w:hAnsi="Arial" w:cs="Arial"/>
        </w:rPr>
        <w:t xml:space="preserve"> with partners, such as National Crime Agency or Border Force or members of the </w:t>
      </w:r>
      <w:r w:rsidR="00A30582">
        <w:rPr>
          <w:rFonts w:ascii="Arial" w:hAnsi="Arial" w:cs="Arial"/>
        </w:rPr>
        <w:t>public given the sensitivities and observations raised by Counter Terrorism Policing.</w:t>
      </w:r>
    </w:p>
    <w:p w14:paraId="0B5ECF4C" w14:textId="77777777" w:rsidR="0091790C" w:rsidRPr="0091790C" w:rsidRDefault="0091790C" w:rsidP="007E22E3">
      <w:pPr>
        <w:jc w:val="both"/>
        <w:rPr>
          <w:rFonts w:ascii="Arial" w:hAnsi="Arial" w:cs="Arial"/>
        </w:rPr>
      </w:pPr>
      <w:r w:rsidRPr="0091790C">
        <w:rPr>
          <w:rFonts w:ascii="Arial" w:hAnsi="Arial" w:cs="Arial"/>
        </w:rPr>
        <w:t>The researcher has permission to engage with officers and staff from a cross section of ranks and grades, including senior management and subject matter experts.  The researcher has approximated a sample size of between 35-65 staff members.</w:t>
      </w:r>
    </w:p>
    <w:p w14:paraId="6244ADC2" w14:textId="77777777" w:rsidR="0091790C" w:rsidRPr="0091790C" w:rsidRDefault="0091790C" w:rsidP="007E22E3">
      <w:pPr>
        <w:jc w:val="both"/>
        <w:rPr>
          <w:rFonts w:ascii="Arial" w:hAnsi="Arial" w:cs="Arial"/>
        </w:rPr>
      </w:pPr>
      <w:r w:rsidRPr="0091790C">
        <w:rPr>
          <w:rFonts w:ascii="Arial" w:hAnsi="Arial" w:cs="Arial"/>
        </w:rPr>
        <w:lastRenderedPageBreak/>
        <w:t>A Microsoft Forms administered questionnaire will be used to collect data which will be sent to participants via secure (PNN) email.  This will ensure an ease of distribution in a timely and organised fashion.  There are other options that may be available, such as telephone questionnaires but the researcher has identified this to be a less private process whilst also less time efficient.  The researcher has also considered one to one interviews with staff and whilst this would also provide some timeliness challenges it may present itself as a viable option if there were poor response rates through Microsoft Forms.</w:t>
      </w:r>
    </w:p>
    <w:p w14:paraId="2502B7EE" w14:textId="71375216" w:rsidR="0091790C" w:rsidRPr="0091790C" w:rsidRDefault="0091790C" w:rsidP="007E22E3">
      <w:pPr>
        <w:jc w:val="both"/>
        <w:rPr>
          <w:rFonts w:ascii="Arial" w:hAnsi="Arial" w:cs="Arial"/>
        </w:rPr>
      </w:pPr>
      <w:r w:rsidRPr="0091790C">
        <w:rPr>
          <w:rFonts w:ascii="Arial" w:hAnsi="Arial" w:cs="Arial"/>
        </w:rPr>
        <w:t>Th</w:t>
      </w:r>
      <w:r w:rsidR="005C7F1B">
        <w:rPr>
          <w:rFonts w:ascii="Arial" w:hAnsi="Arial" w:cs="Arial"/>
        </w:rPr>
        <w:t xml:space="preserve">e questionnaire will include an introduction </w:t>
      </w:r>
      <w:r w:rsidR="00913418">
        <w:rPr>
          <w:rFonts w:ascii="Arial" w:hAnsi="Arial" w:cs="Arial"/>
        </w:rPr>
        <w:t>with</w:t>
      </w:r>
      <w:r w:rsidR="00C77E81">
        <w:rPr>
          <w:rFonts w:ascii="Arial" w:hAnsi="Arial" w:cs="Arial"/>
        </w:rPr>
        <w:t xml:space="preserve"> </w:t>
      </w:r>
      <w:r w:rsidRPr="0091790C">
        <w:rPr>
          <w:rFonts w:ascii="Arial" w:hAnsi="Arial" w:cs="Arial"/>
        </w:rPr>
        <w:t>identification details of the researcher including their supervisor and affiliated university with contact details therein.  The researcher will make it clear that this is a voluntary process and without obligation with consent sought, and if provided an ongoing assurance that this can be withdrawn at any time.  The researcher will ensure that the recipients are aware of the aims and objectives of the research, the storage of their data and reassurances around confidentiality.</w:t>
      </w:r>
    </w:p>
    <w:p w14:paraId="2175BD9A" w14:textId="71B30DAF" w:rsidR="0091790C" w:rsidRDefault="0091790C" w:rsidP="007E22E3">
      <w:pPr>
        <w:jc w:val="both"/>
        <w:rPr>
          <w:rFonts w:ascii="Arial" w:hAnsi="Arial" w:cs="Arial"/>
        </w:rPr>
      </w:pPr>
      <w:r w:rsidRPr="0091790C">
        <w:rPr>
          <w:rFonts w:ascii="Arial" w:hAnsi="Arial" w:cs="Arial"/>
        </w:rPr>
        <w:t>This research will not put the researcher or any participants at risk and given the sensitive nature of Schedule 7 powers there will be no interaction with members of the public subjected to its use</w:t>
      </w:r>
      <w:r w:rsidR="00913418">
        <w:rPr>
          <w:rFonts w:ascii="Arial" w:hAnsi="Arial" w:cs="Arial"/>
        </w:rPr>
        <w:t xml:space="preserve"> and this </w:t>
      </w:r>
      <w:r w:rsidRPr="0091790C">
        <w:rPr>
          <w:rFonts w:ascii="Arial" w:hAnsi="Arial" w:cs="Arial"/>
        </w:rPr>
        <w:t>research will comply with the Research Ethics and Integrity Code of Practice of University of Wales Trinity Saint David (UWTSD, 2023).</w:t>
      </w:r>
    </w:p>
    <w:p w14:paraId="2F808578" w14:textId="77777777" w:rsidR="00067FDE" w:rsidRPr="0091790C" w:rsidRDefault="00067FDE" w:rsidP="0091790C">
      <w:pPr>
        <w:rPr>
          <w:rFonts w:ascii="Arial" w:hAnsi="Arial" w:cs="Arial"/>
        </w:rPr>
      </w:pPr>
    </w:p>
    <w:p w14:paraId="2199653B" w14:textId="4A519C52" w:rsidR="007B1E90" w:rsidRDefault="00067FDE" w:rsidP="00DE4CBE">
      <w:pPr>
        <w:rPr>
          <w:noProof/>
        </w:rPr>
      </w:pPr>
      <w:r>
        <w:rPr>
          <w:rFonts w:eastAsia="Times New Roman"/>
          <w:noProof/>
        </w:rPr>
        <w:drawing>
          <wp:inline distT="0" distB="0" distL="0" distR="0" wp14:anchorId="0A033CC0" wp14:editId="13FC9AD9">
            <wp:extent cx="4018176" cy="2501900"/>
            <wp:effectExtent l="0" t="0" r="190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4030846" cy="2509789"/>
                    </a:xfrm>
                    <a:prstGeom prst="rect">
                      <a:avLst/>
                    </a:prstGeom>
                    <a:noFill/>
                    <a:ln>
                      <a:noFill/>
                    </a:ln>
                  </pic:spPr>
                </pic:pic>
              </a:graphicData>
            </a:graphic>
          </wp:inline>
        </w:drawing>
      </w:r>
    </w:p>
    <w:p w14:paraId="185C9A01" w14:textId="092D155E" w:rsidR="0083349F" w:rsidRPr="009F5184" w:rsidRDefault="00BE0EC9" w:rsidP="00DE4CBE">
      <w:pPr>
        <w:rPr>
          <w:rFonts w:ascii="Arial" w:hAnsi="Arial" w:cs="Arial"/>
          <w:i/>
          <w:iCs/>
        </w:rPr>
      </w:pPr>
      <w:r w:rsidRPr="009F5184">
        <w:rPr>
          <w:rFonts w:ascii="Arial" w:hAnsi="Arial" w:cs="Arial"/>
          <w:b/>
          <w:bCs/>
          <w:i/>
          <w:iCs/>
        </w:rPr>
        <w:t>Table 1</w:t>
      </w:r>
      <w:r w:rsidRPr="009F5184">
        <w:rPr>
          <w:rFonts w:ascii="Arial" w:hAnsi="Arial" w:cs="Arial"/>
          <w:i/>
          <w:iCs/>
        </w:rPr>
        <w:t xml:space="preserve"> – Proposed Research Timeline</w:t>
      </w:r>
    </w:p>
    <w:p w14:paraId="65A2C254" w14:textId="77777777" w:rsidR="00526A5B" w:rsidRDefault="00526A5B" w:rsidP="00DE4CBE">
      <w:pPr>
        <w:rPr>
          <w:rFonts w:ascii="Arial" w:hAnsi="Arial" w:cs="Arial"/>
          <w:b/>
          <w:bCs/>
        </w:rPr>
      </w:pPr>
    </w:p>
    <w:p w14:paraId="2FDE672A" w14:textId="35FC432B" w:rsidR="00BE0EC9" w:rsidRDefault="003909BB" w:rsidP="007E22E3">
      <w:pPr>
        <w:jc w:val="both"/>
        <w:rPr>
          <w:rFonts w:ascii="Arial" w:hAnsi="Arial" w:cs="Arial"/>
        </w:rPr>
      </w:pPr>
      <w:r w:rsidRPr="003909BB">
        <w:rPr>
          <w:rFonts w:ascii="Arial" w:hAnsi="Arial" w:cs="Arial"/>
        </w:rPr>
        <w:t>Although in existence since</w:t>
      </w:r>
      <w:r>
        <w:rPr>
          <w:rFonts w:ascii="Arial" w:hAnsi="Arial" w:cs="Arial"/>
        </w:rPr>
        <w:t xml:space="preserve"> the 1920’s, and pre-dating the </w:t>
      </w:r>
      <w:r w:rsidR="006B764E">
        <w:rPr>
          <w:rFonts w:ascii="Arial" w:hAnsi="Arial" w:cs="Arial"/>
        </w:rPr>
        <w:t xml:space="preserve">existence of the European Union, it is arguably the exit of the UK from the EU and its subsequent attempts at developing an effective immigration policy that has put the Common Travel Area back at the forefront of political </w:t>
      </w:r>
      <w:r w:rsidR="00D30A79">
        <w:rPr>
          <w:rFonts w:ascii="Arial" w:hAnsi="Arial" w:cs="Arial"/>
        </w:rPr>
        <w:t>thought.  Given the recency of this there is a distinct lack of critical academic investigation</w:t>
      </w:r>
      <w:r w:rsidR="00B26AA9">
        <w:rPr>
          <w:rFonts w:ascii="Arial" w:hAnsi="Arial" w:cs="Arial"/>
        </w:rPr>
        <w:t xml:space="preserve">.  The specific value of conducting research into Schedule 7 </w:t>
      </w:r>
      <w:r w:rsidR="008F3334">
        <w:rPr>
          <w:rFonts w:ascii="Arial" w:hAnsi="Arial" w:cs="Arial"/>
        </w:rPr>
        <w:t xml:space="preserve">of the Terrorism Act 2000 lies in the potential to contribute to a deeper understanding of the legislation and its impact on </w:t>
      </w:r>
      <w:r w:rsidR="001B24CA">
        <w:rPr>
          <w:rFonts w:ascii="Arial" w:hAnsi="Arial" w:cs="Arial"/>
        </w:rPr>
        <w:t>individuals’</w:t>
      </w:r>
      <w:r w:rsidR="008F3334">
        <w:rPr>
          <w:rFonts w:ascii="Arial" w:hAnsi="Arial" w:cs="Arial"/>
        </w:rPr>
        <w:t xml:space="preserve"> rights and freedoms</w:t>
      </w:r>
      <w:r w:rsidR="00BB4DB2">
        <w:rPr>
          <w:rFonts w:ascii="Arial" w:hAnsi="Arial" w:cs="Arial"/>
        </w:rPr>
        <w:t xml:space="preserve"> whilst balancing activity in support of national security.  </w:t>
      </w:r>
      <w:r w:rsidR="00F159C6">
        <w:rPr>
          <w:rFonts w:ascii="Arial" w:hAnsi="Arial" w:cs="Arial"/>
        </w:rPr>
        <w:t xml:space="preserve">Research such as this can uncover insights into the effectiveness in countering terrorism </w:t>
      </w:r>
      <w:r w:rsidR="00CD3822">
        <w:rPr>
          <w:rFonts w:ascii="Arial" w:hAnsi="Arial" w:cs="Arial"/>
        </w:rPr>
        <w:t>inform discussion and debate surrounding the legislation and operational impacts with a view to making improvements.</w:t>
      </w:r>
      <w:r w:rsidR="00A6423B">
        <w:rPr>
          <w:rFonts w:ascii="Arial" w:hAnsi="Arial" w:cs="Arial"/>
        </w:rPr>
        <w:t xml:space="preserve">  Additionally, in narrowing down the focus to capture the Common Travel Area</w:t>
      </w:r>
      <w:r w:rsidR="00C94055">
        <w:rPr>
          <w:rFonts w:ascii="Arial" w:hAnsi="Arial" w:cs="Arial"/>
        </w:rPr>
        <w:t xml:space="preserve"> can assist in understanding how the legislation operates in practice and </w:t>
      </w:r>
      <w:r w:rsidR="00C94055">
        <w:rPr>
          <w:rFonts w:ascii="Arial" w:hAnsi="Arial" w:cs="Arial"/>
        </w:rPr>
        <w:lastRenderedPageBreak/>
        <w:t xml:space="preserve">what implications there are for cross-border travel, particularly between the UK and Ireland and </w:t>
      </w:r>
      <w:r w:rsidR="00E220D3">
        <w:rPr>
          <w:rFonts w:ascii="Arial" w:hAnsi="Arial" w:cs="Arial"/>
        </w:rPr>
        <w:t xml:space="preserve">those travelling </w:t>
      </w:r>
      <w:r w:rsidR="00180461">
        <w:rPr>
          <w:rFonts w:ascii="Arial" w:hAnsi="Arial" w:cs="Arial"/>
        </w:rPr>
        <w:t>into</w:t>
      </w:r>
      <w:r w:rsidR="00E220D3">
        <w:rPr>
          <w:rFonts w:ascii="Arial" w:hAnsi="Arial" w:cs="Arial"/>
        </w:rPr>
        <w:t xml:space="preserve"> </w:t>
      </w:r>
      <w:proofErr w:type="gramStart"/>
      <w:r w:rsidR="00E220D3">
        <w:rPr>
          <w:rFonts w:ascii="Arial" w:hAnsi="Arial" w:cs="Arial"/>
        </w:rPr>
        <w:t>both of these</w:t>
      </w:r>
      <w:proofErr w:type="gramEnd"/>
      <w:r w:rsidR="00E220D3">
        <w:rPr>
          <w:rFonts w:ascii="Arial" w:hAnsi="Arial" w:cs="Arial"/>
        </w:rPr>
        <w:t xml:space="preserve"> countries from outside of the EU.</w:t>
      </w:r>
    </w:p>
    <w:p w14:paraId="348FD172" w14:textId="4911707A" w:rsidR="00E220D3" w:rsidRDefault="009A3054" w:rsidP="007E22E3">
      <w:pPr>
        <w:jc w:val="both"/>
        <w:rPr>
          <w:rFonts w:ascii="Arial" w:hAnsi="Arial" w:cs="Arial"/>
        </w:rPr>
      </w:pPr>
      <w:r>
        <w:rPr>
          <w:rFonts w:ascii="Arial" w:hAnsi="Arial" w:cs="Arial"/>
        </w:rPr>
        <w:t xml:space="preserve">Given the researchers prominence at board level the value of this research </w:t>
      </w:r>
      <w:r w:rsidR="00C601E2">
        <w:rPr>
          <w:rFonts w:ascii="Arial" w:hAnsi="Arial" w:cs="Arial"/>
        </w:rPr>
        <w:t xml:space="preserve">lies in its potential to inform </w:t>
      </w:r>
      <w:r w:rsidR="001B24CA">
        <w:rPr>
          <w:rFonts w:ascii="Arial" w:hAnsi="Arial" w:cs="Arial"/>
        </w:rPr>
        <w:t>policymaking</w:t>
      </w:r>
      <w:r w:rsidR="00C601E2">
        <w:rPr>
          <w:rFonts w:ascii="Arial" w:hAnsi="Arial" w:cs="Arial"/>
        </w:rPr>
        <w:t>, enhance understanding, and contribute to the ongoing dialogue surrounding the Common Travel Area and Counter Terrorism legislation.</w:t>
      </w:r>
    </w:p>
    <w:p w14:paraId="3D14C44C" w14:textId="77777777" w:rsidR="00F05B19" w:rsidRPr="003909BB" w:rsidRDefault="00F05B19" w:rsidP="007E22E3">
      <w:pPr>
        <w:jc w:val="both"/>
        <w:rPr>
          <w:rFonts w:ascii="Arial" w:hAnsi="Arial" w:cs="Arial"/>
        </w:rPr>
      </w:pPr>
    </w:p>
    <w:p w14:paraId="75C5809C" w14:textId="34E3E406" w:rsidR="003F0610" w:rsidRDefault="003F0610" w:rsidP="007E22E3">
      <w:pPr>
        <w:jc w:val="both"/>
        <w:rPr>
          <w:rFonts w:ascii="Arial" w:hAnsi="Arial" w:cs="Arial"/>
          <w:b/>
          <w:bCs/>
        </w:rPr>
      </w:pPr>
    </w:p>
    <w:p w14:paraId="25AF7DB1" w14:textId="5875BC07" w:rsidR="003F0610" w:rsidRDefault="003F0610" w:rsidP="007E22E3">
      <w:pPr>
        <w:jc w:val="both"/>
        <w:rPr>
          <w:rFonts w:ascii="Arial" w:hAnsi="Arial" w:cs="Arial"/>
          <w:b/>
          <w:bCs/>
        </w:rPr>
      </w:pPr>
    </w:p>
    <w:p w14:paraId="37BB3262" w14:textId="4AF7C784" w:rsidR="003F0610" w:rsidRDefault="003F0610" w:rsidP="007E22E3">
      <w:pPr>
        <w:jc w:val="both"/>
        <w:rPr>
          <w:rFonts w:ascii="Arial" w:hAnsi="Arial" w:cs="Arial"/>
          <w:b/>
          <w:bCs/>
        </w:rPr>
      </w:pPr>
    </w:p>
    <w:p w14:paraId="1EADDEB5" w14:textId="0F4591BC" w:rsidR="003F0610" w:rsidRDefault="003F0610" w:rsidP="007E22E3">
      <w:pPr>
        <w:jc w:val="both"/>
        <w:rPr>
          <w:rFonts w:ascii="Arial" w:hAnsi="Arial" w:cs="Arial"/>
          <w:b/>
          <w:bCs/>
        </w:rPr>
      </w:pPr>
    </w:p>
    <w:p w14:paraId="462DBF71" w14:textId="77777777" w:rsidR="001B24CA" w:rsidRDefault="001B24CA" w:rsidP="007E22E3">
      <w:pPr>
        <w:jc w:val="both"/>
        <w:rPr>
          <w:rFonts w:ascii="Arial" w:hAnsi="Arial" w:cs="Arial"/>
          <w:b/>
          <w:bCs/>
        </w:rPr>
      </w:pPr>
    </w:p>
    <w:p w14:paraId="4489F9E0" w14:textId="77777777" w:rsidR="001B24CA" w:rsidRDefault="001B24CA" w:rsidP="007E22E3">
      <w:pPr>
        <w:jc w:val="both"/>
        <w:rPr>
          <w:rFonts w:ascii="Arial" w:hAnsi="Arial" w:cs="Arial"/>
          <w:b/>
          <w:bCs/>
        </w:rPr>
      </w:pPr>
    </w:p>
    <w:p w14:paraId="5353ABC6" w14:textId="77777777" w:rsidR="001B24CA" w:rsidRDefault="001B24CA" w:rsidP="007E22E3">
      <w:pPr>
        <w:jc w:val="both"/>
        <w:rPr>
          <w:rFonts w:ascii="Arial" w:hAnsi="Arial" w:cs="Arial"/>
          <w:b/>
          <w:bCs/>
        </w:rPr>
      </w:pPr>
    </w:p>
    <w:p w14:paraId="0EF1FAC3" w14:textId="77777777" w:rsidR="001B24CA" w:rsidRDefault="001B24CA" w:rsidP="007E22E3">
      <w:pPr>
        <w:jc w:val="both"/>
        <w:rPr>
          <w:rFonts w:ascii="Arial" w:hAnsi="Arial" w:cs="Arial"/>
          <w:b/>
          <w:bCs/>
        </w:rPr>
      </w:pPr>
    </w:p>
    <w:p w14:paraId="061AA098" w14:textId="77777777" w:rsidR="00233BAE" w:rsidRDefault="00233BAE" w:rsidP="007E22E3">
      <w:pPr>
        <w:jc w:val="both"/>
        <w:rPr>
          <w:rFonts w:ascii="Arial" w:hAnsi="Arial" w:cs="Arial"/>
          <w:b/>
          <w:bCs/>
        </w:rPr>
      </w:pPr>
    </w:p>
    <w:p w14:paraId="71551030" w14:textId="77777777" w:rsidR="00526A5B" w:rsidRDefault="00526A5B" w:rsidP="007E22E3">
      <w:pPr>
        <w:jc w:val="both"/>
        <w:rPr>
          <w:rFonts w:ascii="Arial" w:eastAsia="Calibri" w:hAnsi="Arial" w:cs="Arial"/>
          <w:b/>
          <w:bCs/>
        </w:rPr>
      </w:pPr>
    </w:p>
    <w:p w14:paraId="293843E1" w14:textId="77777777" w:rsidR="00526A5B" w:rsidRDefault="00526A5B" w:rsidP="007E22E3">
      <w:pPr>
        <w:jc w:val="both"/>
        <w:rPr>
          <w:rFonts w:ascii="Arial" w:eastAsia="Calibri" w:hAnsi="Arial" w:cs="Arial"/>
          <w:b/>
          <w:bCs/>
        </w:rPr>
      </w:pPr>
    </w:p>
    <w:p w14:paraId="451B0B43" w14:textId="77777777" w:rsidR="00526A5B" w:rsidRDefault="00526A5B" w:rsidP="007E22E3">
      <w:pPr>
        <w:jc w:val="both"/>
        <w:rPr>
          <w:rFonts w:ascii="Arial" w:eastAsia="Calibri" w:hAnsi="Arial" w:cs="Arial"/>
          <w:b/>
          <w:bCs/>
        </w:rPr>
      </w:pPr>
    </w:p>
    <w:p w14:paraId="45217E32" w14:textId="77777777" w:rsidR="00526A5B" w:rsidRDefault="00526A5B" w:rsidP="007E22E3">
      <w:pPr>
        <w:jc w:val="both"/>
        <w:rPr>
          <w:rFonts w:ascii="Arial" w:eastAsia="Calibri" w:hAnsi="Arial" w:cs="Arial"/>
          <w:b/>
          <w:bCs/>
        </w:rPr>
      </w:pPr>
    </w:p>
    <w:p w14:paraId="798DE123" w14:textId="77777777" w:rsidR="00526A5B" w:rsidRDefault="00526A5B" w:rsidP="007E22E3">
      <w:pPr>
        <w:jc w:val="both"/>
        <w:rPr>
          <w:rFonts w:ascii="Arial" w:eastAsia="Calibri" w:hAnsi="Arial" w:cs="Arial"/>
          <w:b/>
          <w:bCs/>
        </w:rPr>
      </w:pPr>
    </w:p>
    <w:p w14:paraId="320914D4" w14:textId="77777777" w:rsidR="00526A5B" w:rsidRDefault="00526A5B" w:rsidP="007E22E3">
      <w:pPr>
        <w:jc w:val="both"/>
        <w:rPr>
          <w:rFonts w:ascii="Arial" w:eastAsia="Calibri" w:hAnsi="Arial" w:cs="Arial"/>
          <w:b/>
          <w:bCs/>
        </w:rPr>
      </w:pPr>
    </w:p>
    <w:p w14:paraId="02D59C12" w14:textId="77777777" w:rsidR="00526A5B" w:rsidRDefault="00526A5B" w:rsidP="007E22E3">
      <w:pPr>
        <w:jc w:val="both"/>
        <w:rPr>
          <w:rFonts w:ascii="Arial" w:eastAsia="Calibri" w:hAnsi="Arial" w:cs="Arial"/>
          <w:b/>
          <w:bCs/>
        </w:rPr>
      </w:pPr>
    </w:p>
    <w:p w14:paraId="0ACC93B5" w14:textId="77777777" w:rsidR="00526A5B" w:rsidRDefault="00526A5B" w:rsidP="007E22E3">
      <w:pPr>
        <w:jc w:val="both"/>
        <w:rPr>
          <w:rFonts w:ascii="Arial" w:eastAsia="Calibri" w:hAnsi="Arial" w:cs="Arial"/>
          <w:b/>
          <w:bCs/>
        </w:rPr>
      </w:pPr>
    </w:p>
    <w:p w14:paraId="145BA035" w14:textId="77777777" w:rsidR="00526A5B" w:rsidRDefault="00526A5B" w:rsidP="007E22E3">
      <w:pPr>
        <w:jc w:val="both"/>
        <w:rPr>
          <w:rFonts w:ascii="Arial" w:eastAsia="Calibri" w:hAnsi="Arial" w:cs="Arial"/>
          <w:b/>
          <w:bCs/>
        </w:rPr>
      </w:pPr>
    </w:p>
    <w:p w14:paraId="06C5A0EF" w14:textId="77777777" w:rsidR="00526A5B" w:rsidRDefault="00526A5B" w:rsidP="007E22E3">
      <w:pPr>
        <w:jc w:val="both"/>
        <w:rPr>
          <w:rFonts w:ascii="Arial" w:eastAsia="Calibri" w:hAnsi="Arial" w:cs="Arial"/>
          <w:b/>
          <w:bCs/>
        </w:rPr>
      </w:pPr>
    </w:p>
    <w:p w14:paraId="44F48E2A" w14:textId="77777777" w:rsidR="00526A5B" w:rsidRDefault="00526A5B" w:rsidP="007E22E3">
      <w:pPr>
        <w:jc w:val="both"/>
        <w:rPr>
          <w:rFonts w:ascii="Arial" w:eastAsia="Calibri" w:hAnsi="Arial" w:cs="Arial"/>
          <w:b/>
          <w:bCs/>
        </w:rPr>
      </w:pPr>
    </w:p>
    <w:p w14:paraId="6D50A940" w14:textId="77777777" w:rsidR="00526A5B" w:rsidRDefault="00526A5B" w:rsidP="007E22E3">
      <w:pPr>
        <w:jc w:val="both"/>
        <w:rPr>
          <w:rFonts w:ascii="Arial" w:eastAsia="Calibri" w:hAnsi="Arial" w:cs="Arial"/>
          <w:b/>
          <w:bCs/>
        </w:rPr>
      </w:pPr>
    </w:p>
    <w:p w14:paraId="40CBEE72" w14:textId="77777777" w:rsidR="00526A5B" w:rsidRDefault="00526A5B" w:rsidP="007E22E3">
      <w:pPr>
        <w:jc w:val="both"/>
        <w:rPr>
          <w:rFonts w:ascii="Arial" w:eastAsia="Calibri" w:hAnsi="Arial" w:cs="Arial"/>
          <w:b/>
          <w:bCs/>
        </w:rPr>
      </w:pPr>
    </w:p>
    <w:p w14:paraId="665B6AC2" w14:textId="77777777" w:rsidR="00526A5B" w:rsidRDefault="00526A5B" w:rsidP="007E22E3">
      <w:pPr>
        <w:jc w:val="both"/>
        <w:rPr>
          <w:rFonts w:ascii="Arial" w:eastAsia="Calibri" w:hAnsi="Arial" w:cs="Arial"/>
          <w:b/>
          <w:bCs/>
        </w:rPr>
      </w:pPr>
    </w:p>
    <w:p w14:paraId="275A9D73" w14:textId="77777777" w:rsidR="00526A5B" w:rsidRDefault="00526A5B" w:rsidP="007E22E3">
      <w:pPr>
        <w:jc w:val="both"/>
        <w:rPr>
          <w:rFonts w:ascii="Arial" w:eastAsia="Calibri" w:hAnsi="Arial" w:cs="Arial"/>
          <w:b/>
          <w:bCs/>
        </w:rPr>
      </w:pPr>
    </w:p>
    <w:p w14:paraId="55E342C2" w14:textId="77777777" w:rsidR="00526A5B" w:rsidRDefault="00526A5B" w:rsidP="007E22E3">
      <w:pPr>
        <w:jc w:val="both"/>
        <w:rPr>
          <w:rFonts w:ascii="Arial" w:eastAsia="Calibri" w:hAnsi="Arial" w:cs="Arial"/>
          <w:b/>
          <w:bCs/>
        </w:rPr>
      </w:pPr>
    </w:p>
    <w:p w14:paraId="28D4D3F8" w14:textId="77777777" w:rsidR="00526A5B" w:rsidRDefault="00526A5B" w:rsidP="007E22E3">
      <w:pPr>
        <w:jc w:val="both"/>
        <w:rPr>
          <w:rFonts w:ascii="Arial" w:eastAsia="Calibri" w:hAnsi="Arial" w:cs="Arial"/>
          <w:b/>
          <w:bCs/>
        </w:rPr>
      </w:pPr>
    </w:p>
    <w:p w14:paraId="0158AAE9" w14:textId="77777777" w:rsidR="00526A5B" w:rsidRDefault="00526A5B" w:rsidP="007E22E3">
      <w:pPr>
        <w:jc w:val="both"/>
        <w:rPr>
          <w:rFonts w:ascii="Arial" w:eastAsia="Calibri" w:hAnsi="Arial" w:cs="Arial"/>
          <w:b/>
          <w:bCs/>
        </w:rPr>
      </w:pPr>
    </w:p>
    <w:p w14:paraId="0BF161B0" w14:textId="154BB5CD" w:rsidR="003F0610" w:rsidRPr="00427B8F" w:rsidRDefault="003F0610" w:rsidP="007E22E3">
      <w:pPr>
        <w:jc w:val="both"/>
        <w:rPr>
          <w:rFonts w:ascii="Arial" w:eastAsia="Calibri" w:hAnsi="Arial" w:cs="Arial"/>
          <w:b/>
          <w:bCs/>
          <w:u w:val="single"/>
        </w:rPr>
      </w:pPr>
      <w:r w:rsidRPr="00427B8F">
        <w:rPr>
          <w:rFonts w:ascii="Arial" w:eastAsia="Calibri" w:hAnsi="Arial" w:cs="Arial"/>
          <w:b/>
          <w:bCs/>
          <w:u w:val="single"/>
        </w:rPr>
        <w:lastRenderedPageBreak/>
        <w:t>Literature Review</w:t>
      </w:r>
      <w:r w:rsidR="00427B8F" w:rsidRPr="00427B8F">
        <w:rPr>
          <w:rFonts w:ascii="Arial" w:eastAsia="Calibri" w:hAnsi="Arial" w:cs="Arial"/>
          <w:b/>
          <w:bCs/>
          <w:u w:val="single"/>
        </w:rPr>
        <w:t>.</w:t>
      </w:r>
    </w:p>
    <w:p w14:paraId="3E487E60" w14:textId="77777777" w:rsidR="009E4335" w:rsidRDefault="009E4335" w:rsidP="007E22E3">
      <w:pPr>
        <w:jc w:val="both"/>
        <w:rPr>
          <w:rFonts w:ascii="Arial" w:eastAsia="Calibri" w:hAnsi="Arial" w:cs="Arial"/>
          <w:b/>
          <w:bCs/>
        </w:rPr>
      </w:pPr>
    </w:p>
    <w:p w14:paraId="45DF9C4F" w14:textId="5CE452C7" w:rsidR="002857AB" w:rsidRDefault="00B85006" w:rsidP="007E22E3">
      <w:pPr>
        <w:jc w:val="both"/>
        <w:rPr>
          <w:rFonts w:ascii="Arial" w:eastAsia="Calibri" w:hAnsi="Arial" w:cs="Arial"/>
        </w:rPr>
      </w:pPr>
      <w:r>
        <w:rPr>
          <w:rFonts w:ascii="Arial" w:eastAsia="Calibri" w:hAnsi="Arial" w:cs="Arial"/>
        </w:rPr>
        <w:t xml:space="preserve">With the introduction providing some context it also provided </w:t>
      </w:r>
      <w:r w:rsidR="008D62D8">
        <w:rPr>
          <w:rFonts w:ascii="Arial" w:eastAsia="Calibri" w:hAnsi="Arial" w:cs="Arial"/>
        </w:rPr>
        <w:t>four</w:t>
      </w:r>
      <w:r>
        <w:rPr>
          <w:rFonts w:ascii="Arial" w:eastAsia="Calibri" w:hAnsi="Arial" w:cs="Arial"/>
        </w:rPr>
        <w:t xml:space="preserve"> research objectives for this dissertation</w:t>
      </w:r>
      <w:r w:rsidR="008D62D8">
        <w:rPr>
          <w:rFonts w:ascii="Arial" w:eastAsia="Calibri" w:hAnsi="Arial" w:cs="Arial"/>
        </w:rPr>
        <w:t xml:space="preserve"> which this literature review will focus on</w:t>
      </w:r>
      <w:r w:rsidR="00A85422">
        <w:rPr>
          <w:rFonts w:ascii="Arial" w:eastAsia="Calibri" w:hAnsi="Arial" w:cs="Arial"/>
        </w:rPr>
        <w:t>.</w:t>
      </w:r>
      <w:r w:rsidR="00E111FA">
        <w:rPr>
          <w:rFonts w:ascii="Arial" w:eastAsia="Calibri" w:hAnsi="Arial" w:cs="Arial"/>
        </w:rPr>
        <w:t xml:space="preserve">  This review of literature focuses on objectives 1, 2 and 3.  Objective 4 will be comp</w:t>
      </w:r>
      <w:r w:rsidR="00FB4BBC">
        <w:rPr>
          <w:rFonts w:ascii="Arial" w:eastAsia="Calibri" w:hAnsi="Arial" w:cs="Arial"/>
        </w:rPr>
        <w:t>leted as a result of the combined findings of the Literature Review and the findings from the empirical study</w:t>
      </w:r>
      <w:r w:rsidR="00E7792A">
        <w:rPr>
          <w:rFonts w:ascii="Arial" w:eastAsia="Calibri" w:hAnsi="Arial" w:cs="Arial"/>
        </w:rPr>
        <w:t>.</w:t>
      </w:r>
    </w:p>
    <w:p w14:paraId="485ABC34" w14:textId="77777777" w:rsidR="00E7792A" w:rsidRDefault="00E7792A" w:rsidP="007E22E3">
      <w:pPr>
        <w:jc w:val="both"/>
        <w:rPr>
          <w:rFonts w:ascii="Arial" w:eastAsia="Calibri" w:hAnsi="Arial" w:cs="Arial"/>
        </w:rPr>
      </w:pPr>
    </w:p>
    <w:p w14:paraId="23065421" w14:textId="755950DF" w:rsidR="006A3D40" w:rsidRDefault="006A3D40" w:rsidP="006A3D40">
      <w:pPr>
        <w:pStyle w:val="ListParagraph"/>
        <w:numPr>
          <w:ilvl w:val="0"/>
          <w:numId w:val="8"/>
        </w:numPr>
        <w:rPr>
          <w:rFonts w:ascii="Arial" w:eastAsia="Calibri" w:hAnsi="Arial" w:cs="Arial"/>
        </w:rPr>
      </w:pPr>
      <w:r>
        <w:rPr>
          <w:rFonts w:ascii="Arial" w:eastAsia="Calibri" w:hAnsi="Arial" w:cs="Arial"/>
        </w:rPr>
        <w:t>To critically evaluate the overall effectiveness of Schedule 7 Terrorism Act 2000 in keeping the UK safe.</w:t>
      </w:r>
    </w:p>
    <w:p w14:paraId="22DB551B" w14:textId="2A5A82D5" w:rsidR="006A3D40" w:rsidRDefault="006A3D40" w:rsidP="006A3D40">
      <w:pPr>
        <w:pStyle w:val="ListParagraph"/>
        <w:numPr>
          <w:ilvl w:val="0"/>
          <w:numId w:val="8"/>
        </w:numPr>
        <w:rPr>
          <w:rFonts w:ascii="Arial" w:eastAsia="Calibri" w:hAnsi="Arial" w:cs="Arial"/>
        </w:rPr>
      </w:pPr>
      <w:r>
        <w:rPr>
          <w:rFonts w:ascii="Arial" w:eastAsia="Calibri" w:hAnsi="Arial" w:cs="Arial"/>
        </w:rPr>
        <w:t xml:space="preserve">Assess the legal and ethical implications of Schedule 7 </w:t>
      </w:r>
      <w:r w:rsidR="007133AE">
        <w:rPr>
          <w:rFonts w:ascii="Arial" w:eastAsia="Calibri" w:hAnsi="Arial" w:cs="Arial"/>
        </w:rPr>
        <w:t xml:space="preserve">in terms of civil liberties, human </w:t>
      </w:r>
      <w:proofErr w:type="gramStart"/>
      <w:r w:rsidR="007133AE">
        <w:rPr>
          <w:rFonts w:ascii="Arial" w:eastAsia="Calibri" w:hAnsi="Arial" w:cs="Arial"/>
        </w:rPr>
        <w:t>rights</w:t>
      </w:r>
      <w:proofErr w:type="gramEnd"/>
      <w:r w:rsidR="007133AE">
        <w:rPr>
          <w:rFonts w:ascii="Arial" w:eastAsia="Calibri" w:hAnsi="Arial" w:cs="Arial"/>
        </w:rPr>
        <w:t xml:space="preserve"> and privacy concerns.</w:t>
      </w:r>
    </w:p>
    <w:p w14:paraId="2EACAF85" w14:textId="73ADFD4F" w:rsidR="007133AE" w:rsidRDefault="007133AE" w:rsidP="006A3D40">
      <w:pPr>
        <w:pStyle w:val="ListParagraph"/>
        <w:numPr>
          <w:ilvl w:val="0"/>
          <w:numId w:val="8"/>
        </w:numPr>
        <w:rPr>
          <w:rFonts w:ascii="Arial" w:eastAsia="Calibri" w:hAnsi="Arial" w:cs="Arial"/>
        </w:rPr>
      </w:pPr>
      <w:r>
        <w:rPr>
          <w:rFonts w:ascii="Arial" w:eastAsia="Calibri" w:hAnsi="Arial" w:cs="Arial"/>
        </w:rPr>
        <w:t>Examine the impact of Schedule 7 on the freedom of movement within the Common Travel Area (CTA) and its effectiveness in balancing security and individual rights and freedoms.</w:t>
      </w:r>
    </w:p>
    <w:p w14:paraId="2C0AA1ED" w14:textId="0CEB2993" w:rsidR="007133AE" w:rsidRDefault="007133AE" w:rsidP="006A3D40">
      <w:pPr>
        <w:pStyle w:val="ListParagraph"/>
        <w:numPr>
          <w:ilvl w:val="0"/>
          <w:numId w:val="8"/>
        </w:numPr>
        <w:rPr>
          <w:rFonts w:ascii="Arial" w:eastAsia="Calibri" w:hAnsi="Arial" w:cs="Arial"/>
        </w:rPr>
      </w:pPr>
      <w:bookmarkStart w:id="3" w:name="_Hlk170404854"/>
      <w:r>
        <w:rPr>
          <w:rFonts w:ascii="Arial" w:eastAsia="Calibri" w:hAnsi="Arial" w:cs="Arial"/>
        </w:rPr>
        <w:t xml:space="preserve">Formulate opinions based on the findings of the analysis to enhance the effectiveness of </w:t>
      </w:r>
      <w:r w:rsidR="008A2BD3">
        <w:rPr>
          <w:rFonts w:ascii="Arial" w:eastAsia="Calibri" w:hAnsi="Arial" w:cs="Arial"/>
        </w:rPr>
        <w:t>the use of Schedule 7 at CTA Ports whilst ensuring the protection of civil liberties and human rights.</w:t>
      </w:r>
    </w:p>
    <w:bookmarkEnd w:id="3"/>
    <w:p w14:paraId="202AC062" w14:textId="3644FC34" w:rsidR="00C5013B" w:rsidRDefault="00C5013B" w:rsidP="007E22E3">
      <w:pPr>
        <w:jc w:val="both"/>
        <w:rPr>
          <w:rFonts w:ascii="Arial" w:eastAsia="Calibri" w:hAnsi="Arial" w:cs="Arial"/>
        </w:rPr>
      </w:pPr>
    </w:p>
    <w:p w14:paraId="0F8C2D23" w14:textId="56E8DE8A" w:rsidR="00E26C07" w:rsidRDefault="00E26C07" w:rsidP="007E22E3">
      <w:pPr>
        <w:jc w:val="both"/>
        <w:rPr>
          <w:rFonts w:ascii="Arial" w:eastAsia="Calibri" w:hAnsi="Arial" w:cs="Arial"/>
        </w:rPr>
      </w:pPr>
      <w:r>
        <w:rPr>
          <w:rFonts w:ascii="Arial" w:eastAsia="Calibri" w:hAnsi="Arial" w:cs="Arial"/>
        </w:rPr>
        <w:t xml:space="preserve">This paper will explore the </w:t>
      </w:r>
      <w:r w:rsidR="009E4335">
        <w:rPr>
          <w:rFonts w:ascii="Arial" w:eastAsia="Calibri" w:hAnsi="Arial" w:cs="Arial"/>
        </w:rPr>
        <w:t>issues around policing the border within the sphere of counter terrorism.  It will look</w:t>
      </w:r>
      <w:r w:rsidR="00CA683D">
        <w:rPr>
          <w:rFonts w:ascii="Arial" w:eastAsia="Calibri" w:hAnsi="Arial" w:cs="Arial"/>
        </w:rPr>
        <w:t xml:space="preserve"> specifically at </w:t>
      </w:r>
      <w:r w:rsidR="0091679C">
        <w:rPr>
          <w:rFonts w:ascii="Arial" w:eastAsia="Calibri" w:hAnsi="Arial" w:cs="Arial"/>
        </w:rPr>
        <w:t xml:space="preserve">the application and effectiveness of </w:t>
      </w:r>
      <w:r w:rsidR="00CA683D">
        <w:rPr>
          <w:rFonts w:ascii="Arial" w:eastAsia="Calibri" w:hAnsi="Arial" w:cs="Arial"/>
        </w:rPr>
        <w:t xml:space="preserve">Schedule 7 </w:t>
      </w:r>
      <w:r w:rsidR="009E4335">
        <w:rPr>
          <w:rFonts w:ascii="Arial" w:eastAsia="Calibri" w:hAnsi="Arial" w:cs="Arial"/>
        </w:rPr>
        <w:t>legislation and</w:t>
      </w:r>
      <w:r w:rsidR="0091679C">
        <w:rPr>
          <w:rFonts w:ascii="Arial" w:eastAsia="Calibri" w:hAnsi="Arial" w:cs="Arial"/>
        </w:rPr>
        <w:t xml:space="preserve"> the</w:t>
      </w:r>
      <w:r w:rsidR="009E4335">
        <w:rPr>
          <w:rFonts w:ascii="Arial" w:eastAsia="Calibri" w:hAnsi="Arial" w:cs="Arial"/>
        </w:rPr>
        <w:t xml:space="preserve"> associated issues surrounding it, such as the impact on civil liberties and human rights.  The paper will explore the pertinent issues around the Common Travel Area and analyse how </w:t>
      </w:r>
      <w:r w:rsidR="003528B1">
        <w:rPr>
          <w:rFonts w:ascii="Arial" w:eastAsia="Calibri" w:hAnsi="Arial" w:cs="Arial"/>
        </w:rPr>
        <w:t xml:space="preserve">these impact </w:t>
      </w:r>
      <w:r w:rsidR="0091679C">
        <w:rPr>
          <w:rFonts w:ascii="Arial" w:eastAsia="Calibri" w:hAnsi="Arial" w:cs="Arial"/>
        </w:rPr>
        <w:t>up</w:t>
      </w:r>
      <w:r w:rsidR="009E4335">
        <w:rPr>
          <w:rFonts w:ascii="Arial" w:eastAsia="Calibri" w:hAnsi="Arial" w:cs="Arial"/>
        </w:rPr>
        <w:t xml:space="preserve">on policing and the balance that needs to be struck between national security, civil </w:t>
      </w:r>
      <w:proofErr w:type="gramStart"/>
      <w:r w:rsidR="009E4335">
        <w:rPr>
          <w:rFonts w:ascii="Arial" w:eastAsia="Calibri" w:hAnsi="Arial" w:cs="Arial"/>
        </w:rPr>
        <w:t>liberties</w:t>
      </w:r>
      <w:proofErr w:type="gramEnd"/>
      <w:r w:rsidR="009E4335">
        <w:rPr>
          <w:rFonts w:ascii="Arial" w:eastAsia="Calibri" w:hAnsi="Arial" w:cs="Arial"/>
        </w:rPr>
        <w:t xml:space="preserve"> </w:t>
      </w:r>
      <w:r w:rsidR="003528B1">
        <w:rPr>
          <w:rFonts w:ascii="Arial" w:eastAsia="Calibri" w:hAnsi="Arial" w:cs="Arial"/>
        </w:rPr>
        <w:t>and</w:t>
      </w:r>
      <w:r w:rsidR="009E4335">
        <w:rPr>
          <w:rFonts w:ascii="Arial" w:eastAsia="Calibri" w:hAnsi="Arial" w:cs="Arial"/>
        </w:rPr>
        <w:t xml:space="preserve"> the impact of politics on wider policy of both UK and Irish governments.  The paper will explore emerging issues, some of which are particularly timely given an anticipated change in government and/or administration</w:t>
      </w:r>
      <w:r w:rsidR="0091679C">
        <w:rPr>
          <w:rFonts w:ascii="Arial" w:eastAsia="Calibri" w:hAnsi="Arial" w:cs="Arial"/>
        </w:rPr>
        <w:t xml:space="preserve"> in the UK.</w:t>
      </w:r>
    </w:p>
    <w:p w14:paraId="2BA364D8" w14:textId="4E61F705" w:rsidR="00C5013B" w:rsidRDefault="00C5013B" w:rsidP="007E22E3">
      <w:pPr>
        <w:jc w:val="both"/>
        <w:rPr>
          <w:rFonts w:ascii="Arial" w:eastAsia="Calibri" w:hAnsi="Arial" w:cs="Arial"/>
        </w:rPr>
      </w:pPr>
      <w:r>
        <w:rPr>
          <w:rFonts w:ascii="Arial" w:eastAsia="Calibri" w:hAnsi="Arial" w:cs="Arial"/>
        </w:rPr>
        <w:t>Schedule 7 of the Terrorism Act 2000 is a provision in UK legislation that grants extensive powers to the police and border officials to stop, question and detain individuals at ports, airports and international rail stations for the purpose of determining whether they are involved in terrorism related activities</w:t>
      </w:r>
      <w:r w:rsidR="001F6930">
        <w:rPr>
          <w:rFonts w:ascii="Arial" w:eastAsia="Calibri" w:hAnsi="Arial" w:cs="Arial"/>
        </w:rPr>
        <w:t>, which relates to the commission , preparation or instigation of acts of terrorism</w:t>
      </w:r>
      <w:r>
        <w:rPr>
          <w:rFonts w:ascii="Arial" w:eastAsia="Calibri" w:hAnsi="Arial" w:cs="Arial"/>
        </w:rPr>
        <w:t xml:space="preserve"> </w:t>
      </w:r>
      <w:sdt>
        <w:sdtPr>
          <w:rPr>
            <w:rFonts w:ascii="Arial" w:eastAsia="Calibri" w:hAnsi="Arial" w:cs="Arial"/>
          </w:rPr>
          <w:id w:val="734748865"/>
          <w:citation/>
        </w:sdtPr>
        <w:sdtContent>
          <w:r>
            <w:rPr>
              <w:rFonts w:ascii="Arial" w:eastAsia="Calibri" w:hAnsi="Arial" w:cs="Arial"/>
            </w:rPr>
            <w:fldChar w:fldCharType="begin"/>
          </w:r>
          <w:r>
            <w:rPr>
              <w:rFonts w:ascii="Arial" w:eastAsia="Calibri" w:hAnsi="Arial" w:cs="Arial"/>
            </w:rPr>
            <w:instrText xml:space="preserve"> CITATION Ter00 \l 2057 </w:instrText>
          </w:r>
          <w:r>
            <w:rPr>
              <w:rFonts w:ascii="Arial" w:eastAsia="Calibri" w:hAnsi="Arial" w:cs="Arial"/>
            </w:rPr>
            <w:fldChar w:fldCharType="separate"/>
          </w:r>
          <w:r w:rsidRPr="00C5013B">
            <w:rPr>
              <w:rFonts w:ascii="Arial" w:eastAsia="Calibri" w:hAnsi="Arial" w:cs="Arial"/>
              <w:noProof/>
            </w:rPr>
            <w:t>(Terrorism Act, 2000)</w:t>
          </w:r>
          <w:r>
            <w:rPr>
              <w:rFonts w:ascii="Arial" w:eastAsia="Calibri" w:hAnsi="Arial" w:cs="Arial"/>
            </w:rPr>
            <w:fldChar w:fldCharType="end"/>
          </w:r>
        </w:sdtContent>
      </w:sdt>
      <w:r>
        <w:rPr>
          <w:rFonts w:ascii="Arial" w:eastAsia="Calibri" w:hAnsi="Arial" w:cs="Arial"/>
        </w:rPr>
        <w:t>.</w:t>
      </w:r>
      <w:r w:rsidR="00FE216B">
        <w:rPr>
          <w:rFonts w:ascii="Arial" w:eastAsia="Calibri" w:hAnsi="Arial" w:cs="Arial"/>
        </w:rPr>
        <w:t xml:space="preserve">  The powers apply whether or not the examining officer has grounds to suspect that person of being a terrorist and it is an offence to fail wilfully to comply with an examining </w:t>
      </w:r>
      <w:r w:rsidR="00580B86">
        <w:rPr>
          <w:rFonts w:ascii="Arial" w:eastAsia="Calibri" w:hAnsi="Arial" w:cs="Arial"/>
        </w:rPr>
        <w:t>officer’s</w:t>
      </w:r>
      <w:r w:rsidR="00FE216B">
        <w:rPr>
          <w:rFonts w:ascii="Arial" w:eastAsia="Calibri" w:hAnsi="Arial" w:cs="Arial"/>
        </w:rPr>
        <w:t xml:space="preserve"> request</w:t>
      </w:r>
      <w:sdt>
        <w:sdtPr>
          <w:rPr>
            <w:rFonts w:ascii="Arial" w:eastAsia="Calibri" w:hAnsi="Arial" w:cs="Arial"/>
          </w:rPr>
          <w:id w:val="-63190014"/>
          <w:citation/>
        </w:sdtPr>
        <w:sdtContent>
          <w:r w:rsidR="00FE216B">
            <w:rPr>
              <w:rFonts w:ascii="Arial" w:eastAsia="Calibri" w:hAnsi="Arial" w:cs="Arial"/>
            </w:rPr>
            <w:fldChar w:fldCharType="begin"/>
          </w:r>
          <w:r w:rsidR="00FE216B">
            <w:rPr>
              <w:rFonts w:ascii="Arial" w:eastAsia="Calibri" w:hAnsi="Arial" w:cs="Arial"/>
            </w:rPr>
            <w:instrText xml:space="preserve"> CITATION Sta16 \l 2057 </w:instrText>
          </w:r>
          <w:r w:rsidR="00FE216B">
            <w:rPr>
              <w:rFonts w:ascii="Arial" w:eastAsia="Calibri" w:hAnsi="Arial" w:cs="Arial"/>
            </w:rPr>
            <w:fldChar w:fldCharType="separate"/>
          </w:r>
          <w:r w:rsidR="00FE216B">
            <w:rPr>
              <w:rFonts w:ascii="Arial" w:eastAsia="Calibri" w:hAnsi="Arial" w:cs="Arial"/>
              <w:noProof/>
            </w:rPr>
            <w:t xml:space="preserve"> </w:t>
          </w:r>
          <w:r w:rsidR="00FE216B" w:rsidRPr="00FE216B">
            <w:rPr>
              <w:rFonts w:ascii="Arial" w:eastAsia="Calibri" w:hAnsi="Arial" w:cs="Arial"/>
              <w:noProof/>
            </w:rPr>
            <w:t>(Stark, 2016)</w:t>
          </w:r>
          <w:r w:rsidR="00FE216B">
            <w:rPr>
              <w:rFonts w:ascii="Arial" w:eastAsia="Calibri" w:hAnsi="Arial" w:cs="Arial"/>
            </w:rPr>
            <w:fldChar w:fldCharType="end"/>
          </w:r>
        </w:sdtContent>
      </w:sdt>
      <w:r w:rsidR="00FE216B">
        <w:rPr>
          <w:rFonts w:ascii="Arial" w:eastAsia="Calibri" w:hAnsi="Arial" w:cs="Arial"/>
        </w:rPr>
        <w:t>.</w:t>
      </w:r>
    </w:p>
    <w:p w14:paraId="3A483B6D" w14:textId="4C7091E1" w:rsidR="00946492" w:rsidRDefault="00697D0B" w:rsidP="007E22E3">
      <w:pPr>
        <w:jc w:val="both"/>
        <w:rPr>
          <w:rFonts w:ascii="Arial" w:eastAsia="Calibri" w:hAnsi="Arial" w:cs="Arial"/>
        </w:rPr>
      </w:pPr>
      <w:bookmarkStart w:id="4" w:name="_Hlk170414546"/>
      <w:r>
        <w:rPr>
          <w:rFonts w:ascii="Arial" w:eastAsia="Calibri" w:hAnsi="Arial" w:cs="Arial"/>
        </w:rPr>
        <w:t>In the year ending June 30</w:t>
      </w:r>
      <w:r w:rsidRPr="00697D0B">
        <w:rPr>
          <w:rFonts w:ascii="Arial" w:eastAsia="Calibri" w:hAnsi="Arial" w:cs="Arial"/>
          <w:vertAlign w:val="superscript"/>
        </w:rPr>
        <w:t>th</w:t>
      </w:r>
      <w:r w:rsidR="003528B1">
        <w:rPr>
          <w:rFonts w:ascii="Arial" w:eastAsia="Calibri" w:hAnsi="Arial" w:cs="Arial"/>
        </w:rPr>
        <w:t>, 2023,</w:t>
      </w:r>
      <w:r>
        <w:rPr>
          <w:rFonts w:ascii="Arial" w:eastAsia="Calibri" w:hAnsi="Arial" w:cs="Arial"/>
        </w:rPr>
        <w:t xml:space="preserve"> 2,498 persons were subject to the use of Schedule 7 </w:t>
      </w:r>
      <w:r w:rsidR="00086FB0">
        <w:rPr>
          <w:rFonts w:ascii="Arial" w:eastAsia="Calibri" w:hAnsi="Arial" w:cs="Arial"/>
        </w:rPr>
        <w:t>in Great Britain; this was a decrease of 6 percent compared to year ending June 30</w:t>
      </w:r>
      <w:r w:rsidR="00086FB0" w:rsidRPr="00086FB0">
        <w:rPr>
          <w:rFonts w:ascii="Arial" w:eastAsia="Calibri" w:hAnsi="Arial" w:cs="Arial"/>
          <w:vertAlign w:val="superscript"/>
        </w:rPr>
        <w:t>th</w:t>
      </w:r>
      <w:r w:rsidR="00180461">
        <w:rPr>
          <w:rFonts w:ascii="Arial" w:eastAsia="Calibri" w:hAnsi="Arial" w:cs="Arial"/>
        </w:rPr>
        <w:t>, 2022,</w:t>
      </w:r>
      <w:r w:rsidR="00086FB0">
        <w:rPr>
          <w:rFonts w:ascii="Arial" w:eastAsia="Calibri" w:hAnsi="Arial" w:cs="Arial"/>
        </w:rPr>
        <w:t xml:space="preserve"> where there were 2662 examinations</w:t>
      </w:r>
      <w:r w:rsidR="00D20D6A">
        <w:rPr>
          <w:rFonts w:ascii="Arial" w:eastAsia="Calibri" w:hAnsi="Arial" w:cs="Arial"/>
        </w:rPr>
        <w:t xml:space="preserve"> and a 9</w:t>
      </w:r>
      <w:r w:rsidR="00982D68">
        <w:rPr>
          <w:rFonts w:ascii="Arial" w:eastAsia="Calibri" w:hAnsi="Arial" w:cs="Arial"/>
        </w:rPr>
        <w:t>6 percent decrease since the data was first collected in the year ending 3oth June 2012</w:t>
      </w:r>
      <w:r w:rsidR="00D3589A">
        <w:rPr>
          <w:rFonts w:ascii="Arial" w:eastAsia="Calibri" w:hAnsi="Arial" w:cs="Arial"/>
        </w:rPr>
        <w:t xml:space="preserve"> when there were 61,049 persons examined under Schedule 7</w:t>
      </w:r>
      <w:r w:rsidR="00086FB0">
        <w:rPr>
          <w:rFonts w:ascii="Arial" w:eastAsia="Calibri" w:hAnsi="Arial" w:cs="Arial"/>
        </w:rPr>
        <w:t xml:space="preserve"> (</w:t>
      </w:r>
      <w:r w:rsidR="00E2359D">
        <w:rPr>
          <w:rFonts w:ascii="Arial" w:eastAsia="Calibri" w:hAnsi="Arial" w:cs="Arial"/>
        </w:rPr>
        <w:t>Home Office, 2023</w:t>
      </w:r>
      <w:r w:rsidR="00A8100D">
        <w:rPr>
          <w:rFonts w:ascii="Arial" w:eastAsia="Calibri" w:hAnsi="Arial" w:cs="Arial"/>
        </w:rPr>
        <w:t>a</w:t>
      </w:r>
      <w:r w:rsidR="00BD3EA6">
        <w:rPr>
          <w:rFonts w:ascii="Arial" w:eastAsia="Calibri" w:hAnsi="Arial" w:cs="Arial"/>
        </w:rPr>
        <w:t>).</w:t>
      </w:r>
      <w:r w:rsidR="00D3589A">
        <w:rPr>
          <w:rFonts w:ascii="Arial" w:eastAsia="Calibri" w:hAnsi="Arial" w:cs="Arial"/>
        </w:rPr>
        <w:t xml:space="preserve">  These figures show an average </w:t>
      </w:r>
      <w:r w:rsidR="00AA34B2">
        <w:rPr>
          <w:rFonts w:ascii="Arial" w:eastAsia="Calibri" w:hAnsi="Arial" w:cs="Arial"/>
        </w:rPr>
        <w:t xml:space="preserve">23 percent decrease in examinations year on year since 2011.  The Home Office </w:t>
      </w:r>
      <w:r w:rsidR="0019470C">
        <w:rPr>
          <w:rFonts w:ascii="Arial" w:eastAsia="Calibri" w:hAnsi="Arial" w:cs="Arial"/>
        </w:rPr>
        <w:t xml:space="preserve">data shows a large reduction in examinations due to the impact of COVID-19 </w:t>
      </w:r>
      <w:r w:rsidR="00000056">
        <w:rPr>
          <w:rFonts w:ascii="Arial" w:eastAsia="Calibri" w:hAnsi="Arial" w:cs="Arial"/>
        </w:rPr>
        <w:t xml:space="preserve">pandemic on international travel where passenger numbers at air and </w:t>
      </w:r>
      <w:r w:rsidR="003528B1">
        <w:rPr>
          <w:rFonts w:ascii="Arial" w:eastAsia="Calibri" w:hAnsi="Arial" w:cs="Arial"/>
        </w:rPr>
        <w:t>seaports</w:t>
      </w:r>
      <w:r w:rsidR="00000056">
        <w:rPr>
          <w:rFonts w:ascii="Arial" w:eastAsia="Calibri" w:hAnsi="Arial" w:cs="Arial"/>
        </w:rPr>
        <w:t xml:space="preserve"> in particular at unprecedented low levels.</w:t>
      </w:r>
      <w:r w:rsidR="00430D95">
        <w:rPr>
          <w:rFonts w:ascii="Arial" w:eastAsia="Calibri" w:hAnsi="Arial" w:cs="Arial"/>
        </w:rPr>
        <w:t xml:space="preserve">  The Home Office also provide commentary that suggests an increase in public scrutiny</w:t>
      </w:r>
      <w:r w:rsidR="00934F30">
        <w:rPr>
          <w:rFonts w:ascii="Arial" w:eastAsia="Calibri" w:hAnsi="Arial" w:cs="Arial"/>
        </w:rPr>
        <w:t xml:space="preserve"> of the power in recent years has driven a more targeted approach which is also reflected in increased rates of detention</w:t>
      </w:r>
      <w:r w:rsidR="005A42D3">
        <w:rPr>
          <w:rFonts w:ascii="Arial" w:eastAsia="Calibri" w:hAnsi="Arial" w:cs="Arial"/>
        </w:rPr>
        <w:t>.</w:t>
      </w:r>
    </w:p>
    <w:bookmarkEnd w:id="4"/>
    <w:p w14:paraId="541EB362" w14:textId="552DA975" w:rsidR="000B725C" w:rsidRDefault="00231043" w:rsidP="007E22E3">
      <w:pPr>
        <w:jc w:val="both"/>
        <w:rPr>
          <w:rFonts w:ascii="Arial" w:eastAsia="Calibri" w:hAnsi="Arial" w:cs="Arial"/>
        </w:rPr>
      </w:pPr>
      <w:r>
        <w:rPr>
          <w:rFonts w:ascii="Arial" w:eastAsia="Calibri" w:hAnsi="Arial" w:cs="Arial"/>
        </w:rPr>
        <w:lastRenderedPageBreak/>
        <w:t xml:space="preserve">Since June 2022 data has also been published around detentions under Schedule 7 </w:t>
      </w:r>
      <w:r w:rsidR="000B725C">
        <w:rPr>
          <w:rFonts w:ascii="Arial" w:eastAsia="Calibri" w:hAnsi="Arial" w:cs="Arial"/>
        </w:rPr>
        <w:t>and resultant self-defined ethnicity:</w:t>
      </w:r>
    </w:p>
    <w:p w14:paraId="291CC0CD" w14:textId="164D6FCD" w:rsidR="000B725C" w:rsidRDefault="003F4037" w:rsidP="003F0610">
      <w:pPr>
        <w:rPr>
          <w:rFonts w:ascii="Arial" w:eastAsia="Calibri" w:hAnsi="Arial" w:cs="Arial"/>
        </w:rPr>
      </w:pPr>
      <w:r>
        <w:rPr>
          <w:rFonts w:eastAsia="Times New Roman"/>
          <w:noProof/>
        </w:rPr>
        <w:drawing>
          <wp:inline distT="0" distB="0" distL="0" distR="0" wp14:anchorId="14560E35" wp14:editId="626DC947">
            <wp:extent cx="4143374" cy="27749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4153060" cy="2781437"/>
                    </a:xfrm>
                    <a:prstGeom prst="rect">
                      <a:avLst/>
                    </a:prstGeom>
                    <a:noFill/>
                    <a:ln>
                      <a:noFill/>
                    </a:ln>
                  </pic:spPr>
                </pic:pic>
              </a:graphicData>
            </a:graphic>
          </wp:inline>
        </w:drawing>
      </w:r>
    </w:p>
    <w:p w14:paraId="3076150F" w14:textId="4494934F" w:rsidR="000B725C" w:rsidRDefault="00552275" w:rsidP="003F0610">
      <w:pPr>
        <w:rPr>
          <w:rFonts w:ascii="Arial" w:eastAsia="Calibri" w:hAnsi="Arial" w:cs="Arial"/>
          <w:b/>
          <w:bCs/>
        </w:rPr>
      </w:pPr>
      <w:bookmarkStart w:id="5" w:name="_Hlk170429121"/>
      <w:r>
        <w:rPr>
          <w:rFonts w:ascii="Arial" w:eastAsia="Calibri" w:hAnsi="Arial" w:cs="Arial"/>
          <w:b/>
          <w:bCs/>
        </w:rPr>
        <w:t>Figure 1</w:t>
      </w:r>
      <w:r w:rsidR="00947E08" w:rsidRPr="00552275">
        <w:rPr>
          <w:rFonts w:ascii="Arial" w:eastAsia="Calibri" w:hAnsi="Arial" w:cs="Arial"/>
          <w:b/>
          <w:bCs/>
        </w:rPr>
        <w:t xml:space="preserve"> </w:t>
      </w:r>
      <w:r w:rsidRPr="00552275">
        <w:rPr>
          <w:rFonts w:ascii="Arial" w:eastAsia="Calibri" w:hAnsi="Arial" w:cs="Arial"/>
          <w:b/>
          <w:bCs/>
        </w:rPr>
        <w:t>–</w:t>
      </w:r>
      <w:r w:rsidR="00947E08" w:rsidRPr="00552275">
        <w:rPr>
          <w:rFonts w:ascii="Arial" w:eastAsia="Calibri" w:hAnsi="Arial" w:cs="Arial"/>
          <w:b/>
          <w:bCs/>
        </w:rPr>
        <w:t xml:space="preserve"> </w:t>
      </w:r>
      <w:r w:rsidRPr="00552275">
        <w:rPr>
          <w:rFonts w:ascii="Arial" w:eastAsia="Calibri" w:hAnsi="Arial" w:cs="Arial"/>
          <w:b/>
          <w:bCs/>
        </w:rPr>
        <w:t>Number of Schedule 7 TACT 2000 Examinations and resultant detentions</w:t>
      </w:r>
      <w:r w:rsidR="00696788">
        <w:rPr>
          <w:rFonts w:ascii="Arial" w:eastAsia="Calibri" w:hAnsi="Arial" w:cs="Arial"/>
          <w:b/>
          <w:bCs/>
        </w:rPr>
        <w:t xml:space="preserve"> (Home Office, 2023a).</w:t>
      </w:r>
    </w:p>
    <w:bookmarkEnd w:id="5"/>
    <w:p w14:paraId="3D5A726A" w14:textId="77777777" w:rsidR="00040E4B" w:rsidRDefault="00040E4B" w:rsidP="007E22E3">
      <w:pPr>
        <w:jc w:val="both"/>
        <w:rPr>
          <w:rFonts w:ascii="Arial" w:eastAsia="Calibri" w:hAnsi="Arial" w:cs="Arial"/>
          <w:b/>
          <w:bCs/>
        </w:rPr>
      </w:pPr>
    </w:p>
    <w:p w14:paraId="39B9C055" w14:textId="68978689" w:rsidR="00040E4B" w:rsidRPr="00040E4B" w:rsidRDefault="00040E4B" w:rsidP="007E22E3">
      <w:pPr>
        <w:jc w:val="both"/>
        <w:rPr>
          <w:rFonts w:ascii="Arial" w:eastAsia="Calibri" w:hAnsi="Arial" w:cs="Arial"/>
        </w:rPr>
      </w:pPr>
      <w:r>
        <w:rPr>
          <w:rFonts w:ascii="Arial" w:eastAsia="Calibri" w:hAnsi="Arial" w:cs="Arial"/>
        </w:rPr>
        <w:t xml:space="preserve">The </w:t>
      </w:r>
      <w:r w:rsidR="006F254A">
        <w:rPr>
          <w:rFonts w:ascii="Arial" w:eastAsia="Calibri" w:hAnsi="Arial" w:cs="Arial"/>
        </w:rPr>
        <w:t xml:space="preserve">figure above demonstrates the </w:t>
      </w:r>
      <w:r w:rsidR="00DC5A3A">
        <w:rPr>
          <w:rFonts w:ascii="Arial" w:eastAsia="Calibri" w:hAnsi="Arial" w:cs="Arial"/>
        </w:rPr>
        <w:t>correlation between examinations and resultant detentions</w:t>
      </w:r>
      <w:r w:rsidR="008245CB">
        <w:rPr>
          <w:rFonts w:ascii="Arial" w:eastAsia="Calibri" w:hAnsi="Arial" w:cs="Arial"/>
        </w:rPr>
        <w:t xml:space="preserve">.  An examination of </w:t>
      </w:r>
      <w:r w:rsidR="00747A0F">
        <w:rPr>
          <w:rFonts w:ascii="Arial" w:eastAsia="Calibri" w:hAnsi="Arial" w:cs="Arial"/>
        </w:rPr>
        <w:t xml:space="preserve">ethnicity data shows 21 percent of </w:t>
      </w:r>
      <w:r w:rsidR="00D239EB">
        <w:rPr>
          <w:rFonts w:ascii="Arial" w:eastAsia="Calibri" w:hAnsi="Arial" w:cs="Arial"/>
        </w:rPr>
        <w:t xml:space="preserve">persons subjected to Schedule 7 were white, with 35 percent identifying as Chinese and 33 percent identifying as Asian or Asian British.  </w:t>
      </w:r>
    </w:p>
    <w:p w14:paraId="5D53753C" w14:textId="57DE62CF" w:rsidR="00C007E1" w:rsidRDefault="00B736A7" w:rsidP="007E22E3">
      <w:pPr>
        <w:jc w:val="both"/>
        <w:rPr>
          <w:rFonts w:ascii="Arial" w:eastAsia="Calibri" w:hAnsi="Arial" w:cs="Arial"/>
        </w:rPr>
      </w:pPr>
      <w:r>
        <w:rPr>
          <w:rFonts w:ascii="Arial" w:eastAsia="Calibri" w:hAnsi="Arial" w:cs="Arial"/>
        </w:rPr>
        <w:t xml:space="preserve">One key aspect to consider when discussing </w:t>
      </w:r>
      <w:r w:rsidR="00F27F1E">
        <w:rPr>
          <w:rFonts w:ascii="Arial" w:eastAsia="Calibri" w:hAnsi="Arial" w:cs="Arial"/>
        </w:rPr>
        <w:t>Schedule</w:t>
      </w:r>
      <w:r>
        <w:rPr>
          <w:rFonts w:ascii="Arial" w:eastAsia="Calibri" w:hAnsi="Arial" w:cs="Arial"/>
        </w:rPr>
        <w:t xml:space="preserve"> 7 is the wide-ranging powers </w:t>
      </w:r>
      <w:r w:rsidR="00134050">
        <w:rPr>
          <w:rFonts w:ascii="Arial" w:eastAsia="Calibri" w:hAnsi="Arial" w:cs="Arial"/>
        </w:rPr>
        <w:t xml:space="preserve">that are granted under the Act.  Proponents argue that these powers </w:t>
      </w:r>
      <w:r w:rsidR="00753405">
        <w:rPr>
          <w:rFonts w:ascii="Arial" w:eastAsia="Calibri" w:hAnsi="Arial" w:cs="Arial"/>
        </w:rPr>
        <w:t>enhance the ability to identify and apprehend potential terrorists whereas critics argue that the</w:t>
      </w:r>
      <w:r w:rsidR="006C184A">
        <w:rPr>
          <w:rFonts w:ascii="Arial" w:eastAsia="Calibri" w:hAnsi="Arial" w:cs="Arial"/>
        </w:rPr>
        <w:t xml:space="preserve">se broad powers lead to profiling </w:t>
      </w:r>
      <w:r w:rsidR="00580B86">
        <w:rPr>
          <w:rFonts w:ascii="Arial" w:eastAsia="Calibri" w:hAnsi="Arial" w:cs="Arial"/>
        </w:rPr>
        <w:t xml:space="preserve">which may </w:t>
      </w:r>
      <w:r w:rsidR="00C007E1">
        <w:rPr>
          <w:rFonts w:ascii="Arial" w:eastAsia="Calibri" w:hAnsi="Arial" w:cs="Arial"/>
        </w:rPr>
        <w:t>present itself as</w:t>
      </w:r>
      <w:r w:rsidR="006C184A">
        <w:rPr>
          <w:rFonts w:ascii="Arial" w:eastAsia="Calibri" w:hAnsi="Arial" w:cs="Arial"/>
        </w:rPr>
        <w:t xml:space="preserve"> the </w:t>
      </w:r>
      <w:r w:rsidR="00F27F1E">
        <w:rPr>
          <w:rFonts w:ascii="Arial" w:eastAsia="Calibri" w:hAnsi="Arial" w:cs="Arial"/>
        </w:rPr>
        <w:t>potential</w:t>
      </w:r>
      <w:r w:rsidR="006C184A">
        <w:rPr>
          <w:rFonts w:ascii="Arial" w:eastAsia="Calibri" w:hAnsi="Arial" w:cs="Arial"/>
        </w:rPr>
        <w:t xml:space="preserve"> alienation of </w:t>
      </w:r>
      <w:r w:rsidR="00F27F1E">
        <w:rPr>
          <w:rFonts w:ascii="Arial" w:eastAsia="Calibri" w:hAnsi="Arial" w:cs="Arial"/>
        </w:rPr>
        <w:t>innocent</w:t>
      </w:r>
      <w:r w:rsidR="006C184A">
        <w:rPr>
          <w:rFonts w:ascii="Arial" w:eastAsia="Calibri" w:hAnsi="Arial" w:cs="Arial"/>
        </w:rPr>
        <w:t xml:space="preserve"> individuals</w:t>
      </w:r>
      <w:r w:rsidR="00E623E1">
        <w:rPr>
          <w:rFonts w:ascii="Arial" w:eastAsia="Calibri" w:hAnsi="Arial" w:cs="Arial"/>
        </w:rPr>
        <w:t xml:space="preserve"> </w:t>
      </w:r>
      <w:sdt>
        <w:sdtPr>
          <w:rPr>
            <w:rFonts w:ascii="Arial" w:eastAsia="Calibri" w:hAnsi="Arial" w:cs="Arial"/>
          </w:rPr>
          <w:id w:val="-1296673467"/>
          <w:citation/>
        </w:sdtPr>
        <w:sdtContent>
          <w:r w:rsidR="00E623E1">
            <w:rPr>
              <w:rFonts w:ascii="Arial" w:eastAsia="Calibri" w:hAnsi="Arial" w:cs="Arial"/>
            </w:rPr>
            <w:fldChar w:fldCharType="begin"/>
          </w:r>
          <w:r w:rsidR="00E623E1">
            <w:rPr>
              <w:rFonts w:ascii="Arial" w:eastAsia="Calibri" w:hAnsi="Arial" w:cs="Arial"/>
            </w:rPr>
            <w:instrText xml:space="preserve"> CITATION Wra19 \l 2057 </w:instrText>
          </w:r>
          <w:r w:rsidR="00E623E1">
            <w:rPr>
              <w:rFonts w:ascii="Arial" w:eastAsia="Calibri" w:hAnsi="Arial" w:cs="Arial"/>
            </w:rPr>
            <w:fldChar w:fldCharType="separate"/>
          </w:r>
          <w:r w:rsidR="00E623E1" w:rsidRPr="00E623E1">
            <w:rPr>
              <w:rFonts w:ascii="Arial" w:eastAsia="Calibri" w:hAnsi="Arial" w:cs="Arial"/>
              <w:noProof/>
            </w:rPr>
            <w:t>(Wragg, 2019)</w:t>
          </w:r>
          <w:r w:rsidR="00E623E1">
            <w:rPr>
              <w:rFonts w:ascii="Arial" w:eastAsia="Calibri" w:hAnsi="Arial" w:cs="Arial"/>
            </w:rPr>
            <w:fldChar w:fldCharType="end"/>
          </w:r>
        </w:sdtContent>
      </w:sdt>
      <w:r w:rsidR="006C184A">
        <w:rPr>
          <w:rFonts w:ascii="Arial" w:eastAsia="Calibri" w:hAnsi="Arial" w:cs="Arial"/>
        </w:rPr>
        <w:t>.</w:t>
      </w:r>
      <w:r w:rsidR="003533C6">
        <w:rPr>
          <w:rFonts w:ascii="Arial" w:eastAsia="Calibri" w:hAnsi="Arial" w:cs="Arial"/>
        </w:rPr>
        <w:t xml:space="preserve">  </w:t>
      </w:r>
      <w:r w:rsidR="00723F79">
        <w:rPr>
          <w:rFonts w:ascii="Arial" w:eastAsia="Calibri" w:hAnsi="Arial" w:cs="Arial"/>
        </w:rPr>
        <w:t>Wragg argues that the training of law enforcement officers is crucial in enabling them to</w:t>
      </w:r>
      <w:r w:rsidR="00423232">
        <w:rPr>
          <w:rFonts w:ascii="Arial" w:eastAsia="Calibri" w:hAnsi="Arial" w:cs="Arial"/>
        </w:rPr>
        <w:t xml:space="preserve"> identify indicators of terrorist activities whilst avoiding bias or discrimination.  Wragg emphasises the </w:t>
      </w:r>
      <w:r w:rsidR="006930FB">
        <w:rPr>
          <w:rFonts w:ascii="Arial" w:eastAsia="Calibri" w:hAnsi="Arial" w:cs="Arial"/>
        </w:rPr>
        <w:t>legal framewor</w:t>
      </w:r>
      <w:r w:rsidR="00CA683D">
        <w:rPr>
          <w:rFonts w:ascii="Arial" w:eastAsia="Calibri" w:hAnsi="Arial" w:cs="Arial"/>
        </w:rPr>
        <w:t>k</w:t>
      </w:r>
      <w:r w:rsidR="006930FB">
        <w:rPr>
          <w:rFonts w:ascii="Arial" w:eastAsia="Calibri" w:hAnsi="Arial" w:cs="Arial"/>
        </w:rPr>
        <w:t xml:space="preserve"> and necessary safeguards to protect </w:t>
      </w:r>
      <w:r w:rsidR="00C007E1">
        <w:rPr>
          <w:rFonts w:ascii="Arial" w:eastAsia="Calibri" w:hAnsi="Arial" w:cs="Arial"/>
        </w:rPr>
        <w:t>individuals’</w:t>
      </w:r>
      <w:r w:rsidR="006930FB">
        <w:rPr>
          <w:rFonts w:ascii="Arial" w:eastAsia="Calibri" w:hAnsi="Arial" w:cs="Arial"/>
        </w:rPr>
        <w:t xml:space="preserve"> </w:t>
      </w:r>
      <w:r w:rsidR="00CA683D">
        <w:rPr>
          <w:rFonts w:ascii="Arial" w:eastAsia="Calibri" w:hAnsi="Arial" w:cs="Arial"/>
        </w:rPr>
        <w:t>rights during</w:t>
      </w:r>
      <w:r w:rsidR="006930FB">
        <w:rPr>
          <w:rFonts w:ascii="Arial" w:eastAsia="Calibri" w:hAnsi="Arial" w:cs="Arial"/>
        </w:rPr>
        <w:t xml:space="preserve"> the application of Schedule 7 po</w:t>
      </w:r>
      <w:r w:rsidR="00D45F56">
        <w:rPr>
          <w:rFonts w:ascii="Arial" w:eastAsia="Calibri" w:hAnsi="Arial" w:cs="Arial"/>
        </w:rPr>
        <w:t xml:space="preserve">wers and argues that without such training, there is a risk of misapplication or misuse of </w:t>
      </w:r>
      <w:r w:rsidR="00A52D4F">
        <w:rPr>
          <w:rFonts w:ascii="Arial" w:eastAsia="Calibri" w:hAnsi="Arial" w:cs="Arial"/>
        </w:rPr>
        <w:t>powers, which could lead to the targeting of innocent individuals and the diversion of resources from more effective counter terrorism strategies.</w:t>
      </w:r>
      <w:r w:rsidR="00CA683D">
        <w:rPr>
          <w:rFonts w:ascii="Arial" w:eastAsia="Calibri" w:hAnsi="Arial" w:cs="Arial"/>
        </w:rPr>
        <w:t xml:space="preserve">  </w:t>
      </w:r>
      <w:r w:rsidR="00220D44">
        <w:rPr>
          <w:rFonts w:ascii="Arial" w:eastAsia="Calibri" w:hAnsi="Arial" w:cs="Arial"/>
        </w:rPr>
        <w:t xml:space="preserve">Wragg proposes the need for robust oversight mechanisms to ensure accountability and prevent the </w:t>
      </w:r>
      <w:r w:rsidR="00DF3916">
        <w:rPr>
          <w:rFonts w:ascii="Arial" w:eastAsia="Calibri" w:hAnsi="Arial" w:cs="Arial"/>
        </w:rPr>
        <w:t>abuse of these powers.</w:t>
      </w:r>
    </w:p>
    <w:p w14:paraId="0537ACB9" w14:textId="7B3F94A3" w:rsidR="00D006D4" w:rsidRDefault="005A1494" w:rsidP="007E22E3">
      <w:pPr>
        <w:jc w:val="both"/>
        <w:rPr>
          <w:rFonts w:ascii="Arial" w:eastAsia="Calibri" w:hAnsi="Arial" w:cs="Arial"/>
        </w:rPr>
      </w:pPr>
      <w:r>
        <w:rPr>
          <w:rFonts w:ascii="Arial" w:eastAsia="Calibri" w:hAnsi="Arial" w:cs="Arial"/>
        </w:rPr>
        <w:t xml:space="preserve">Whilst Wragg </w:t>
      </w:r>
      <w:r w:rsidR="002558A5">
        <w:rPr>
          <w:rFonts w:ascii="Arial" w:eastAsia="Calibri" w:hAnsi="Arial" w:cs="Arial"/>
        </w:rPr>
        <w:t xml:space="preserve">argues </w:t>
      </w:r>
      <w:r w:rsidR="008A6266">
        <w:rPr>
          <w:rFonts w:ascii="Arial" w:eastAsia="Calibri" w:hAnsi="Arial" w:cs="Arial"/>
        </w:rPr>
        <w:t>the need for</w:t>
      </w:r>
      <w:r w:rsidR="002558A5">
        <w:rPr>
          <w:rFonts w:ascii="Arial" w:eastAsia="Calibri" w:hAnsi="Arial" w:cs="Arial"/>
        </w:rPr>
        <w:t xml:space="preserve"> comprehensive training </w:t>
      </w:r>
      <w:r w:rsidR="008A6266">
        <w:rPr>
          <w:rFonts w:ascii="Arial" w:eastAsia="Calibri" w:hAnsi="Arial" w:cs="Arial"/>
        </w:rPr>
        <w:t>to be</w:t>
      </w:r>
      <w:r w:rsidR="00C7368C">
        <w:rPr>
          <w:rFonts w:ascii="Arial" w:eastAsia="Calibri" w:hAnsi="Arial" w:cs="Arial"/>
        </w:rPr>
        <w:t xml:space="preserve"> undergone by law enforcement officers </w:t>
      </w:r>
      <w:r w:rsidR="00AE5BC4">
        <w:rPr>
          <w:rFonts w:ascii="Arial" w:eastAsia="Calibri" w:hAnsi="Arial" w:cs="Arial"/>
        </w:rPr>
        <w:t>to</w:t>
      </w:r>
      <w:r w:rsidR="00C7368C">
        <w:rPr>
          <w:rFonts w:ascii="Arial" w:eastAsia="Calibri" w:hAnsi="Arial" w:cs="Arial"/>
        </w:rPr>
        <w:t xml:space="preserve"> assist them to identify</w:t>
      </w:r>
      <w:r w:rsidR="00295AAE">
        <w:rPr>
          <w:rFonts w:ascii="Arial" w:eastAsia="Calibri" w:hAnsi="Arial" w:cs="Arial"/>
        </w:rPr>
        <w:t xml:space="preserve"> </w:t>
      </w:r>
      <w:r w:rsidR="00C7368C">
        <w:rPr>
          <w:rFonts w:ascii="Arial" w:eastAsia="Calibri" w:hAnsi="Arial" w:cs="Arial"/>
        </w:rPr>
        <w:t>indicators of terrorist activities</w:t>
      </w:r>
      <w:r w:rsidR="00295AAE">
        <w:rPr>
          <w:rFonts w:ascii="Arial" w:eastAsia="Calibri" w:hAnsi="Arial" w:cs="Arial"/>
        </w:rPr>
        <w:t xml:space="preserve"> </w:t>
      </w:r>
      <w:r w:rsidR="00294394">
        <w:rPr>
          <w:rFonts w:ascii="Arial" w:eastAsia="Calibri" w:hAnsi="Arial" w:cs="Arial"/>
        </w:rPr>
        <w:t xml:space="preserve">with a view to </w:t>
      </w:r>
      <w:r w:rsidR="00295AAE">
        <w:rPr>
          <w:rFonts w:ascii="Arial" w:eastAsia="Calibri" w:hAnsi="Arial" w:cs="Arial"/>
        </w:rPr>
        <w:t>avoiding bias or discrimination</w:t>
      </w:r>
      <w:r w:rsidR="00294394">
        <w:rPr>
          <w:rFonts w:ascii="Arial" w:eastAsia="Calibri" w:hAnsi="Arial" w:cs="Arial"/>
        </w:rPr>
        <w:t xml:space="preserve">, others consider training as a </w:t>
      </w:r>
      <w:r w:rsidR="00295AAE">
        <w:rPr>
          <w:rFonts w:ascii="Arial" w:eastAsia="Calibri" w:hAnsi="Arial" w:cs="Arial"/>
        </w:rPr>
        <w:t>consider</w:t>
      </w:r>
      <w:r w:rsidR="00294394">
        <w:rPr>
          <w:rFonts w:ascii="Arial" w:eastAsia="Calibri" w:hAnsi="Arial" w:cs="Arial"/>
        </w:rPr>
        <w:t>ation</w:t>
      </w:r>
      <w:r w:rsidR="00423BD4">
        <w:rPr>
          <w:rFonts w:ascii="Arial" w:eastAsia="Calibri" w:hAnsi="Arial" w:cs="Arial"/>
        </w:rPr>
        <w:t xml:space="preserve"> to combat </w:t>
      </w:r>
      <w:r w:rsidR="00295AAE">
        <w:rPr>
          <w:rFonts w:ascii="Arial" w:eastAsia="Calibri" w:hAnsi="Arial" w:cs="Arial"/>
        </w:rPr>
        <w:t xml:space="preserve">the evolving </w:t>
      </w:r>
      <w:r w:rsidR="00716AC7">
        <w:rPr>
          <w:rFonts w:ascii="Arial" w:eastAsia="Calibri" w:hAnsi="Arial" w:cs="Arial"/>
        </w:rPr>
        <w:t>utilisation</w:t>
      </w:r>
      <w:r w:rsidR="00E24AFA">
        <w:rPr>
          <w:rFonts w:ascii="Arial" w:eastAsia="Calibri" w:hAnsi="Arial" w:cs="Arial"/>
        </w:rPr>
        <w:t xml:space="preserve"> of new methods and adaptations made by terrorists such as online radicalisation and use of encrypted materials</w:t>
      </w:r>
      <w:r w:rsidR="00716AC7">
        <w:rPr>
          <w:rFonts w:ascii="Arial" w:eastAsia="Calibri" w:hAnsi="Arial" w:cs="Arial"/>
        </w:rPr>
        <w:t xml:space="preserve"> </w:t>
      </w:r>
      <w:sdt>
        <w:sdtPr>
          <w:rPr>
            <w:rFonts w:ascii="Arial" w:eastAsia="Calibri" w:hAnsi="Arial" w:cs="Arial"/>
          </w:rPr>
          <w:id w:val="1806899021"/>
          <w:citation/>
        </w:sdtPr>
        <w:sdtContent>
          <w:r w:rsidR="00716AC7">
            <w:rPr>
              <w:rFonts w:ascii="Arial" w:eastAsia="Calibri" w:hAnsi="Arial" w:cs="Arial"/>
            </w:rPr>
            <w:fldChar w:fldCharType="begin"/>
          </w:r>
          <w:r w:rsidR="00716AC7">
            <w:rPr>
              <w:rFonts w:ascii="Arial" w:eastAsia="Calibri" w:hAnsi="Arial" w:cs="Arial"/>
            </w:rPr>
            <w:instrText xml:space="preserve"> CITATION Bri20 \l 2057 </w:instrText>
          </w:r>
          <w:r w:rsidR="00716AC7">
            <w:rPr>
              <w:rFonts w:ascii="Arial" w:eastAsia="Calibri" w:hAnsi="Arial" w:cs="Arial"/>
            </w:rPr>
            <w:fldChar w:fldCharType="separate"/>
          </w:r>
          <w:r w:rsidR="00716AC7" w:rsidRPr="00716AC7">
            <w:rPr>
              <w:rFonts w:ascii="Arial" w:eastAsia="Calibri" w:hAnsi="Arial" w:cs="Arial"/>
              <w:noProof/>
            </w:rPr>
            <w:t>(Briggerman, 2020)</w:t>
          </w:r>
          <w:r w:rsidR="00716AC7">
            <w:rPr>
              <w:rFonts w:ascii="Arial" w:eastAsia="Calibri" w:hAnsi="Arial" w:cs="Arial"/>
            </w:rPr>
            <w:fldChar w:fldCharType="end"/>
          </w:r>
        </w:sdtContent>
      </w:sdt>
      <w:r w:rsidR="00716AC7">
        <w:rPr>
          <w:rFonts w:ascii="Arial" w:eastAsia="Calibri" w:hAnsi="Arial" w:cs="Arial"/>
        </w:rPr>
        <w:t>.</w:t>
      </w:r>
    </w:p>
    <w:p w14:paraId="51253544" w14:textId="6E96FA83" w:rsidR="007E31CC" w:rsidRDefault="007E31CC" w:rsidP="007E22E3">
      <w:pPr>
        <w:jc w:val="both"/>
        <w:rPr>
          <w:rFonts w:ascii="Arial" w:eastAsia="Calibri" w:hAnsi="Arial" w:cs="Arial"/>
        </w:rPr>
      </w:pPr>
      <w:r>
        <w:rPr>
          <w:rFonts w:ascii="Arial" w:eastAsia="Calibri" w:hAnsi="Arial" w:cs="Arial"/>
        </w:rPr>
        <w:t xml:space="preserve">Briggerman argues that the emergence of new </w:t>
      </w:r>
      <w:r w:rsidR="00BD7B38">
        <w:rPr>
          <w:rFonts w:ascii="Arial" w:eastAsia="Calibri" w:hAnsi="Arial" w:cs="Arial"/>
        </w:rPr>
        <w:t>technologies</w:t>
      </w:r>
      <w:r>
        <w:rPr>
          <w:rFonts w:ascii="Arial" w:eastAsia="Calibri" w:hAnsi="Arial" w:cs="Arial"/>
        </w:rPr>
        <w:t xml:space="preserve"> an</w:t>
      </w:r>
      <w:r w:rsidR="00BD7B38">
        <w:rPr>
          <w:rFonts w:ascii="Arial" w:eastAsia="Calibri" w:hAnsi="Arial" w:cs="Arial"/>
        </w:rPr>
        <w:t>d</w:t>
      </w:r>
      <w:r>
        <w:rPr>
          <w:rFonts w:ascii="Arial" w:eastAsia="Calibri" w:hAnsi="Arial" w:cs="Arial"/>
        </w:rPr>
        <w:t xml:space="preserve"> </w:t>
      </w:r>
      <w:r w:rsidR="00BD7B38">
        <w:rPr>
          <w:rFonts w:ascii="Arial" w:eastAsia="Calibri" w:hAnsi="Arial" w:cs="Arial"/>
        </w:rPr>
        <w:t>strategies</w:t>
      </w:r>
      <w:r>
        <w:rPr>
          <w:rFonts w:ascii="Arial" w:eastAsia="Calibri" w:hAnsi="Arial" w:cs="Arial"/>
        </w:rPr>
        <w:t xml:space="preserve">, such as online </w:t>
      </w:r>
      <w:r w:rsidR="00BD7B38">
        <w:rPr>
          <w:rFonts w:ascii="Arial" w:eastAsia="Calibri" w:hAnsi="Arial" w:cs="Arial"/>
        </w:rPr>
        <w:t>radicalisation has created significant challenges for efforts of counter terrorism officers in both the prevention and detection spheres.</w:t>
      </w:r>
      <w:r w:rsidR="003864AE">
        <w:rPr>
          <w:rFonts w:ascii="Arial" w:eastAsia="Calibri" w:hAnsi="Arial" w:cs="Arial"/>
        </w:rPr>
        <w:t xml:space="preserve">  Briggerman highlights the importance of continuing review and adaptation of legislation </w:t>
      </w:r>
      <w:r w:rsidR="008A5F15">
        <w:rPr>
          <w:rFonts w:ascii="Arial" w:eastAsia="Calibri" w:hAnsi="Arial" w:cs="Arial"/>
        </w:rPr>
        <w:t xml:space="preserve">to keep pace with these evolving threats and emphasises </w:t>
      </w:r>
      <w:r w:rsidR="008A5F15">
        <w:rPr>
          <w:rFonts w:ascii="Arial" w:eastAsia="Calibri" w:hAnsi="Arial" w:cs="Arial"/>
        </w:rPr>
        <w:lastRenderedPageBreak/>
        <w:t xml:space="preserve">the need for regular reviews and updates to ensure that the legislation </w:t>
      </w:r>
      <w:r w:rsidR="00DA1FCD">
        <w:rPr>
          <w:rFonts w:ascii="Arial" w:eastAsia="Calibri" w:hAnsi="Arial" w:cs="Arial"/>
        </w:rPr>
        <w:t>remains effective and can thereby effectively address the changing landscape of terrorism.</w:t>
      </w:r>
    </w:p>
    <w:p w14:paraId="0D5005CF" w14:textId="069E0518" w:rsidR="001C3CAF" w:rsidRDefault="001F1655" w:rsidP="007E22E3">
      <w:pPr>
        <w:jc w:val="both"/>
        <w:rPr>
          <w:rFonts w:ascii="Arial" w:eastAsia="Calibri" w:hAnsi="Arial" w:cs="Arial"/>
        </w:rPr>
      </w:pPr>
      <w:r>
        <w:rPr>
          <w:rFonts w:ascii="Arial" w:eastAsia="Calibri" w:hAnsi="Arial" w:cs="Arial"/>
        </w:rPr>
        <w:t xml:space="preserve">In work undertaken by Tacik (2017) </w:t>
      </w:r>
      <w:r w:rsidR="00B5492B">
        <w:rPr>
          <w:rFonts w:ascii="Arial" w:eastAsia="Calibri" w:hAnsi="Arial" w:cs="Arial"/>
        </w:rPr>
        <w:t>empirical analysis of arrests, stops, and searches conducted under the legislation is undertaken</w:t>
      </w:r>
      <w:r w:rsidR="009A2220">
        <w:rPr>
          <w:rFonts w:ascii="Arial" w:eastAsia="Calibri" w:hAnsi="Arial" w:cs="Arial"/>
        </w:rPr>
        <w:t xml:space="preserve"> with an aim to provide insights into the ability of Schedule 7 to identify and address terrorism offences.  Tacik adopts a quantitative approach</w:t>
      </w:r>
      <w:r w:rsidR="00896985">
        <w:rPr>
          <w:rFonts w:ascii="Arial" w:eastAsia="Calibri" w:hAnsi="Arial" w:cs="Arial"/>
        </w:rPr>
        <w:t xml:space="preserve"> and by evaluating the outcomes, including the number of arrests and subsequent prosecutions seeks to </w:t>
      </w:r>
      <w:r w:rsidR="007A6D38">
        <w:rPr>
          <w:rFonts w:ascii="Arial" w:eastAsia="Calibri" w:hAnsi="Arial" w:cs="Arial"/>
        </w:rPr>
        <w:t>assess the effectiveness of the power.  One strength of this study is its empirical analysis which allows for systematic examination of the data</w:t>
      </w:r>
      <w:r w:rsidR="00F15D9D">
        <w:rPr>
          <w:rFonts w:ascii="Arial" w:eastAsia="Calibri" w:hAnsi="Arial" w:cs="Arial"/>
        </w:rPr>
        <w:t xml:space="preserve">.  By relying on quantitative data Tacik </w:t>
      </w:r>
      <w:r w:rsidR="00652638">
        <w:rPr>
          <w:rFonts w:ascii="Arial" w:eastAsia="Calibri" w:hAnsi="Arial" w:cs="Arial"/>
        </w:rPr>
        <w:t>can</w:t>
      </w:r>
      <w:r w:rsidR="00F15D9D">
        <w:rPr>
          <w:rFonts w:ascii="Arial" w:eastAsia="Calibri" w:hAnsi="Arial" w:cs="Arial"/>
        </w:rPr>
        <w:t xml:space="preserve"> provide an objective assessment</w:t>
      </w:r>
      <w:r w:rsidR="00EF0C6D">
        <w:rPr>
          <w:rFonts w:ascii="Arial" w:eastAsia="Calibri" w:hAnsi="Arial" w:cs="Arial"/>
        </w:rPr>
        <w:t xml:space="preserve"> on the impact of arrests, stops and searches, with this approach enhancing the </w:t>
      </w:r>
      <w:r w:rsidR="00B64142">
        <w:rPr>
          <w:rFonts w:ascii="Arial" w:eastAsia="Calibri" w:hAnsi="Arial" w:cs="Arial"/>
        </w:rPr>
        <w:t>credibility and reliability of the findings.  Additionally, by focusing on practical outcomes this stud</w:t>
      </w:r>
      <w:r w:rsidR="001D4AC7">
        <w:rPr>
          <w:rFonts w:ascii="Arial" w:eastAsia="Calibri" w:hAnsi="Arial" w:cs="Arial"/>
        </w:rPr>
        <w:t xml:space="preserve">y seeks to understand the </w:t>
      </w:r>
      <w:r w:rsidR="00652638">
        <w:rPr>
          <w:rFonts w:ascii="Arial" w:eastAsia="Calibri" w:hAnsi="Arial" w:cs="Arial"/>
        </w:rPr>
        <w:t>real-world</w:t>
      </w:r>
      <w:r w:rsidR="001D4AC7">
        <w:rPr>
          <w:rFonts w:ascii="Arial" w:eastAsia="Calibri" w:hAnsi="Arial" w:cs="Arial"/>
        </w:rPr>
        <w:t xml:space="preserve"> impact of the legislation which is crucial for policy makers and law enforcement advocates.</w:t>
      </w:r>
      <w:r w:rsidR="004C44DE">
        <w:rPr>
          <w:rFonts w:ascii="Arial" w:eastAsia="Calibri" w:hAnsi="Arial" w:cs="Arial"/>
        </w:rPr>
        <w:t xml:space="preserve">  However, it is important to note that this study is limited to an analysis of stops, arrests and searches conducted under Schedule 7</w:t>
      </w:r>
      <w:r w:rsidR="00321533">
        <w:rPr>
          <w:rFonts w:ascii="Arial" w:eastAsia="Calibri" w:hAnsi="Arial" w:cs="Arial"/>
        </w:rPr>
        <w:t xml:space="preserve"> and does not provide a comprehensive evaluation of the wider implications and potential drawbacks</w:t>
      </w:r>
      <w:r w:rsidR="000008C5">
        <w:rPr>
          <w:rFonts w:ascii="Arial" w:eastAsia="Calibri" w:hAnsi="Arial" w:cs="Arial"/>
        </w:rPr>
        <w:t xml:space="preserve"> of the legislation, including the potential for alternative counter terrorism powers which are not considered.  </w:t>
      </w:r>
    </w:p>
    <w:p w14:paraId="56C54DD9" w14:textId="5AD76ED7" w:rsidR="005A391C" w:rsidRDefault="0014793D" w:rsidP="007E22E3">
      <w:pPr>
        <w:jc w:val="both"/>
        <w:rPr>
          <w:rFonts w:ascii="Arial" w:eastAsia="Calibri" w:hAnsi="Arial" w:cs="Arial"/>
        </w:rPr>
      </w:pPr>
      <w:bookmarkStart w:id="6" w:name="_Hlk170420670"/>
      <w:r>
        <w:rPr>
          <w:rFonts w:ascii="Arial" w:eastAsia="Calibri" w:hAnsi="Arial" w:cs="Arial"/>
        </w:rPr>
        <w:t xml:space="preserve">On reviewing the literature </w:t>
      </w:r>
      <w:r w:rsidR="001E33AD">
        <w:rPr>
          <w:rFonts w:ascii="Arial" w:eastAsia="Calibri" w:hAnsi="Arial" w:cs="Arial"/>
        </w:rPr>
        <w:t xml:space="preserve">around Schedule 7 it is evident that the wealth of it relates to concerns around civil liberties.  </w:t>
      </w:r>
      <w:r w:rsidR="00FE216B">
        <w:rPr>
          <w:rFonts w:ascii="Arial" w:eastAsia="Calibri" w:hAnsi="Arial" w:cs="Arial"/>
        </w:rPr>
        <w:t>Stark</w:t>
      </w:r>
      <w:r w:rsidR="00DB3F4B">
        <w:rPr>
          <w:rFonts w:ascii="Arial" w:eastAsia="Calibri" w:hAnsi="Arial" w:cs="Arial"/>
        </w:rPr>
        <w:t xml:space="preserve"> </w:t>
      </w:r>
      <w:r>
        <w:rPr>
          <w:rFonts w:ascii="Arial" w:eastAsia="Calibri" w:hAnsi="Arial" w:cs="Arial"/>
        </w:rPr>
        <w:t xml:space="preserve">(2016) </w:t>
      </w:r>
      <w:r w:rsidR="00FE216B">
        <w:rPr>
          <w:rFonts w:ascii="Arial" w:eastAsia="Calibri" w:hAnsi="Arial" w:cs="Arial"/>
        </w:rPr>
        <w:t xml:space="preserve">highlights a prime example of the balance that needs to be struck between the rights of individuals and the need to prevent terrorism as highlighted via the Supreme Court in its decision on Beghal v DPP [2015].  This ruling serves as a significant example </w:t>
      </w:r>
      <w:r w:rsidR="0043495B">
        <w:rPr>
          <w:rFonts w:ascii="Arial" w:eastAsia="Calibri" w:hAnsi="Arial" w:cs="Arial"/>
        </w:rPr>
        <w:t xml:space="preserve">of the delicate balance between individuals rights and the imperative to prevent terrorism.  In this particular case, the majority of the findings placed greater emphasis on the latter.  However, there were notable criticisms directed at Schedule 7 legislation which grants examining officers (constables, immigration officers and customs officers) the authority to use their dedicated powers regardless of any reasonable suspicion.  </w:t>
      </w:r>
    </w:p>
    <w:bookmarkEnd w:id="6"/>
    <w:p w14:paraId="78DF0DCB" w14:textId="22EF8B0F" w:rsidR="00117D4C" w:rsidRDefault="00474466" w:rsidP="007E22E3">
      <w:pPr>
        <w:jc w:val="both"/>
        <w:rPr>
          <w:rFonts w:ascii="Arial" w:eastAsia="Calibri" w:hAnsi="Arial" w:cs="Arial"/>
        </w:rPr>
      </w:pPr>
      <w:r>
        <w:rPr>
          <w:rFonts w:ascii="Arial" w:eastAsia="Calibri" w:hAnsi="Arial" w:cs="Arial"/>
        </w:rPr>
        <w:t>T</w:t>
      </w:r>
      <w:r w:rsidR="0043495B">
        <w:rPr>
          <w:rFonts w:ascii="Arial" w:eastAsia="Calibri" w:hAnsi="Arial" w:cs="Arial"/>
        </w:rPr>
        <w:t>h</w:t>
      </w:r>
      <w:r>
        <w:rPr>
          <w:rFonts w:ascii="Arial" w:eastAsia="Calibri" w:hAnsi="Arial" w:cs="Arial"/>
        </w:rPr>
        <w:t>e</w:t>
      </w:r>
      <w:r w:rsidR="0043495B">
        <w:rPr>
          <w:rFonts w:ascii="Arial" w:eastAsia="Calibri" w:hAnsi="Arial" w:cs="Arial"/>
        </w:rPr>
        <w:t xml:space="preserve"> </w:t>
      </w:r>
      <w:r w:rsidR="00A75E5E">
        <w:rPr>
          <w:rFonts w:ascii="Arial" w:eastAsia="Calibri" w:hAnsi="Arial" w:cs="Arial"/>
        </w:rPr>
        <w:t>case</w:t>
      </w:r>
      <w:r w:rsidR="0043495B">
        <w:rPr>
          <w:rFonts w:ascii="Arial" w:eastAsia="Calibri" w:hAnsi="Arial" w:cs="Arial"/>
        </w:rPr>
        <w:t xml:space="preserve"> </w:t>
      </w:r>
      <w:r>
        <w:rPr>
          <w:rFonts w:ascii="Arial" w:eastAsia="Calibri" w:hAnsi="Arial" w:cs="Arial"/>
        </w:rPr>
        <w:t xml:space="preserve">of Beghal </w:t>
      </w:r>
      <w:r w:rsidR="0043495B">
        <w:rPr>
          <w:rFonts w:ascii="Arial" w:eastAsia="Calibri" w:hAnsi="Arial" w:cs="Arial"/>
        </w:rPr>
        <w:t>related to Sylvie Beghal</w:t>
      </w:r>
      <w:r w:rsidR="005A391C">
        <w:rPr>
          <w:rFonts w:ascii="Arial" w:eastAsia="Calibri" w:hAnsi="Arial" w:cs="Arial"/>
        </w:rPr>
        <w:t xml:space="preserve"> who was subjected to questioning under Schedule 7 at East Midlands Airport.  She had just returned from a visit to her husband in Paris, who was in custody for terrorism related offences.  Upon her detention at East Midlands, Beghal requested the opportunity to consult with a solicitor and to pray.  After praying she spoke to her lawyer on the phone and following that was </w:t>
      </w:r>
      <w:r w:rsidR="00A76185">
        <w:rPr>
          <w:rFonts w:ascii="Arial" w:eastAsia="Calibri" w:hAnsi="Arial" w:cs="Arial"/>
        </w:rPr>
        <w:t xml:space="preserve">questioned for approximately 30 minutes about her travel and personal life, being further informed by the examining officer that officers would not wait for her lawyer to arrive prior to further questioning.   After choosing not to answer </w:t>
      </w:r>
      <w:r w:rsidR="00A75E5E">
        <w:rPr>
          <w:rFonts w:ascii="Arial" w:eastAsia="Calibri" w:hAnsi="Arial" w:cs="Arial"/>
        </w:rPr>
        <w:t>many of</w:t>
      </w:r>
      <w:r w:rsidR="00A76185">
        <w:rPr>
          <w:rFonts w:ascii="Arial" w:eastAsia="Calibri" w:hAnsi="Arial" w:cs="Arial"/>
        </w:rPr>
        <w:t xml:space="preserve"> the questions posed, Beghal was subsequently convicted of wilfully failing to comply with a duty imposed by Schedule 7.  On appeal, Beghal argues that the legislation violated several of her rights under the European Convention of Human Rights (ECHR) notably the right to liberty (Article 5), the right to respect for private life (Article 8) and the privilege against self-incrimination (Article 6).  With a majority of 4-1 the Supreme Court rejected her appeal although in doing so </w:t>
      </w:r>
      <w:r w:rsidR="0043495B">
        <w:rPr>
          <w:rFonts w:ascii="Arial" w:eastAsia="Calibri" w:hAnsi="Arial" w:cs="Arial"/>
        </w:rPr>
        <w:t>postulated two alternative options; a complete abandonment of the Schedule 7 legislation altogether</w:t>
      </w:r>
      <w:r w:rsidR="005A391C">
        <w:rPr>
          <w:rFonts w:ascii="Arial" w:eastAsia="Calibri" w:hAnsi="Arial" w:cs="Arial"/>
        </w:rPr>
        <w:t xml:space="preserve">, or a proviso that to negate the theory that powers are used disproportionately amongst ethnic communities that there is a requirement that all persons passing through ports and borders should be stopped and questioned. </w:t>
      </w:r>
      <w:r w:rsidR="00A76185">
        <w:rPr>
          <w:rFonts w:ascii="Arial" w:eastAsia="Calibri" w:hAnsi="Arial" w:cs="Arial"/>
        </w:rPr>
        <w:t xml:space="preserve"> Whilst it was undisputed that being compelled to submit to questioning under Schedule 7 implicated Article 8 ECHR the majority held that the power to stop, question and search did not breach Article </w:t>
      </w:r>
      <w:r w:rsidR="00841DF0">
        <w:rPr>
          <w:rFonts w:ascii="Arial" w:eastAsia="Calibri" w:hAnsi="Arial" w:cs="Arial"/>
        </w:rPr>
        <w:t>8</w:t>
      </w:r>
      <w:r w:rsidR="00A76185">
        <w:rPr>
          <w:rFonts w:ascii="Arial" w:eastAsia="Calibri" w:hAnsi="Arial" w:cs="Arial"/>
        </w:rPr>
        <w:t xml:space="preserve"> as it was both in accordance with the law and proportionate </w:t>
      </w:r>
      <w:sdt>
        <w:sdtPr>
          <w:rPr>
            <w:rFonts w:ascii="Arial" w:eastAsia="Calibri" w:hAnsi="Arial" w:cs="Arial"/>
          </w:rPr>
          <w:id w:val="964858229"/>
          <w:citation/>
        </w:sdtPr>
        <w:sdtContent>
          <w:r w:rsidR="00A76185">
            <w:rPr>
              <w:rFonts w:ascii="Arial" w:eastAsia="Calibri" w:hAnsi="Arial" w:cs="Arial"/>
            </w:rPr>
            <w:fldChar w:fldCharType="begin"/>
          </w:r>
          <w:r w:rsidR="00A76185">
            <w:rPr>
              <w:rFonts w:ascii="Arial" w:eastAsia="Calibri" w:hAnsi="Arial" w:cs="Arial"/>
            </w:rPr>
            <w:instrText xml:space="preserve"> CITATION Joh17 \l 2057 </w:instrText>
          </w:r>
          <w:r w:rsidR="00A76185">
            <w:rPr>
              <w:rFonts w:ascii="Arial" w:eastAsia="Calibri" w:hAnsi="Arial" w:cs="Arial"/>
            </w:rPr>
            <w:fldChar w:fldCharType="separate"/>
          </w:r>
          <w:r w:rsidR="00A76185" w:rsidRPr="00A76185">
            <w:rPr>
              <w:rFonts w:ascii="Arial" w:eastAsia="Calibri" w:hAnsi="Arial" w:cs="Arial"/>
              <w:noProof/>
            </w:rPr>
            <w:t>(John, 2017)</w:t>
          </w:r>
          <w:r w:rsidR="00A76185">
            <w:rPr>
              <w:rFonts w:ascii="Arial" w:eastAsia="Calibri" w:hAnsi="Arial" w:cs="Arial"/>
            </w:rPr>
            <w:fldChar w:fldCharType="end"/>
          </w:r>
        </w:sdtContent>
      </w:sdt>
      <w:r w:rsidR="00A76185">
        <w:rPr>
          <w:rFonts w:ascii="Arial" w:eastAsia="Calibri" w:hAnsi="Arial" w:cs="Arial"/>
        </w:rPr>
        <w:t>.  Ultimately no further amendments to the legislation were made as a result but this ruling highlights some concerns around the balance that needs to be struck between national security and individual freedoms.</w:t>
      </w:r>
      <w:r w:rsidR="00B170D1">
        <w:rPr>
          <w:rFonts w:ascii="Arial" w:eastAsia="Calibri" w:hAnsi="Arial" w:cs="Arial"/>
        </w:rPr>
        <w:t xml:space="preserve">  </w:t>
      </w:r>
      <w:r w:rsidR="00117D4C">
        <w:rPr>
          <w:rFonts w:ascii="Arial" w:eastAsia="Calibri" w:hAnsi="Arial" w:cs="Arial"/>
        </w:rPr>
        <w:t xml:space="preserve">It is interesting to note that in the most recent </w:t>
      </w:r>
      <w:r w:rsidR="005236AD">
        <w:rPr>
          <w:rFonts w:ascii="Arial" w:eastAsia="Calibri" w:hAnsi="Arial" w:cs="Arial"/>
        </w:rPr>
        <w:t xml:space="preserve">data publication made by the Home Office (2023a), in the year ending June 2023 there was only one instance recorded whereby an </w:t>
      </w:r>
      <w:r w:rsidR="005236AD">
        <w:rPr>
          <w:rFonts w:ascii="Arial" w:eastAsia="Calibri" w:hAnsi="Arial" w:cs="Arial"/>
        </w:rPr>
        <w:lastRenderedPageBreak/>
        <w:t xml:space="preserve">individual was delayed access to a solicitor, this set against a total number of </w:t>
      </w:r>
      <w:r w:rsidR="002309B8">
        <w:rPr>
          <w:rFonts w:ascii="Arial" w:eastAsia="Calibri" w:hAnsi="Arial" w:cs="Arial"/>
        </w:rPr>
        <w:t>2685 examinations.</w:t>
      </w:r>
    </w:p>
    <w:p w14:paraId="52DF97A1" w14:textId="79742C93" w:rsidR="00B170D1" w:rsidRDefault="001F6930" w:rsidP="007E22E3">
      <w:pPr>
        <w:jc w:val="both"/>
        <w:rPr>
          <w:rFonts w:ascii="Arial" w:eastAsia="Calibri" w:hAnsi="Arial" w:cs="Arial"/>
        </w:rPr>
      </w:pPr>
      <w:r>
        <w:rPr>
          <w:rFonts w:ascii="Arial" w:eastAsia="Calibri" w:hAnsi="Arial" w:cs="Arial"/>
        </w:rPr>
        <w:t>Further notable case law relates to the seizure of encrypted devices from David Miranda in August 2013.   Miranda, a spouse of a Guardian Newspaper journalist had departed from Rio de Janeiro to Berlin to meet with a contact that had earlier been provided with encrypted data stolen from the US National Security Agency by Edward Snowden.  On returning to Heathrow, Miranda was subject to a Schedule 7 stop following which several encrypted storage devices were seized, including an external drive said to contain a trove of classified UK intelligence documents</w:t>
      </w:r>
      <w:sdt>
        <w:sdtPr>
          <w:rPr>
            <w:rFonts w:ascii="Arial" w:eastAsia="Calibri" w:hAnsi="Arial" w:cs="Arial"/>
          </w:rPr>
          <w:id w:val="1649933586"/>
          <w:citation/>
        </w:sdtPr>
        <w:sdtContent>
          <w:r>
            <w:rPr>
              <w:rFonts w:ascii="Arial" w:eastAsia="Calibri" w:hAnsi="Arial" w:cs="Arial"/>
            </w:rPr>
            <w:fldChar w:fldCharType="begin"/>
          </w:r>
          <w:r>
            <w:rPr>
              <w:rFonts w:ascii="Arial" w:eastAsia="Calibri" w:hAnsi="Arial" w:cs="Arial"/>
            </w:rPr>
            <w:instrText xml:space="preserve"> CITATION Joh17 \l 2057 </w:instrText>
          </w:r>
          <w:r>
            <w:rPr>
              <w:rFonts w:ascii="Arial" w:eastAsia="Calibri" w:hAnsi="Arial" w:cs="Arial"/>
            </w:rPr>
            <w:fldChar w:fldCharType="separate"/>
          </w:r>
          <w:r>
            <w:rPr>
              <w:rFonts w:ascii="Arial" w:eastAsia="Calibri" w:hAnsi="Arial" w:cs="Arial"/>
              <w:noProof/>
            </w:rPr>
            <w:t xml:space="preserve"> </w:t>
          </w:r>
          <w:r w:rsidRPr="001F6930">
            <w:rPr>
              <w:rFonts w:ascii="Arial" w:eastAsia="Calibri" w:hAnsi="Arial" w:cs="Arial"/>
              <w:noProof/>
            </w:rPr>
            <w:t>(John, 2017)</w:t>
          </w:r>
          <w:r>
            <w:rPr>
              <w:rFonts w:ascii="Arial" w:eastAsia="Calibri" w:hAnsi="Arial" w:cs="Arial"/>
            </w:rPr>
            <w:fldChar w:fldCharType="end"/>
          </w:r>
        </w:sdtContent>
      </w:sdt>
      <w:r>
        <w:rPr>
          <w:rFonts w:ascii="Arial" w:eastAsia="Calibri" w:hAnsi="Arial" w:cs="Arial"/>
        </w:rPr>
        <w:t xml:space="preserve">.  This case proceeded to a judicial review </w:t>
      </w:r>
      <w:r w:rsidR="00B170D1">
        <w:rPr>
          <w:rFonts w:ascii="Arial" w:eastAsia="Calibri" w:hAnsi="Arial" w:cs="Arial"/>
        </w:rPr>
        <w:t xml:space="preserve">and following that The Court of Appeal </w:t>
      </w:r>
      <w:r>
        <w:rPr>
          <w:rFonts w:ascii="Arial" w:eastAsia="Calibri" w:hAnsi="Arial" w:cs="Arial"/>
        </w:rPr>
        <w:t xml:space="preserve">following claims that the power had been used improperly given that the material carried amounted to journalistic material.  </w:t>
      </w:r>
      <w:r w:rsidR="00B170D1">
        <w:rPr>
          <w:rFonts w:ascii="Arial" w:eastAsia="Calibri" w:hAnsi="Arial" w:cs="Arial"/>
        </w:rPr>
        <w:t xml:space="preserve">Although the court agreed that Miranda was carrying journalistic material, and that Schedule 7 interfered with press freedom, it found that Miranda’s rights were outweighed by compelling national security interests.  </w:t>
      </w:r>
      <w:proofErr w:type="gramStart"/>
      <w:r w:rsidR="00B170D1">
        <w:rPr>
          <w:rFonts w:ascii="Arial" w:eastAsia="Calibri" w:hAnsi="Arial" w:cs="Arial"/>
        </w:rPr>
        <w:t>Both of these</w:t>
      </w:r>
      <w:proofErr w:type="gramEnd"/>
      <w:r w:rsidR="00B170D1">
        <w:rPr>
          <w:rFonts w:ascii="Arial" w:eastAsia="Calibri" w:hAnsi="Arial" w:cs="Arial"/>
        </w:rPr>
        <w:t xml:space="preserve"> examples highlight the spotlight that Schedule 7 falls under and the scope and depth of the powers that are exercised at the Border.</w:t>
      </w:r>
    </w:p>
    <w:p w14:paraId="1CE7A0F7" w14:textId="6D74B47E" w:rsidR="004A6746" w:rsidRDefault="004A6746" w:rsidP="007E22E3">
      <w:pPr>
        <w:jc w:val="both"/>
        <w:rPr>
          <w:rFonts w:ascii="Arial" w:eastAsia="Calibri" w:hAnsi="Arial" w:cs="Arial"/>
        </w:rPr>
      </w:pPr>
      <w:r>
        <w:rPr>
          <w:rFonts w:ascii="Arial" w:eastAsia="Calibri" w:hAnsi="Arial" w:cs="Arial"/>
        </w:rPr>
        <w:t xml:space="preserve">There has been </w:t>
      </w:r>
      <w:r w:rsidR="005A391C">
        <w:rPr>
          <w:rFonts w:ascii="Arial" w:eastAsia="Calibri" w:hAnsi="Arial" w:cs="Arial"/>
        </w:rPr>
        <w:t xml:space="preserve">an array of </w:t>
      </w:r>
      <w:r>
        <w:rPr>
          <w:rFonts w:ascii="Arial" w:eastAsia="Calibri" w:hAnsi="Arial" w:cs="Arial"/>
        </w:rPr>
        <w:t>academic work undertaken in relation to Schedule 7</w:t>
      </w:r>
      <w:r w:rsidR="005A391C">
        <w:rPr>
          <w:rFonts w:ascii="Arial" w:eastAsia="Calibri" w:hAnsi="Arial" w:cs="Arial"/>
        </w:rPr>
        <w:t>, such as that</w:t>
      </w:r>
      <w:r>
        <w:rPr>
          <w:rFonts w:ascii="Arial" w:eastAsia="Calibri" w:hAnsi="Arial" w:cs="Arial"/>
        </w:rPr>
        <w:t xml:space="preserve"> undertaken by Fisher and Godfrey (2016) the author critically evaluates the balance between security measures and the potential impact on </w:t>
      </w:r>
      <w:r w:rsidR="00D72543">
        <w:rPr>
          <w:rFonts w:ascii="Arial" w:eastAsia="Calibri" w:hAnsi="Arial" w:cs="Arial"/>
        </w:rPr>
        <w:t>individuals’</w:t>
      </w:r>
      <w:r>
        <w:rPr>
          <w:rFonts w:ascii="Arial" w:eastAsia="Calibri" w:hAnsi="Arial" w:cs="Arial"/>
        </w:rPr>
        <w:t xml:space="preserve"> rights and civil liberties.  The authors highlight concerns regarding the broad powers granted under Schedule 7 and the potential for abuse by law enforcement authorities.  Their work provides a comprehensive examination of the legislation, its practical </w:t>
      </w:r>
      <w:r w:rsidR="003528B1">
        <w:rPr>
          <w:rFonts w:ascii="Arial" w:eastAsia="Calibri" w:hAnsi="Arial" w:cs="Arial"/>
        </w:rPr>
        <w:t>application,</w:t>
      </w:r>
      <w:r>
        <w:rPr>
          <w:rFonts w:ascii="Arial" w:eastAsia="Calibri" w:hAnsi="Arial" w:cs="Arial"/>
        </w:rPr>
        <w:t xml:space="preserve"> and its compatibility with human rights standards.</w:t>
      </w:r>
    </w:p>
    <w:p w14:paraId="57E88F0D" w14:textId="313D387D" w:rsidR="00C77C56" w:rsidRDefault="00C77C56" w:rsidP="007E22E3">
      <w:pPr>
        <w:jc w:val="both"/>
        <w:rPr>
          <w:rFonts w:ascii="Arial" w:eastAsia="Calibri" w:hAnsi="Arial" w:cs="Arial"/>
        </w:rPr>
      </w:pPr>
      <w:bookmarkStart w:id="7" w:name="_Hlk170423598"/>
      <w:r>
        <w:rPr>
          <w:rFonts w:ascii="Arial" w:eastAsia="Calibri" w:hAnsi="Arial" w:cs="Arial"/>
        </w:rPr>
        <w:t>Another notable piece of academic work was undertaken by</w:t>
      </w:r>
      <w:r w:rsidR="00120B71">
        <w:rPr>
          <w:rFonts w:ascii="Arial" w:eastAsia="Calibri" w:hAnsi="Arial" w:cs="Arial"/>
        </w:rPr>
        <w:t xml:space="preserve"> </w:t>
      </w:r>
      <w:r w:rsidR="00120B71" w:rsidRPr="00120B71">
        <w:rPr>
          <w:rFonts w:ascii="Arial" w:eastAsia="Calibri" w:hAnsi="Arial" w:cs="Arial"/>
          <w:noProof/>
        </w:rPr>
        <w:t>Cormac, 2019</w:t>
      </w:r>
      <w:r>
        <w:rPr>
          <w:rFonts w:ascii="Arial" w:eastAsia="Calibri" w:hAnsi="Arial" w:cs="Arial"/>
        </w:rPr>
        <w:t xml:space="preserve"> who specifically focused on the implication of pre-charge detention under Schedule 7 Terrorism Act 2000.  The authors critically analysed the extent of the powers granted under Schedule 7 and the impact on individuals rights </w:t>
      </w:r>
      <w:r w:rsidR="00120B71">
        <w:rPr>
          <w:rFonts w:ascii="Arial" w:eastAsia="Calibri" w:hAnsi="Arial" w:cs="Arial"/>
        </w:rPr>
        <w:t>to liberty an</w:t>
      </w:r>
      <w:r w:rsidR="003528B1">
        <w:rPr>
          <w:rFonts w:ascii="Arial" w:eastAsia="Calibri" w:hAnsi="Arial" w:cs="Arial"/>
        </w:rPr>
        <w:t>d</w:t>
      </w:r>
      <w:r w:rsidR="00120B71">
        <w:rPr>
          <w:rFonts w:ascii="Arial" w:eastAsia="Calibri" w:hAnsi="Arial" w:cs="Arial"/>
        </w:rPr>
        <w:t xml:space="preserve"> due process.  They raise concerns about the lack of reasonable suspicion required for exercising theses powers and the potential for discrimination and profiling.  The article offers valuable insight into the potential challenges and limitations of Schedule 7 in ensuring that aforementioned balance between national security and human rights.</w:t>
      </w:r>
    </w:p>
    <w:bookmarkEnd w:id="7"/>
    <w:p w14:paraId="4B291F1C" w14:textId="00D8C52B" w:rsidR="00120B71" w:rsidRDefault="00120B71" w:rsidP="007E22E3">
      <w:pPr>
        <w:jc w:val="both"/>
        <w:rPr>
          <w:rFonts w:ascii="Arial" w:eastAsia="Calibri" w:hAnsi="Arial" w:cs="Arial"/>
        </w:rPr>
      </w:pPr>
      <w:r>
        <w:rPr>
          <w:rFonts w:ascii="Arial" w:eastAsia="Calibri" w:hAnsi="Arial" w:cs="Arial"/>
        </w:rPr>
        <w:t xml:space="preserve">In wider work, </w:t>
      </w:r>
      <w:r w:rsidR="00FE216B" w:rsidRPr="00120B71">
        <w:rPr>
          <w:rFonts w:ascii="Arial" w:eastAsia="Calibri" w:hAnsi="Arial" w:cs="Arial"/>
          <w:noProof/>
        </w:rPr>
        <w:t>Peers</w:t>
      </w:r>
      <w:r w:rsidR="00F076EA">
        <w:rPr>
          <w:rFonts w:ascii="Arial" w:eastAsia="Calibri" w:hAnsi="Arial" w:cs="Arial"/>
          <w:noProof/>
        </w:rPr>
        <w:t xml:space="preserve"> (</w:t>
      </w:r>
      <w:r w:rsidR="00FE216B" w:rsidRPr="00120B71">
        <w:rPr>
          <w:rFonts w:ascii="Arial" w:eastAsia="Calibri" w:hAnsi="Arial" w:cs="Arial"/>
          <w:noProof/>
        </w:rPr>
        <w:t>2002</w:t>
      </w:r>
      <w:r w:rsidR="00F076EA">
        <w:rPr>
          <w:rFonts w:ascii="Arial" w:eastAsia="Calibri" w:hAnsi="Arial" w:cs="Arial"/>
          <w:noProof/>
        </w:rPr>
        <w:t>),</w:t>
      </w:r>
      <w:r w:rsidR="00FE216B">
        <w:rPr>
          <w:rFonts w:ascii="Arial" w:eastAsia="Calibri" w:hAnsi="Arial" w:cs="Arial"/>
          <w:noProof/>
        </w:rPr>
        <w:t xml:space="preserve"> </w:t>
      </w:r>
      <w:r>
        <w:rPr>
          <w:rFonts w:ascii="Arial" w:eastAsia="Calibri" w:hAnsi="Arial" w:cs="Arial"/>
        </w:rPr>
        <w:t xml:space="preserve">addresses the broader implications of counter-terrorism legislation in the UK and critically examines the Anti-terrorism, Crime and Security Act 2001, which introduced similar measures to those in the Terrorism Act 2000.  This article also highlights the tension between liberty and security and discusses the potential impact on civil liberties, human </w:t>
      </w:r>
      <w:proofErr w:type="gramStart"/>
      <w:r>
        <w:rPr>
          <w:rFonts w:ascii="Arial" w:eastAsia="Calibri" w:hAnsi="Arial" w:cs="Arial"/>
        </w:rPr>
        <w:t>rights</w:t>
      </w:r>
      <w:proofErr w:type="gramEnd"/>
      <w:r>
        <w:rPr>
          <w:rFonts w:ascii="Arial" w:eastAsia="Calibri" w:hAnsi="Arial" w:cs="Arial"/>
        </w:rPr>
        <w:t xml:space="preserve"> and the rule of law.  </w:t>
      </w:r>
    </w:p>
    <w:p w14:paraId="1B5FA5A1" w14:textId="27E7FDA8" w:rsidR="00541C72" w:rsidRDefault="00D31B52" w:rsidP="007E22E3">
      <w:pPr>
        <w:jc w:val="both"/>
        <w:rPr>
          <w:rFonts w:ascii="Arial" w:eastAsia="Calibri" w:hAnsi="Arial" w:cs="Arial"/>
        </w:rPr>
      </w:pPr>
      <w:r>
        <w:rPr>
          <w:rFonts w:ascii="Arial" w:eastAsia="Calibri" w:hAnsi="Arial" w:cs="Arial"/>
        </w:rPr>
        <w:t xml:space="preserve">In an article by </w:t>
      </w:r>
      <w:r w:rsidR="00C22D90">
        <w:rPr>
          <w:rFonts w:ascii="Arial" w:eastAsia="Calibri" w:hAnsi="Arial" w:cs="Arial"/>
        </w:rPr>
        <w:t>Ghanea and Farrow (2017)</w:t>
      </w:r>
      <w:r w:rsidR="007F69EE">
        <w:rPr>
          <w:rFonts w:ascii="Arial" w:eastAsia="Calibri" w:hAnsi="Arial" w:cs="Arial"/>
        </w:rPr>
        <w:t xml:space="preserve"> the authors explore the </w:t>
      </w:r>
      <w:r w:rsidR="007938FA">
        <w:rPr>
          <w:rFonts w:ascii="Arial" w:eastAsia="Calibri" w:hAnsi="Arial" w:cs="Arial"/>
        </w:rPr>
        <w:t xml:space="preserve">impact of Schedule 7, specifically on freedom of religion or belief and potential impact the use of the power has on religious communities.  The author employs case studies and legal analysis to evaluate the effectiveness of Schedule 7 and its </w:t>
      </w:r>
      <w:r w:rsidR="008613AE">
        <w:rPr>
          <w:rFonts w:ascii="Arial" w:eastAsia="Calibri" w:hAnsi="Arial" w:cs="Arial"/>
        </w:rPr>
        <w:t xml:space="preserve">potential for negative implications.  One key point highlighted in the article is the broad nature of the power </w:t>
      </w:r>
      <w:r w:rsidR="005951E4">
        <w:rPr>
          <w:rFonts w:ascii="Arial" w:eastAsia="Calibri" w:hAnsi="Arial" w:cs="Arial"/>
        </w:rPr>
        <w:t xml:space="preserve">to stop and detain without reasonable suspicion and how this can </w:t>
      </w:r>
      <w:r w:rsidR="0001011B">
        <w:rPr>
          <w:rFonts w:ascii="Arial" w:eastAsia="Calibri" w:hAnsi="Arial" w:cs="Arial"/>
        </w:rPr>
        <w:t>disproportionately</w:t>
      </w:r>
      <w:r w:rsidR="005951E4">
        <w:rPr>
          <w:rFonts w:ascii="Arial" w:eastAsia="Calibri" w:hAnsi="Arial" w:cs="Arial"/>
        </w:rPr>
        <w:t xml:space="preserve"> </w:t>
      </w:r>
      <w:r w:rsidR="00AF09F7">
        <w:rPr>
          <w:rFonts w:ascii="Arial" w:eastAsia="Calibri" w:hAnsi="Arial" w:cs="Arial"/>
        </w:rPr>
        <w:t>affect those individuals who are visibly religious, raising concern ar</w:t>
      </w:r>
      <w:r w:rsidR="00427483">
        <w:rPr>
          <w:rFonts w:ascii="Arial" w:eastAsia="Calibri" w:hAnsi="Arial" w:cs="Arial"/>
        </w:rPr>
        <w:t xml:space="preserve">ound potential </w:t>
      </w:r>
      <w:r w:rsidR="0001011B">
        <w:rPr>
          <w:rFonts w:ascii="Arial" w:eastAsia="Calibri" w:hAnsi="Arial" w:cs="Arial"/>
        </w:rPr>
        <w:t>stigmatisation</w:t>
      </w:r>
      <w:r w:rsidR="00427483">
        <w:rPr>
          <w:rFonts w:ascii="Arial" w:eastAsia="Calibri" w:hAnsi="Arial" w:cs="Arial"/>
        </w:rPr>
        <w:t xml:space="preserve"> and profiling of individuals based on religious appearance.</w:t>
      </w:r>
      <w:r w:rsidR="00AA0971">
        <w:rPr>
          <w:rFonts w:ascii="Arial" w:eastAsia="Calibri" w:hAnsi="Arial" w:cs="Arial"/>
        </w:rPr>
        <w:t xml:space="preserve">  This study explores case studies whereby individuals were targeted and subjected to intrusive</w:t>
      </w:r>
      <w:r w:rsidR="0001011B">
        <w:rPr>
          <w:rFonts w:ascii="Arial" w:eastAsia="Calibri" w:hAnsi="Arial" w:cs="Arial"/>
        </w:rPr>
        <w:t xml:space="preserve"> searches and questioning based solely on their religious beliefs or practices.  They argue that such incidents fuel fear and mistrust which in turn undermines social cohesion and trust in law enforcement agencies.</w:t>
      </w:r>
      <w:r w:rsidR="000C5BDD">
        <w:rPr>
          <w:rFonts w:ascii="Arial" w:eastAsia="Calibri" w:hAnsi="Arial" w:cs="Arial"/>
        </w:rPr>
        <w:t xml:space="preserve">  Ghanea and Farrow argue that Schedule 7 is not as effective as intended and highlight a lack of empirical evidence </w:t>
      </w:r>
      <w:r w:rsidR="000F785B">
        <w:rPr>
          <w:rFonts w:ascii="Arial" w:eastAsia="Calibri" w:hAnsi="Arial" w:cs="Arial"/>
        </w:rPr>
        <w:t xml:space="preserve">to support any claims that the legislation has significantly contributed to the detection and prevention of </w:t>
      </w:r>
      <w:r w:rsidR="000F785B">
        <w:rPr>
          <w:rFonts w:ascii="Arial" w:eastAsia="Calibri" w:hAnsi="Arial" w:cs="Arial"/>
        </w:rPr>
        <w:lastRenderedPageBreak/>
        <w:t xml:space="preserve">terrorism offences.  </w:t>
      </w:r>
      <w:r w:rsidR="00090131">
        <w:rPr>
          <w:rFonts w:ascii="Arial" w:eastAsia="Calibri" w:hAnsi="Arial" w:cs="Arial"/>
        </w:rPr>
        <w:t>They argue for an alternative approach whereby consideration is given to more of a focus on targeted intelligence gathering</w:t>
      </w:r>
      <w:r w:rsidR="00BA6EEA">
        <w:rPr>
          <w:rFonts w:ascii="Arial" w:eastAsia="Calibri" w:hAnsi="Arial" w:cs="Arial"/>
        </w:rPr>
        <w:t xml:space="preserve"> to apprehend offenders.  They also argue for more </w:t>
      </w:r>
      <w:r w:rsidR="005D34E0">
        <w:rPr>
          <w:rFonts w:ascii="Arial" w:eastAsia="Calibri" w:hAnsi="Arial" w:cs="Arial"/>
        </w:rPr>
        <w:t xml:space="preserve">engagement with the religious community in developing and implementing counter terrorism </w:t>
      </w:r>
      <w:r w:rsidR="00F53242">
        <w:rPr>
          <w:rFonts w:ascii="Arial" w:eastAsia="Calibri" w:hAnsi="Arial" w:cs="Arial"/>
        </w:rPr>
        <w:t>measures.</w:t>
      </w:r>
    </w:p>
    <w:p w14:paraId="19B9C47A" w14:textId="04B3B752" w:rsidR="00C5013B" w:rsidRDefault="00C5013B" w:rsidP="007E22E3">
      <w:pPr>
        <w:jc w:val="both"/>
        <w:rPr>
          <w:rFonts w:ascii="Arial" w:eastAsia="Calibri" w:hAnsi="Arial" w:cs="Arial"/>
        </w:rPr>
      </w:pPr>
      <w:r>
        <w:rPr>
          <w:rFonts w:ascii="Arial" w:eastAsia="Calibri" w:hAnsi="Arial" w:cs="Arial"/>
        </w:rPr>
        <w:t>The act has been subject to debate and scrutiny due to concerns over its impact on civil liberties and potential for abuse.  According to Hillyard and Pantazis</w:t>
      </w:r>
      <w:r w:rsidR="00043ACC">
        <w:rPr>
          <w:rFonts w:ascii="Arial" w:eastAsia="Calibri" w:hAnsi="Arial" w:cs="Arial"/>
        </w:rPr>
        <w:t xml:space="preserve"> </w:t>
      </w:r>
      <w:r>
        <w:rPr>
          <w:rFonts w:ascii="Arial" w:eastAsia="Calibri" w:hAnsi="Arial" w:cs="Arial"/>
        </w:rPr>
        <w:t xml:space="preserve">Schedule 7 grants officers the authority to stop and search individuals without the need for reasonable suspicion and highlight that the power to seize electronic devices and other personal belongings, together with questioning around travel plans and associations </w:t>
      </w:r>
      <w:r w:rsidR="00043ACC">
        <w:rPr>
          <w:rFonts w:ascii="Arial" w:eastAsia="Calibri" w:hAnsi="Arial" w:cs="Arial"/>
        </w:rPr>
        <w:t xml:space="preserve">can take place even in the absence of any suspicion of involvement in terrorism.   This broad scope of Schedule 7 has also raised concern about its impact on freedom of expression and privacy rights.  It is argued by Lianos and Douglas Scott (2018) that the power to examine and seize electronic devices has the potential to infringe upon </w:t>
      </w:r>
      <w:r w:rsidR="00E35C14">
        <w:rPr>
          <w:rFonts w:ascii="Arial" w:eastAsia="Calibri" w:hAnsi="Arial" w:cs="Arial"/>
        </w:rPr>
        <w:t>individuals’</w:t>
      </w:r>
      <w:r w:rsidR="00043ACC">
        <w:rPr>
          <w:rFonts w:ascii="Arial" w:eastAsia="Calibri" w:hAnsi="Arial" w:cs="Arial"/>
        </w:rPr>
        <w:t xml:space="preserve"> rights to privacy, particularly given the vast amount of personal information stored on such devices.  Critics also argue that Schedule 7 disproportionately targets individuals from specific ethnic or religious backgrounds, leading to racial profiling and discrimination.  In their study, Bow</w:t>
      </w:r>
      <w:r w:rsidR="00E35C14">
        <w:rPr>
          <w:rFonts w:ascii="Arial" w:eastAsia="Calibri" w:hAnsi="Arial" w:cs="Arial"/>
        </w:rPr>
        <w:t>y</w:t>
      </w:r>
      <w:r w:rsidR="00043ACC">
        <w:rPr>
          <w:rFonts w:ascii="Arial" w:eastAsia="Calibri" w:hAnsi="Arial" w:cs="Arial"/>
        </w:rPr>
        <w:t>er and Jobard</w:t>
      </w:r>
      <w:r w:rsidR="00E35C14">
        <w:rPr>
          <w:rFonts w:ascii="Arial" w:eastAsia="Calibri" w:hAnsi="Arial" w:cs="Arial"/>
        </w:rPr>
        <w:t xml:space="preserve"> </w:t>
      </w:r>
      <w:r w:rsidR="00043ACC">
        <w:rPr>
          <w:rFonts w:ascii="Arial" w:eastAsia="Calibri" w:hAnsi="Arial" w:cs="Arial"/>
        </w:rPr>
        <w:t>(2019) found evidence of ethnic and religious bias in the application of Schedule 7, with individuals of Muslim background being significantly more likely to be stopped and questioned than individuals from other backgrounds.</w:t>
      </w:r>
      <w:r w:rsidR="00E35C14">
        <w:rPr>
          <w:rFonts w:ascii="Arial" w:eastAsia="Calibri" w:hAnsi="Arial" w:cs="Arial"/>
        </w:rPr>
        <w:t xml:space="preserve">  Furthermore, Schedule 7 has been criticised for its lack of oversight and safeguards.  Silke (2017) highlights the absence of judicial authorisation or prior suspicion requirement, which raises questions about the accountability and potential for abuse of the powers granted under this provision</w:t>
      </w:r>
      <w:r w:rsidR="00A92DA9">
        <w:rPr>
          <w:rFonts w:ascii="Arial" w:eastAsia="Calibri" w:hAnsi="Arial" w:cs="Arial"/>
        </w:rPr>
        <w:t xml:space="preserve"> and i</w:t>
      </w:r>
      <w:r w:rsidR="00E35C14">
        <w:rPr>
          <w:rFonts w:ascii="Arial" w:eastAsia="Calibri" w:hAnsi="Arial" w:cs="Arial"/>
        </w:rPr>
        <w:t>n response to these concerns, various human rights organisations and legal scholars have called for reforms to Schedule 7.  These include recommendations for enhanced safeguards, such as judicial authorisation for searches and seizures, clearer guidance on the scope of the powers</w:t>
      </w:r>
      <w:r w:rsidR="004D390C">
        <w:rPr>
          <w:rFonts w:ascii="Arial" w:eastAsia="Calibri" w:hAnsi="Arial" w:cs="Arial"/>
        </w:rPr>
        <w:t>, and regular monitoring and reporting on the use of Schedule 7 by the authorities</w:t>
      </w:r>
      <w:r w:rsidR="00A92DA9">
        <w:rPr>
          <w:rFonts w:ascii="Arial" w:eastAsia="Calibri" w:hAnsi="Arial" w:cs="Arial"/>
        </w:rPr>
        <w:t xml:space="preserve">.  </w:t>
      </w:r>
    </w:p>
    <w:p w14:paraId="44CCDEB0" w14:textId="56162BD8" w:rsidR="003A6699" w:rsidRDefault="003A6699" w:rsidP="007E22E3">
      <w:pPr>
        <w:jc w:val="both"/>
        <w:rPr>
          <w:rFonts w:ascii="Arial" w:hAnsi="Arial" w:cs="Arial"/>
        </w:rPr>
      </w:pPr>
      <w:bookmarkStart w:id="8" w:name="_Hlk170379433"/>
      <w:r>
        <w:rPr>
          <w:rFonts w:ascii="Arial" w:hAnsi="Arial" w:cs="Arial"/>
        </w:rPr>
        <w:t xml:space="preserve">The Common Travel Area (CTA) is a long-standing arrangement between the UK, the Crown Dependencies (Bailiwick of jersey, Bailiwick of </w:t>
      </w:r>
      <w:r w:rsidR="00A75E5E">
        <w:rPr>
          <w:rFonts w:ascii="Arial" w:hAnsi="Arial" w:cs="Arial"/>
        </w:rPr>
        <w:t>Guernsey,</w:t>
      </w:r>
      <w:r>
        <w:rPr>
          <w:rFonts w:ascii="Arial" w:hAnsi="Arial" w:cs="Arial"/>
        </w:rPr>
        <w:t xml:space="preserve"> and the Isle of Man) and Ireland that pre-dates both the British and Irish membership of the European Union and is not dependant on it </w:t>
      </w:r>
      <w:sdt>
        <w:sdtPr>
          <w:rPr>
            <w:rFonts w:ascii="Arial" w:hAnsi="Arial" w:cs="Arial"/>
          </w:rPr>
          <w:id w:val="-457177142"/>
          <w:citation/>
        </w:sdtPr>
        <w:sdtContent>
          <w:r>
            <w:rPr>
              <w:rFonts w:ascii="Arial" w:hAnsi="Arial" w:cs="Arial"/>
            </w:rPr>
            <w:fldChar w:fldCharType="begin"/>
          </w:r>
          <w:r>
            <w:rPr>
              <w:rFonts w:ascii="Arial" w:hAnsi="Arial" w:cs="Arial"/>
            </w:rPr>
            <w:instrText xml:space="preserve"> CITATION Hom23 \l 2057 </w:instrText>
          </w:r>
          <w:r>
            <w:rPr>
              <w:rFonts w:ascii="Arial" w:hAnsi="Arial" w:cs="Arial"/>
            </w:rPr>
            <w:fldChar w:fldCharType="separate"/>
          </w:r>
          <w:r w:rsidRPr="00C44D05">
            <w:rPr>
              <w:rFonts w:ascii="Arial" w:hAnsi="Arial" w:cs="Arial"/>
              <w:noProof/>
            </w:rPr>
            <w:t>(Home Office, 2023)</w:t>
          </w:r>
          <w:r>
            <w:rPr>
              <w:rFonts w:ascii="Arial" w:hAnsi="Arial" w:cs="Arial"/>
            </w:rPr>
            <w:fldChar w:fldCharType="end"/>
          </w:r>
        </w:sdtContent>
      </w:sdt>
      <w:r>
        <w:rPr>
          <w:rFonts w:ascii="Arial" w:hAnsi="Arial" w:cs="Arial"/>
        </w:rPr>
        <w:t xml:space="preserve">.  The CTA was developed to facilitate the principle of free movement for British and Irish citizens between the UK, </w:t>
      </w:r>
      <w:r w:rsidR="00A75E5E">
        <w:rPr>
          <w:rFonts w:ascii="Arial" w:hAnsi="Arial" w:cs="Arial"/>
        </w:rPr>
        <w:t>Ireland,</w:t>
      </w:r>
      <w:r>
        <w:rPr>
          <w:rFonts w:ascii="Arial" w:hAnsi="Arial" w:cs="Arial"/>
        </w:rPr>
        <w:t xml:space="preserve"> and the islands (Home Office, 2023).</w:t>
      </w:r>
    </w:p>
    <w:p w14:paraId="0287D0B8" w14:textId="77777777" w:rsidR="003A6699" w:rsidRDefault="003A6699" w:rsidP="007E22E3">
      <w:pPr>
        <w:jc w:val="both"/>
        <w:rPr>
          <w:rFonts w:ascii="Arial" w:hAnsi="Arial" w:cs="Arial"/>
        </w:rPr>
      </w:pPr>
      <w:r>
        <w:rPr>
          <w:rFonts w:ascii="Arial" w:hAnsi="Arial" w:cs="Arial"/>
        </w:rPr>
        <w:t>The precis of the legislation is to allow movement of persons between the relevant locations without passport controls, with the UK approach being that border checks are to be undertaken at the first point of entry to the CTA.</w:t>
      </w:r>
    </w:p>
    <w:p w14:paraId="2F5EE0F6" w14:textId="77777777" w:rsidR="003A6699" w:rsidRPr="00A57038" w:rsidRDefault="003A6699" w:rsidP="007E22E3">
      <w:pPr>
        <w:jc w:val="both"/>
        <w:rPr>
          <w:rFonts w:ascii="Arial" w:hAnsi="Arial" w:cs="Arial"/>
        </w:rPr>
      </w:pPr>
      <w:r w:rsidRPr="00A57038">
        <w:rPr>
          <w:rFonts w:ascii="Arial" w:hAnsi="Arial" w:cs="Arial"/>
        </w:rPr>
        <w:t xml:space="preserve">In existence since the 1920’s, the Common Travel Area operated without much debate until Brexit forced the CTA to the forefront of the UK’s political discourse </w:t>
      </w:r>
      <w:sdt>
        <w:sdtPr>
          <w:rPr>
            <w:rFonts w:ascii="Arial" w:hAnsi="Arial" w:cs="Arial"/>
          </w:rPr>
          <w:id w:val="186807393"/>
          <w:citation/>
        </w:sdtPr>
        <w:sdtContent>
          <w:r>
            <w:rPr>
              <w:rFonts w:ascii="Arial" w:hAnsi="Arial" w:cs="Arial"/>
            </w:rPr>
            <w:fldChar w:fldCharType="begin"/>
          </w:r>
          <w:r>
            <w:rPr>
              <w:rFonts w:ascii="Arial" w:hAnsi="Arial" w:cs="Arial"/>
            </w:rPr>
            <w:instrText xml:space="preserve"> CITATION deM20 \l 2057 </w:instrText>
          </w:r>
          <w:r>
            <w:rPr>
              <w:rFonts w:ascii="Arial" w:hAnsi="Arial" w:cs="Arial"/>
            </w:rPr>
            <w:fldChar w:fldCharType="separate"/>
          </w:r>
          <w:r w:rsidRPr="00A847C1">
            <w:rPr>
              <w:rFonts w:ascii="Arial" w:hAnsi="Arial" w:cs="Arial"/>
              <w:noProof/>
            </w:rPr>
            <w:t>(de Mars, 2020)</w:t>
          </w:r>
          <w:r>
            <w:rPr>
              <w:rFonts w:ascii="Arial" w:hAnsi="Arial" w:cs="Arial"/>
            </w:rPr>
            <w:fldChar w:fldCharType="end"/>
          </w:r>
        </w:sdtContent>
      </w:sdt>
      <w:r>
        <w:rPr>
          <w:rFonts w:ascii="Arial" w:hAnsi="Arial" w:cs="Arial"/>
        </w:rPr>
        <w:t xml:space="preserve"> </w:t>
      </w:r>
      <w:r w:rsidRPr="00A57038">
        <w:rPr>
          <w:rFonts w:ascii="Arial" w:hAnsi="Arial" w:cs="Arial"/>
        </w:rPr>
        <w:t>and thus providing opportunities for renewed research.</w:t>
      </w:r>
    </w:p>
    <w:p w14:paraId="65E90719" w14:textId="2854DF63" w:rsidR="003A6699" w:rsidRDefault="003A6699" w:rsidP="007E22E3">
      <w:pPr>
        <w:jc w:val="both"/>
        <w:rPr>
          <w:rFonts w:ascii="Arial" w:hAnsi="Arial" w:cs="Arial"/>
        </w:rPr>
      </w:pPr>
      <w:r w:rsidRPr="00A57038">
        <w:rPr>
          <w:rFonts w:ascii="Arial" w:hAnsi="Arial" w:cs="Arial"/>
        </w:rPr>
        <w:t>Following the UK leaving the European Union the norms of European wide membership of important EU instruments such as the European Arrest Warrant, agencies like Europol and Eurojust, and crime and terrorism databases poses a recognised threat to both British and European security.  Given this, Irish officials have rightly emphasised the importance of the Common Travel Area (CTA), which has been acknowledged in EU documents on Brexit.</w:t>
      </w:r>
    </w:p>
    <w:p w14:paraId="401C2CD1" w14:textId="5C38B68C" w:rsidR="000630E3" w:rsidRDefault="000630E3" w:rsidP="007E22E3">
      <w:pPr>
        <w:jc w:val="both"/>
        <w:rPr>
          <w:rFonts w:ascii="Arial" w:hAnsi="Arial" w:cs="Arial"/>
        </w:rPr>
      </w:pPr>
      <w:r>
        <w:rPr>
          <w:rFonts w:ascii="Arial" w:hAnsi="Arial" w:cs="Arial"/>
        </w:rPr>
        <w:t>Given that the Common Travel Area has been in existence since the 1920’s it</w:t>
      </w:r>
      <w:r w:rsidR="006C2FB3">
        <w:rPr>
          <w:rFonts w:ascii="Arial" w:hAnsi="Arial" w:cs="Arial"/>
        </w:rPr>
        <w:t xml:space="preserve"> is natural that there are multiple academic works on the subject, </w:t>
      </w:r>
      <w:r w:rsidR="00B81EA4">
        <w:rPr>
          <w:rFonts w:ascii="Arial" w:hAnsi="Arial" w:cs="Arial"/>
        </w:rPr>
        <w:t xml:space="preserve">albeit from a range of perspectives, with terrorism being a relatively </w:t>
      </w:r>
      <w:r w:rsidR="00204006">
        <w:rPr>
          <w:rFonts w:ascii="Arial" w:hAnsi="Arial" w:cs="Arial"/>
        </w:rPr>
        <w:t>small research area alongside it.</w:t>
      </w:r>
    </w:p>
    <w:p w14:paraId="23E14790" w14:textId="0ABA9531" w:rsidR="00CB59E1" w:rsidRDefault="007A5B4A" w:rsidP="007E22E3">
      <w:pPr>
        <w:jc w:val="both"/>
        <w:rPr>
          <w:rFonts w:ascii="Arial" w:hAnsi="Arial" w:cs="Arial"/>
        </w:rPr>
      </w:pPr>
      <w:r>
        <w:rPr>
          <w:rFonts w:ascii="Arial" w:hAnsi="Arial" w:cs="Arial"/>
        </w:rPr>
        <w:t>In work by Smith (2018)</w:t>
      </w:r>
      <w:r w:rsidR="00564356">
        <w:rPr>
          <w:rFonts w:ascii="Arial" w:hAnsi="Arial" w:cs="Arial"/>
        </w:rPr>
        <w:t xml:space="preserve"> </w:t>
      </w:r>
      <w:r>
        <w:rPr>
          <w:rFonts w:ascii="Arial" w:hAnsi="Arial" w:cs="Arial"/>
        </w:rPr>
        <w:t xml:space="preserve">an examination is made of the </w:t>
      </w:r>
      <w:r w:rsidR="00AD0868">
        <w:rPr>
          <w:rFonts w:ascii="Arial" w:hAnsi="Arial" w:cs="Arial"/>
        </w:rPr>
        <w:t xml:space="preserve">historical development of the Common Travel Area and the relationship with the European Union, particularly in the context of Brexit.  </w:t>
      </w:r>
      <w:r w:rsidR="00AD0868">
        <w:rPr>
          <w:rFonts w:ascii="Arial" w:hAnsi="Arial" w:cs="Arial"/>
        </w:rPr>
        <w:lastRenderedPageBreak/>
        <w:t>Smith’s research is grounded in a comprehensive literature review</w:t>
      </w:r>
      <w:r w:rsidR="004D235B">
        <w:rPr>
          <w:rFonts w:ascii="Arial" w:hAnsi="Arial" w:cs="Arial"/>
        </w:rPr>
        <w:t xml:space="preserve">, legal documents, bilateral </w:t>
      </w:r>
      <w:proofErr w:type="gramStart"/>
      <w:r w:rsidR="004D235B">
        <w:rPr>
          <w:rFonts w:ascii="Arial" w:hAnsi="Arial" w:cs="Arial"/>
        </w:rPr>
        <w:t>agreements</w:t>
      </w:r>
      <w:proofErr w:type="gramEnd"/>
      <w:r w:rsidR="004D235B">
        <w:rPr>
          <w:rFonts w:ascii="Arial" w:hAnsi="Arial" w:cs="Arial"/>
        </w:rPr>
        <w:t xml:space="preserve"> and domestic </w:t>
      </w:r>
      <w:r w:rsidR="000A3E0A">
        <w:rPr>
          <w:rFonts w:ascii="Arial" w:hAnsi="Arial" w:cs="Arial"/>
        </w:rPr>
        <w:t>legislation.  Smith employs a multidisciplinary approach and combines legal analysis with historical context</w:t>
      </w:r>
      <w:r w:rsidR="003E3D3C">
        <w:rPr>
          <w:rFonts w:ascii="Arial" w:hAnsi="Arial" w:cs="Arial"/>
        </w:rPr>
        <w:t xml:space="preserve"> and incorporates primary and secondary sources which ensures a well rounded and robust exploration of the Common Travel Area’s legal basis.</w:t>
      </w:r>
      <w:r w:rsidR="00197AE6">
        <w:rPr>
          <w:rFonts w:ascii="Arial" w:hAnsi="Arial" w:cs="Arial"/>
        </w:rPr>
        <w:t xml:space="preserve">  The article beg</w:t>
      </w:r>
      <w:r w:rsidR="00D642D3">
        <w:rPr>
          <w:rFonts w:ascii="Arial" w:hAnsi="Arial" w:cs="Arial"/>
        </w:rPr>
        <w:t xml:space="preserve">ins with an overview of the historical </w:t>
      </w:r>
      <w:r w:rsidR="001942CA">
        <w:rPr>
          <w:rFonts w:ascii="Arial" w:hAnsi="Arial" w:cs="Arial"/>
        </w:rPr>
        <w:t xml:space="preserve">evolution of the Common Travel Area, tracing its origins back to the 1920’s and highlighting the key agreements and legal instruments that </w:t>
      </w:r>
      <w:r w:rsidR="007D4118">
        <w:rPr>
          <w:rFonts w:ascii="Arial" w:hAnsi="Arial" w:cs="Arial"/>
        </w:rPr>
        <w:t xml:space="preserve">have shaped its development.  Smith provides a detailed examination of the bilateral agreements between the UK and Ireland, as well as the domestic legislation </w:t>
      </w:r>
      <w:r w:rsidR="001162E1">
        <w:rPr>
          <w:rFonts w:ascii="Arial" w:hAnsi="Arial" w:cs="Arial"/>
        </w:rPr>
        <w:t xml:space="preserve">enacted by both countries to establish and maintain it.  One of the significant contributions of Smith’s research is the analysis of the relationship between the CTA and EU law.  </w:t>
      </w:r>
      <w:r w:rsidR="00446E87">
        <w:rPr>
          <w:rFonts w:ascii="Arial" w:hAnsi="Arial" w:cs="Arial"/>
        </w:rPr>
        <w:t>Smith explores the interplay between CTA and EU principles such as free movement and non-discrimination</w:t>
      </w:r>
      <w:r w:rsidR="009E02E4">
        <w:rPr>
          <w:rFonts w:ascii="Arial" w:hAnsi="Arial" w:cs="Arial"/>
        </w:rPr>
        <w:t xml:space="preserve">.  This work also examines the impact of EU law on the CTA and considers potential legal challenges and implications of Brexit on the CTA’s future.  </w:t>
      </w:r>
      <w:r w:rsidR="00607806">
        <w:rPr>
          <w:rFonts w:ascii="Arial" w:hAnsi="Arial" w:cs="Arial"/>
        </w:rPr>
        <w:t>Smith’s analysis shed light on the complex legal dynamics and potential consequences of the UK’s withdrawal from the EU for the Common Travel Area.</w:t>
      </w:r>
      <w:r w:rsidR="007D3C93">
        <w:rPr>
          <w:rFonts w:ascii="Arial" w:hAnsi="Arial" w:cs="Arial"/>
        </w:rPr>
        <w:t xml:space="preserve">  Smith’s research also addresses the practical implications and challenges of implementing and enforcing the CTA</w:t>
      </w:r>
      <w:r w:rsidR="00F1176D">
        <w:rPr>
          <w:rFonts w:ascii="Arial" w:hAnsi="Arial" w:cs="Arial"/>
        </w:rPr>
        <w:t>, in particular border controls, immigration policies and the coordination of security measures</w:t>
      </w:r>
      <w:r w:rsidR="00184FBD">
        <w:rPr>
          <w:rFonts w:ascii="Arial" w:hAnsi="Arial" w:cs="Arial"/>
        </w:rPr>
        <w:t xml:space="preserve"> between the UK and Ireland</w:t>
      </w:r>
      <w:r w:rsidR="00E74700">
        <w:rPr>
          <w:rFonts w:ascii="Arial" w:hAnsi="Arial" w:cs="Arial"/>
        </w:rPr>
        <w:t>.</w:t>
      </w:r>
    </w:p>
    <w:p w14:paraId="13A6BA46" w14:textId="0A348486" w:rsidR="00E74700" w:rsidRDefault="00E74700" w:rsidP="007E22E3">
      <w:pPr>
        <w:jc w:val="both"/>
        <w:rPr>
          <w:rFonts w:ascii="Arial" w:hAnsi="Arial" w:cs="Arial"/>
        </w:rPr>
      </w:pPr>
    </w:p>
    <w:p w14:paraId="68D69961" w14:textId="2B0F11D1" w:rsidR="00943717" w:rsidRDefault="00E375F9" w:rsidP="007E22E3">
      <w:pPr>
        <w:jc w:val="both"/>
        <w:rPr>
          <w:rFonts w:ascii="Arial" w:hAnsi="Arial" w:cs="Arial"/>
        </w:rPr>
      </w:pPr>
      <w:bookmarkStart w:id="9" w:name="_Hlk170415756"/>
      <w:r>
        <w:rPr>
          <w:rFonts w:ascii="Arial" w:hAnsi="Arial" w:cs="Arial"/>
        </w:rPr>
        <w:t xml:space="preserve">Border controls and security measures pertinent to the Common Travel Area have been subject to specific academic research.  </w:t>
      </w:r>
      <w:r w:rsidR="00EB39E1">
        <w:rPr>
          <w:rFonts w:ascii="Arial" w:hAnsi="Arial" w:cs="Arial"/>
        </w:rPr>
        <w:t xml:space="preserve">One notable piece of work by </w:t>
      </w:r>
      <w:r w:rsidR="00FF344A">
        <w:rPr>
          <w:rFonts w:ascii="Arial" w:hAnsi="Arial" w:cs="Arial"/>
        </w:rPr>
        <w:t xml:space="preserve">Guild and </w:t>
      </w:r>
      <w:r w:rsidR="00EB39E1">
        <w:rPr>
          <w:rFonts w:ascii="Arial" w:hAnsi="Arial" w:cs="Arial"/>
        </w:rPr>
        <w:t>Carrera (2014) highlights the challenges associated with managing external borders within the framework of the CTA</w:t>
      </w:r>
      <w:r w:rsidR="00367590">
        <w:rPr>
          <w:rFonts w:ascii="Arial" w:hAnsi="Arial" w:cs="Arial"/>
        </w:rPr>
        <w:t xml:space="preserve">, which is further </w:t>
      </w:r>
      <w:r w:rsidR="00FF344A">
        <w:rPr>
          <w:rFonts w:ascii="Arial" w:hAnsi="Arial" w:cs="Arial"/>
        </w:rPr>
        <w:t>exacerbated</w:t>
      </w:r>
      <w:r w:rsidR="00367590">
        <w:rPr>
          <w:rFonts w:ascii="Arial" w:hAnsi="Arial" w:cs="Arial"/>
        </w:rPr>
        <w:t xml:space="preserve"> following the exit from the EU by the United Kingdom.  </w:t>
      </w:r>
      <w:r w:rsidR="00354179">
        <w:rPr>
          <w:rFonts w:ascii="Arial" w:hAnsi="Arial" w:cs="Arial"/>
        </w:rPr>
        <w:t>A key aspect highlighted by th</w:t>
      </w:r>
      <w:r w:rsidR="007F5D97">
        <w:rPr>
          <w:rFonts w:ascii="Arial" w:hAnsi="Arial" w:cs="Arial"/>
        </w:rPr>
        <w:t>is work relates to the tension between EU regulations and the CTA’s principles of free movement</w:t>
      </w:r>
      <w:r w:rsidR="00B24D28">
        <w:rPr>
          <w:rFonts w:ascii="Arial" w:hAnsi="Arial" w:cs="Arial"/>
        </w:rPr>
        <w:t xml:space="preserve">.  EU law mandates certain requirements for external border controls, including the need for passport checks and immigration controls.  </w:t>
      </w:r>
      <w:r w:rsidR="000B1824">
        <w:rPr>
          <w:rFonts w:ascii="Arial" w:hAnsi="Arial" w:cs="Arial"/>
        </w:rPr>
        <w:t xml:space="preserve">These regulations aim to ensure the security and integrity of the EU’s external borders.  However, the Common Travel Area’s unique arrangements </w:t>
      </w:r>
      <w:r w:rsidR="000C0475">
        <w:rPr>
          <w:rFonts w:ascii="Arial" w:hAnsi="Arial" w:cs="Arial"/>
        </w:rPr>
        <w:t xml:space="preserve">between the UK and Ireland allows for the free movement of people without the need for such controls.  Guild and Carrera argue that the UK’s </w:t>
      </w:r>
      <w:r w:rsidR="009B6F58">
        <w:rPr>
          <w:rFonts w:ascii="Arial" w:hAnsi="Arial" w:cs="Arial"/>
        </w:rPr>
        <w:t>foreseen withdrawal from EU membership create challenges in reconciling these two systems</w:t>
      </w:r>
      <w:r w:rsidR="00FD078A">
        <w:rPr>
          <w:rFonts w:ascii="Arial" w:hAnsi="Arial" w:cs="Arial"/>
        </w:rPr>
        <w:t xml:space="preserve">.  Further academic work by </w:t>
      </w:r>
      <w:r w:rsidR="008467D8">
        <w:rPr>
          <w:rFonts w:ascii="Arial" w:hAnsi="Arial" w:cs="Arial"/>
        </w:rPr>
        <w:t xml:space="preserve">Baldaccini (2012) support this analysis by examining the practical </w:t>
      </w:r>
      <w:r w:rsidR="00167FED">
        <w:rPr>
          <w:rFonts w:ascii="Arial" w:hAnsi="Arial" w:cs="Arial"/>
        </w:rPr>
        <w:t>implications of EU membership on border controls within the CTA</w:t>
      </w:r>
      <w:r w:rsidR="00943717">
        <w:rPr>
          <w:rFonts w:ascii="Arial" w:hAnsi="Arial" w:cs="Arial"/>
        </w:rPr>
        <w:t xml:space="preserve"> </w:t>
      </w:r>
      <w:r w:rsidR="00A75E5E">
        <w:rPr>
          <w:rFonts w:ascii="Arial" w:hAnsi="Arial" w:cs="Arial"/>
        </w:rPr>
        <w:t>and</w:t>
      </w:r>
      <w:r w:rsidR="00943717">
        <w:rPr>
          <w:rFonts w:ascii="Arial" w:hAnsi="Arial" w:cs="Arial"/>
        </w:rPr>
        <w:t xml:space="preserve"> argues that the </w:t>
      </w:r>
      <w:r w:rsidR="00D77437">
        <w:rPr>
          <w:rFonts w:ascii="Arial" w:hAnsi="Arial" w:cs="Arial"/>
        </w:rPr>
        <w:t>EU’s legal framework poses ongoing challenges for the UK and Ireland in maintaining border controls that align with the CTA’s principles.</w:t>
      </w:r>
      <w:r w:rsidR="003C030D">
        <w:rPr>
          <w:rFonts w:ascii="Arial" w:hAnsi="Arial" w:cs="Arial"/>
        </w:rPr>
        <w:t xml:space="preserve">  Likewise, research by Nascimbene delves </w:t>
      </w:r>
      <w:r w:rsidR="00A75E5E">
        <w:rPr>
          <w:rFonts w:ascii="Arial" w:hAnsi="Arial" w:cs="Arial"/>
        </w:rPr>
        <w:t>into</w:t>
      </w:r>
      <w:r w:rsidR="003C030D">
        <w:rPr>
          <w:rFonts w:ascii="Arial" w:hAnsi="Arial" w:cs="Arial"/>
        </w:rPr>
        <w:t xml:space="preserve"> the practical difficulties</w:t>
      </w:r>
      <w:r w:rsidR="00844D9D">
        <w:rPr>
          <w:rFonts w:ascii="Arial" w:hAnsi="Arial" w:cs="Arial"/>
        </w:rPr>
        <w:t xml:space="preserve"> faced and highlights the challenges of </w:t>
      </w:r>
      <w:r w:rsidR="00D96BEA">
        <w:rPr>
          <w:rFonts w:ascii="Arial" w:hAnsi="Arial" w:cs="Arial"/>
        </w:rPr>
        <w:t>harmonising</w:t>
      </w:r>
      <w:r w:rsidR="00844D9D">
        <w:rPr>
          <w:rFonts w:ascii="Arial" w:hAnsi="Arial" w:cs="Arial"/>
        </w:rPr>
        <w:t xml:space="preserve"> border control practices</w:t>
      </w:r>
      <w:r w:rsidR="00D96BEA">
        <w:rPr>
          <w:rFonts w:ascii="Arial" w:hAnsi="Arial" w:cs="Arial"/>
        </w:rPr>
        <w:t xml:space="preserve"> to ensure effective coordination and cooperation between the UK and Ireland to ensure the smooth functioning of border controls </w:t>
      </w:r>
      <w:sdt>
        <w:sdtPr>
          <w:rPr>
            <w:rFonts w:ascii="Arial" w:hAnsi="Arial" w:cs="Arial"/>
          </w:rPr>
          <w:id w:val="903797096"/>
          <w:citation/>
        </w:sdtPr>
        <w:sdtContent>
          <w:r w:rsidR="00D96BEA">
            <w:rPr>
              <w:rFonts w:ascii="Arial" w:hAnsi="Arial" w:cs="Arial"/>
            </w:rPr>
            <w:fldChar w:fldCharType="begin"/>
          </w:r>
          <w:r w:rsidR="00D96BEA">
            <w:rPr>
              <w:rFonts w:ascii="Arial" w:hAnsi="Arial" w:cs="Arial"/>
            </w:rPr>
            <w:instrText xml:space="preserve"> CITATION Nas16 \l 2057 </w:instrText>
          </w:r>
          <w:r w:rsidR="00D96BEA">
            <w:rPr>
              <w:rFonts w:ascii="Arial" w:hAnsi="Arial" w:cs="Arial"/>
            </w:rPr>
            <w:fldChar w:fldCharType="separate"/>
          </w:r>
          <w:r w:rsidR="00D96BEA" w:rsidRPr="00D96BEA">
            <w:rPr>
              <w:rFonts w:ascii="Arial" w:hAnsi="Arial" w:cs="Arial"/>
              <w:noProof/>
            </w:rPr>
            <w:t>(Nascimbene, 2016)</w:t>
          </w:r>
          <w:r w:rsidR="00D96BEA">
            <w:rPr>
              <w:rFonts w:ascii="Arial" w:hAnsi="Arial" w:cs="Arial"/>
            </w:rPr>
            <w:fldChar w:fldCharType="end"/>
          </w:r>
        </w:sdtContent>
      </w:sdt>
      <w:r w:rsidR="00D96BEA">
        <w:rPr>
          <w:rFonts w:ascii="Arial" w:hAnsi="Arial" w:cs="Arial"/>
        </w:rPr>
        <w:t>.</w:t>
      </w:r>
      <w:r w:rsidR="007C66AD">
        <w:rPr>
          <w:rFonts w:ascii="Arial" w:hAnsi="Arial" w:cs="Arial"/>
        </w:rPr>
        <w:t xml:space="preserve">  In addition to EU membership, Brexit has added another layer of complexity to the analysis of border controls within the CTA</w:t>
      </w:r>
      <w:r w:rsidR="007D1AAB">
        <w:rPr>
          <w:rFonts w:ascii="Arial" w:hAnsi="Arial" w:cs="Arial"/>
        </w:rPr>
        <w:t>.  The implications of Brexit on the relationship between the UK and EU raises significant questions about the feas</w:t>
      </w:r>
      <w:r w:rsidR="004C335E">
        <w:rPr>
          <w:rFonts w:ascii="Arial" w:hAnsi="Arial" w:cs="Arial"/>
        </w:rPr>
        <w:t xml:space="preserve">ibility of maintaining the CTA’s open border arrangements </w:t>
      </w:r>
      <w:sdt>
        <w:sdtPr>
          <w:rPr>
            <w:rFonts w:ascii="Arial" w:hAnsi="Arial" w:cs="Arial"/>
          </w:rPr>
          <w:id w:val="2122023793"/>
          <w:citation/>
        </w:sdtPr>
        <w:sdtContent>
          <w:r w:rsidR="004C335E">
            <w:rPr>
              <w:rFonts w:ascii="Arial" w:hAnsi="Arial" w:cs="Arial"/>
            </w:rPr>
            <w:fldChar w:fldCharType="begin"/>
          </w:r>
          <w:r w:rsidR="004C335E">
            <w:rPr>
              <w:rFonts w:ascii="Arial" w:hAnsi="Arial" w:cs="Arial"/>
            </w:rPr>
            <w:instrText xml:space="preserve"> CITATION Gea19 \l 2057 </w:instrText>
          </w:r>
          <w:r w:rsidR="004C335E">
            <w:rPr>
              <w:rFonts w:ascii="Arial" w:hAnsi="Arial" w:cs="Arial"/>
            </w:rPr>
            <w:fldChar w:fldCharType="separate"/>
          </w:r>
          <w:r w:rsidR="004C335E" w:rsidRPr="004C335E">
            <w:rPr>
              <w:rFonts w:ascii="Arial" w:hAnsi="Arial" w:cs="Arial"/>
              <w:noProof/>
            </w:rPr>
            <w:t>(Geary, 2019)</w:t>
          </w:r>
          <w:r w:rsidR="004C335E">
            <w:rPr>
              <w:rFonts w:ascii="Arial" w:hAnsi="Arial" w:cs="Arial"/>
            </w:rPr>
            <w:fldChar w:fldCharType="end"/>
          </w:r>
        </w:sdtContent>
      </w:sdt>
      <w:r w:rsidR="004C335E">
        <w:rPr>
          <w:rFonts w:ascii="Arial" w:hAnsi="Arial" w:cs="Arial"/>
        </w:rPr>
        <w:t>.</w:t>
      </w:r>
      <w:r w:rsidR="00942DD8">
        <w:rPr>
          <w:rFonts w:ascii="Arial" w:hAnsi="Arial" w:cs="Arial"/>
        </w:rPr>
        <w:t xml:space="preserve">  The study by Geary highlights the uncertainties </w:t>
      </w:r>
      <w:r w:rsidR="00AB2F6D">
        <w:rPr>
          <w:rFonts w:ascii="Arial" w:hAnsi="Arial" w:cs="Arial"/>
        </w:rPr>
        <w:t xml:space="preserve">surrounding future border controls and the need for careful consideration of legal, </w:t>
      </w:r>
      <w:r w:rsidR="00A75E5E">
        <w:rPr>
          <w:rFonts w:ascii="Arial" w:hAnsi="Arial" w:cs="Arial"/>
        </w:rPr>
        <w:t>political,</w:t>
      </w:r>
      <w:r w:rsidR="00AB2F6D">
        <w:rPr>
          <w:rFonts w:ascii="Arial" w:hAnsi="Arial" w:cs="Arial"/>
        </w:rPr>
        <w:t xml:space="preserve"> and practical aspects to ensure the continuation of the CTA’s principles.</w:t>
      </w:r>
    </w:p>
    <w:bookmarkEnd w:id="9"/>
    <w:p w14:paraId="48C1D675" w14:textId="77777777" w:rsidR="00B2522C" w:rsidRDefault="00B2522C" w:rsidP="007E22E3">
      <w:pPr>
        <w:jc w:val="both"/>
        <w:rPr>
          <w:rFonts w:ascii="Arial" w:hAnsi="Arial" w:cs="Arial"/>
        </w:rPr>
      </w:pPr>
    </w:p>
    <w:p w14:paraId="20CC9639" w14:textId="4ADF80E3" w:rsidR="00376208" w:rsidRDefault="00FC20F6" w:rsidP="007E22E3">
      <w:pPr>
        <w:jc w:val="both"/>
        <w:rPr>
          <w:rFonts w:ascii="Arial" w:hAnsi="Arial" w:cs="Arial"/>
        </w:rPr>
      </w:pPr>
      <w:r>
        <w:rPr>
          <w:rFonts w:ascii="Arial" w:hAnsi="Arial" w:cs="Arial"/>
        </w:rPr>
        <w:t xml:space="preserve">There appear to be a limited </w:t>
      </w:r>
      <w:r w:rsidR="00A75E5E">
        <w:rPr>
          <w:rFonts w:ascii="Arial" w:hAnsi="Arial" w:cs="Arial"/>
        </w:rPr>
        <w:t>number</w:t>
      </w:r>
      <w:r>
        <w:rPr>
          <w:rFonts w:ascii="Arial" w:hAnsi="Arial" w:cs="Arial"/>
        </w:rPr>
        <w:t xml:space="preserve"> of specific studies </w:t>
      </w:r>
      <w:r w:rsidR="0013038A">
        <w:rPr>
          <w:rFonts w:ascii="Arial" w:hAnsi="Arial" w:cs="Arial"/>
        </w:rPr>
        <w:t xml:space="preserve">that combine an analysis of the Common Travel Area and terrorism perse.  However, there are multiple research papers available that explore the link between crime and the CTA.  </w:t>
      </w:r>
      <w:r w:rsidR="004106FF">
        <w:rPr>
          <w:rFonts w:ascii="Arial" w:hAnsi="Arial" w:cs="Arial"/>
        </w:rPr>
        <w:t xml:space="preserve">One study provides insights </w:t>
      </w:r>
      <w:r w:rsidR="00F85F0E">
        <w:rPr>
          <w:rFonts w:ascii="Arial" w:hAnsi="Arial" w:cs="Arial"/>
        </w:rPr>
        <w:t>into</w:t>
      </w:r>
      <w:r w:rsidR="004106FF">
        <w:rPr>
          <w:rFonts w:ascii="Arial" w:hAnsi="Arial" w:cs="Arial"/>
        </w:rPr>
        <w:t xml:space="preserve"> the specific challenges faced by law enforcement agencies </w:t>
      </w:r>
      <w:r w:rsidR="00170EF7">
        <w:rPr>
          <w:rFonts w:ascii="Arial" w:hAnsi="Arial" w:cs="Arial"/>
        </w:rPr>
        <w:t xml:space="preserve">in addressing it </w:t>
      </w:r>
      <w:sdt>
        <w:sdtPr>
          <w:rPr>
            <w:rFonts w:ascii="Arial" w:hAnsi="Arial" w:cs="Arial"/>
          </w:rPr>
          <w:id w:val="-1594163336"/>
          <w:citation/>
        </w:sdtPr>
        <w:sdtContent>
          <w:r w:rsidR="00170EF7">
            <w:rPr>
              <w:rFonts w:ascii="Arial" w:hAnsi="Arial" w:cs="Arial"/>
            </w:rPr>
            <w:fldChar w:fldCharType="begin"/>
          </w:r>
          <w:r w:rsidR="00170EF7">
            <w:rPr>
              <w:rFonts w:ascii="Arial" w:hAnsi="Arial" w:cs="Arial"/>
            </w:rPr>
            <w:instrText xml:space="preserve"> CITATION Cal16 \l 2057 </w:instrText>
          </w:r>
          <w:r w:rsidR="00170EF7">
            <w:rPr>
              <w:rFonts w:ascii="Arial" w:hAnsi="Arial" w:cs="Arial"/>
            </w:rPr>
            <w:fldChar w:fldCharType="separate"/>
          </w:r>
          <w:r w:rsidR="00170EF7" w:rsidRPr="00170EF7">
            <w:rPr>
              <w:rFonts w:ascii="Arial" w:hAnsi="Arial" w:cs="Arial"/>
              <w:noProof/>
            </w:rPr>
            <w:t>(Caless, 2016)</w:t>
          </w:r>
          <w:r w:rsidR="00170EF7">
            <w:rPr>
              <w:rFonts w:ascii="Arial" w:hAnsi="Arial" w:cs="Arial"/>
            </w:rPr>
            <w:fldChar w:fldCharType="end"/>
          </w:r>
        </w:sdtContent>
      </w:sdt>
      <w:r w:rsidR="00170EF7">
        <w:rPr>
          <w:rFonts w:ascii="Arial" w:hAnsi="Arial" w:cs="Arial"/>
        </w:rPr>
        <w:t xml:space="preserve">.  </w:t>
      </w:r>
      <w:r w:rsidR="00F85F0E">
        <w:rPr>
          <w:rFonts w:ascii="Arial" w:hAnsi="Arial" w:cs="Arial"/>
        </w:rPr>
        <w:t xml:space="preserve"> </w:t>
      </w:r>
      <w:r w:rsidR="00F85F0E">
        <w:rPr>
          <w:rFonts w:ascii="Arial" w:hAnsi="Arial" w:cs="Arial"/>
        </w:rPr>
        <w:lastRenderedPageBreak/>
        <w:t>This work explores the various types of offences, such as drug trafficking</w:t>
      </w:r>
      <w:r w:rsidR="00DE4C6B">
        <w:rPr>
          <w:rFonts w:ascii="Arial" w:hAnsi="Arial" w:cs="Arial"/>
        </w:rPr>
        <w:t xml:space="preserve">, human trafficking and illegal immigration within the CTA and looks at perceptions and experiences of law enforcement agencies in dealing with these crimes.  </w:t>
      </w:r>
      <w:r w:rsidR="00C85887">
        <w:rPr>
          <w:rFonts w:ascii="Arial" w:hAnsi="Arial" w:cs="Arial"/>
        </w:rPr>
        <w:t xml:space="preserve">Caless highlights the importance of cooperation and coordination between law enforcement </w:t>
      </w:r>
      <w:r w:rsidR="00450827">
        <w:rPr>
          <w:rFonts w:ascii="Arial" w:hAnsi="Arial" w:cs="Arial"/>
        </w:rPr>
        <w:t>agencies in preventing and responding to cros</w:t>
      </w:r>
      <w:r w:rsidR="00CB1695">
        <w:rPr>
          <w:rFonts w:ascii="Arial" w:hAnsi="Arial" w:cs="Arial"/>
        </w:rPr>
        <w:t>s</w:t>
      </w:r>
      <w:r w:rsidR="00450827">
        <w:rPr>
          <w:rFonts w:ascii="Arial" w:hAnsi="Arial" w:cs="Arial"/>
        </w:rPr>
        <w:t xml:space="preserve"> border crime, stipulating the need for effective information sharing and joint operations</w:t>
      </w:r>
      <w:r w:rsidR="00B72AAC">
        <w:rPr>
          <w:rFonts w:ascii="Arial" w:hAnsi="Arial" w:cs="Arial"/>
        </w:rPr>
        <w:t xml:space="preserve"> to tackle criminal activities effectively.  Whilst not specific to terrorism</w:t>
      </w:r>
      <w:r w:rsidR="00A64A74">
        <w:rPr>
          <w:rFonts w:ascii="Arial" w:hAnsi="Arial" w:cs="Arial"/>
        </w:rPr>
        <w:t xml:space="preserve"> there are </w:t>
      </w:r>
      <w:r w:rsidR="00060AED">
        <w:rPr>
          <w:rFonts w:ascii="Arial" w:hAnsi="Arial" w:cs="Arial"/>
        </w:rPr>
        <w:t xml:space="preserve">clear crossovers and historical links between traditional crime and terrorism.  </w:t>
      </w:r>
      <w:r w:rsidR="00376208">
        <w:rPr>
          <w:rFonts w:ascii="Arial" w:hAnsi="Arial" w:cs="Arial"/>
        </w:rPr>
        <w:t>Historicall</w:t>
      </w:r>
      <w:r w:rsidR="006E0842">
        <w:rPr>
          <w:rFonts w:ascii="Arial" w:hAnsi="Arial" w:cs="Arial"/>
        </w:rPr>
        <w:t>y</w:t>
      </w:r>
      <w:r w:rsidR="00376208">
        <w:rPr>
          <w:rFonts w:ascii="Arial" w:hAnsi="Arial" w:cs="Arial"/>
        </w:rPr>
        <w:t xml:space="preserve">, paramilitary organisations in Northern Ireland have been involved in various </w:t>
      </w:r>
      <w:r w:rsidR="006E0842">
        <w:rPr>
          <w:rFonts w:ascii="Arial" w:hAnsi="Arial" w:cs="Arial"/>
        </w:rPr>
        <w:t xml:space="preserve">criminal activities, including extortion, smuggling, and money laundering.  These criminal enterprises serve as a means for financing and sustaining terrorist campaigns in the region </w:t>
      </w:r>
      <w:sdt>
        <w:sdtPr>
          <w:rPr>
            <w:rFonts w:ascii="Arial" w:hAnsi="Arial" w:cs="Arial"/>
          </w:rPr>
          <w:id w:val="-1848085487"/>
          <w:citation/>
        </w:sdtPr>
        <w:sdtContent>
          <w:r w:rsidR="006E0842">
            <w:rPr>
              <w:rFonts w:ascii="Arial" w:hAnsi="Arial" w:cs="Arial"/>
            </w:rPr>
            <w:fldChar w:fldCharType="begin"/>
          </w:r>
          <w:r w:rsidR="006E0842">
            <w:rPr>
              <w:rFonts w:ascii="Arial" w:hAnsi="Arial" w:cs="Arial"/>
            </w:rPr>
            <w:instrText xml:space="preserve"> CITATION For09 \l 2057 </w:instrText>
          </w:r>
          <w:r w:rsidR="006E0842">
            <w:rPr>
              <w:rFonts w:ascii="Arial" w:hAnsi="Arial" w:cs="Arial"/>
            </w:rPr>
            <w:fldChar w:fldCharType="separate"/>
          </w:r>
          <w:r w:rsidR="006E0842" w:rsidRPr="006E0842">
            <w:rPr>
              <w:rFonts w:ascii="Arial" w:hAnsi="Arial" w:cs="Arial"/>
              <w:noProof/>
            </w:rPr>
            <w:t>(Forst, 2009)</w:t>
          </w:r>
          <w:r w:rsidR="006E0842">
            <w:rPr>
              <w:rFonts w:ascii="Arial" w:hAnsi="Arial" w:cs="Arial"/>
            </w:rPr>
            <w:fldChar w:fldCharType="end"/>
          </w:r>
        </w:sdtContent>
      </w:sdt>
      <w:r w:rsidR="0016510B">
        <w:rPr>
          <w:rFonts w:ascii="Arial" w:hAnsi="Arial" w:cs="Arial"/>
        </w:rPr>
        <w:t>.</w:t>
      </w:r>
      <w:r w:rsidR="0045787C">
        <w:rPr>
          <w:rFonts w:ascii="Arial" w:hAnsi="Arial" w:cs="Arial"/>
        </w:rPr>
        <w:t xml:space="preserve">  In addition, </w:t>
      </w:r>
      <w:r w:rsidR="002872A1">
        <w:rPr>
          <w:rFonts w:ascii="Arial" w:hAnsi="Arial" w:cs="Arial"/>
        </w:rPr>
        <w:t>a study undertaken by Shelley (2005) provides insights into the historical links between terrorism and organised crime</w:t>
      </w:r>
      <w:r w:rsidR="00757F3E">
        <w:rPr>
          <w:rFonts w:ascii="Arial" w:hAnsi="Arial" w:cs="Arial"/>
        </w:rPr>
        <w:t xml:space="preserve">, with a focus on Northern Ireland.  Shelley argues that paramilitary </w:t>
      </w:r>
      <w:r w:rsidR="00CB1695">
        <w:rPr>
          <w:rFonts w:ascii="Arial" w:hAnsi="Arial" w:cs="Arial"/>
        </w:rPr>
        <w:t>organisations</w:t>
      </w:r>
      <w:r w:rsidR="00757F3E">
        <w:rPr>
          <w:rFonts w:ascii="Arial" w:hAnsi="Arial" w:cs="Arial"/>
        </w:rPr>
        <w:t xml:space="preserve"> in Northern Ireland have exploited criminal activities to finance their campaigns and maintain their power</w:t>
      </w:r>
      <w:r w:rsidR="00CB1695">
        <w:rPr>
          <w:rFonts w:ascii="Arial" w:hAnsi="Arial" w:cs="Arial"/>
        </w:rPr>
        <w:t xml:space="preserve">, reinforcing the importance of understanding these connections to develop effective counter terrorism strategies </w:t>
      </w:r>
      <w:sdt>
        <w:sdtPr>
          <w:rPr>
            <w:rFonts w:ascii="Arial" w:hAnsi="Arial" w:cs="Arial"/>
          </w:rPr>
          <w:id w:val="648400897"/>
          <w:citation/>
        </w:sdtPr>
        <w:sdtContent>
          <w:r w:rsidR="00CB1695">
            <w:rPr>
              <w:rFonts w:ascii="Arial" w:hAnsi="Arial" w:cs="Arial"/>
            </w:rPr>
            <w:fldChar w:fldCharType="begin"/>
          </w:r>
          <w:r w:rsidR="00CB1695">
            <w:rPr>
              <w:rFonts w:ascii="Arial" w:hAnsi="Arial" w:cs="Arial"/>
            </w:rPr>
            <w:instrText xml:space="preserve"> CITATION She05 \l 2057 </w:instrText>
          </w:r>
          <w:r w:rsidR="00CB1695">
            <w:rPr>
              <w:rFonts w:ascii="Arial" w:hAnsi="Arial" w:cs="Arial"/>
            </w:rPr>
            <w:fldChar w:fldCharType="separate"/>
          </w:r>
          <w:r w:rsidR="00CB1695" w:rsidRPr="00CB1695">
            <w:rPr>
              <w:rFonts w:ascii="Arial" w:hAnsi="Arial" w:cs="Arial"/>
              <w:noProof/>
            </w:rPr>
            <w:t>(Shelley, 2005)</w:t>
          </w:r>
          <w:r w:rsidR="00CB1695">
            <w:rPr>
              <w:rFonts w:ascii="Arial" w:hAnsi="Arial" w:cs="Arial"/>
            </w:rPr>
            <w:fldChar w:fldCharType="end"/>
          </w:r>
        </w:sdtContent>
      </w:sdt>
      <w:r w:rsidR="00CB1695">
        <w:rPr>
          <w:rFonts w:ascii="Arial" w:hAnsi="Arial" w:cs="Arial"/>
        </w:rPr>
        <w:t>.</w:t>
      </w:r>
    </w:p>
    <w:p w14:paraId="7C2D2C38" w14:textId="1BCB5203" w:rsidR="00E44818" w:rsidRDefault="00104582" w:rsidP="007E22E3">
      <w:pPr>
        <w:jc w:val="both"/>
        <w:rPr>
          <w:rFonts w:ascii="Arial" w:hAnsi="Arial" w:cs="Arial"/>
        </w:rPr>
      </w:pPr>
      <w:r>
        <w:rPr>
          <w:rFonts w:ascii="Arial" w:hAnsi="Arial" w:cs="Arial"/>
        </w:rPr>
        <w:t xml:space="preserve">The </w:t>
      </w:r>
      <w:r w:rsidR="00B76006">
        <w:rPr>
          <w:rFonts w:ascii="Arial" w:hAnsi="Arial" w:cs="Arial"/>
        </w:rPr>
        <w:t>function</w:t>
      </w:r>
      <w:r>
        <w:rPr>
          <w:rFonts w:ascii="Arial" w:hAnsi="Arial" w:cs="Arial"/>
        </w:rPr>
        <w:t xml:space="preserve"> of border controls following Brexit </w:t>
      </w:r>
      <w:r w:rsidR="00B76006">
        <w:rPr>
          <w:rFonts w:ascii="Arial" w:hAnsi="Arial" w:cs="Arial"/>
        </w:rPr>
        <w:t>has a direct impact on the national security of the UK (and Ireland)</w:t>
      </w:r>
      <w:r w:rsidR="00A019DF">
        <w:rPr>
          <w:rFonts w:ascii="Arial" w:hAnsi="Arial" w:cs="Arial"/>
        </w:rPr>
        <w:t xml:space="preserve"> </w:t>
      </w:r>
      <w:r w:rsidR="00704CFD">
        <w:rPr>
          <w:rFonts w:ascii="Arial" w:hAnsi="Arial" w:cs="Arial"/>
        </w:rPr>
        <w:t xml:space="preserve">within the context of EU membership and </w:t>
      </w:r>
      <w:r w:rsidR="00B63A27">
        <w:rPr>
          <w:rFonts w:ascii="Arial" w:hAnsi="Arial" w:cs="Arial"/>
        </w:rPr>
        <w:t>the CTA’s overriding principles.  The tension between EU law and the CTA’s principles of free movement</w:t>
      </w:r>
      <w:r w:rsidR="00B93236">
        <w:rPr>
          <w:rFonts w:ascii="Arial" w:hAnsi="Arial" w:cs="Arial"/>
        </w:rPr>
        <w:t xml:space="preserve"> creates legal, </w:t>
      </w:r>
      <w:proofErr w:type="gramStart"/>
      <w:r w:rsidR="00B93236">
        <w:rPr>
          <w:rFonts w:ascii="Arial" w:hAnsi="Arial" w:cs="Arial"/>
        </w:rPr>
        <w:t>practical</w:t>
      </w:r>
      <w:proofErr w:type="gramEnd"/>
      <w:r w:rsidR="00B93236">
        <w:rPr>
          <w:rFonts w:ascii="Arial" w:hAnsi="Arial" w:cs="Arial"/>
        </w:rPr>
        <w:t xml:space="preserve"> and political diff</w:t>
      </w:r>
      <w:r w:rsidR="00044C63">
        <w:rPr>
          <w:rFonts w:ascii="Arial" w:hAnsi="Arial" w:cs="Arial"/>
        </w:rPr>
        <w:t>iculties for the UK in managing its external borders</w:t>
      </w:r>
      <w:r w:rsidR="00ED2A61">
        <w:rPr>
          <w:rFonts w:ascii="Arial" w:hAnsi="Arial" w:cs="Arial"/>
        </w:rPr>
        <w:t xml:space="preserve"> with Brexit further complicating the situation, adding uncertainty.  Further research and careful consideration of these issues is crucial to ensure </w:t>
      </w:r>
      <w:r w:rsidR="00AB6401">
        <w:rPr>
          <w:rFonts w:ascii="Arial" w:hAnsi="Arial" w:cs="Arial"/>
        </w:rPr>
        <w:t>effective border management while preserving the CTA in its current format.</w:t>
      </w:r>
    </w:p>
    <w:p w14:paraId="529A662A" w14:textId="6469DB61" w:rsidR="003328F2" w:rsidRDefault="003328F2" w:rsidP="007E22E3">
      <w:pPr>
        <w:jc w:val="both"/>
        <w:rPr>
          <w:rFonts w:ascii="Arial" w:hAnsi="Arial" w:cs="Arial"/>
        </w:rPr>
      </w:pPr>
      <w:r>
        <w:rPr>
          <w:rFonts w:ascii="Arial" w:hAnsi="Arial" w:cs="Arial"/>
        </w:rPr>
        <w:t xml:space="preserve">There is clearly a </w:t>
      </w:r>
      <w:r w:rsidR="004F2A18">
        <w:rPr>
          <w:rFonts w:ascii="Arial" w:hAnsi="Arial" w:cs="Arial"/>
        </w:rPr>
        <w:t xml:space="preserve">multitude of research papers, books and journals afforded to the subject of Schedule 7, and likewise the Common Travel Area.  There is significant research and commentary around the use of Schedule 7 </w:t>
      </w:r>
      <w:r w:rsidR="009E6C30">
        <w:rPr>
          <w:rFonts w:ascii="Arial" w:hAnsi="Arial" w:cs="Arial"/>
        </w:rPr>
        <w:t>relating to civil liberties and Human Rights, which is also reflected in mandatory returns submitted by law enforcement to the Home Office and subsequent data that is provided</w:t>
      </w:r>
      <w:r w:rsidR="003D2F6D">
        <w:rPr>
          <w:rFonts w:ascii="Arial" w:hAnsi="Arial" w:cs="Arial"/>
        </w:rPr>
        <w:t xml:space="preserve"> </w:t>
      </w:r>
      <w:r w:rsidR="000A4102">
        <w:rPr>
          <w:rFonts w:ascii="Arial" w:hAnsi="Arial" w:cs="Arial"/>
        </w:rPr>
        <w:t xml:space="preserve">shows the relevant detail around number of Schedule 7 examinations conducted, </w:t>
      </w:r>
      <w:r w:rsidR="0009151E">
        <w:rPr>
          <w:rFonts w:ascii="Arial" w:hAnsi="Arial" w:cs="Arial"/>
        </w:rPr>
        <w:t>the proportion of which amounted to an arrest or detention and a detailed breakdown and analysis of self</w:t>
      </w:r>
      <w:r w:rsidR="002A5919">
        <w:rPr>
          <w:rFonts w:ascii="Arial" w:hAnsi="Arial" w:cs="Arial"/>
        </w:rPr>
        <w:t xml:space="preserve">-defined ethnicity.  This </w:t>
      </w:r>
      <w:r w:rsidR="003D2F6D">
        <w:rPr>
          <w:rFonts w:ascii="Arial" w:hAnsi="Arial" w:cs="Arial"/>
        </w:rPr>
        <w:t>affords</w:t>
      </w:r>
      <w:r w:rsidR="00854334">
        <w:rPr>
          <w:rFonts w:ascii="Arial" w:hAnsi="Arial" w:cs="Arial"/>
        </w:rPr>
        <w:t xml:space="preserve"> excellent opportunity to conduct further research and make informed argument.  However, the research around the Common Travel Area pertinent to Schedule 7 is less </w:t>
      </w:r>
      <w:r w:rsidR="008179F3">
        <w:rPr>
          <w:rFonts w:ascii="Arial" w:hAnsi="Arial" w:cs="Arial"/>
        </w:rPr>
        <w:t xml:space="preserve">abundant, and particularly so post-Brexit where the dynamics of the relationship between the two has taken another step-change.  This affords opportunity for further research and </w:t>
      </w:r>
      <w:r w:rsidR="006A0883">
        <w:rPr>
          <w:rFonts w:ascii="Arial" w:hAnsi="Arial" w:cs="Arial"/>
        </w:rPr>
        <w:t xml:space="preserve">this work can provide a platform to build upon the gaps in </w:t>
      </w:r>
      <w:r w:rsidR="00665F75">
        <w:rPr>
          <w:rFonts w:ascii="Arial" w:hAnsi="Arial" w:cs="Arial"/>
        </w:rPr>
        <w:t>academic investigation.</w:t>
      </w:r>
    </w:p>
    <w:p w14:paraId="46601827" w14:textId="44635EE9" w:rsidR="00665F75" w:rsidRDefault="00665F75" w:rsidP="007E22E3">
      <w:pPr>
        <w:jc w:val="both"/>
        <w:rPr>
          <w:rFonts w:ascii="Arial" w:hAnsi="Arial" w:cs="Arial"/>
        </w:rPr>
      </w:pPr>
      <w:r>
        <w:rPr>
          <w:rFonts w:ascii="Arial" w:hAnsi="Arial" w:cs="Arial"/>
        </w:rPr>
        <w:t xml:space="preserve">The statistical data available </w:t>
      </w:r>
      <w:r w:rsidR="004045F8">
        <w:rPr>
          <w:rFonts w:ascii="Arial" w:hAnsi="Arial" w:cs="Arial"/>
        </w:rPr>
        <w:t xml:space="preserve">will provide a platform </w:t>
      </w:r>
      <w:r w:rsidR="00856DAE">
        <w:rPr>
          <w:rFonts w:ascii="Arial" w:hAnsi="Arial" w:cs="Arial"/>
        </w:rPr>
        <w:t xml:space="preserve">to enhance the empirical data produced as a result of this paper and facilitates </w:t>
      </w:r>
      <w:r w:rsidR="00750CAE">
        <w:rPr>
          <w:rFonts w:ascii="Arial" w:hAnsi="Arial" w:cs="Arial"/>
        </w:rPr>
        <w:t>observations to be drawn alongside the findings of the literature review.</w:t>
      </w:r>
    </w:p>
    <w:p w14:paraId="175E58B4" w14:textId="3A196F46" w:rsidR="00A83CF4" w:rsidRDefault="00A83CF4" w:rsidP="007E22E3">
      <w:pPr>
        <w:jc w:val="both"/>
        <w:rPr>
          <w:rFonts w:ascii="Arial" w:eastAsia="Calibri" w:hAnsi="Arial" w:cs="Arial"/>
        </w:rPr>
      </w:pPr>
    </w:p>
    <w:p w14:paraId="2995324F" w14:textId="77777777" w:rsidR="00E26C07" w:rsidRDefault="00E26C07" w:rsidP="007E22E3">
      <w:pPr>
        <w:jc w:val="both"/>
        <w:rPr>
          <w:rFonts w:ascii="Arial" w:eastAsia="Calibri" w:hAnsi="Arial" w:cs="Arial"/>
        </w:rPr>
      </w:pPr>
    </w:p>
    <w:bookmarkEnd w:id="8"/>
    <w:p w14:paraId="4B8618D9" w14:textId="77777777" w:rsidR="001367E0" w:rsidRDefault="001367E0" w:rsidP="007E22E3">
      <w:pPr>
        <w:jc w:val="both"/>
        <w:rPr>
          <w:rFonts w:ascii="Arial" w:eastAsia="Calibri" w:hAnsi="Arial" w:cs="Arial"/>
        </w:rPr>
      </w:pPr>
    </w:p>
    <w:p w14:paraId="4275FC30" w14:textId="77777777" w:rsidR="00C5013B" w:rsidRDefault="00C5013B" w:rsidP="007E22E3">
      <w:pPr>
        <w:jc w:val="both"/>
        <w:rPr>
          <w:rFonts w:ascii="Arial" w:eastAsia="Calibri" w:hAnsi="Arial" w:cs="Arial"/>
        </w:rPr>
      </w:pPr>
    </w:p>
    <w:p w14:paraId="6EC45FEA" w14:textId="77777777" w:rsidR="00D534D6" w:rsidRDefault="00D534D6" w:rsidP="007E22E3">
      <w:pPr>
        <w:jc w:val="both"/>
        <w:rPr>
          <w:rFonts w:ascii="Arial" w:eastAsia="Calibri" w:hAnsi="Arial" w:cs="Arial"/>
        </w:rPr>
      </w:pPr>
    </w:p>
    <w:p w14:paraId="4858B9C5" w14:textId="77777777" w:rsidR="00D534D6" w:rsidRDefault="00D534D6" w:rsidP="007E22E3">
      <w:pPr>
        <w:jc w:val="both"/>
        <w:rPr>
          <w:rFonts w:ascii="Arial" w:eastAsia="Calibri" w:hAnsi="Arial" w:cs="Arial"/>
        </w:rPr>
      </w:pPr>
    </w:p>
    <w:p w14:paraId="68F46601" w14:textId="77777777" w:rsidR="00F514DB" w:rsidRDefault="00F514DB" w:rsidP="007E22E3">
      <w:pPr>
        <w:jc w:val="both"/>
        <w:rPr>
          <w:rFonts w:ascii="Arial" w:hAnsi="Arial" w:cs="Arial"/>
          <w:b/>
          <w:bCs/>
        </w:rPr>
      </w:pPr>
    </w:p>
    <w:p w14:paraId="5D84D9B8" w14:textId="4862163E" w:rsidR="00C12CBA" w:rsidRPr="00427B8F" w:rsidRDefault="00491910" w:rsidP="007E22E3">
      <w:pPr>
        <w:jc w:val="both"/>
        <w:rPr>
          <w:rFonts w:ascii="Arial" w:hAnsi="Arial" w:cs="Arial"/>
          <w:b/>
          <w:bCs/>
          <w:u w:val="single"/>
        </w:rPr>
      </w:pPr>
      <w:r>
        <w:rPr>
          <w:rFonts w:ascii="Arial" w:hAnsi="Arial" w:cs="Arial"/>
          <w:b/>
          <w:bCs/>
          <w:u w:val="single"/>
        </w:rPr>
        <w:lastRenderedPageBreak/>
        <w:t xml:space="preserve">Research </w:t>
      </w:r>
      <w:r w:rsidR="00C12CBA" w:rsidRPr="00427B8F">
        <w:rPr>
          <w:rFonts w:ascii="Arial" w:hAnsi="Arial" w:cs="Arial"/>
          <w:b/>
          <w:bCs/>
          <w:u w:val="single"/>
        </w:rPr>
        <w:t>Methodology</w:t>
      </w:r>
      <w:r w:rsidR="00427B8F" w:rsidRPr="00427B8F">
        <w:rPr>
          <w:rFonts w:ascii="Arial" w:hAnsi="Arial" w:cs="Arial"/>
          <w:b/>
          <w:bCs/>
          <w:u w:val="single"/>
        </w:rPr>
        <w:t>.</w:t>
      </w:r>
    </w:p>
    <w:p w14:paraId="0DFD58E0" w14:textId="755F3478" w:rsidR="00C9438A" w:rsidRDefault="00790E62" w:rsidP="007E22E3">
      <w:pPr>
        <w:jc w:val="both"/>
        <w:rPr>
          <w:rFonts w:ascii="Arial" w:hAnsi="Arial" w:cs="Arial"/>
        </w:rPr>
      </w:pPr>
      <w:r>
        <w:rPr>
          <w:rFonts w:ascii="Arial" w:hAnsi="Arial" w:cs="Arial"/>
        </w:rPr>
        <w:t>R</w:t>
      </w:r>
      <w:r w:rsidR="001B2C54">
        <w:rPr>
          <w:rFonts w:ascii="Arial" w:hAnsi="Arial" w:cs="Arial"/>
        </w:rPr>
        <w:t xml:space="preserve">esearch </w:t>
      </w:r>
      <w:r>
        <w:rPr>
          <w:rFonts w:ascii="Arial" w:hAnsi="Arial" w:cs="Arial"/>
        </w:rPr>
        <w:t xml:space="preserve">can be defined </w:t>
      </w:r>
      <w:r w:rsidR="001B2C54">
        <w:rPr>
          <w:rFonts w:ascii="Arial" w:hAnsi="Arial" w:cs="Arial"/>
        </w:rPr>
        <w:t xml:space="preserve">as something that people undertake </w:t>
      </w:r>
      <w:proofErr w:type="gramStart"/>
      <w:r w:rsidR="001B2C54">
        <w:rPr>
          <w:rFonts w:ascii="Arial" w:hAnsi="Arial" w:cs="Arial"/>
        </w:rPr>
        <w:t>in order to</w:t>
      </w:r>
      <w:proofErr w:type="gramEnd"/>
      <w:r w:rsidR="001B2C54">
        <w:rPr>
          <w:rFonts w:ascii="Arial" w:hAnsi="Arial" w:cs="Arial"/>
        </w:rPr>
        <w:t xml:space="preserve"> </w:t>
      </w:r>
      <w:r w:rsidR="00604DA4">
        <w:rPr>
          <w:rFonts w:ascii="Arial" w:hAnsi="Arial" w:cs="Arial"/>
        </w:rPr>
        <w:t>find out things in a systematic way, thereby increasing their knowledge</w:t>
      </w:r>
      <w:sdt>
        <w:sdtPr>
          <w:rPr>
            <w:rFonts w:ascii="Arial" w:hAnsi="Arial" w:cs="Arial"/>
          </w:rPr>
          <w:id w:val="527754374"/>
          <w:citation/>
        </w:sdtPr>
        <w:sdtContent>
          <w:r w:rsidR="00C900B3">
            <w:rPr>
              <w:rFonts w:ascii="Arial" w:hAnsi="Arial" w:cs="Arial"/>
            </w:rPr>
            <w:fldChar w:fldCharType="begin"/>
          </w:r>
          <w:r w:rsidR="00C900B3">
            <w:rPr>
              <w:rFonts w:ascii="Arial" w:hAnsi="Arial" w:cs="Arial"/>
            </w:rPr>
            <w:instrText xml:space="preserve"> CITATION Sau07 \l 2057 </w:instrText>
          </w:r>
          <w:r w:rsidR="00C900B3">
            <w:rPr>
              <w:rFonts w:ascii="Arial" w:hAnsi="Arial" w:cs="Arial"/>
            </w:rPr>
            <w:fldChar w:fldCharType="separate"/>
          </w:r>
          <w:r w:rsidR="00C900B3">
            <w:rPr>
              <w:rFonts w:ascii="Arial" w:hAnsi="Arial" w:cs="Arial"/>
              <w:noProof/>
            </w:rPr>
            <w:t xml:space="preserve"> </w:t>
          </w:r>
          <w:r w:rsidR="00C900B3" w:rsidRPr="00C900B3">
            <w:rPr>
              <w:rFonts w:ascii="Arial" w:hAnsi="Arial" w:cs="Arial"/>
              <w:noProof/>
            </w:rPr>
            <w:t>(Saunders, 2007)</w:t>
          </w:r>
          <w:r w:rsidR="00C900B3">
            <w:rPr>
              <w:rFonts w:ascii="Arial" w:hAnsi="Arial" w:cs="Arial"/>
            </w:rPr>
            <w:fldChar w:fldCharType="end"/>
          </w:r>
        </w:sdtContent>
      </w:sdt>
      <w:r w:rsidR="00D00C00">
        <w:rPr>
          <w:rFonts w:ascii="Arial" w:hAnsi="Arial" w:cs="Arial"/>
        </w:rPr>
        <w:t>.</w:t>
      </w:r>
      <w:r w:rsidR="00604DA4">
        <w:rPr>
          <w:rFonts w:ascii="Arial" w:hAnsi="Arial" w:cs="Arial"/>
        </w:rPr>
        <w:t xml:space="preserve">  </w:t>
      </w:r>
      <w:r>
        <w:rPr>
          <w:rFonts w:ascii="Arial" w:hAnsi="Arial" w:cs="Arial"/>
        </w:rPr>
        <w:t xml:space="preserve">Research is conducted to generate new knowledge or deepen understanding within a specific field of study and involves the collection, analysis and interpretation of data or information to address research questions or test hypothesis.  </w:t>
      </w:r>
    </w:p>
    <w:p w14:paraId="71423723" w14:textId="660605D3" w:rsidR="00A5327A" w:rsidRDefault="00A51C28" w:rsidP="007E22E3">
      <w:pPr>
        <w:jc w:val="both"/>
        <w:rPr>
          <w:rFonts w:ascii="Arial" w:hAnsi="Arial" w:cs="Arial"/>
        </w:rPr>
      </w:pPr>
      <w:r>
        <w:rPr>
          <w:rFonts w:ascii="Arial" w:hAnsi="Arial" w:cs="Arial"/>
        </w:rPr>
        <w:t xml:space="preserve">Other work around </w:t>
      </w:r>
      <w:r w:rsidR="00CD0D82">
        <w:rPr>
          <w:rFonts w:ascii="Arial" w:hAnsi="Arial" w:cs="Arial"/>
        </w:rPr>
        <w:t xml:space="preserve">addressing what research is suggests it is a deep, </w:t>
      </w:r>
      <w:proofErr w:type="gramStart"/>
      <w:r w:rsidR="00CD0D82">
        <w:rPr>
          <w:rFonts w:ascii="Arial" w:hAnsi="Arial" w:cs="Arial"/>
        </w:rPr>
        <w:t>recursive</w:t>
      </w:r>
      <w:proofErr w:type="gramEnd"/>
      <w:r w:rsidR="00CD0D82">
        <w:rPr>
          <w:rFonts w:ascii="Arial" w:hAnsi="Arial" w:cs="Arial"/>
        </w:rPr>
        <w:t xml:space="preserve"> and </w:t>
      </w:r>
      <w:r w:rsidR="003D2F6D">
        <w:rPr>
          <w:rFonts w:ascii="Arial" w:hAnsi="Arial" w:cs="Arial"/>
        </w:rPr>
        <w:t>self-correcting</w:t>
      </w:r>
      <w:r w:rsidR="00CD0D82">
        <w:rPr>
          <w:rFonts w:ascii="Arial" w:hAnsi="Arial" w:cs="Arial"/>
        </w:rPr>
        <w:t xml:space="preserve"> enquiry</w:t>
      </w:r>
      <w:r w:rsidR="0032520F">
        <w:rPr>
          <w:rFonts w:ascii="Arial" w:hAnsi="Arial" w:cs="Arial"/>
        </w:rPr>
        <w:t xml:space="preserve"> into any domain of knowledge which emphasises the importance of critical thinking, questioning and evaluation </w:t>
      </w:r>
      <w:r w:rsidR="004163F5">
        <w:rPr>
          <w:rFonts w:ascii="Arial" w:hAnsi="Arial" w:cs="Arial"/>
        </w:rPr>
        <w:t xml:space="preserve">in the research process </w:t>
      </w:r>
      <w:sdt>
        <w:sdtPr>
          <w:rPr>
            <w:rFonts w:ascii="Arial" w:hAnsi="Arial" w:cs="Arial"/>
          </w:rPr>
          <w:id w:val="-2122211963"/>
          <w:citation/>
        </w:sdtPr>
        <w:sdtContent>
          <w:r w:rsidR="004163F5">
            <w:rPr>
              <w:rFonts w:ascii="Arial" w:hAnsi="Arial" w:cs="Arial"/>
            </w:rPr>
            <w:fldChar w:fldCharType="begin"/>
          </w:r>
          <w:r w:rsidR="004163F5">
            <w:rPr>
              <w:rFonts w:ascii="Arial" w:hAnsi="Arial" w:cs="Arial"/>
            </w:rPr>
            <w:instrText xml:space="preserve"> CITATION Boo16 \l 2057 </w:instrText>
          </w:r>
          <w:r w:rsidR="004163F5">
            <w:rPr>
              <w:rFonts w:ascii="Arial" w:hAnsi="Arial" w:cs="Arial"/>
            </w:rPr>
            <w:fldChar w:fldCharType="separate"/>
          </w:r>
          <w:r w:rsidR="004163F5" w:rsidRPr="004163F5">
            <w:rPr>
              <w:rFonts w:ascii="Arial" w:hAnsi="Arial" w:cs="Arial"/>
              <w:noProof/>
            </w:rPr>
            <w:t>(Booth, 2016)</w:t>
          </w:r>
          <w:r w:rsidR="004163F5">
            <w:rPr>
              <w:rFonts w:ascii="Arial" w:hAnsi="Arial" w:cs="Arial"/>
            </w:rPr>
            <w:fldChar w:fldCharType="end"/>
          </w:r>
        </w:sdtContent>
      </w:sdt>
      <w:r w:rsidR="004163F5">
        <w:rPr>
          <w:rFonts w:ascii="Arial" w:hAnsi="Arial" w:cs="Arial"/>
        </w:rPr>
        <w:t>.</w:t>
      </w:r>
    </w:p>
    <w:p w14:paraId="26CBBC3F" w14:textId="187F4B4C" w:rsidR="00F85A80" w:rsidRDefault="00F85A80" w:rsidP="007E22E3">
      <w:pPr>
        <w:jc w:val="both"/>
        <w:rPr>
          <w:rFonts w:ascii="Arial" w:hAnsi="Arial" w:cs="Arial"/>
        </w:rPr>
      </w:pPr>
      <w:r>
        <w:rPr>
          <w:rFonts w:ascii="Arial" w:hAnsi="Arial" w:cs="Arial"/>
        </w:rPr>
        <w:t>When considering types of research</w:t>
      </w:r>
      <w:r w:rsidR="004E3245">
        <w:rPr>
          <w:rFonts w:ascii="Arial" w:hAnsi="Arial" w:cs="Arial"/>
        </w:rPr>
        <w:t xml:space="preserve">, </w:t>
      </w:r>
      <w:sdt>
        <w:sdtPr>
          <w:rPr>
            <w:rFonts w:ascii="Arial" w:hAnsi="Arial" w:cs="Arial"/>
          </w:rPr>
          <w:id w:val="1541556140"/>
          <w:citation/>
        </w:sdtPr>
        <w:sdtContent>
          <w:r w:rsidR="000414BF">
            <w:rPr>
              <w:rFonts w:ascii="Arial" w:hAnsi="Arial" w:cs="Arial"/>
            </w:rPr>
            <w:fldChar w:fldCharType="begin"/>
          </w:r>
          <w:r w:rsidR="000414BF">
            <w:rPr>
              <w:rFonts w:ascii="Arial" w:hAnsi="Arial" w:cs="Arial"/>
            </w:rPr>
            <w:instrText xml:space="preserve"> CITATION Cre09 \l 2057 </w:instrText>
          </w:r>
          <w:r w:rsidR="000414BF">
            <w:rPr>
              <w:rFonts w:ascii="Arial" w:hAnsi="Arial" w:cs="Arial"/>
            </w:rPr>
            <w:fldChar w:fldCharType="separate"/>
          </w:r>
          <w:r w:rsidR="000414BF" w:rsidRPr="000414BF">
            <w:rPr>
              <w:rFonts w:ascii="Arial" w:hAnsi="Arial" w:cs="Arial"/>
              <w:noProof/>
            </w:rPr>
            <w:t>(Creswell, 2009)</w:t>
          </w:r>
          <w:r w:rsidR="000414BF">
            <w:rPr>
              <w:rFonts w:ascii="Arial" w:hAnsi="Arial" w:cs="Arial"/>
            </w:rPr>
            <w:fldChar w:fldCharType="end"/>
          </w:r>
        </w:sdtContent>
      </w:sdt>
      <w:r w:rsidR="000414BF">
        <w:rPr>
          <w:rFonts w:ascii="Arial" w:hAnsi="Arial" w:cs="Arial"/>
        </w:rPr>
        <w:t xml:space="preserve"> </w:t>
      </w:r>
      <w:r w:rsidR="004E3245">
        <w:rPr>
          <w:rFonts w:ascii="Arial" w:hAnsi="Arial" w:cs="Arial"/>
        </w:rPr>
        <w:t>describes research as a process of steps used to collect and analyse information</w:t>
      </w:r>
      <w:r w:rsidR="00BB44DC">
        <w:rPr>
          <w:rFonts w:ascii="Arial" w:hAnsi="Arial" w:cs="Arial"/>
        </w:rPr>
        <w:t xml:space="preserve"> to increase our understanding of a topic or issue, and this work </w:t>
      </w:r>
      <w:r w:rsidR="0055373C">
        <w:rPr>
          <w:rFonts w:ascii="Arial" w:hAnsi="Arial" w:cs="Arial"/>
        </w:rPr>
        <w:t xml:space="preserve">emphasises the importance of research design and methodology in guiding the research process, identifying the </w:t>
      </w:r>
      <w:r w:rsidR="00FE5B21">
        <w:rPr>
          <w:rFonts w:ascii="Arial" w:hAnsi="Arial" w:cs="Arial"/>
        </w:rPr>
        <w:t>Qualitative, Quantitative and Mixed Method approaches.</w:t>
      </w:r>
    </w:p>
    <w:p w14:paraId="383EEDA9" w14:textId="3734FB6B" w:rsidR="00A87B77" w:rsidRDefault="00925EF8" w:rsidP="007E22E3">
      <w:pPr>
        <w:jc w:val="both"/>
        <w:rPr>
          <w:rFonts w:ascii="Arial" w:hAnsi="Arial" w:cs="Arial"/>
        </w:rPr>
      </w:pPr>
      <w:r>
        <w:rPr>
          <w:rFonts w:ascii="Arial" w:hAnsi="Arial" w:cs="Arial"/>
        </w:rPr>
        <w:t xml:space="preserve">There are several research philosophies or </w:t>
      </w:r>
      <w:r w:rsidR="006B658A">
        <w:rPr>
          <w:rFonts w:ascii="Arial" w:hAnsi="Arial" w:cs="Arial"/>
        </w:rPr>
        <w:t>paradigms</w:t>
      </w:r>
      <w:r>
        <w:rPr>
          <w:rFonts w:ascii="Arial" w:hAnsi="Arial" w:cs="Arial"/>
        </w:rPr>
        <w:t xml:space="preserve"> that guide the way research is conducted</w:t>
      </w:r>
      <w:r w:rsidR="006B658A">
        <w:rPr>
          <w:rFonts w:ascii="Arial" w:hAnsi="Arial" w:cs="Arial"/>
        </w:rPr>
        <w:t xml:space="preserve">.  Positivism is a research philosophy that emphasises the use of scientific methods </w:t>
      </w:r>
      <w:r w:rsidR="00627C97">
        <w:rPr>
          <w:rFonts w:ascii="Arial" w:hAnsi="Arial" w:cs="Arial"/>
        </w:rPr>
        <w:t xml:space="preserve">to study observable phenomena and seeks to discover general laws and causes.  Positivism assumes an objective reality that can be measured and studies </w:t>
      </w:r>
      <w:sdt>
        <w:sdtPr>
          <w:rPr>
            <w:rFonts w:ascii="Arial" w:hAnsi="Arial" w:cs="Arial"/>
          </w:rPr>
          <w:id w:val="2081014187"/>
          <w:citation/>
        </w:sdtPr>
        <w:sdtContent>
          <w:r w:rsidR="009F2795">
            <w:rPr>
              <w:rFonts w:ascii="Arial" w:hAnsi="Arial" w:cs="Arial"/>
            </w:rPr>
            <w:fldChar w:fldCharType="begin"/>
          </w:r>
          <w:r w:rsidR="009F2795">
            <w:rPr>
              <w:rFonts w:ascii="Arial" w:hAnsi="Arial" w:cs="Arial"/>
            </w:rPr>
            <w:instrText xml:space="preserve"> CITATION Bab17 \l 2057 </w:instrText>
          </w:r>
          <w:r w:rsidR="009F2795">
            <w:rPr>
              <w:rFonts w:ascii="Arial" w:hAnsi="Arial" w:cs="Arial"/>
            </w:rPr>
            <w:fldChar w:fldCharType="separate"/>
          </w:r>
          <w:r w:rsidR="009F2795" w:rsidRPr="009F2795">
            <w:rPr>
              <w:rFonts w:ascii="Arial" w:hAnsi="Arial" w:cs="Arial"/>
              <w:noProof/>
            </w:rPr>
            <w:t>(Babbie, 2017)</w:t>
          </w:r>
          <w:r w:rsidR="009F2795">
            <w:rPr>
              <w:rFonts w:ascii="Arial" w:hAnsi="Arial" w:cs="Arial"/>
            </w:rPr>
            <w:fldChar w:fldCharType="end"/>
          </w:r>
        </w:sdtContent>
      </w:sdt>
      <w:r w:rsidR="00C41946">
        <w:rPr>
          <w:rFonts w:ascii="Arial" w:hAnsi="Arial" w:cs="Arial"/>
        </w:rPr>
        <w:t>.</w:t>
      </w:r>
    </w:p>
    <w:p w14:paraId="6E65164B" w14:textId="2DDF9A14" w:rsidR="00B870DF" w:rsidRDefault="00C41946" w:rsidP="007E22E3">
      <w:pPr>
        <w:jc w:val="both"/>
        <w:rPr>
          <w:rFonts w:ascii="Arial" w:hAnsi="Arial" w:cs="Arial"/>
        </w:rPr>
      </w:pPr>
      <w:r>
        <w:rPr>
          <w:rFonts w:ascii="Arial" w:hAnsi="Arial" w:cs="Arial"/>
        </w:rPr>
        <w:t xml:space="preserve">Whereas Positivism emphasises the use of scientific methods, Interpretivism </w:t>
      </w:r>
      <w:r w:rsidR="00703621">
        <w:rPr>
          <w:rFonts w:ascii="Arial" w:hAnsi="Arial" w:cs="Arial"/>
        </w:rPr>
        <w:t>focuses on understanding the social and subjective meanings that people attach to their experiences</w:t>
      </w:r>
      <w:r w:rsidR="00FB4D8D">
        <w:rPr>
          <w:rFonts w:ascii="Arial" w:hAnsi="Arial" w:cs="Arial"/>
        </w:rPr>
        <w:t xml:space="preserve">.  Interpretivism focuses on the importance of context, multiple </w:t>
      </w:r>
      <w:proofErr w:type="gramStart"/>
      <w:r w:rsidR="00FB4D8D">
        <w:rPr>
          <w:rFonts w:ascii="Arial" w:hAnsi="Arial" w:cs="Arial"/>
        </w:rPr>
        <w:t>perspectives</w:t>
      </w:r>
      <w:proofErr w:type="gramEnd"/>
      <w:r w:rsidR="00FB4D8D">
        <w:rPr>
          <w:rFonts w:ascii="Arial" w:hAnsi="Arial" w:cs="Arial"/>
        </w:rPr>
        <w:t xml:space="preserve"> and the role of the researcher in shaping knowledge</w:t>
      </w:r>
      <w:r w:rsidR="00B870DF">
        <w:rPr>
          <w:rFonts w:ascii="Arial" w:hAnsi="Arial" w:cs="Arial"/>
        </w:rPr>
        <w:t xml:space="preserve"> </w:t>
      </w:r>
      <w:sdt>
        <w:sdtPr>
          <w:rPr>
            <w:rFonts w:ascii="Arial" w:hAnsi="Arial" w:cs="Arial"/>
          </w:rPr>
          <w:id w:val="969007129"/>
          <w:citation/>
        </w:sdtPr>
        <w:sdtContent>
          <w:r w:rsidR="00B870DF">
            <w:rPr>
              <w:rFonts w:ascii="Arial" w:hAnsi="Arial" w:cs="Arial"/>
            </w:rPr>
            <w:fldChar w:fldCharType="begin"/>
          </w:r>
          <w:r w:rsidR="00B870DF">
            <w:rPr>
              <w:rFonts w:ascii="Arial" w:hAnsi="Arial" w:cs="Arial"/>
            </w:rPr>
            <w:instrText xml:space="preserve"> CITATION Den11 \l 2057 </w:instrText>
          </w:r>
          <w:r w:rsidR="00B870DF">
            <w:rPr>
              <w:rFonts w:ascii="Arial" w:hAnsi="Arial" w:cs="Arial"/>
            </w:rPr>
            <w:fldChar w:fldCharType="separate"/>
          </w:r>
          <w:r w:rsidR="00B870DF" w:rsidRPr="00B870DF">
            <w:rPr>
              <w:rFonts w:ascii="Arial" w:hAnsi="Arial" w:cs="Arial"/>
              <w:noProof/>
            </w:rPr>
            <w:t>(Denzin, 2011)</w:t>
          </w:r>
          <w:r w:rsidR="00B870DF">
            <w:rPr>
              <w:rFonts w:ascii="Arial" w:hAnsi="Arial" w:cs="Arial"/>
            </w:rPr>
            <w:fldChar w:fldCharType="end"/>
          </w:r>
        </w:sdtContent>
      </w:sdt>
      <w:r w:rsidR="00B870DF">
        <w:rPr>
          <w:rFonts w:ascii="Arial" w:hAnsi="Arial" w:cs="Arial"/>
        </w:rPr>
        <w:t>.</w:t>
      </w:r>
    </w:p>
    <w:p w14:paraId="07D46158" w14:textId="36290460" w:rsidR="00471D8B" w:rsidRDefault="00471D8B" w:rsidP="007E22E3">
      <w:pPr>
        <w:jc w:val="both"/>
        <w:rPr>
          <w:rFonts w:ascii="Arial" w:hAnsi="Arial" w:cs="Arial"/>
        </w:rPr>
      </w:pPr>
      <w:r>
        <w:rPr>
          <w:rFonts w:ascii="Arial" w:hAnsi="Arial" w:cs="Arial"/>
        </w:rPr>
        <w:t>When adopting a Pragmatic approach to research</w:t>
      </w:r>
      <w:r w:rsidR="009F5731">
        <w:rPr>
          <w:rFonts w:ascii="Arial" w:hAnsi="Arial" w:cs="Arial"/>
        </w:rPr>
        <w:t xml:space="preserve"> this will take the form of a combination of both </w:t>
      </w:r>
      <w:r w:rsidR="00B534D8">
        <w:rPr>
          <w:rFonts w:ascii="Arial" w:hAnsi="Arial" w:cs="Arial"/>
        </w:rPr>
        <w:t xml:space="preserve">Positivism and Interpretivism, referred to as </w:t>
      </w:r>
      <w:r w:rsidR="00E923EB">
        <w:rPr>
          <w:rFonts w:ascii="Arial" w:hAnsi="Arial" w:cs="Arial"/>
        </w:rPr>
        <w:t>Pragmatism</w:t>
      </w:r>
      <w:r w:rsidR="00B534D8">
        <w:rPr>
          <w:rFonts w:ascii="Arial" w:hAnsi="Arial" w:cs="Arial"/>
        </w:rPr>
        <w:t>.</w:t>
      </w:r>
      <w:r w:rsidR="00E923EB">
        <w:rPr>
          <w:rFonts w:ascii="Arial" w:hAnsi="Arial" w:cs="Arial"/>
        </w:rPr>
        <w:t xml:space="preserve">  This form of research highlights </w:t>
      </w:r>
      <w:r w:rsidR="0001405E">
        <w:rPr>
          <w:rFonts w:ascii="Arial" w:hAnsi="Arial" w:cs="Arial"/>
        </w:rPr>
        <w:t xml:space="preserve">the practical consequences and usefulness of research findings, addressing what works in any given context </w:t>
      </w:r>
      <w:sdt>
        <w:sdtPr>
          <w:rPr>
            <w:rFonts w:ascii="Arial" w:hAnsi="Arial" w:cs="Arial"/>
          </w:rPr>
          <w:id w:val="24444484"/>
          <w:citation/>
        </w:sdtPr>
        <w:sdtContent>
          <w:r w:rsidR="00FA1E36">
            <w:rPr>
              <w:rFonts w:ascii="Arial" w:hAnsi="Arial" w:cs="Arial"/>
            </w:rPr>
            <w:fldChar w:fldCharType="begin"/>
          </w:r>
          <w:r w:rsidR="00FA1E36">
            <w:rPr>
              <w:rFonts w:ascii="Arial" w:hAnsi="Arial" w:cs="Arial"/>
            </w:rPr>
            <w:instrText xml:space="preserve"> CITATION Cre09 \l 2057 </w:instrText>
          </w:r>
          <w:r w:rsidR="00FA1E36">
            <w:rPr>
              <w:rFonts w:ascii="Arial" w:hAnsi="Arial" w:cs="Arial"/>
            </w:rPr>
            <w:fldChar w:fldCharType="separate"/>
          </w:r>
          <w:r w:rsidR="00FA1E36" w:rsidRPr="00FA1E36">
            <w:rPr>
              <w:rFonts w:ascii="Arial" w:hAnsi="Arial" w:cs="Arial"/>
              <w:noProof/>
            </w:rPr>
            <w:t>(Creswell, 2009)</w:t>
          </w:r>
          <w:r w:rsidR="00FA1E36">
            <w:rPr>
              <w:rFonts w:ascii="Arial" w:hAnsi="Arial" w:cs="Arial"/>
            </w:rPr>
            <w:fldChar w:fldCharType="end"/>
          </w:r>
        </w:sdtContent>
      </w:sdt>
      <w:r w:rsidR="0087451E">
        <w:rPr>
          <w:rFonts w:ascii="Arial" w:hAnsi="Arial" w:cs="Arial"/>
        </w:rPr>
        <w:t>.</w:t>
      </w:r>
    </w:p>
    <w:p w14:paraId="4C7C0726" w14:textId="51C518D4" w:rsidR="003C22ED" w:rsidRDefault="0001519C" w:rsidP="007E22E3">
      <w:pPr>
        <w:jc w:val="both"/>
        <w:rPr>
          <w:rFonts w:ascii="Arial" w:hAnsi="Arial" w:cs="Arial"/>
        </w:rPr>
      </w:pPr>
      <w:r>
        <w:rPr>
          <w:rFonts w:ascii="Arial" w:hAnsi="Arial" w:cs="Arial"/>
        </w:rPr>
        <w:t xml:space="preserve">When conducting research </w:t>
      </w:r>
      <w:r w:rsidR="00CA6303">
        <w:rPr>
          <w:rFonts w:ascii="Arial" w:hAnsi="Arial" w:cs="Arial"/>
        </w:rPr>
        <w:t xml:space="preserve">using an Inductive philosophy </w:t>
      </w:r>
      <w:r w:rsidR="00DE4A99">
        <w:rPr>
          <w:rFonts w:ascii="Arial" w:hAnsi="Arial" w:cs="Arial"/>
        </w:rPr>
        <w:t xml:space="preserve">the researcher will approach it in such a way </w:t>
      </w:r>
      <w:r w:rsidR="00F8266D">
        <w:rPr>
          <w:rFonts w:ascii="Arial" w:hAnsi="Arial" w:cs="Arial"/>
        </w:rPr>
        <w:t xml:space="preserve">as to </w:t>
      </w:r>
      <w:r w:rsidR="00DE4A99">
        <w:rPr>
          <w:rFonts w:ascii="Arial" w:hAnsi="Arial" w:cs="Arial"/>
        </w:rPr>
        <w:t xml:space="preserve">use specific observations </w:t>
      </w:r>
      <w:r w:rsidR="008A3AB3">
        <w:rPr>
          <w:rFonts w:ascii="Arial" w:hAnsi="Arial" w:cs="Arial"/>
        </w:rPr>
        <w:t>or empirical data to develop general theories or hypothesis.</w:t>
      </w:r>
      <w:r w:rsidR="00F8266D">
        <w:rPr>
          <w:rFonts w:ascii="Arial" w:hAnsi="Arial" w:cs="Arial"/>
        </w:rPr>
        <w:t xml:space="preserve">  An Inductive philosophy </w:t>
      </w:r>
      <w:r w:rsidR="00BB7A15">
        <w:rPr>
          <w:rFonts w:ascii="Arial" w:hAnsi="Arial" w:cs="Arial"/>
        </w:rPr>
        <w:t xml:space="preserve">is grounded in works of scholars such as Francis Bacon and John Stuart Mill who highlight the importance of </w:t>
      </w:r>
      <w:r w:rsidR="00CE14EE">
        <w:rPr>
          <w:rFonts w:ascii="Arial" w:hAnsi="Arial" w:cs="Arial"/>
        </w:rPr>
        <w:t xml:space="preserve">empirical observations and induction in scientific enquiry </w:t>
      </w:r>
      <w:sdt>
        <w:sdtPr>
          <w:rPr>
            <w:rFonts w:ascii="Arial" w:hAnsi="Arial" w:cs="Arial"/>
          </w:rPr>
          <w:id w:val="890847791"/>
          <w:citation/>
        </w:sdtPr>
        <w:sdtContent>
          <w:r w:rsidR="00FA1E36">
            <w:rPr>
              <w:rFonts w:ascii="Arial" w:hAnsi="Arial" w:cs="Arial"/>
            </w:rPr>
            <w:fldChar w:fldCharType="begin"/>
          </w:r>
          <w:r w:rsidR="00FA1E36">
            <w:rPr>
              <w:rFonts w:ascii="Arial" w:hAnsi="Arial" w:cs="Arial"/>
            </w:rPr>
            <w:instrText xml:space="preserve"> CITATION Bab17 \l 2057 </w:instrText>
          </w:r>
          <w:r w:rsidR="00FA1E36">
            <w:rPr>
              <w:rFonts w:ascii="Arial" w:hAnsi="Arial" w:cs="Arial"/>
            </w:rPr>
            <w:fldChar w:fldCharType="separate"/>
          </w:r>
          <w:r w:rsidR="00FA1E36" w:rsidRPr="00FA1E36">
            <w:rPr>
              <w:rFonts w:ascii="Arial" w:hAnsi="Arial" w:cs="Arial"/>
              <w:noProof/>
            </w:rPr>
            <w:t>(Babbie, 2017)</w:t>
          </w:r>
          <w:r w:rsidR="00FA1E36">
            <w:rPr>
              <w:rFonts w:ascii="Arial" w:hAnsi="Arial" w:cs="Arial"/>
            </w:rPr>
            <w:fldChar w:fldCharType="end"/>
          </w:r>
        </w:sdtContent>
      </w:sdt>
      <w:r w:rsidR="00CE14EE">
        <w:rPr>
          <w:rFonts w:ascii="Arial" w:hAnsi="Arial" w:cs="Arial"/>
        </w:rPr>
        <w:t>.</w:t>
      </w:r>
      <w:r w:rsidR="00E73D26">
        <w:rPr>
          <w:rFonts w:ascii="Arial" w:hAnsi="Arial" w:cs="Arial"/>
        </w:rPr>
        <w:t xml:space="preserve">  This Inductive reasoning involves </w:t>
      </w:r>
      <w:r w:rsidR="009B174D">
        <w:rPr>
          <w:rFonts w:ascii="Arial" w:hAnsi="Arial" w:cs="Arial"/>
        </w:rPr>
        <w:t xml:space="preserve">collecting and analysing data, identifying </w:t>
      </w:r>
      <w:r w:rsidR="003D2F6D">
        <w:rPr>
          <w:rFonts w:ascii="Arial" w:hAnsi="Arial" w:cs="Arial"/>
        </w:rPr>
        <w:t>patterns,</w:t>
      </w:r>
      <w:r w:rsidR="009B174D">
        <w:rPr>
          <w:rFonts w:ascii="Arial" w:hAnsi="Arial" w:cs="Arial"/>
        </w:rPr>
        <w:t xml:space="preserve"> and formulating </w:t>
      </w:r>
      <w:r w:rsidR="00A233D3">
        <w:rPr>
          <w:rFonts w:ascii="Arial" w:hAnsi="Arial" w:cs="Arial"/>
        </w:rPr>
        <w:t xml:space="preserve">theories based on the observed patterns </w:t>
      </w:r>
      <w:sdt>
        <w:sdtPr>
          <w:rPr>
            <w:rFonts w:ascii="Arial" w:hAnsi="Arial" w:cs="Arial"/>
          </w:rPr>
          <w:id w:val="602917345"/>
          <w:citation/>
        </w:sdtPr>
        <w:sdtContent>
          <w:r w:rsidR="00FA1E36">
            <w:rPr>
              <w:rFonts w:ascii="Arial" w:hAnsi="Arial" w:cs="Arial"/>
            </w:rPr>
            <w:fldChar w:fldCharType="begin"/>
          </w:r>
          <w:r w:rsidR="00FA1E36">
            <w:rPr>
              <w:rFonts w:ascii="Arial" w:hAnsi="Arial" w:cs="Arial"/>
            </w:rPr>
            <w:instrText xml:space="preserve"> CITATION Cre09 \l 2057 </w:instrText>
          </w:r>
          <w:r w:rsidR="00FA1E36">
            <w:rPr>
              <w:rFonts w:ascii="Arial" w:hAnsi="Arial" w:cs="Arial"/>
            </w:rPr>
            <w:fldChar w:fldCharType="separate"/>
          </w:r>
          <w:r w:rsidR="00FA1E36" w:rsidRPr="00FA1E36">
            <w:rPr>
              <w:rFonts w:ascii="Arial" w:hAnsi="Arial" w:cs="Arial"/>
              <w:noProof/>
            </w:rPr>
            <w:t>(Creswell, 2009)</w:t>
          </w:r>
          <w:r w:rsidR="00FA1E36">
            <w:rPr>
              <w:rFonts w:ascii="Arial" w:hAnsi="Arial" w:cs="Arial"/>
            </w:rPr>
            <w:fldChar w:fldCharType="end"/>
          </w:r>
        </w:sdtContent>
      </w:sdt>
      <w:r w:rsidR="00A233D3">
        <w:rPr>
          <w:rFonts w:ascii="Arial" w:hAnsi="Arial" w:cs="Arial"/>
        </w:rPr>
        <w:t>.</w:t>
      </w:r>
      <w:r w:rsidR="0037773E">
        <w:rPr>
          <w:rFonts w:ascii="Arial" w:hAnsi="Arial" w:cs="Arial"/>
        </w:rPr>
        <w:t xml:space="preserve">  An inductive research philosophy is commonly associated with qualitative research methods, such as </w:t>
      </w:r>
      <w:r w:rsidR="00F47DFD">
        <w:rPr>
          <w:rFonts w:ascii="Arial" w:hAnsi="Arial" w:cs="Arial"/>
        </w:rPr>
        <w:t>grounded theory and ethnography.  These methods focus on understanding the lived experiences, perspectives and meanings of individuals or groups</w:t>
      </w:r>
      <w:r w:rsidR="006F58FD">
        <w:rPr>
          <w:rFonts w:ascii="Arial" w:hAnsi="Arial" w:cs="Arial"/>
        </w:rPr>
        <w:t xml:space="preserve">, and inductive reasoning is often used to analyse and interpret qualitative data </w:t>
      </w:r>
      <w:sdt>
        <w:sdtPr>
          <w:rPr>
            <w:rFonts w:ascii="Arial" w:hAnsi="Arial" w:cs="Arial"/>
          </w:rPr>
          <w:id w:val="-837846170"/>
          <w:citation/>
        </w:sdtPr>
        <w:sdtContent>
          <w:r w:rsidR="006F58FD">
            <w:rPr>
              <w:rFonts w:ascii="Arial" w:hAnsi="Arial" w:cs="Arial"/>
            </w:rPr>
            <w:fldChar w:fldCharType="begin"/>
          </w:r>
          <w:r w:rsidR="006F58FD">
            <w:rPr>
              <w:rFonts w:ascii="Arial" w:hAnsi="Arial" w:cs="Arial"/>
            </w:rPr>
            <w:instrText xml:space="preserve"> CITATION Den11 \l 2057 </w:instrText>
          </w:r>
          <w:r w:rsidR="006F58FD">
            <w:rPr>
              <w:rFonts w:ascii="Arial" w:hAnsi="Arial" w:cs="Arial"/>
            </w:rPr>
            <w:fldChar w:fldCharType="separate"/>
          </w:r>
          <w:r w:rsidR="006F58FD" w:rsidRPr="006F58FD">
            <w:rPr>
              <w:rFonts w:ascii="Arial" w:hAnsi="Arial" w:cs="Arial"/>
              <w:noProof/>
            </w:rPr>
            <w:t>(Denzin, 2011)</w:t>
          </w:r>
          <w:r w:rsidR="006F58FD">
            <w:rPr>
              <w:rFonts w:ascii="Arial" w:hAnsi="Arial" w:cs="Arial"/>
            </w:rPr>
            <w:fldChar w:fldCharType="end"/>
          </w:r>
        </w:sdtContent>
      </w:sdt>
      <w:r w:rsidR="006F58FD">
        <w:rPr>
          <w:rFonts w:ascii="Arial" w:hAnsi="Arial" w:cs="Arial"/>
        </w:rPr>
        <w:t>.</w:t>
      </w:r>
      <w:r w:rsidR="00E66AD6">
        <w:rPr>
          <w:rFonts w:ascii="Arial" w:hAnsi="Arial" w:cs="Arial"/>
        </w:rPr>
        <w:t xml:space="preserve">  </w:t>
      </w:r>
      <w:r w:rsidR="00F63339">
        <w:rPr>
          <w:rFonts w:ascii="Arial" w:hAnsi="Arial" w:cs="Arial"/>
        </w:rPr>
        <w:t>T</w:t>
      </w:r>
      <w:r w:rsidR="00AD6372">
        <w:rPr>
          <w:rFonts w:ascii="Arial" w:hAnsi="Arial" w:cs="Arial"/>
        </w:rPr>
        <w:t xml:space="preserve">he benefits of this research philosophy </w:t>
      </w:r>
      <w:r w:rsidR="003D2F6D">
        <w:rPr>
          <w:rFonts w:ascii="Arial" w:hAnsi="Arial" w:cs="Arial"/>
        </w:rPr>
        <w:t>are</w:t>
      </w:r>
      <w:r w:rsidR="00AD6372">
        <w:rPr>
          <w:rFonts w:ascii="Arial" w:hAnsi="Arial" w:cs="Arial"/>
        </w:rPr>
        <w:t xml:space="preserve"> the ability of the researcher to generate new theories and hypothesis from the data</w:t>
      </w:r>
      <w:r w:rsidR="00F63339">
        <w:rPr>
          <w:rFonts w:ascii="Arial" w:hAnsi="Arial" w:cs="Arial"/>
        </w:rPr>
        <w:t xml:space="preserve"> which can allow for a deeper understanding of the topic under investigation </w:t>
      </w:r>
      <w:sdt>
        <w:sdtPr>
          <w:rPr>
            <w:rFonts w:ascii="Arial" w:hAnsi="Arial" w:cs="Arial"/>
          </w:rPr>
          <w:id w:val="-1010142262"/>
          <w:citation/>
        </w:sdtPr>
        <w:sdtContent>
          <w:r w:rsidR="00F63339">
            <w:rPr>
              <w:rFonts w:ascii="Arial" w:hAnsi="Arial" w:cs="Arial"/>
            </w:rPr>
            <w:fldChar w:fldCharType="begin"/>
          </w:r>
          <w:r w:rsidR="00F63339">
            <w:rPr>
              <w:rFonts w:ascii="Arial" w:hAnsi="Arial" w:cs="Arial"/>
            </w:rPr>
            <w:instrText xml:space="preserve"> CITATION Bry16 \l 2057 </w:instrText>
          </w:r>
          <w:r w:rsidR="00F63339">
            <w:rPr>
              <w:rFonts w:ascii="Arial" w:hAnsi="Arial" w:cs="Arial"/>
            </w:rPr>
            <w:fldChar w:fldCharType="separate"/>
          </w:r>
          <w:r w:rsidR="00F63339" w:rsidRPr="00F63339">
            <w:rPr>
              <w:rFonts w:ascii="Arial" w:hAnsi="Arial" w:cs="Arial"/>
              <w:noProof/>
            </w:rPr>
            <w:t>(Bryman, 2016)</w:t>
          </w:r>
          <w:r w:rsidR="00F63339">
            <w:rPr>
              <w:rFonts w:ascii="Arial" w:hAnsi="Arial" w:cs="Arial"/>
            </w:rPr>
            <w:fldChar w:fldCharType="end"/>
          </w:r>
        </w:sdtContent>
      </w:sdt>
      <w:r w:rsidR="00F63339">
        <w:rPr>
          <w:rFonts w:ascii="Arial" w:hAnsi="Arial" w:cs="Arial"/>
        </w:rPr>
        <w:t>.  However, s</w:t>
      </w:r>
      <w:r w:rsidR="00CC0E6F">
        <w:rPr>
          <w:rFonts w:ascii="Arial" w:hAnsi="Arial" w:cs="Arial"/>
        </w:rPr>
        <w:t>ince inductive research involves the interpretation and analysis of data</w:t>
      </w:r>
      <w:r w:rsidR="008835C7">
        <w:rPr>
          <w:rFonts w:ascii="Arial" w:hAnsi="Arial" w:cs="Arial"/>
        </w:rPr>
        <w:t xml:space="preserve">, </w:t>
      </w:r>
      <w:r w:rsidR="00965BEB">
        <w:rPr>
          <w:rFonts w:ascii="Arial" w:hAnsi="Arial" w:cs="Arial"/>
        </w:rPr>
        <w:t>researchers’</w:t>
      </w:r>
      <w:r w:rsidR="008835C7">
        <w:rPr>
          <w:rFonts w:ascii="Arial" w:hAnsi="Arial" w:cs="Arial"/>
        </w:rPr>
        <w:t xml:space="preserve"> personal beliefs, values and experiences can influence the process and findings.  </w:t>
      </w:r>
      <w:r w:rsidR="003D2F6D">
        <w:rPr>
          <w:rFonts w:ascii="Arial" w:hAnsi="Arial" w:cs="Arial"/>
        </w:rPr>
        <w:t>Therefore,</w:t>
      </w:r>
      <w:r w:rsidR="008835C7">
        <w:rPr>
          <w:rFonts w:ascii="Arial" w:hAnsi="Arial" w:cs="Arial"/>
        </w:rPr>
        <w:t xml:space="preserve"> it is vital that researchers are </w:t>
      </w:r>
      <w:r w:rsidR="00667494">
        <w:rPr>
          <w:rFonts w:ascii="Arial" w:hAnsi="Arial" w:cs="Arial"/>
        </w:rPr>
        <w:t xml:space="preserve">vigilant in ensuring objectivity which in turn will minimise bias during data collection and analysis </w:t>
      </w:r>
      <w:sdt>
        <w:sdtPr>
          <w:rPr>
            <w:rFonts w:ascii="Arial" w:hAnsi="Arial" w:cs="Arial"/>
          </w:rPr>
          <w:id w:val="1048954660"/>
          <w:citation/>
        </w:sdtPr>
        <w:sdtContent>
          <w:r w:rsidR="00965BEB">
            <w:rPr>
              <w:rFonts w:ascii="Arial" w:hAnsi="Arial" w:cs="Arial"/>
            </w:rPr>
            <w:fldChar w:fldCharType="begin"/>
          </w:r>
          <w:r w:rsidR="00965BEB">
            <w:rPr>
              <w:rFonts w:ascii="Arial" w:hAnsi="Arial" w:cs="Arial"/>
            </w:rPr>
            <w:instrText xml:space="preserve"> CITATION Bry16 \l 2057 </w:instrText>
          </w:r>
          <w:r w:rsidR="00965BEB">
            <w:rPr>
              <w:rFonts w:ascii="Arial" w:hAnsi="Arial" w:cs="Arial"/>
            </w:rPr>
            <w:fldChar w:fldCharType="separate"/>
          </w:r>
          <w:r w:rsidR="00965BEB" w:rsidRPr="00965BEB">
            <w:rPr>
              <w:rFonts w:ascii="Arial" w:hAnsi="Arial" w:cs="Arial"/>
              <w:noProof/>
            </w:rPr>
            <w:t>(Bryman, 2016)</w:t>
          </w:r>
          <w:r w:rsidR="00965BEB">
            <w:rPr>
              <w:rFonts w:ascii="Arial" w:hAnsi="Arial" w:cs="Arial"/>
            </w:rPr>
            <w:fldChar w:fldCharType="end"/>
          </w:r>
        </w:sdtContent>
      </w:sdt>
      <w:r w:rsidR="00965BEB">
        <w:rPr>
          <w:rFonts w:ascii="Arial" w:hAnsi="Arial" w:cs="Arial"/>
        </w:rPr>
        <w:t xml:space="preserve">.  </w:t>
      </w:r>
      <w:r w:rsidR="009C0E33">
        <w:rPr>
          <w:rFonts w:ascii="Arial" w:hAnsi="Arial" w:cs="Arial"/>
        </w:rPr>
        <w:t xml:space="preserve">Furthermore, </w:t>
      </w:r>
      <w:sdt>
        <w:sdtPr>
          <w:rPr>
            <w:rFonts w:ascii="Arial" w:hAnsi="Arial" w:cs="Arial"/>
          </w:rPr>
          <w:id w:val="-388338598"/>
          <w:citation/>
        </w:sdtPr>
        <w:sdtContent>
          <w:r w:rsidR="00203FE6">
            <w:rPr>
              <w:rFonts w:ascii="Arial" w:hAnsi="Arial" w:cs="Arial"/>
            </w:rPr>
            <w:fldChar w:fldCharType="begin"/>
          </w:r>
          <w:r w:rsidR="00203FE6">
            <w:rPr>
              <w:rFonts w:ascii="Arial" w:hAnsi="Arial" w:cs="Arial"/>
            </w:rPr>
            <w:instrText xml:space="preserve"> CITATION Cre09 \l 2057 </w:instrText>
          </w:r>
          <w:r w:rsidR="00203FE6">
            <w:rPr>
              <w:rFonts w:ascii="Arial" w:hAnsi="Arial" w:cs="Arial"/>
            </w:rPr>
            <w:fldChar w:fldCharType="separate"/>
          </w:r>
          <w:r w:rsidR="00203FE6" w:rsidRPr="00203FE6">
            <w:rPr>
              <w:rFonts w:ascii="Arial" w:hAnsi="Arial" w:cs="Arial"/>
              <w:noProof/>
            </w:rPr>
            <w:t>(Creswell, 2009)</w:t>
          </w:r>
          <w:r w:rsidR="00203FE6">
            <w:rPr>
              <w:rFonts w:ascii="Arial" w:hAnsi="Arial" w:cs="Arial"/>
            </w:rPr>
            <w:fldChar w:fldCharType="end"/>
          </w:r>
        </w:sdtContent>
      </w:sdt>
      <w:r w:rsidR="00203FE6">
        <w:rPr>
          <w:rFonts w:ascii="Arial" w:hAnsi="Arial" w:cs="Arial"/>
        </w:rPr>
        <w:t xml:space="preserve"> </w:t>
      </w:r>
      <w:r w:rsidR="009C0E33">
        <w:rPr>
          <w:rFonts w:ascii="Arial" w:hAnsi="Arial" w:cs="Arial"/>
        </w:rPr>
        <w:t>argues that the iterative nature</w:t>
      </w:r>
      <w:r w:rsidR="006353DC">
        <w:rPr>
          <w:rFonts w:ascii="Arial" w:hAnsi="Arial" w:cs="Arial"/>
        </w:rPr>
        <w:t xml:space="preserve"> of inductive research may require more time and resources compared to alternative </w:t>
      </w:r>
      <w:r w:rsidR="002D4EA0">
        <w:rPr>
          <w:rFonts w:ascii="Arial" w:hAnsi="Arial" w:cs="Arial"/>
        </w:rPr>
        <w:t xml:space="preserve">philosophies given the necessity to </w:t>
      </w:r>
      <w:r w:rsidR="00203FE6">
        <w:rPr>
          <w:rFonts w:ascii="Arial" w:hAnsi="Arial" w:cs="Arial"/>
        </w:rPr>
        <w:t>develop and refine new data which may require multiple rounds of data collection and analysis.</w:t>
      </w:r>
      <w:r w:rsidR="00D60BC9">
        <w:rPr>
          <w:rFonts w:ascii="Arial" w:hAnsi="Arial" w:cs="Arial"/>
        </w:rPr>
        <w:t xml:space="preserve">  </w:t>
      </w:r>
    </w:p>
    <w:p w14:paraId="6E4787DC" w14:textId="437B435A" w:rsidR="0071706C" w:rsidRDefault="0071706C" w:rsidP="007E22E3">
      <w:pPr>
        <w:jc w:val="both"/>
        <w:rPr>
          <w:rFonts w:ascii="Arial" w:hAnsi="Arial" w:cs="Arial"/>
        </w:rPr>
      </w:pPr>
      <w:r>
        <w:rPr>
          <w:rFonts w:ascii="Arial" w:hAnsi="Arial" w:cs="Arial"/>
        </w:rPr>
        <w:t>A</w:t>
      </w:r>
      <w:r w:rsidR="008F3D44">
        <w:rPr>
          <w:rFonts w:ascii="Arial" w:hAnsi="Arial" w:cs="Arial"/>
        </w:rPr>
        <w:t xml:space="preserve"> Deductive research philosophy is an approach that involves the use of general theories or hypothesis to guide the collection and analysis of </w:t>
      </w:r>
      <w:r w:rsidR="00966E09">
        <w:rPr>
          <w:rFonts w:ascii="Arial" w:hAnsi="Arial" w:cs="Arial"/>
        </w:rPr>
        <w:t xml:space="preserve">data.  It is a research philosophy that is </w:t>
      </w:r>
      <w:r w:rsidR="00966E09">
        <w:rPr>
          <w:rFonts w:ascii="Arial" w:hAnsi="Arial" w:cs="Arial"/>
        </w:rPr>
        <w:lastRenderedPageBreak/>
        <w:t>commonly associated with</w:t>
      </w:r>
      <w:r w:rsidR="00684811">
        <w:rPr>
          <w:rFonts w:ascii="Arial" w:hAnsi="Arial" w:cs="Arial"/>
        </w:rPr>
        <w:t xml:space="preserve"> </w:t>
      </w:r>
      <w:r w:rsidR="00966E09">
        <w:rPr>
          <w:rFonts w:ascii="Arial" w:hAnsi="Arial" w:cs="Arial"/>
        </w:rPr>
        <w:t xml:space="preserve">quantitative </w:t>
      </w:r>
      <w:r w:rsidR="00684811">
        <w:rPr>
          <w:rFonts w:ascii="Arial" w:hAnsi="Arial" w:cs="Arial"/>
        </w:rPr>
        <w:t xml:space="preserve">research methods, such as experiments, </w:t>
      </w:r>
      <w:proofErr w:type="gramStart"/>
      <w:r w:rsidR="00684811">
        <w:rPr>
          <w:rFonts w:ascii="Arial" w:hAnsi="Arial" w:cs="Arial"/>
        </w:rPr>
        <w:t>surveys</w:t>
      </w:r>
      <w:proofErr w:type="gramEnd"/>
      <w:r w:rsidR="00684811">
        <w:rPr>
          <w:rFonts w:ascii="Arial" w:hAnsi="Arial" w:cs="Arial"/>
        </w:rPr>
        <w:t xml:space="preserve"> and statistical analysis.  These methods aim to quantify</w:t>
      </w:r>
      <w:r w:rsidR="009D6B28">
        <w:rPr>
          <w:rFonts w:ascii="Arial" w:hAnsi="Arial" w:cs="Arial"/>
        </w:rPr>
        <w:t xml:space="preserve"> and measure variables, with deductive reasoning often used to test a hypothesis and draw conclusions based on statistical evidence </w:t>
      </w:r>
      <w:sdt>
        <w:sdtPr>
          <w:rPr>
            <w:rFonts w:ascii="Arial" w:hAnsi="Arial" w:cs="Arial"/>
          </w:rPr>
          <w:id w:val="-595320798"/>
          <w:citation/>
        </w:sdtPr>
        <w:sdtContent>
          <w:r w:rsidR="009D6B28">
            <w:rPr>
              <w:rFonts w:ascii="Arial" w:hAnsi="Arial" w:cs="Arial"/>
            </w:rPr>
            <w:fldChar w:fldCharType="begin"/>
          </w:r>
          <w:r w:rsidR="009D6B28">
            <w:rPr>
              <w:rFonts w:ascii="Arial" w:hAnsi="Arial" w:cs="Arial"/>
            </w:rPr>
            <w:instrText xml:space="preserve"> CITATION Bry16 \l 2057 </w:instrText>
          </w:r>
          <w:r w:rsidR="009D6B28">
            <w:rPr>
              <w:rFonts w:ascii="Arial" w:hAnsi="Arial" w:cs="Arial"/>
            </w:rPr>
            <w:fldChar w:fldCharType="separate"/>
          </w:r>
          <w:r w:rsidR="009D6B28" w:rsidRPr="009D6B28">
            <w:rPr>
              <w:rFonts w:ascii="Arial" w:hAnsi="Arial" w:cs="Arial"/>
              <w:noProof/>
            </w:rPr>
            <w:t>(Bryman, 2016)</w:t>
          </w:r>
          <w:r w:rsidR="009D6B28">
            <w:rPr>
              <w:rFonts w:ascii="Arial" w:hAnsi="Arial" w:cs="Arial"/>
            </w:rPr>
            <w:fldChar w:fldCharType="end"/>
          </w:r>
        </w:sdtContent>
      </w:sdt>
      <w:r w:rsidR="009D6B28">
        <w:rPr>
          <w:rFonts w:ascii="Arial" w:hAnsi="Arial" w:cs="Arial"/>
        </w:rPr>
        <w:t>.</w:t>
      </w:r>
      <w:r w:rsidR="00080827">
        <w:rPr>
          <w:rFonts w:ascii="Arial" w:hAnsi="Arial" w:cs="Arial"/>
        </w:rPr>
        <w:t xml:space="preserve">  </w:t>
      </w:r>
    </w:p>
    <w:p w14:paraId="73143CDB" w14:textId="77777777" w:rsidR="00824250" w:rsidRDefault="00A22472" w:rsidP="007E22E3">
      <w:pPr>
        <w:jc w:val="both"/>
        <w:rPr>
          <w:rFonts w:ascii="Arial" w:hAnsi="Arial" w:cs="Arial"/>
        </w:rPr>
      </w:pPr>
      <w:r>
        <w:rPr>
          <w:rFonts w:ascii="Arial" w:hAnsi="Arial" w:cs="Arial"/>
        </w:rPr>
        <w:t>In deductive research,</w:t>
      </w:r>
      <w:r w:rsidR="00C17B04">
        <w:rPr>
          <w:rFonts w:ascii="Arial" w:hAnsi="Arial" w:cs="Arial"/>
        </w:rPr>
        <w:t xml:space="preserve"> </w:t>
      </w:r>
      <w:r w:rsidR="00913308">
        <w:rPr>
          <w:rFonts w:ascii="Arial" w:hAnsi="Arial" w:cs="Arial"/>
        </w:rPr>
        <w:t xml:space="preserve">unlike with an inductive approach, </w:t>
      </w:r>
      <w:r w:rsidR="00C17B04">
        <w:rPr>
          <w:rFonts w:ascii="Arial" w:hAnsi="Arial" w:cs="Arial"/>
        </w:rPr>
        <w:t xml:space="preserve">the researcher begins with a general theory or hypothesis and then formulates specific research questions or hypothesis that can be tested </w:t>
      </w:r>
      <w:r w:rsidR="00F740C4">
        <w:rPr>
          <w:rFonts w:ascii="Arial" w:hAnsi="Arial" w:cs="Arial"/>
        </w:rPr>
        <w:t>using empirical data</w:t>
      </w:r>
      <w:r w:rsidR="00494F61">
        <w:rPr>
          <w:rFonts w:ascii="Arial" w:hAnsi="Arial" w:cs="Arial"/>
        </w:rPr>
        <w:t>.  The collected data is analysed to determine whether it supports tor refutes the initial theory</w:t>
      </w:r>
      <w:r w:rsidR="00C71CBB">
        <w:rPr>
          <w:rFonts w:ascii="Arial" w:hAnsi="Arial" w:cs="Arial"/>
        </w:rPr>
        <w:t xml:space="preserve"> or hypothesis.  This process allows for the validation or refinement of existing theories </w:t>
      </w:r>
      <w:sdt>
        <w:sdtPr>
          <w:rPr>
            <w:rFonts w:ascii="Arial" w:hAnsi="Arial" w:cs="Arial"/>
          </w:rPr>
          <w:id w:val="-965425635"/>
          <w:citation/>
        </w:sdtPr>
        <w:sdtContent>
          <w:r w:rsidR="00355878">
            <w:rPr>
              <w:rFonts w:ascii="Arial" w:hAnsi="Arial" w:cs="Arial"/>
            </w:rPr>
            <w:fldChar w:fldCharType="begin"/>
          </w:r>
          <w:r w:rsidR="00355878">
            <w:rPr>
              <w:rFonts w:ascii="Arial" w:hAnsi="Arial" w:cs="Arial"/>
            </w:rPr>
            <w:instrText xml:space="preserve"> CITATION Cre09 \l 2057 </w:instrText>
          </w:r>
          <w:r w:rsidR="00355878">
            <w:rPr>
              <w:rFonts w:ascii="Arial" w:hAnsi="Arial" w:cs="Arial"/>
            </w:rPr>
            <w:fldChar w:fldCharType="separate"/>
          </w:r>
          <w:r w:rsidR="00355878" w:rsidRPr="00355878">
            <w:rPr>
              <w:rFonts w:ascii="Arial" w:hAnsi="Arial" w:cs="Arial"/>
              <w:noProof/>
            </w:rPr>
            <w:t>(Creswell, 2009)</w:t>
          </w:r>
          <w:r w:rsidR="00355878">
            <w:rPr>
              <w:rFonts w:ascii="Arial" w:hAnsi="Arial" w:cs="Arial"/>
            </w:rPr>
            <w:fldChar w:fldCharType="end"/>
          </w:r>
        </w:sdtContent>
      </w:sdt>
      <w:r w:rsidR="00355878">
        <w:rPr>
          <w:rFonts w:ascii="Arial" w:hAnsi="Arial" w:cs="Arial"/>
        </w:rPr>
        <w:t>.</w:t>
      </w:r>
      <w:r w:rsidR="003257DC">
        <w:rPr>
          <w:rFonts w:ascii="Arial" w:hAnsi="Arial" w:cs="Arial"/>
        </w:rPr>
        <w:t xml:space="preserve">  </w:t>
      </w:r>
    </w:p>
    <w:p w14:paraId="57828DE5" w14:textId="47EF87BA" w:rsidR="00824250" w:rsidRDefault="00E76C06" w:rsidP="007E22E3">
      <w:pPr>
        <w:jc w:val="both"/>
        <w:rPr>
          <w:rFonts w:ascii="Arial" w:hAnsi="Arial" w:cs="Arial"/>
        </w:rPr>
      </w:pPr>
      <w:bookmarkStart w:id="10" w:name="_Hlk170057380"/>
      <w:r>
        <w:rPr>
          <w:rFonts w:ascii="Arial" w:hAnsi="Arial" w:cs="Arial"/>
        </w:rPr>
        <w:t xml:space="preserve">One of the benefits of undertaking researching using a deductive philosophy is that it requires </w:t>
      </w:r>
      <w:r w:rsidR="00571008">
        <w:rPr>
          <w:rFonts w:ascii="Arial" w:hAnsi="Arial" w:cs="Arial"/>
        </w:rPr>
        <w:t>researchers</w:t>
      </w:r>
      <w:r>
        <w:rPr>
          <w:rFonts w:ascii="Arial" w:hAnsi="Arial" w:cs="Arial"/>
        </w:rPr>
        <w:t xml:space="preserve"> to develop specific hypothesis based on existing theories or prior knowledge which in turn ensures the research questions are precise and testable, allowing for a focused and systematic investigation </w:t>
      </w:r>
      <w:sdt>
        <w:sdtPr>
          <w:rPr>
            <w:rFonts w:ascii="Arial" w:hAnsi="Arial" w:cs="Arial"/>
          </w:rPr>
          <w:id w:val="960296665"/>
          <w:citation/>
        </w:sdtPr>
        <w:sdtContent>
          <w:r>
            <w:rPr>
              <w:rFonts w:ascii="Arial" w:hAnsi="Arial" w:cs="Arial"/>
            </w:rPr>
            <w:fldChar w:fldCharType="begin"/>
          </w:r>
          <w:r>
            <w:rPr>
              <w:rFonts w:ascii="Arial" w:hAnsi="Arial" w:cs="Arial"/>
            </w:rPr>
            <w:instrText xml:space="preserve"> CITATION God07 \l 2057 </w:instrText>
          </w:r>
          <w:r>
            <w:rPr>
              <w:rFonts w:ascii="Arial" w:hAnsi="Arial" w:cs="Arial"/>
            </w:rPr>
            <w:fldChar w:fldCharType="separate"/>
          </w:r>
          <w:r w:rsidRPr="00E76C06">
            <w:rPr>
              <w:rFonts w:ascii="Arial" w:hAnsi="Arial" w:cs="Arial"/>
              <w:noProof/>
            </w:rPr>
            <w:t>(Goddard, 2007)</w:t>
          </w:r>
          <w:r>
            <w:rPr>
              <w:rFonts w:ascii="Arial" w:hAnsi="Arial" w:cs="Arial"/>
            </w:rPr>
            <w:fldChar w:fldCharType="end"/>
          </w:r>
        </w:sdtContent>
      </w:sdt>
      <w:r>
        <w:rPr>
          <w:rFonts w:ascii="Arial" w:hAnsi="Arial" w:cs="Arial"/>
        </w:rPr>
        <w:t>.</w:t>
      </w:r>
    </w:p>
    <w:bookmarkEnd w:id="10"/>
    <w:p w14:paraId="4C452972" w14:textId="6E5B20F8" w:rsidR="00A22472" w:rsidRDefault="003257DC" w:rsidP="007E22E3">
      <w:pPr>
        <w:jc w:val="both"/>
        <w:rPr>
          <w:rFonts w:ascii="Arial" w:hAnsi="Arial" w:cs="Arial"/>
        </w:rPr>
      </w:pPr>
      <w:r>
        <w:rPr>
          <w:rFonts w:ascii="Arial" w:hAnsi="Arial" w:cs="Arial"/>
        </w:rPr>
        <w:t xml:space="preserve">One notable risk associated with </w:t>
      </w:r>
      <w:r w:rsidR="003C6508">
        <w:rPr>
          <w:rFonts w:ascii="Arial" w:hAnsi="Arial" w:cs="Arial"/>
        </w:rPr>
        <w:t>a Deductive research philosophy is the potential for oversimplification of complex phenomena</w:t>
      </w:r>
      <w:r w:rsidR="008D3EC8">
        <w:rPr>
          <w:rFonts w:ascii="Arial" w:hAnsi="Arial" w:cs="Arial"/>
        </w:rPr>
        <w:t xml:space="preserve">.  Given this theory involves testing hypothesis </w:t>
      </w:r>
      <w:r w:rsidR="00D66A87">
        <w:rPr>
          <w:rFonts w:ascii="Arial" w:hAnsi="Arial" w:cs="Arial"/>
        </w:rPr>
        <w:t xml:space="preserve">derived from existing theories there is a risk that </w:t>
      </w:r>
      <w:r w:rsidR="009D2CC2">
        <w:rPr>
          <w:rFonts w:ascii="Arial" w:hAnsi="Arial" w:cs="Arial"/>
        </w:rPr>
        <w:t xml:space="preserve">this approach may overlook the </w:t>
      </w:r>
      <w:r w:rsidR="0026181E">
        <w:rPr>
          <w:rFonts w:ascii="Arial" w:hAnsi="Arial" w:cs="Arial"/>
        </w:rPr>
        <w:t>intricacies</w:t>
      </w:r>
      <w:r w:rsidR="009D2CC2">
        <w:rPr>
          <w:rFonts w:ascii="Arial" w:hAnsi="Arial" w:cs="Arial"/>
        </w:rPr>
        <w:t xml:space="preserve"> and nuances o</w:t>
      </w:r>
      <w:r w:rsidR="0026181E">
        <w:rPr>
          <w:rFonts w:ascii="Arial" w:hAnsi="Arial" w:cs="Arial"/>
        </w:rPr>
        <w:t>f</w:t>
      </w:r>
      <w:r w:rsidR="009D2CC2">
        <w:rPr>
          <w:rFonts w:ascii="Arial" w:hAnsi="Arial" w:cs="Arial"/>
        </w:rPr>
        <w:t xml:space="preserve"> </w:t>
      </w:r>
      <w:r w:rsidR="001B0680">
        <w:rPr>
          <w:rFonts w:ascii="Arial" w:hAnsi="Arial" w:cs="Arial"/>
        </w:rPr>
        <w:t>real-world</w:t>
      </w:r>
      <w:r w:rsidR="009D2CC2">
        <w:rPr>
          <w:rFonts w:ascii="Arial" w:hAnsi="Arial" w:cs="Arial"/>
        </w:rPr>
        <w:t xml:space="preserve"> situations</w:t>
      </w:r>
      <w:r w:rsidR="0026181E">
        <w:rPr>
          <w:rFonts w:ascii="Arial" w:hAnsi="Arial" w:cs="Arial"/>
        </w:rPr>
        <w:t xml:space="preserve"> </w:t>
      </w:r>
      <w:sdt>
        <w:sdtPr>
          <w:rPr>
            <w:rFonts w:ascii="Arial" w:hAnsi="Arial" w:cs="Arial"/>
          </w:rPr>
          <w:id w:val="-1691450479"/>
          <w:citation/>
        </w:sdtPr>
        <w:sdtContent>
          <w:r w:rsidR="0026181E">
            <w:rPr>
              <w:rFonts w:ascii="Arial" w:hAnsi="Arial" w:cs="Arial"/>
            </w:rPr>
            <w:fldChar w:fldCharType="begin"/>
          </w:r>
          <w:r w:rsidR="0026181E">
            <w:rPr>
              <w:rFonts w:ascii="Arial" w:hAnsi="Arial" w:cs="Arial"/>
            </w:rPr>
            <w:instrText xml:space="preserve"> CITATION Cre09 \l 2057 </w:instrText>
          </w:r>
          <w:r w:rsidR="0026181E">
            <w:rPr>
              <w:rFonts w:ascii="Arial" w:hAnsi="Arial" w:cs="Arial"/>
            </w:rPr>
            <w:fldChar w:fldCharType="separate"/>
          </w:r>
          <w:r w:rsidR="0026181E" w:rsidRPr="0026181E">
            <w:rPr>
              <w:rFonts w:ascii="Arial" w:hAnsi="Arial" w:cs="Arial"/>
              <w:noProof/>
            </w:rPr>
            <w:t>(Creswell, 2009)</w:t>
          </w:r>
          <w:r w:rsidR="0026181E">
            <w:rPr>
              <w:rFonts w:ascii="Arial" w:hAnsi="Arial" w:cs="Arial"/>
            </w:rPr>
            <w:fldChar w:fldCharType="end"/>
          </w:r>
        </w:sdtContent>
      </w:sdt>
      <w:r w:rsidR="0026181E">
        <w:rPr>
          <w:rFonts w:ascii="Arial" w:hAnsi="Arial" w:cs="Arial"/>
        </w:rPr>
        <w:t>.</w:t>
      </w:r>
      <w:r w:rsidR="00391A02">
        <w:rPr>
          <w:rFonts w:ascii="Arial" w:hAnsi="Arial" w:cs="Arial"/>
        </w:rPr>
        <w:t xml:space="preserve">  When undertaking deductive </w:t>
      </w:r>
      <w:r w:rsidR="001B0680">
        <w:rPr>
          <w:rFonts w:ascii="Arial" w:hAnsi="Arial" w:cs="Arial"/>
        </w:rPr>
        <w:t>research,</w:t>
      </w:r>
      <w:r w:rsidR="00391A02">
        <w:rPr>
          <w:rFonts w:ascii="Arial" w:hAnsi="Arial" w:cs="Arial"/>
        </w:rPr>
        <w:t xml:space="preserve"> it is also </w:t>
      </w:r>
      <w:r w:rsidR="002061E4">
        <w:rPr>
          <w:rFonts w:ascii="Arial" w:hAnsi="Arial" w:cs="Arial"/>
        </w:rPr>
        <w:t xml:space="preserve">a consideration that </w:t>
      </w:r>
      <w:r w:rsidR="009145B9">
        <w:rPr>
          <w:rFonts w:ascii="Arial" w:hAnsi="Arial" w:cs="Arial"/>
        </w:rPr>
        <w:t>there is an increased risk of confirmation bias given that the approach involves testing hypothesis derived from existing theories</w:t>
      </w:r>
      <w:r w:rsidR="00067933">
        <w:rPr>
          <w:rFonts w:ascii="Arial" w:hAnsi="Arial" w:cs="Arial"/>
        </w:rPr>
        <w:t xml:space="preserve">.  This is </w:t>
      </w:r>
      <w:r w:rsidR="00571008">
        <w:rPr>
          <w:rFonts w:ascii="Arial" w:hAnsi="Arial" w:cs="Arial"/>
        </w:rPr>
        <w:t>argued</w:t>
      </w:r>
      <w:r w:rsidR="00067933">
        <w:rPr>
          <w:rFonts w:ascii="Arial" w:hAnsi="Arial" w:cs="Arial"/>
        </w:rPr>
        <w:t xml:space="preserve"> by Bryman (2016) who suggest further suggests that </w:t>
      </w:r>
      <w:r w:rsidR="008C545C">
        <w:rPr>
          <w:rFonts w:ascii="Arial" w:hAnsi="Arial" w:cs="Arial"/>
        </w:rPr>
        <w:t>this bias can lead to cherry picking of data and the disregard of contradictory evidence, which in turn will compromise the objectivity and validity of the research.</w:t>
      </w:r>
    </w:p>
    <w:p w14:paraId="507E8D84" w14:textId="47FF024F" w:rsidR="00C14762" w:rsidRDefault="005536BB" w:rsidP="007E22E3">
      <w:pPr>
        <w:jc w:val="both"/>
        <w:rPr>
          <w:rFonts w:ascii="Arial" w:hAnsi="Arial" w:cs="Arial"/>
        </w:rPr>
      </w:pPr>
      <w:r>
        <w:rPr>
          <w:rFonts w:ascii="Arial" w:hAnsi="Arial" w:cs="Arial"/>
        </w:rPr>
        <w:t>Quantitative</w:t>
      </w:r>
      <w:r w:rsidR="00637213">
        <w:rPr>
          <w:rFonts w:ascii="Arial" w:hAnsi="Arial" w:cs="Arial"/>
        </w:rPr>
        <w:t xml:space="preserve"> research is an empirical research method that involves the systematic collection, </w:t>
      </w:r>
      <w:proofErr w:type="gramStart"/>
      <w:r w:rsidR="00637213">
        <w:rPr>
          <w:rFonts w:ascii="Arial" w:hAnsi="Arial" w:cs="Arial"/>
        </w:rPr>
        <w:t>analysis</w:t>
      </w:r>
      <w:proofErr w:type="gramEnd"/>
      <w:r w:rsidR="00637213">
        <w:rPr>
          <w:rFonts w:ascii="Arial" w:hAnsi="Arial" w:cs="Arial"/>
        </w:rPr>
        <w:t xml:space="preserve"> and interpretation of numerical data to study and understand social phenomena</w:t>
      </w:r>
      <w:r w:rsidR="00851FCD">
        <w:rPr>
          <w:rFonts w:ascii="Arial" w:hAnsi="Arial" w:cs="Arial"/>
        </w:rPr>
        <w:t xml:space="preserve"> and according to Babbie (2016) it relies on a positive paradigm, which assumes that social phenomena can be objectively observed, measured and analysed.  </w:t>
      </w:r>
      <w:r w:rsidR="0024782F">
        <w:rPr>
          <w:rFonts w:ascii="Arial" w:hAnsi="Arial" w:cs="Arial"/>
        </w:rPr>
        <w:t xml:space="preserve">Babbie explains that this can involve </w:t>
      </w:r>
      <w:r w:rsidR="00E44B93">
        <w:rPr>
          <w:rFonts w:ascii="Arial" w:hAnsi="Arial" w:cs="Arial"/>
        </w:rPr>
        <w:t xml:space="preserve">the use of structured questionnaires, surveys, </w:t>
      </w:r>
      <w:r w:rsidR="00672F18">
        <w:rPr>
          <w:rFonts w:ascii="Arial" w:hAnsi="Arial" w:cs="Arial"/>
        </w:rPr>
        <w:t>experiments,</w:t>
      </w:r>
      <w:r w:rsidR="00E44B93">
        <w:rPr>
          <w:rFonts w:ascii="Arial" w:hAnsi="Arial" w:cs="Arial"/>
        </w:rPr>
        <w:t xml:space="preserve"> or existing databases </w:t>
      </w:r>
      <w:r w:rsidR="005337B9">
        <w:rPr>
          <w:rFonts w:ascii="Arial" w:hAnsi="Arial" w:cs="Arial"/>
        </w:rPr>
        <w:t xml:space="preserve">to collect data in a standardised and measurable format. </w:t>
      </w:r>
      <w:r w:rsidR="003E50C0">
        <w:rPr>
          <w:rFonts w:ascii="Arial" w:hAnsi="Arial" w:cs="Arial"/>
        </w:rPr>
        <w:t xml:space="preserve"> </w:t>
      </w:r>
      <w:sdt>
        <w:sdtPr>
          <w:rPr>
            <w:rFonts w:ascii="Arial" w:hAnsi="Arial" w:cs="Arial"/>
          </w:rPr>
          <w:id w:val="949665538"/>
          <w:citation/>
        </w:sdtPr>
        <w:sdtContent>
          <w:r w:rsidR="003E50C0">
            <w:rPr>
              <w:rFonts w:ascii="Arial" w:hAnsi="Arial" w:cs="Arial"/>
            </w:rPr>
            <w:fldChar w:fldCharType="begin"/>
          </w:r>
          <w:r w:rsidR="003E50C0">
            <w:rPr>
              <w:rFonts w:ascii="Arial" w:hAnsi="Arial" w:cs="Arial"/>
            </w:rPr>
            <w:instrText xml:space="preserve"> CITATION Max12 \l 2057 </w:instrText>
          </w:r>
          <w:r w:rsidR="003E50C0">
            <w:rPr>
              <w:rFonts w:ascii="Arial" w:hAnsi="Arial" w:cs="Arial"/>
            </w:rPr>
            <w:fldChar w:fldCharType="separate"/>
          </w:r>
          <w:r w:rsidR="003E50C0" w:rsidRPr="003E50C0">
            <w:rPr>
              <w:rFonts w:ascii="Arial" w:hAnsi="Arial" w:cs="Arial"/>
              <w:noProof/>
            </w:rPr>
            <w:t>(Maxwell, 2012)</w:t>
          </w:r>
          <w:r w:rsidR="003E50C0">
            <w:rPr>
              <w:rFonts w:ascii="Arial" w:hAnsi="Arial" w:cs="Arial"/>
            </w:rPr>
            <w:fldChar w:fldCharType="end"/>
          </w:r>
        </w:sdtContent>
      </w:sdt>
      <w:r w:rsidR="003E50C0">
        <w:rPr>
          <w:rFonts w:ascii="Arial" w:hAnsi="Arial" w:cs="Arial"/>
        </w:rPr>
        <w:t xml:space="preserve"> </w:t>
      </w:r>
      <w:r w:rsidR="00672F18">
        <w:rPr>
          <w:rFonts w:ascii="Arial" w:hAnsi="Arial" w:cs="Arial"/>
        </w:rPr>
        <w:t xml:space="preserve">highlights that quantitative research focuses on generating numerical data </w:t>
      </w:r>
      <w:r w:rsidR="00F704F7">
        <w:rPr>
          <w:rFonts w:ascii="Arial" w:hAnsi="Arial" w:cs="Arial"/>
        </w:rPr>
        <w:t xml:space="preserve">that can be subjected to statistical procedures, such as </w:t>
      </w:r>
      <w:r>
        <w:rPr>
          <w:rFonts w:ascii="Arial" w:hAnsi="Arial" w:cs="Arial"/>
        </w:rPr>
        <w:t>regression</w:t>
      </w:r>
      <w:r w:rsidR="00F704F7">
        <w:rPr>
          <w:rFonts w:ascii="Arial" w:hAnsi="Arial" w:cs="Arial"/>
        </w:rPr>
        <w:t xml:space="preserve"> analysis, corelation analysis or hypothesis testing</w:t>
      </w:r>
      <w:r w:rsidR="00025D3D">
        <w:rPr>
          <w:rFonts w:ascii="Arial" w:hAnsi="Arial" w:cs="Arial"/>
        </w:rPr>
        <w:t>.  Maxwell emphasises this as the use of statistical techniques to draw conclusions</w:t>
      </w:r>
      <w:r>
        <w:rPr>
          <w:rFonts w:ascii="Arial" w:hAnsi="Arial" w:cs="Arial"/>
        </w:rPr>
        <w:t xml:space="preserve"> and make generalisations about a population-based sample.  </w:t>
      </w:r>
      <w:r w:rsidR="008D2231">
        <w:rPr>
          <w:rFonts w:ascii="Arial" w:hAnsi="Arial" w:cs="Arial"/>
        </w:rPr>
        <w:t>Quantitative research allows for the testing of hypothesis to establish cause and effect</w:t>
      </w:r>
      <w:r w:rsidR="008B6A7F">
        <w:rPr>
          <w:rFonts w:ascii="Arial" w:hAnsi="Arial" w:cs="Arial"/>
        </w:rPr>
        <w:t xml:space="preserve"> relationships and make predictions</w:t>
      </w:r>
      <w:r w:rsidR="008D2231">
        <w:rPr>
          <w:rFonts w:ascii="Arial" w:hAnsi="Arial" w:cs="Arial"/>
        </w:rPr>
        <w:t xml:space="preserve"> </w:t>
      </w:r>
      <w:sdt>
        <w:sdtPr>
          <w:rPr>
            <w:rFonts w:ascii="Arial" w:hAnsi="Arial" w:cs="Arial"/>
          </w:rPr>
          <w:id w:val="444964320"/>
          <w:citation/>
        </w:sdtPr>
        <w:sdtContent>
          <w:r w:rsidR="008D2231">
            <w:rPr>
              <w:rFonts w:ascii="Arial" w:hAnsi="Arial" w:cs="Arial"/>
            </w:rPr>
            <w:fldChar w:fldCharType="begin"/>
          </w:r>
          <w:r w:rsidR="008D2231">
            <w:rPr>
              <w:rFonts w:ascii="Arial" w:hAnsi="Arial" w:cs="Arial"/>
            </w:rPr>
            <w:instrText xml:space="preserve"> CITATION Byr16 \l 2057 </w:instrText>
          </w:r>
          <w:r w:rsidR="008D2231">
            <w:rPr>
              <w:rFonts w:ascii="Arial" w:hAnsi="Arial" w:cs="Arial"/>
            </w:rPr>
            <w:fldChar w:fldCharType="separate"/>
          </w:r>
          <w:r w:rsidR="008D2231" w:rsidRPr="008D2231">
            <w:rPr>
              <w:rFonts w:ascii="Arial" w:hAnsi="Arial" w:cs="Arial"/>
              <w:noProof/>
            </w:rPr>
            <w:t>(Byrne, 2016)</w:t>
          </w:r>
          <w:r w:rsidR="008D2231">
            <w:rPr>
              <w:rFonts w:ascii="Arial" w:hAnsi="Arial" w:cs="Arial"/>
            </w:rPr>
            <w:fldChar w:fldCharType="end"/>
          </w:r>
        </w:sdtContent>
      </w:sdt>
      <w:r w:rsidR="008B6A7F">
        <w:rPr>
          <w:rFonts w:ascii="Arial" w:hAnsi="Arial" w:cs="Arial"/>
        </w:rPr>
        <w:t xml:space="preserve">.  </w:t>
      </w:r>
      <w:r w:rsidR="00E31335">
        <w:rPr>
          <w:rFonts w:ascii="Arial" w:hAnsi="Arial" w:cs="Arial"/>
        </w:rPr>
        <w:t>Byrne explains that this aims to provide precise and measurable results that can be replicated</w:t>
      </w:r>
      <w:r w:rsidR="00C14762">
        <w:rPr>
          <w:rFonts w:ascii="Arial" w:hAnsi="Arial" w:cs="Arial"/>
        </w:rPr>
        <w:t xml:space="preserve"> and validated and will work best when larger sample sizes are used, ensuring </w:t>
      </w:r>
      <w:r w:rsidR="004D5681">
        <w:rPr>
          <w:rFonts w:ascii="Arial" w:hAnsi="Arial" w:cs="Arial"/>
        </w:rPr>
        <w:t>reliability and validity of the findings.</w:t>
      </w:r>
    </w:p>
    <w:p w14:paraId="06280C14" w14:textId="7202973A" w:rsidR="004D5681" w:rsidRDefault="00872536" w:rsidP="007E22E3">
      <w:pPr>
        <w:jc w:val="both"/>
        <w:rPr>
          <w:rFonts w:ascii="Arial" w:hAnsi="Arial" w:cs="Arial"/>
        </w:rPr>
      </w:pPr>
      <w:r>
        <w:rPr>
          <w:rFonts w:ascii="Arial" w:hAnsi="Arial" w:cs="Arial"/>
        </w:rPr>
        <w:t xml:space="preserve">On the other hand, a </w:t>
      </w:r>
      <w:r w:rsidR="00224F5E">
        <w:rPr>
          <w:rFonts w:ascii="Arial" w:hAnsi="Arial" w:cs="Arial"/>
        </w:rPr>
        <w:t xml:space="preserve">qualitative </w:t>
      </w:r>
      <w:r w:rsidR="00035193">
        <w:rPr>
          <w:rFonts w:ascii="Arial" w:hAnsi="Arial" w:cs="Arial"/>
        </w:rPr>
        <w:t>approach to research is used to enable an understanding</w:t>
      </w:r>
      <w:r w:rsidR="00C322D3">
        <w:rPr>
          <w:rFonts w:ascii="Arial" w:hAnsi="Arial" w:cs="Arial"/>
        </w:rPr>
        <w:t xml:space="preserve"> and interpretation of the meaning and subjective experiences of individuals or groups.  Unlike quantitative research</w:t>
      </w:r>
      <w:r w:rsidR="001A5EBB">
        <w:rPr>
          <w:rFonts w:ascii="Arial" w:hAnsi="Arial" w:cs="Arial"/>
        </w:rPr>
        <w:t xml:space="preserve">, which focuses on numerical data and statistical analysis, a qualitative </w:t>
      </w:r>
      <w:r w:rsidR="005823BE">
        <w:rPr>
          <w:rFonts w:ascii="Arial" w:hAnsi="Arial" w:cs="Arial"/>
        </w:rPr>
        <w:t xml:space="preserve">research methodology utilises a variety of data collection methods to gather rich, </w:t>
      </w:r>
      <w:r w:rsidR="003D2F6D">
        <w:rPr>
          <w:rFonts w:ascii="Arial" w:hAnsi="Arial" w:cs="Arial"/>
        </w:rPr>
        <w:t>detailed,</w:t>
      </w:r>
      <w:r w:rsidR="005823BE">
        <w:rPr>
          <w:rFonts w:ascii="Arial" w:hAnsi="Arial" w:cs="Arial"/>
        </w:rPr>
        <w:t xml:space="preserve"> and non-numerical data.</w:t>
      </w:r>
      <w:r w:rsidR="0015059F">
        <w:rPr>
          <w:rFonts w:ascii="Arial" w:hAnsi="Arial" w:cs="Arial"/>
        </w:rPr>
        <w:t xml:space="preserve">  This analogy is supported by </w:t>
      </w:r>
      <w:sdt>
        <w:sdtPr>
          <w:rPr>
            <w:rFonts w:ascii="Arial" w:hAnsi="Arial" w:cs="Arial"/>
          </w:rPr>
          <w:id w:val="1016044581"/>
          <w:citation/>
        </w:sdtPr>
        <w:sdtContent>
          <w:r w:rsidR="0015059F">
            <w:rPr>
              <w:rFonts w:ascii="Arial" w:hAnsi="Arial" w:cs="Arial"/>
            </w:rPr>
            <w:fldChar w:fldCharType="begin"/>
          </w:r>
          <w:r w:rsidR="0015059F">
            <w:rPr>
              <w:rFonts w:ascii="Arial" w:hAnsi="Arial" w:cs="Arial"/>
            </w:rPr>
            <w:instrText xml:space="preserve"> CITATION Cre07 \l 2057 </w:instrText>
          </w:r>
          <w:r w:rsidR="0015059F">
            <w:rPr>
              <w:rFonts w:ascii="Arial" w:hAnsi="Arial" w:cs="Arial"/>
            </w:rPr>
            <w:fldChar w:fldCharType="separate"/>
          </w:r>
          <w:r w:rsidR="0015059F" w:rsidRPr="0015059F">
            <w:rPr>
              <w:rFonts w:ascii="Arial" w:hAnsi="Arial" w:cs="Arial"/>
              <w:noProof/>
            </w:rPr>
            <w:t>(Creswell, 2007)</w:t>
          </w:r>
          <w:r w:rsidR="0015059F">
            <w:rPr>
              <w:rFonts w:ascii="Arial" w:hAnsi="Arial" w:cs="Arial"/>
            </w:rPr>
            <w:fldChar w:fldCharType="end"/>
          </w:r>
        </w:sdtContent>
      </w:sdt>
      <w:r w:rsidR="00400696">
        <w:rPr>
          <w:rFonts w:ascii="Arial" w:hAnsi="Arial" w:cs="Arial"/>
        </w:rPr>
        <w:t xml:space="preserve"> who suggests that qualitative research </w:t>
      </w:r>
      <w:r w:rsidR="00E81329">
        <w:rPr>
          <w:rFonts w:ascii="Arial" w:hAnsi="Arial" w:cs="Arial"/>
        </w:rPr>
        <w:t xml:space="preserve">involves an in-depth exploration of social phenomena through methods such as interviews, </w:t>
      </w:r>
      <w:r w:rsidR="003D2F6D">
        <w:rPr>
          <w:rFonts w:ascii="Arial" w:hAnsi="Arial" w:cs="Arial"/>
        </w:rPr>
        <w:t>observations,</w:t>
      </w:r>
      <w:r w:rsidR="00E81329">
        <w:rPr>
          <w:rFonts w:ascii="Arial" w:hAnsi="Arial" w:cs="Arial"/>
        </w:rPr>
        <w:t xml:space="preserve"> and analysis</w:t>
      </w:r>
      <w:r w:rsidR="008741F4">
        <w:rPr>
          <w:rFonts w:ascii="Arial" w:hAnsi="Arial" w:cs="Arial"/>
        </w:rPr>
        <w:t xml:space="preserve"> of textual or visual materials with an emphasis on understanding context, </w:t>
      </w:r>
      <w:proofErr w:type="gramStart"/>
      <w:r w:rsidR="008741F4">
        <w:rPr>
          <w:rFonts w:ascii="Arial" w:hAnsi="Arial" w:cs="Arial"/>
        </w:rPr>
        <w:t>perspectives</w:t>
      </w:r>
      <w:proofErr w:type="gramEnd"/>
      <w:r w:rsidR="008741F4">
        <w:rPr>
          <w:rFonts w:ascii="Arial" w:hAnsi="Arial" w:cs="Arial"/>
        </w:rPr>
        <w:t xml:space="preserve"> and experiences of participants rather than generalising findings to a larger population.</w:t>
      </w:r>
    </w:p>
    <w:p w14:paraId="4156DA9C" w14:textId="33011259" w:rsidR="008741F4" w:rsidRDefault="00497937" w:rsidP="007E22E3">
      <w:pPr>
        <w:jc w:val="both"/>
        <w:rPr>
          <w:rFonts w:ascii="Arial" w:hAnsi="Arial" w:cs="Arial"/>
        </w:rPr>
      </w:pPr>
      <w:r>
        <w:rPr>
          <w:rFonts w:ascii="Arial" w:hAnsi="Arial" w:cs="Arial"/>
        </w:rPr>
        <w:t xml:space="preserve">In work carried out by </w:t>
      </w:r>
      <w:sdt>
        <w:sdtPr>
          <w:rPr>
            <w:rFonts w:ascii="Arial" w:hAnsi="Arial" w:cs="Arial"/>
          </w:rPr>
          <w:id w:val="1897773139"/>
          <w:citation/>
        </w:sdtPr>
        <w:sdtContent>
          <w:r>
            <w:rPr>
              <w:rFonts w:ascii="Arial" w:hAnsi="Arial" w:cs="Arial"/>
            </w:rPr>
            <w:fldChar w:fldCharType="begin"/>
          </w:r>
          <w:r>
            <w:rPr>
              <w:rFonts w:ascii="Arial" w:hAnsi="Arial" w:cs="Arial"/>
            </w:rPr>
            <w:instrText xml:space="preserve"> CITATION Den11 \l 2057 </w:instrText>
          </w:r>
          <w:r>
            <w:rPr>
              <w:rFonts w:ascii="Arial" w:hAnsi="Arial" w:cs="Arial"/>
            </w:rPr>
            <w:fldChar w:fldCharType="separate"/>
          </w:r>
          <w:r w:rsidRPr="00497937">
            <w:rPr>
              <w:rFonts w:ascii="Arial" w:hAnsi="Arial" w:cs="Arial"/>
              <w:noProof/>
            </w:rPr>
            <w:t>(Denzin, 2011)</w:t>
          </w:r>
          <w:r>
            <w:rPr>
              <w:rFonts w:ascii="Arial" w:hAnsi="Arial" w:cs="Arial"/>
            </w:rPr>
            <w:fldChar w:fldCharType="end"/>
          </w:r>
        </w:sdtContent>
      </w:sdt>
      <w:r w:rsidR="001C1B48">
        <w:rPr>
          <w:rFonts w:ascii="Arial" w:hAnsi="Arial" w:cs="Arial"/>
        </w:rPr>
        <w:t xml:space="preserve"> the diversity of a qualitative approach is highlighted.  Denzin argues th</w:t>
      </w:r>
      <w:r w:rsidR="005D397E">
        <w:rPr>
          <w:rFonts w:ascii="Arial" w:hAnsi="Arial" w:cs="Arial"/>
        </w:rPr>
        <w:t xml:space="preserve">e importance of reflexivity, </w:t>
      </w:r>
      <w:proofErr w:type="gramStart"/>
      <w:r w:rsidR="005D397E">
        <w:rPr>
          <w:rFonts w:ascii="Arial" w:hAnsi="Arial" w:cs="Arial"/>
        </w:rPr>
        <w:t>context</w:t>
      </w:r>
      <w:proofErr w:type="gramEnd"/>
      <w:r w:rsidR="005D397E">
        <w:rPr>
          <w:rFonts w:ascii="Arial" w:hAnsi="Arial" w:cs="Arial"/>
        </w:rPr>
        <w:t xml:space="preserve"> and the interpretive nature of qualitative </w:t>
      </w:r>
      <w:r w:rsidR="005D397E">
        <w:rPr>
          <w:rFonts w:ascii="Arial" w:hAnsi="Arial" w:cs="Arial"/>
        </w:rPr>
        <w:lastRenderedPageBreak/>
        <w:t>inquiry</w:t>
      </w:r>
      <w:r w:rsidR="008A2272">
        <w:rPr>
          <w:rFonts w:ascii="Arial" w:hAnsi="Arial" w:cs="Arial"/>
        </w:rPr>
        <w:t xml:space="preserve">.  Whilst there is no handbook for carrying out qualitative research, </w:t>
      </w:r>
      <w:sdt>
        <w:sdtPr>
          <w:rPr>
            <w:rFonts w:ascii="Arial" w:hAnsi="Arial" w:cs="Arial"/>
          </w:rPr>
          <w:id w:val="-266701820"/>
          <w:citation/>
        </w:sdtPr>
        <w:sdtContent>
          <w:r w:rsidR="007C4A62">
            <w:rPr>
              <w:rFonts w:ascii="Arial" w:hAnsi="Arial" w:cs="Arial"/>
            </w:rPr>
            <w:fldChar w:fldCharType="begin"/>
          </w:r>
          <w:r w:rsidR="007C4A62">
            <w:rPr>
              <w:rFonts w:ascii="Arial" w:hAnsi="Arial" w:cs="Arial"/>
            </w:rPr>
            <w:instrText xml:space="preserve"> CITATION Mer09 \l 2057 </w:instrText>
          </w:r>
          <w:r w:rsidR="007C4A62">
            <w:rPr>
              <w:rFonts w:ascii="Arial" w:hAnsi="Arial" w:cs="Arial"/>
            </w:rPr>
            <w:fldChar w:fldCharType="separate"/>
          </w:r>
          <w:r w:rsidR="007C4A62" w:rsidRPr="007C4A62">
            <w:rPr>
              <w:rFonts w:ascii="Arial" w:hAnsi="Arial" w:cs="Arial"/>
              <w:noProof/>
            </w:rPr>
            <w:t>(Merriam, 2009)</w:t>
          </w:r>
          <w:r w:rsidR="007C4A62">
            <w:rPr>
              <w:rFonts w:ascii="Arial" w:hAnsi="Arial" w:cs="Arial"/>
            </w:rPr>
            <w:fldChar w:fldCharType="end"/>
          </w:r>
        </w:sdtContent>
      </w:sdt>
      <w:r w:rsidR="0043589F">
        <w:rPr>
          <w:rFonts w:ascii="Arial" w:hAnsi="Arial" w:cs="Arial"/>
        </w:rPr>
        <w:t xml:space="preserve"> lends some practical advice around the design of any qua</w:t>
      </w:r>
      <w:r w:rsidR="005D3E17">
        <w:rPr>
          <w:rFonts w:ascii="Arial" w:hAnsi="Arial" w:cs="Arial"/>
        </w:rPr>
        <w:t xml:space="preserve">litative research, including the selection of appropriate research topic, data collection methods and </w:t>
      </w:r>
      <w:r w:rsidR="00FF1895">
        <w:rPr>
          <w:rFonts w:ascii="Arial" w:hAnsi="Arial" w:cs="Arial"/>
        </w:rPr>
        <w:t>data analysis techniques with a view on ensuing the trustworthiness of qualitative research findings.</w:t>
      </w:r>
    </w:p>
    <w:p w14:paraId="77E0455B" w14:textId="77777777" w:rsidR="00120BED" w:rsidRDefault="00A821D7" w:rsidP="007E22E3">
      <w:pPr>
        <w:jc w:val="both"/>
        <w:rPr>
          <w:rFonts w:ascii="Arial" w:hAnsi="Arial" w:cs="Arial"/>
        </w:rPr>
      </w:pPr>
      <w:r>
        <w:rPr>
          <w:rFonts w:ascii="Arial" w:hAnsi="Arial" w:cs="Arial"/>
        </w:rPr>
        <w:t>Naturally, a mixed methodology approach combines both qualitative and quantitative research methods within a single study</w:t>
      </w:r>
      <w:r w:rsidR="00B50BDF">
        <w:rPr>
          <w:rFonts w:ascii="Arial" w:hAnsi="Arial" w:cs="Arial"/>
        </w:rPr>
        <w:t xml:space="preserve"> which seeks to compliment and </w:t>
      </w:r>
      <w:r w:rsidR="00251EB5">
        <w:rPr>
          <w:rFonts w:ascii="Arial" w:hAnsi="Arial" w:cs="Arial"/>
        </w:rPr>
        <w:t>integrate</w:t>
      </w:r>
      <w:r w:rsidR="00B50BDF">
        <w:rPr>
          <w:rFonts w:ascii="Arial" w:hAnsi="Arial" w:cs="Arial"/>
        </w:rPr>
        <w:t xml:space="preserve"> the strengths of both approaches to provide a </w:t>
      </w:r>
      <w:r w:rsidR="00251EB5">
        <w:rPr>
          <w:rFonts w:ascii="Arial" w:hAnsi="Arial" w:cs="Arial"/>
        </w:rPr>
        <w:t>comprehensive</w:t>
      </w:r>
      <w:r w:rsidR="00B50BDF">
        <w:rPr>
          <w:rFonts w:ascii="Arial" w:hAnsi="Arial" w:cs="Arial"/>
        </w:rPr>
        <w:t xml:space="preserve"> understanding of research questions.</w:t>
      </w:r>
    </w:p>
    <w:p w14:paraId="5DAD83A2" w14:textId="693B1628" w:rsidR="00A821D7" w:rsidRDefault="002C04C0" w:rsidP="007E22E3">
      <w:pPr>
        <w:jc w:val="both"/>
        <w:rPr>
          <w:rFonts w:ascii="Arial" w:hAnsi="Arial" w:cs="Arial"/>
        </w:rPr>
      </w:pPr>
      <w:r>
        <w:rPr>
          <w:rFonts w:ascii="Arial" w:hAnsi="Arial" w:cs="Arial"/>
        </w:rPr>
        <w:t>A mixed method</w:t>
      </w:r>
      <w:r w:rsidR="00502E0C">
        <w:rPr>
          <w:rFonts w:ascii="Arial" w:hAnsi="Arial" w:cs="Arial"/>
        </w:rPr>
        <w:t xml:space="preserve"> is advocated as a transformative approach given its unique characteristics </w:t>
      </w:r>
      <w:r w:rsidR="00CD3D9D">
        <w:rPr>
          <w:rFonts w:ascii="Arial" w:hAnsi="Arial" w:cs="Arial"/>
        </w:rPr>
        <w:t xml:space="preserve">which offers a distinct research paradigm that goes beyond the simple </w:t>
      </w:r>
      <w:r w:rsidR="000F6821">
        <w:rPr>
          <w:rFonts w:ascii="Arial" w:hAnsi="Arial" w:cs="Arial"/>
        </w:rPr>
        <w:t>incorporation</w:t>
      </w:r>
      <w:r w:rsidR="00CD3D9D">
        <w:rPr>
          <w:rFonts w:ascii="Arial" w:hAnsi="Arial" w:cs="Arial"/>
        </w:rPr>
        <w:t xml:space="preserve"> of </w:t>
      </w:r>
      <w:r w:rsidR="000F6821">
        <w:rPr>
          <w:rFonts w:ascii="Arial" w:hAnsi="Arial" w:cs="Arial"/>
        </w:rPr>
        <w:t>qualitative and quantitative methods</w:t>
      </w:r>
      <w:r w:rsidR="00B50BDF">
        <w:rPr>
          <w:rFonts w:ascii="Arial" w:hAnsi="Arial" w:cs="Arial"/>
        </w:rPr>
        <w:t xml:space="preserve"> </w:t>
      </w:r>
      <w:r w:rsidR="00FA590A" w:rsidRPr="00BE251D">
        <w:rPr>
          <w:rFonts w:ascii="Arial" w:hAnsi="Arial" w:cs="Arial"/>
          <w:noProof/>
        </w:rPr>
        <w:t>(Johnson</w:t>
      </w:r>
      <w:r w:rsidR="00FA590A">
        <w:rPr>
          <w:rFonts w:ascii="Arial" w:hAnsi="Arial" w:cs="Arial"/>
          <w:noProof/>
        </w:rPr>
        <w:t xml:space="preserve"> and </w:t>
      </w:r>
      <w:bookmarkStart w:id="11" w:name="_Hlk170035001"/>
      <w:r w:rsidR="00FA590A">
        <w:rPr>
          <w:rFonts w:ascii="Arial" w:hAnsi="Arial" w:cs="Arial"/>
          <w:noProof/>
        </w:rPr>
        <w:t>Onwue</w:t>
      </w:r>
      <w:r w:rsidR="009A047C">
        <w:rPr>
          <w:rFonts w:ascii="Arial" w:hAnsi="Arial" w:cs="Arial"/>
          <w:noProof/>
        </w:rPr>
        <w:t>gbuzie</w:t>
      </w:r>
      <w:bookmarkEnd w:id="11"/>
      <w:r w:rsidR="00FA590A" w:rsidRPr="00BE251D">
        <w:rPr>
          <w:rFonts w:ascii="Arial" w:hAnsi="Arial" w:cs="Arial"/>
          <w:noProof/>
        </w:rPr>
        <w:t>, 2004)</w:t>
      </w:r>
      <w:r w:rsidR="000F6821">
        <w:rPr>
          <w:rFonts w:ascii="Arial" w:hAnsi="Arial" w:cs="Arial"/>
        </w:rPr>
        <w:t>.  Th</w:t>
      </w:r>
      <w:r w:rsidR="00A67278">
        <w:rPr>
          <w:rFonts w:ascii="Arial" w:hAnsi="Arial" w:cs="Arial"/>
        </w:rPr>
        <w:t>e work of Johnson</w:t>
      </w:r>
      <w:r w:rsidR="009A047C">
        <w:rPr>
          <w:rFonts w:ascii="Arial" w:hAnsi="Arial" w:cs="Arial"/>
        </w:rPr>
        <w:t xml:space="preserve"> and </w:t>
      </w:r>
      <w:r w:rsidR="009A047C">
        <w:rPr>
          <w:rFonts w:ascii="Arial" w:hAnsi="Arial" w:cs="Arial"/>
          <w:noProof/>
        </w:rPr>
        <w:t>Onwuegbuzie has</w:t>
      </w:r>
      <w:r w:rsidR="00A67278">
        <w:rPr>
          <w:rFonts w:ascii="Arial" w:hAnsi="Arial" w:cs="Arial"/>
        </w:rPr>
        <w:t xml:space="preserve"> developed several typologies and classifications that help </w:t>
      </w:r>
      <w:r w:rsidR="00BC653C">
        <w:rPr>
          <w:rFonts w:ascii="Arial" w:hAnsi="Arial" w:cs="Arial"/>
        </w:rPr>
        <w:t>researchers</w:t>
      </w:r>
      <w:r w:rsidR="00A67278">
        <w:rPr>
          <w:rFonts w:ascii="Arial" w:hAnsi="Arial" w:cs="Arial"/>
        </w:rPr>
        <w:t xml:space="preserve"> understand and choose appropriate mixed method designs</w:t>
      </w:r>
      <w:r w:rsidR="00C969CD">
        <w:rPr>
          <w:rFonts w:ascii="Arial" w:hAnsi="Arial" w:cs="Arial"/>
        </w:rPr>
        <w:t xml:space="preserve">, this includes the typology of mixed methods </w:t>
      </w:r>
      <w:r w:rsidR="00BC653C">
        <w:rPr>
          <w:rFonts w:ascii="Arial" w:hAnsi="Arial" w:cs="Arial"/>
        </w:rPr>
        <w:t>research and</w:t>
      </w:r>
      <w:r w:rsidR="00C969CD">
        <w:rPr>
          <w:rFonts w:ascii="Arial" w:hAnsi="Arial" w:cs="Arial"/>
        </w:rPr>
        <w:t xml:space="preserve"> the classification system for mixed method</w:t>
      </w:r>
      <w:r w:rsidR="00BC653C">
        <w:rPr>
          <w:rFonts w:ascii="Arial" w:hAnsi="Arial" w:cs="Arial"/>
        </w:rPr>
        <w:t>s research which provides frameworks for categorising and selecting appropriate mixed method designs based on research questions and purpose.</w:t>
      </w:r>
      <w:r w:rsidR="00FA590A">
        <w:rPr>
          <w:rFonts w:ascii="Arial" w:hAnsi="Arial" w:cs="Arial"/>
        </w:rPr>
        <w:t xml:space="preserve">  </w:t>
      </w:r>
      <w:r w:rsidR="0000577A">
        <w:rPr>
          <w:rFonts w:ascii="Arial" w:hAnsi="Arial" w:cs="Arial"/>
        </w:rPr>
        <w:t xml:space="preserve">They also argue for a set of </w:t>
      </w:r>
      <w:r w:rsidR="002718CE">
        <w:rPr>
          <w:rFonts w:ascii="Arial" w:hAnsi="Arial" w:cs="Arial"/>
        </w:rPr>
        <w:t xml:space="preserve">quality </w:t>
      </w:r>
      <w:r w:rsidR="0000577A">
        <w:rPr>
          <w:rFonts w:ascii="Arial" w:hAnsi="Arial" w:cs="Arial"/>
        </w:rPr>
        <w:t xml:space="preserve">criteria </w:t>
      </w:r>
      <w:r w:rsidR="002718CE">
        <w:rPr>
          <w:rFonts w:ascii="Arial" w:hAnsi="Arial" w:cs="Arial"/>
        </w:rPr>
        <w:t>for mixed methods research which proposes</w:t>
      </w:r>
      <w:r w:rsidR="00956202">
        <w:rPr>
          <w:rFonts w:ascii="Arial" w:hAnsi="Arial" w:cs="Arial"/>
        </w:rPr>
        <w:t xml:space="preserve"> a</w:t>
      </w:r>
      <w:r w:rsidR="00D26343">
        <w:rPr>
          <w:rFonts w:ascii="Arial" w:hAnsi="Arial" w:cs="Arial"/>
        </w:rPr>
        <w:t>n</w:t>
      </w:r>
      <w:r w:rsidR="00956202">
        <w:rPr>
          <w:rFonts w:ascii="Arial" w:hAnsi="Arial" w:cs="Arial"/>
        </w:rPr>
        <w:t xml:space="preserve"> alignment t</w:t>
      </w:r>
      <w:r w:rsidR="004E02A3">
        <w:rPr>
          <w:rFonts w:ascii="Arial" w:hAnsi="Arial" w:cs="Arial"/>
        </w:rPr>
        <w:t>o the design, data collection, data analysis and integration of qualitative and quantitative components</w:t>
      </w:r>
      <w:r w:rsidR="00160656">
        <w:rPr>
          <w:rFonts w:ascii="Arial" w:hAnsi="Arial" w:cs="Arial"/>
        </w:rPr>
        <w:t xml:space="preserve"> which helps to ensure the credibility, </w:t>
      </w:r>
      <w:proofErr w:type="gramStart"/>
      <w:r w:rsidR="00160656">
        <w:rPr>
          <w:rFonts w:ascii="Arial" w:hAnsi="Arial" w:cs="Arial"/>
        </w:rPr>
        <w:t>dependability</w:t>
      </w:r>
      <w:proofErr w:type="gramEnd"/>
      <w:r w:rsidR="00160656">
        <w:rPr>
          <w:rFonts w:ascii="Arial" w:hAnsi="Arial" w:cs="Arial"/>
        </w:rPr>
        <w:t xml:space="preserve"> and transferability of mixed methods research findings.</w:t>
      </w:r>
    </w:p>
    <w:p w14:paraId="1F9E2C8C" w14:textId="633D921C" w:rsidR="00E63E07" w:rsidRDefault="0012694C" w:rsidP="007E22E3">
      <w:pPr>
        <w:jc w:val="both"/>
        <w:rPr>
          <w:rFonts w:ascii="Arial" w:hAnsi="Arial" w:cs="Arial"/>
        </w:rPr>
      </w:pPr>
      <w:r>
        <w:rPr>
          <w:rFonts w:ascii="Arial" w:hAnsi="Arial" w:cs="Arial"/>
        </w:rPr>
        <w:t xml:space="preserve">Primary research </w:t>
      </w:r>
      <w:r w:rsidR="001478C7">
        <w:rPr>
          <w:rFonts w:ascii="Arial" w:hAnsi="Arial" w:cs="Arial"/>
        </w:rPr>
        <w:t>is the collection and analysis of original data to answer research questions or test hypothesis</w:t>
      </w:r>
      <w:r w:rsidR="006A21EE">
        <w:rPr>
          <w:rFonts w:ascii="Arial" w:hAnsi="Arial" w:cs="Arial"/>
        </w:rPr>
        <w:t xml:space="preserve"> and enables researche</w:t>
      </w:r>
      <w:r w:rsidR="009744DF">
        <w:rPr>
          <w:rFonts w:ascii="Arial" w:hAnsi="Arial" w:cs="Arial"/>
        </w:rPr>
        <w:t>r</w:t>
      </w:r>
      <w:r w:rsidR="006A21EE">
        <w:rPr>
          <w:rFonts w:ascii="Arial" w:hAnsi="Arial" w:cs="Arial"/>
        </w:rPr>
        <w:t>s to have control over variables and experimental conditions</w:t>
      </w:r>
      <w:r w:rsidR="001F0113">
        <w:rPr>
          <w:rFonts w:ascii="Arial" w:hAnsi="Arial" w:cs="Arial"/>
        </w:rPr>
        <w:t>.  This can enhance the internal validity of the study</w:t>
      </w:r>
      <w:r w:rsidR="00530CAA">
        <w:rPr>
          <w:rFonts w:ascii="Arial" w:hAnsi="Arial" w:cs="Arial"/>
        </w:rPr>
        <w:t xml:space="preserve"> and </w:t>
      </w:r>
      <w:r w:rsidR="00971909">
        <w:rPr>
          <w:rFonts w:ascii="Arial" w:hAnsi="Arial" w:cs="Arial"/>
        </w:rPr>
        <w:t>allows researchers to establish cause and effect relationships and draw more confident conclusions</w:t>
      </w:r>
      <w:r w:rsidR="001F0113">
        <w:rPr>
          <w:rFonts w:ascii="Arial" w:hAnsi="Arial" w:cs="Arial"/>
        </w:rPr>
        <w:t xml:space="preserve"> </w:t>
      </w:r>
      <w:sdt>
        <w:sdtPr>
          <w:rPr>
            <w:rFonts w:ascii="Arial" w:hAnsi="Arial" w:cs="Arial"/>
          </w:rPr>
          <w:id w:val="-1325040280"/>
          <w:citation/>
        </w:sdtPr>
        <w:sdtContent>
          <w:r w:rsidR="001F0113">
            <w:rPr>
              <w:rFonts w:ascii="Arial" w:hAnsi="Arial" w:cs="Arial"/>
            </w:rPr>
            <w:fldChar w:fldCharType="begin"/>
          </w:r>
          <w:r w:rsidR="001F0113">
            <w:rPr>
              <w:rFonts w:ascii="Arial" w:hAnsi="Arial" w:cs="Arial"/>
            </w:rPr>
            <w:instrText xml:space="preserve"> CITATION Neu13 \l 2057 </w:instrText>
          </w:r>
          <w:r w:rsidR="001F0113">
            <w:rPr>
              <w:rFonts w:ascii="Arial" w:hAnsi="Arial" w:cs="Arial"/>
            </w:rPr>
            <w:fldChar w:fldCharType="separate"/>
          </w:r>
          <w:r w:rsidR="001F0113" w:rsidRPr="001F0113">
            <w:rPr>
              <w:rFonts w:ascii="Arial" w:hAnsi="Arial" w:cs="Arial"/>
              <w:noProof/>
            </w:rPr>
            <w:t>(Neuman, 2013)</w:t>
          </w:r>
          <w:r w:rsidR="001F0113">
            <w:rPr>
              <w:rFonts w:ascii="Arial" w:hAnsi="Arial" w:cs="Arial"/>
            </w:rPr>
            <w:fldChar w:fldCharType="end"/>
          </w:r>
        </w:sdtContent>
      </w:sdt>
      <w:r w:rsidR="00971909">
        <w:rPr>
          <w:rFonts w:ascii="Arial" w:hAnsi="Arial" w:cs="Arial"/>
        </w:rPr>
        <w:t xml:space="preserve">.  Primary research will also allow </w:t>
      </w:r>
      <w:r w:rsidR="00701418">
        <w:rPr>
          <w:rFonts w:ascii="Arial" w:hAnsi="Arial" w:cs="Arial"/>
        </w:rPr>
        <w:t xml:space="preserve">an opportunity to gain a contextual understanding of the research topic and by engaging with participants and collecting </w:t>
      </w:r>
      <w:r w:rsidR="009D1ACB">
        <w:rPr>
          <w:rFonts w:ascii="Arial" w:hAnsi="Arial" w:cs="Arial"/>
        </w:rPr>
        <w:t xml:space="preserve">data in real world settings, researchers can obtain in-depth insights into </w:t>
      </w:r>
      <w:r w:rsidR="007955C0">
        <w:rPr>
          <w:rFonts w:ascii="Arial" w:hAnsi="Arial" w:cs="Arial"/>
        </w:rPr>
        <w:t xml:space="preserve">their topic </w:t>
      </w:r>
      <w:sdt>
        <w:sdtPr>
          <w:rPr>
            <w:rFonts w:ascii="Arial" w:hAnsi="Arial" w:cs="Arial"/>
          </w:rPr>
          <w:id w:val="192048514"/>
          <w:citation/>
        </w:sdtPr>
        <w:sdtContent>
          <w:r w:rsidR="007955C0">
            <w:rPr>
              <w:rFonts w:ascii="Arial" w:hAnsi="Arial" w:cs="Arial"/>
            </w:rPr>
            <w:fldChar w:fldCharType="begin"/>
          </w:r>
          <w:r w:rsidR="007955C0">
            <w:rPr>
              <w:rFonts w:ascii="Arial" w:hAnsi="Arial" w:cs="Arial"/>
            </w:rPr>
            <w:instrText xml:space="preserve"> CITATION Cre09 \l 2057 </w:instrText>
          </w:r>
          <w:r w:rsidR="007955C0">
            <w:rPr>
              <w:rFonts w:ascii="Arial" w:hAnsi="Arial" w:cs="Arial"/>
            </w:rPr>
            <w:fldChar w:fldCharType="separate"/>
          </w:r>
          <w:r w:rsidR="007955C0" w:rsidRPr="007955C0">
            <w:rPr>
              <w:rFonts w:ascii="Arial" w:hAnsi="Arial" w:cs="Arial"/>
              <w:noProof/>
            </w:rPr>
            <w:t>(Creswell, 2009)</w:t>
          </w:r>
          <w:r w:rsidR="007955C0">
            <w:rPr>
              <w:rFonts w:ascii="Arial" w:hAnsi="Arial" w:cs="Arial"/>
            </w:rPr>
            <w:fldChar w:fldCharType="end"/>
          </w:r>
        </w:sdtContent>
      </w:sdt>
      <w:r w:rsidR="00CB2B88">
        <w:rPr>
          <w:rFonts w:ascii="Arial" w:hAnsi="Arial" w:cs="Arial"/>
        </w:rPr>
        <w:t>.</w:t>
      </w:r>
    </w:p>
    <w:p w14:paraId="4B134A1E" w14:textId="382CAF4F" w:rsidR="00CB2B88" w:rsidRDefault="00CB2B88" w:rsidP="007E22E3">
      <w:pPr>
        <w:jc w:val="both"/>
        <w:rPr>
          <w:rFonts w:ascii="Arial" w:hAnsi="Arial" w:cs="Arial"/>
        </w:rPr>
      </w:pPr>
      <w:r>
        <w:rPr>
          <w:rFonts w:ascii="Arial" w:hAnsi="Arial" w:cs="Arial"/>
        </w:rPr>
        <w:t xml:space="preserve">Like any research method, primary research has limitations and </w:t>
      </w:r>
      <w:r w:rsidR="00015278">
        <w:rPr>
          <w:rFonts w:ascii="Arial" w:hAnsi="Arial" w:cs="Arial"/>
        </w:rPr>
        <w:t>potential for bias.  This will include sample representatives, participant biases, researcher bias and limitations in gener</w:t>
      </w:r>
      <w:r w:rsidR="00F71E77">
        <w:rPr>
          <w:rFonts w:ascii="Arial" w:hAnsi="Arial" w:cs="Arial"/>
        </w:rPr>
        <w:t xml:space="preserve">alisability </w:t>
      </w:r>
      <w:sdt>
        <w:sdtPr>
          <w:rPr>
            <w:rFonts w:ascii="Arial" w:hAnsi="Arial" w:cs="Arial"/>
          </w:rPr>
          <w:id w:val="-678050095"/>
          <w:citation/>
        </w:sdtPr>
        <w:sdtContent>
          <w:r w:rsidR="00F71E77">
            <w:rPr>
              <w:rFonts w:ascii="Arial" w:hAnsi="Arial" w:cs="Arial"/>
            </w:rPr>
            <w:fldChar w:fldCharType="begin"/>
          </w:r>
          <w:r w:rsidR="00F71E77">
            <w:rPr>
              <w:rFonts w:ascii="Arial" w:hAnsi="Arial" w:cs="Arial"/>
            </w:rPr>
            <w:instrText xml:space="preserve"> CITATION Neu13 \l 2057 </w:instrText>
          </w:r>
          <w:r w:rsidR="00F71E77">
            <w:rPr>
              <w:rFonts w:ascii="Arial" w:hAnsi="Arial" w:cs="Arial"/>
            </w:rPr>
            <w:fldChar w:fldCharType="separate"/>
          </w:r>
          <w:r w:rsidR="00F71E77" w:rsidRPr="00F71E77">
            <w:rPr>
              <w:rFonts w:ascii="Arial" w:hAnsi="Arial" w:cs="Arial"/>
              <w:noProof/>
            </w:rPr>
            <w:t>(Neuman, 2013)</w:t>
          </w:r>
          <w:r w:rsidR="00F71E77">
            <w:rPr>
              <w:rFonts w:ascii="Arial" w:hAnsi="Arial" w:cs="Arial"/>
            </w:rPr>
            <w:fldChar w:fldCharType="end"/>
          </w:r>
        </w:sdtContent>
      </w:sdt>
      <w:r w:rsidR="00F71E77">
        <w:rPr>
          <w:rFonts w:ascii="Arial" w:hAnsi="Arial" w:cs="Arial"/>
        </w:rPr>
        <w:t xml:space="preserve">.  Therefore, it is </w:t>
      </w:r>
      <w:r w:rsidR="0018370C">
        <w:rPr>
          <w:rFonts w:ascii="Arial" w:hAnsi="Arial" w:cs="Arial"/>
        </w:rPr>
        <w:t xml:space="preserve">vital that researchers who conduct primary research adhere to ethical guidelines, such as informed consent, </w:t>
      </w:r>
      <w:proofErr w:type="gramStart"/>
      <w:r w:rsidR="0018370C">
        <w:rPr>
          <w:rFonts w:ascii="Arial" w:hAnsi="Arial" w:cs="Arial"/>
        </w:rPr>
        <w:t>confidentiality</w:t>
      </w:r>
      <w:proofErr w:type="gramEnd"/>
      <w:r w:rsidR="00261168">
        <w:rPr>
          <w:rFonts w:ascii="Arial" w:hAnsi="Arial" w:cs="Arial"/>
        </w:rPr>
        <w:t xml:space="preserve"> and minimising harm to participants </w:t>
      </w:r>
      <w:sdt>
        <w:sdtPr>
          <w:rPr>
            <w:rFonts w:ascii="Arial" w:hAnsi="Arial" w:cs="Arial"/>
          </w:rPr>
          <w:id w:val="388316876"/>
          <w:citation/>
        </w:sdtPr>
        <w:sdtContent>
          <w:r w:rsidR="00261168">
            <w:rPr>
              <w:rFonts w:ascii="Arial" w:hAnsi="Arial" w:cs="Arial"/>
            </w:rPr>
            <w:fldChar w:fldCharType="begin"/>
          </w:r>
          <w:r w:rsidR="00261168">
            <w:rPr>
              <w:rFonts w:ascii="Arial" w:hAnsi="Arial" w:cs="Arial"/>
            </w:rPr>
            <w:instrText xml:space="preserve"> CITATION Bry161 \l 2057 </w:instrText>
          </w:r>
          <w:r w:rsidR="00261168">
            <w:rPr>
              <w:rFonts w:ascii="Arial" w:hAnsi="Arial" w:cs="Arial"/>
            </w:rPr>
            <w:fldChar w:fldCharType="separate"/>
          </w:r>
          <w:r w:rsidR="00261168" w:rsidRPr="00261168">
            <w:rPr>
              <w:rFonts w:ascii="Arial" w:hAnsi="Arial" w:cs="Arial"/>
              <w:noProof/>
            </w:rPr>
            <w:t>(Bryman, 2016)</w:t>
          </w:r>
          <w:r w:rsidR="00261168">
            <w:rPr>
              <w:rFonts w:ascii="Arial" w:hAnsi="Arial" w:cs="Arial"/>
            </w:rPr>
            <w:fldChar w:fldCharType="end"/>
          </w:r>
        </w:sdtContent>
      </w:sdt>
      <w:r w:rsidR="00261168">
        <w:rPr>
          <w:rFonts w:ascii="Arial" w:hAnsi="Arial" w:cs="Arial"/>
        </w:rPr>
        <w:t>.</w:t>
      </w:r>
    </w:p>
    <w:p w14:paraId="68016F77" w14:textId="63DE7F00" w:rsidR="006F3C98" w:rsidRDefault="00271D90" w:rsidP="007E22E3">
      <w:pPr>
        <w:jc w:val="both"/>
        <w:rPr>
          <w:rFonts w:ascii="Arial" w:hAnsi="Arial" w:cs="Arial"/>
        </w:rPr>
      </w:pPr>
      <w:r>
        <w:rPr>
          <w:rFonts w:ascii="Arial" w:hAnsi="Arial" w:cs="Arial"/>
        </w:rPr>
        <w:t xml:space="preserve">Alternatively, secondary research </w:t>
      </w:r>
      <w:r w:rsidR="00D718C3">
        <w:rPr>
          <w:rFonts w:ascii="Arial" w:hAnsi="Arial" w:cs="Arial"/>
        </w:rPr>
        <w:t xml:space="preserve">will involve the analysis and synthesis of existing research studies, </w:t>
      </w:r>
      <w:proofErr w:type="gramStart"/>
      <w:r w:rsidR="00D718C3">
        <w:rPr>
          <w:rFonts w:ascii="Arial" w:hAnsi="Arial" w:cs="Arial"/>
        </w:rPr>
        <w:t>data</w:t>
      </w:r>
      <w:proofErr w:type="gramEnd"/>
      <w:r w:rsidR="00D718C3">
        <w:rPr>
          <w:rFonts w:ascii="Arial" w:hAnsi="Arial" w:cs="Arial"/>
        </w:rPr>
        <w:t xml:space="preserve"> and information to ans</w:t>
      </w:r>
      <w:r w:rsidR="00697F65">
        <w:rPr>
          <w:rFonts w:ascii="Arial" w:hAnsi="Arial" w:cs="Arial"/>
        </w:rPr>
        <w:t xml:space="preserve">wer research questions or explore a particular topic.  </w:t>
      </w:r>
      <w:r w:rsidR="00792F92">
        <w:rPr>
          <w:rFonts w:ascii="Arial" w:hAnsi="Arial" w:cs="Arial"/>
        </w:rPr>
        <w:t>Secondary research will provide access to a wide range of existing knowledge and studies conducted by other researchers</w:t>
      </w:r>
      <w:r w:rsidR="00586981">
        <w:rPr>
          <w:rFonts w:ascii="Arial" w:hAnsi="Arial" w:cs="Arial"/>
        </w:rPr>
        <w:t xml:space="preserve">.  It will allow researchers to build upon previous work, gain insights from different perspectives and identify research gaps </w:t>
      </w:r>
      <w:sdt>
        <w:sdtPr>
          <w:rPr>
            <w:rFonts w:ascii="Arial" w:hAnsi="Arial" w:cs="Arial"/>
          </w:rPr>
          <w:id w:val="1876654459"/>
          <w:citation/>
        </w:sdtPr>
        <w:sdtContent>
          <w:r w:rsidR="00586981">
            <w:rPr>
              <w:rFonts w:ascii="Arial" w:hAnsi="Arial" w:cs="Arial"/>
            </w:rPr>
            <w:fldChar w:fldCharType="begin"/>
          </w:r>
          <w:r w:rsidR="00586981">
            <w:rPr>
              <w:rFonts w:ascii="Arial" w:hAnsi="Arial" w:cs="Arial"/>
            </w:rPr>
            <w:instrText xml:space="preserve"> CITATION Har18 \l 2057 </w:instrText>
          </w:r>
          <w:r w:rsidR="00586981">
            <w:rPr>
              <w:rFonts w:ascii="Arial" w:hAnsi="Arial" w:cs="Arial"/>
            </w:rPr>
            <w:fldChar w:fldCharType="separate"/>
          </w:r>
          <w:r w:rsidR="00586981" w:rsidRPr="00586981">
            <w:rPr>
              <w:rFonts w:ascii="Arial" w:hAnsi="Arial" w:cs="Arial"/>
              <w:noProof/>
            </w:rPr>
            <w:t>(Hart, 2018)</w:t>
          </w:r>
          <w:r w:rsidR="00586981">
            <w:rPr>
              <w:rFonts w:ascii="Arial" w:hAnsi="Arial" w:cs="Arial"/>
            </w:rPr>
            <w:fldChar w:fldCharType="end"/>
          </w:r>
        </w:sdtContent>
      </w:sdt>
      <w:r w:rsidR="00D93BD8">
        <w:rPr>
          <w:rFonts w:ascii="Arial" w:hAnsi="Arial" w:cs="Arial"/>
        </w:rPr>
        <w:t xml:space="preserve">.  </w:t>
      </w:r>
      <w:r w:rsidR="002C537B">
        <w:rPr>
          <w:rFonts w:ascii="Arial" w:hAnsi="Arial" w:cs="Arial"/>
        </w:rPr>
        <w:t xml:space="preserve">One of the benefits of conducting secondary research is its </w:t>
      </w:r>
      <w:r w:rsidR="00BE6980">
        <w:rPr>
          <w:rFonts w:ascii="Arial" w:hAnsi="Arial" w:cs="Arial"/>
        </w:rPr>
        <w:t>cost and time efficiency</w:t>
      </w:r>
      <w:r w:rsidR="00F32E7F">
        <w:rPr>
          <w:rFonts w:ascii="Arial" w:hAnsi="Arial" w:cs="Arial"/>
        </w:rPr>
        <w:t xml:space="preserve"> when comparing to</w:t>
      </w:r>
      <w:r w:rsidR="00EA0CEE">
        <w:rPr>
          <w:rFonts w:ascii="Arial" w:hAnsi="Arial" w:cs="Arial"/>
        </w:rPr>
        <w:t xml:space="preserve"> primary research, given that </w:t>
      </w:r>
      <w:r w:rsidR="0032125C">
        <w:rPr>
          <w:rFonts w:ascii="Arial" w:hAnsi="Arial" w:cs="Arial"/>
        </w:rPr>
        <w:t xml:space="preserve">utilisation can be made of existing studies which eliminates the need for data collection and analysis </w:t>
      </w:r>
      <w:sdt>
        <w:sdtPr>
          <w:rPr>
            <w:rFonts w:ascii="Arial" w:hAnsi="Arial" w:cs="Arial"/>
          </w:rPr>
          <w:id w:val="1259713896"/>
          <w:citation/>
        </w:sdtPr>
        <w:sdtContent>
          <w:r w:rsidR="0032125C">
            <w:rPr>
              <w:rFonts w:ascii="Arial" w:hAnsi="Arial" w:cs="Arial"/>
            </w:rPr>
            <w:fldChar w:fldCharType="begin"/>
          </w:r>
          <w:r w:rsidR="0032125C">
            <w:rPr>
              <w:rFonts w:ascii="Arial" w:hAnsi="Arial" w:cs="Arial"/>
            </w:rPr>
            <w:instrText xml:space="preserve"> CITATION Har18 \l 2057 </w:instrText>
          </w:r>
          <w:r w:rsidR="0032125C">
            <w:rPr>
              <w:rFonts w:ascii="Arial" w:hAnsi="Arial" w:cs="Arial"/>
            </w:rPr>
            <w:fldChar w:fldCharType="separate"/>
          </w:r>
          <w:r w:rsidR="0032125C" w:rsidRPr="0032125C">
            <w:rPr>
              <w:rFonts w:ascii="Arial" w:hAnsi="Arial" w:cs="Arial"/>
              <w:noProof/>
            </w:rPr>
            <w:t>(Hart, 2018)</w:t>
          </w:r>
          <w:r w:rsidR="0032125C">
            <w:rPr>
              <w:rFonts w:ascii="Arial" w:hAnsi="Arial" w:cs="Arial"/>
            </w:rPr>
            <w:fldChar w:fldCharType="end"/>
          </w:r>
        </w:sdtContent>
      </w:sdt>
      <w:r w:rsidR="0032125C">
        <w:rPr>
          <w:rFonts w:ascii="Arial" w:hAnsi="Arial" w:cs="Arial"/>
        </w:rPr>
        <w:t>.</w:t>
      </w:r>
      <w:r w:rsidR="004A5755">
        <w:rPr>
          <w:rFonts w:ascii="Arial" w:hAnsi="Arial" w:cs="Arial"/>
        </w:rPr>
        <w:t xml:space="preserve">  When conducting secondary research</w:t>
      </w:r>
      <w:r w:rsidR="00170138">
        <w:rPr>
          <w:rFonts w:ascii="Arial" w:hAnsi="Arial" w:cs="Arial"/>
        </w:rPr>
        <w:t xml:space="preserve">, researchers should be mindful of the necessity to </w:t>
      </w:r>
      <w:r w:rsidR="00C16AFE">
        <w:rPr>
          <w:rFonts w:ascii="Arial" w:hAnsi="Arial" w:cs="Arial"/>
        </w:rPr>
        <w:t>assess the methodology</w:t>
      </w:r>
      <w:r w:rsidR="007766F8">
        <w:rPr>
          <w:rFonts w:ascii="Arial" w:hAnsi="Arial" w:cs="Arial"/>
        </w:rPr>
        <w:t xml:space="preserve"> used</w:t>
      </w:r>
      <w:r w:rsidR="00C16AFE">
        <w:rPr>
          <w:rFonts w:ascii="Arial" w:hAnsi="Arial" w:cs="Arial"/>
        </w:rPr>
        <w:t xml:space="preserve">, sample size, data collection </w:t>
      </w:r>
      <w:r w:rsidR="007766F8">
        <w:rPr>
          <w:rFonts w:ascii="Arial" w:hAnsi="Arial" w:cs="Arial"/>
        </w:rPr>
        <w:t>techniques</w:t>
      </w:r>
      <w:r w:rsidR="00C16AFE">
        <w:rPr>
          <w:rFonts w:ascii="Arial" w:hAnsi="Arial" w:cs="Arial"/>
        </w:rPr>
        <w:t xml:space="preserve"> and analysis methods used in </w:t>
      </w:r>
      <w:r w:rsidR="007766F8">
        <w:rPr>
          <w:rFonts w:ascii="Arial" w:hAnsi="Arial" w:cs="Arial"/>
        </w:rPr>
        <w:t xml:space="preserve">the primary </w:t>
      </w:r>
      <w:r w:rsidR="00A54A96">
        <w:rPr>
          <w:rFonts w:ascii="Arial" w:hAnsi="Arial" w:cs="Arial"/>
        </w:rPr>
        <w:t>work</w:t>
      </w:r>
      <w:r w:rsidR="007766F8">
        <w:rPr>
          <w:rFonts w:ascii="Arial" w:hAnsi="Arial" w:cs="Arial"/>
        </w:rPr>
        <w:t xml:space="preserve"> to evaluate the strength of the evidence</w:t>
      </w:r>
      <w:r w:rsidR="00A54A96">
        <w:rPr>
          <w:rFonts w:ascii="Arial" w:hAnsi="Arial" w:cs="Arial"/>
        </w:rPr>
        <w:t xml:space="preserve"> </w:t>
      </w:r>
      <w:sdt>
        <w:sdtPr>
          <w:rPr>
            <w:rFonts w:ascii="Arial" w:hAnsi="Arial" w:cs="Arial"/>
          </w:rPr>
          <w:id w:val="1521900874"/>
          <w:citation/>
        </w:sdtPr>
        <w:sdtContent>
          <w:r w:rsidR="00EC608D">
            <w:rPr>
              <w:rFonts w:ascii="Arial" w:hAnsi="Arial" w:cs="Arial"/>
            </w:rPr>
            <w:fldChar w:fldCharType="begin"/>
          </w:r>
          <w:r w:rsidR="00EC608D">
            <w:rPr>
              <w:rFonts w:ascii="Arial" w:hAnsi="Arial" w:cs="Arial"/>
            </w:rPr>
            <w:instrText xml:space="preserve"> CITATION Coo16 \l 2057 </w:instrText>
          </w:r>
          <w:r w:rsidR="00EC608D">
            <w:rPr>
              <w:rFonts w:ascii="Arial" w:hAnsi="Arial" w:cs="Arial"/>
            </w:rPr>
            <w:fldChar w:fldCharType="separate"/>
          </w:r>
          <w:r w:rsidR="00EC608D" w:rsidRPr="00EC608D">
            <w:rPr>
              <w:rFonts w:ascii="Arial" w:hAnsi="Arial" w:cs="Arial"/>
              <w:noProof/>
            </w:rPr>
            <w:t>(Cooper, 2016)</w:t>
          </w:r>
          <w:r w:rsidR="00EC608D">
            <w:rPr>
              <w:rFonts w:ascii="Arial" w:hAnsi="Arial" w:cs="Arial"/>
            </w:rPr>
            <w:fldChar w:fldCharType="end"/>
          </w:r>
        </w:sdtContent>
      </w:sdt>
      <w:r w:rsidR="00EC608D">
        <w:rPr>
          <w:rFonts w:ascii="Arial" w:hAnsi="Arial" w:cs="Arial"/>
        </w:rPr>
        <w:t>.</w:t>
      </w:r>
      <w:r w:rsidR="00432862">
        <w:rPr>
          <w:rFonts w:ascii="Arial" w:hAnsi="Arial" w:cs="Arial"/>
        </w:rPr>
        <w:t xml:space="preserve">  </w:t>
      </w:r>
      <w:r w:rsidR="00EA38F8">
        <w:rPr>
          <w:rFonts w:ascii="Arial" w:hAnsi="Arial" w:cs="Arial"/>
        </w:rPr>
        <w:t xml:space="preserve">It is also relevant for the researcher to be mindful of </w:t>
      </w:r>
      <w:r w:rsidR="001D51BD">
        <w:rPr>
          <w:rFonts w:ascii="Arial" w:hAnsi="Arial" w:cs="Arial"/>
        </w:rPr>
        <w:t xml:space="preserve">any influence by bias that are present in the original studies with Cooper </w:t>
      </w:r>
      <w:r w:rsidR="00304B7A">
        <w:rPr>
          <w:rFonts w:ascii="Arial" w:hAnsi="Arial" w:cs="Arial"/>
        </w:rPr>
        <w:t>highlighting the importance of ensuring that the studies and data utilised are up-to date and applicable to the research question or topic of interest.</w:t>
      </w:r>
      <w:r w:rsidR="008962BB">
        <w:rPr>
          <w:rFonts w:ascii="Arial" w:hAnsi="Arial" w:cs="Arial"/>
        </w:rPr>
        <w:t xml:space="preserve"> </w:t>
      </w:r>
      <w:r w:rsidR="00D161E3">
        <w:rPr>
          <w:rFonts w:ascii="Arial" w:hAnsi="Arial" w:cs="Arial"/>
        </w:rPr>
        <w:t xml:space="preserve">Cooper also stresses the </w:t>
      </w:r>
      <w:r w:rsidR="008962BB">
        <w:rPr>
          <w:rFonts w:ascii="Arial" w:hAnsi="Arial" w:cs="Arial"/>
        </w:rPr>
        <w:t>significant</w:t>
      </w:r>
      <w:r w:rsidR="00D161E3">
        <w:rPr>
          <w:rFonts w:ascii="Arial" w:hAnsi="Arial" w:cs="Arial"/>
        </w:rPr>
        <w:t xml:space="preserve"> </w:t>
      </w:r>
      <w:r w:rsidR="008962BB">
        <w:rPr>
          <w:rFonts w:ascii="Arial" w:hAnsi="Arial" w:cs="Arial"/>
        </w:rPr>
        <w:t>importan</w:t>
      </w:r>
      <w:r w:rsidR="00D161E3">
        <w:rPr>
          <w:rFonts w:ascii="Arial" w:hAnsi="Arial" w:cs="Arial"/>
        </w:rPr>
        <w:t>ce of</w:t>
      </w:r>
      <w:r w:rsidR="008962BB">
        <w:rPr>
          <w:rFonts w:ascii="Arial" w:hAnsi="Arial" w:cs="Arial"/>
        </w:rPr>
        <w:t xml:space="preserve"> ensur</w:t>
      </w:r>
      <w:r w:rsidR="00D161E3">
        <w:rPr>
          <w:rFonts w:ascii="Arial" w:hAnsi="Arial" w:cs="Arial"/>
        </w:rPr>
        <w:t>ing</w:t>
      </w:r>
      <w:r w:rsidR="008962BB">
        <w:rPr>
          <w:rFonts w:ascii="Arial" w:hAnsi="Arial" w:cs="Arial"/>
        </w:rPr>
        <w:t xml:space="preserve"> </w:t>
      </w:r>
      <w:r w:rsidR="0041213C">
        <w:rPr>
          <w:rFonts w:ascii="Arial" w:hAnsi="Arial" w:cs="Arial"/>
        </w:rPr>
        <w:t>that proper citation and acknowledgement of original authors and sources are essential to maintain academic integrity</w:t>
      </w:r>
      <w:r w:rsidR="00D161E3">
        <w:rPr>
          <w:rFonts w:ascii="Arial" w:hAnsi="Arial" w:cs="Arial"/>
        </w:rPr>
        <w:t>.</w:t>
      </w:r>
    </w:p>
    <w:p w14:paraId="67E3B72E" w14:textId="63666C97" w:rsidR="00B036FC" w:rsidRDefault="00B036FC" w:rsidP="007E22E3">
      <w:pPr>
        <w:jc w:val="both"/>
        <w:rPr>
          <w:rFonts w:ascii="Arial" w:hAnsi="Arial" w:cs="Arial"/>
        </w:rPr>
      </w:pPr>
      <w:r>
        <w:rPr>
          <w:rFonts w:ascii="Arial" w:hAnsi="Arial" w:cs="Arial"/>
        </w:rPr>
        <w:lastRenderedPageBreak/>
        <w:t xml:space="preserve">Secondary research can be complimented by primary </w:t>
      </w:r>
      <w:r w:rsidR="00300D2A">
        <w:rPr>
          <w:rFonts w:ascii="Arial" w:hAnsi="Arial" w:cs="Arial"/>
        </w:rPr>
        <w:t>research with this combination offering a robust and comprehensi</w:t>
      </w:r>
      <w:r w:rsidR="00F90361">
        <w:rPr>
          <w:rFonts w:ascii="Arial" w:hAnsi="Arial" w:cs="Arial"/>
        </w:rPr>
        <w:t>ve understanding of a research topic.</w:t>
      </w:r>
    </w:p>
    <w:p w14:paraId="5EC55AB6" w14:textId="1E7013E6" w:rsidR="00A64A75" w:rsidRDefault="00A64A75" w:rsidP="007E22E3">
      <w:pPr>
        <w:jc w:val="both"/>
        <w:rPr>
          <w:rFonts w:ascii="Arial" w:hAnsi="Arial" w:cs="Arial"/>
        </w:rPr>
      </w:pPr>
      <w:r>
        <w:rPr>
          <w:rFonts w:ascii="Arial" w:hAnsi="Arial" w:cs="Arial"/>
        </w:rPr>
        <w:t xml:space="preserve">Primary and secondary research methods offer distinct advantages </w:t>
      </w:r>
      <w:r w:rsidR="00874C2E">
        <w:rPr>
          <w:rFonts w:ascii="Arial" w:hAnsi="Arial" w:cs="Arial"/>
        </w:rPr>
        <w:t>and limitations.  Primary research enables the collection of fresh and targeted data directly from participants</w:t>
      </w:r>
      <w:r w:rsidR="00634686">
        <w:rPr>
          <w:rFonts w:ascii="Arial" w:hAnsi="Arial" w:cs="Arial"/>
        </w:rPr>
        <w:t xml:space="preserve">, offering first hand insights and a deep understanding.  Conversely, secondary research </w:t>
      </w:r>
      <w:r w:rsidR="000D6255">
        <w:rPr>
          <w:rFonts w:ascii="Arial" w:hAnsi="Arial" w:cs="Arial"/>
        </w:rPr>
        <w:t xml:space="preserve">provides a wider perspective by consolidating existing data and knowledge from diverse sources.  Integrating both methods </w:t>
      </w:r>
      <w:r w:rsidR="003D2F6D">
        <w:rPr>
          <w:rFonts w:ascii="Arial" w:hAnsi="Arial" w:cs="Arial"/>
        </w:rPr>
        <w:t>allow</w:t>
      </w:r>
      <w:r w:rsidR="000D6255">
        <w:rPr>
          <w:rFonts w:ascii="Arial" w:hAnsi="Arial" w:cs="Arial"/>
        </w:rPr>
        <w:t xml:space="preserve"> you to </w:t>
      </w:r>
      <w:r w:rsidR="00131806">
        <w:rPr>
          <w:rFonts w:ascii="Arial" w:hAnsi="Arial" w:cs="Arial"/>
        </w:rPr>
        <w:t>harness the strengths of each approach and acquire a more holistic comprehension of the research topic</w:t>
      </w:r>
      <w:sdt>
        <w:sdtPr>
          <w:rPr>
            <w:rFonts w:ascii="Arial" w:hAnsi="Arial" w:cs="Arial"/>
          </w:rPr>
          <w:id w:val="-609977531"/>
          <w:citation/>
        </w:sdtPr>
        <w:sdtContent>
          <w:r w:rsidR="00483729">
            <w:rPr>
              <w:rFonts w:ascii="Arial" w:hAnsi="Arial" w:cs="Arial"/>
            </w:rPr>
            <w:fldChar w:fldCharType="begin"/>
          </w:r>
          <w:r w:rsidR="00483729">
            <w:rPr>
              <w:rFonts w:ascii="Arial" w:hAnsi="Arial" w:cs="Arial"/>
            </w:rPr>
            <w:instrText xml:space="preserve"> CITATION Cre17 \l 2057 </w:instrText>
          </w:r>
          <w:r w:rsidR="00483729">
            <w:rPr>
              <w:rFonts w:ascii="Arial" w:hAnsi="Arial" w:cs="Arial"/>
            </w:rPr>
            <w:fldChar w:fldCharType="separate"/>
          </w:r>
          <w:r w:rsidR="00483729">
            <w:rPr>
              <w:rFonts w:ascii="Arial" w:hAnsi="Arial" w:cs="Arial"/>
              <w:noProof/>
            </w:rPr>
            <w:t xml:space="preserve"> </w:t>
          </w:r>
          <w:r w:rsidR="00483729" w:rsidRPr="00483729">
            <w:rPr>
              <w:rFonts w:ascii="Arial" w:hAnsi="Arial" w:cs="Arial"/>
              <w:noProof/>
            </w:rPr>
            <w:t>(Creswell, 2017)</w:t>
          </w:r>
          <w:r w:rsidR="00483729">
            <w:rPr>
              <w:rFonts w:ascii="Arial" w:hAnsi="Arial" w:cs="Arial"/>
            </w:rPr>
            <w:fldChar w:fldCharType="end"/>
          </w:r>
        </w:sdtContent>
      </w:sdt>
      <w:r w:rsidR="00483729">
        <w:rPr>
          <w:rFonts w:ascii="Arial" w:hAnsi="Arial" w:cs="Arial"/>
        </w:rPr>
        <w:t>.</w:t>
      </w:r>
    </w:p>
    <w:p w14:paraId="39C72B89" w14:textId="18B93347" w:rsidR="001633D3" w:rsidRDefault="00057882" w:rsidP="007E22E3">
      <w:pPr>
        <w:jc w:val="both"/>
        <w:rPr>
          <w:rFonts w:ascii="Arial" w:hAnsi="Arial" w:cs="Arial"/>
        </w:rPr>
      </w:pPr>
      <w:r>
        <w:rPr>
          <w:rFonts w:ascii="Arial" w:hAnsi="Arial" w:cs="Arial"/>
        </w:rPr>
        <w:t xml:space="preserve">There are several methods that can be used to collect data for </w:t>
      </w:r>
      <w:r w:rsidR="00100010">
        <w:rPr>
          <w:rFonts w:ascii="Arial" w:hAnsi="Arial" w:cs="Arial"/>
        </w:rPr>
        <w:t>research.</w:t>
      </w:r>
    </w:p>
    <w:p w14:paraId="1F1DBA1B" w14:textId="6B30CCD9" w:rsidR="00100010" w:rsidRDefault="00100010" w:rsidP="007E22E3">
      <w:pPr>
        <w:jc w:val="both"/>
        <w:rPr>
          <w:rFonts w:ascii="Arial" w:hAnsi="Arial" w:cs="Arial"/>
        </w:rPr>
      </w:pPr>
      <w:r>
        <w:rPr>
          <w:rFonts w:ascii="Arial" w:hAnsi="Arial" w:cs="Arial"/>
        </w:rPr>
        <w:t xml:space="preserve">Action research is an approach that involves active participation from stakeholders to address real-world </w:t>
      </w:r>
      <w:r w:rsidR="00F72FB7">
        <w:rPr>
          <w:rFonts w:ascii="Arial" w:hAnsi="Arial" w:cs="Arial"/>
        </w:rPr>
        <w:t xml:space="preserve">problems within a specific context </w:t>
      </w:r>
      <w:sdt>
        <w:sdtPr>
          <w:rPr>
            <w:rFonts w:ascii="Arial" w:hAnsi="Arial" w:cs="Arial"/>
          </w:rPr>
          <w:id w:val="411051259"/>
          <w:citation/>
        </w:sdtPr>
        <w:sdtContent>
          <w:r w:rsidR="00F72FB7">
            <w:rPr>
              <w:rFonts w:ascii="Arial" w:hAnsi="Arial" w:cs="Arial"/>
            </w:rPr>
            <w:fldChar w:fldCharType="begin"/>
          </w:r>
          <w:r w:rsidR="00F72FB7">
            <w:rPr>
              <w:rFonts w:ascii="Arial" w:hAnsi="Arial" w:cs="Arial"/>
            </w:rPr>
            <w:instrText xml:space="preserve"> CITATION Rea08 \l 2057 </w:instrText>
          </w:r>
          <w:r w:rsidR="00F72FB7">
            <w:rPr>
              <w:rFonts w:ascii="Arial" w:hAnsi="Arial" w:cs="Arial"/>
            </w:rPr>
            <w:fldChar w:fldCharType="separate"/>
          </w:r>
          <w:r w:rsidR="00F72FB7" w:rsidRPr="00F72FB7">
            <w:rPr>
              <w:rFonts w:ascii="Arial" w:hAnsi="Arial" w:cs="Arial"/>
              <w:noProof/>
            </w:rPr>
            <w:t>(Reason, 2008)</w:t>
          </w:r>
          <w:r w:rsidR="00F72FB7">
            <w:rPr>
              <w:rFonts w:ascii="Arial" w:hAnsi="Arial" w:cs="Arial"/>
            </w:rPr>
            <w:fldChar w:fldCharType="end"/>
          </w:r>
        </w:sdtContent>
      </w:sdt>
      <w:r w:rsidR="00082663">
        <w:rPr>
          <w:rFonts w:ascii="Arial" w:hAnsi="Arial" w:cs="Arial"/>
        </w:rPr>
        <w:t xml:space="preserve">.  It follows a cyclical process of planning, acting, </w:t>
      </w:r>
      <w:r w:rsidR="003D2F6D">
        <w:rPr>
          <w:rFonts w:ascii="Arial" w:hAnsi="Arial" w:cs="Arial"/>
        </w:rPr>
        <w:t>observing,</w:t>
      </w:r>
      <w:r w:rsidR="00082663">
        <w:rPr>
          <w:rFonts w:ascii="Arial" w:hAnsi="Arial" w:cs="Arial"/>
        </w:rPr>
        <w:t xml:space="preserve"> and reflecting to bring</w:t>
      </w:r>
      <w:r w:rsidR="00CE4E54">
        <w:rPr>
          <w:rFonts w:ascii="Arial" w:hAnsi="Arial" w:cs="Arial"/>
        </w:rPr>
        <w:t xml:space="preserve"> </w:t>
      </w:r>
      <w:r w:rsidR="00082663">
        <w:rPr>
          <w:rFonts w:ascii="Arial" w:hAnsi="Arial" w:cs="Arial"/>
        </w:rPr>
        <w:t xml:space="preserve">about </w:t>
      </w:r>
      <w:r w:rsidR="00CE4E54">
        <w:rPr>
          <w:rFonts w:ascii="Arial" w:hAnsi="Arial" w:cs="Arial"/>
        </w:rPr>
        <w:t xml:space="preserve">practical change </w:t>
      </w:r>
      <w:sdt>
        <w:sdtPr>
          <w:rPr>
            <w:rFonts w:ascii="Arial" w:hAnsi="Arial" w:cs="Arial"/>
          </w:rPr>
          <w:id w:val="-351732595"/>
          <w:citation/>
        </w:sdtPr>
        <w:sdtContent>
          <w:r w:rsidR="00CE4E54">
            <w:rPr>
              <w:rFonts w:ascii="Arial" w:hAnsi="Arial" w:cs="Arial"/>
            </w:rPr>
            <w:fldChar w:fldCharType="begin"/>
          </w:r>
          <w:r w:rsidR="00CE4E54">
            <w:rPr>
              <w:rFonts w:ascii="Arial" w:hAnsi="Arial" w:cs="Arial"/>
            </w:rPr>
            <w:instrText xml:space="preserve"> CITATION Kem05 \l 2057 </w:instrText>
          </w:r>
          <w:r w:rsidR="00CE4E54">
            <w:rPr>
              <w:rFonts w:ascii="Arial" w:hAnsi="Arial" w:cs="Arial"/>
            </w:rPr>
            <w:fldChar w:fldCharType="separate"/>
          </w:r>
          <w:r w:rsidR="00CE4E54" w:rsidRPr="00CE4E54">
            <w:rPr>
              <w:rFonts w:ascii="Arial" w:hAnsi="Arial" w:cs="Arial"/>
              <w:noProof/>
            </w:rPr>
            <w:t>(Kemmis, 2005)</w:t>
          </w:r>
          <w:r w:rsidR="00CE4E54">
            <w:rPr>
              <w:rFonts w:ascii="Arial" w:hAnsi="Arial" w:cs="Arial"/>
            </w:rPr>
            <w:fldChar w:fldCharType="end"/>
          </w:r>
        </w:sdtContent>
      </w:sdt>
      <w:r w:rsidR="00836165">
        <w:rPr>
          <w:rFonts w:ascii="Arial" w:hAnsi="Arial" w:cs="Arial"/>
        </w:rPr>
        <w:t xml:space="preserve">.  Data collection is a crucial component of action research as it provides the necessary information to inform </w:t>
      </w:r>
      <w:r w:rsidR="008A046B">
        <w:rPr>
          <w:rFonts w:ascii="Arial" w:hAnsi="Arial" w:cs="Arial"/>
        </w:rPr>
        <w:t xml:space="preserve">decision-making and evaluate the effectiveness of the interventions or actions taken.  Researchers employ various data collection methods </w:t>
      </w:r>
      <w:r w:rsidR="009C7C65">
        <w:rPr>
          <w:rFonts w:ascii="Arial" w:hAnsi="Arial" w:cs="Arial"/>
        </w:rPr>
        <w:t>to gather both qualitative and quantitative data to gain a comprehensive understanding of the problem and potential solutions</w:t>
      </w:r>
      <w:r w:rsidR="00323ADF">
        <w:rPr>
          <w:rFonts w:ascii="Arial" w:hAnsi="Arial" w:cs="Arial"/>
        </w:rPr>
        <w:t xml:space="preserve">, including surveys and questionnaires </w:t>
      </w:r>
      <w:sdt>
        <w:sdtPr>
          <w:rPr>
            <w:rFonts w:ascii="Arial" w:hAnsi="Arial" w:cs="Arial"/>
          </w:rPr>
          <w:id w:val="-911240315"/>
          <w:citation/>
        </w:sdtPr>
        <w:sdtContent>
          <w:r w:rsidR="00323ADF">
            <w:rPr>
              <w:rFonts w:ascii="Arial" w:hAnsi="Arial" w:cs="Arial"/>
            </w:rPr>
            <w:fldChar w:fldCharType="begin"/>
          </w:r>
          <w:r w:rsidR="00323ADF">
            <w:rPr>
              <w:rFonts w:ascii="Arial" w:hAnsi="Arial" w:cs="Arial"/>
            </w:rPr>
            <w:instrText xml:space="preserve"> CITATION Str14 \l 2057 </w:instrText>
          </w:r>
          <w:r w:rsidR="00323ADF">
            <w:rPr>
              <w:rFonts w:ascii="Arial" w:hAnsi="Arial" w:cs="Arial"/>
            </w:rPr>
            <w:fldChar w:fldCharType="separate"/>
          </w:r>
          <w:r w:rsidR="00323ADF" w:rsidRPr="00323ADF">
            <w:rPr>
              <w:rFonts w:ascii="Arial" w:hAnsi="Arial" w:cs="Arial"/>
              <w:noProof/>
            </w:rPr>
            <w:t>(Stringer, 2014)</w:t>
          </w:r>
          <w:r w:rsidR="00323ADF">
            <w:rPr>
              <w:rFonts w:ascii="Arial" w:hAnsi="Arial" w:cs="Arial"/>
            </w:rPr>
            <w:fldChar w:fldCharType="end"/>
          </w:r>
        </w:sdtContent>
      </w:sdt>
      <w:r w:rsidR="0044498B">
        <w:rPr>
          <w:rFonts w:ascii="Arial" w:hAnsi="Arial" w:cs="Arial"/>
        </w:rPr>
        <w:t xml:space="preserve">  which are a common method for gathe</w:t>
      </w:r>
      <w:r w:rsidR="005F1009">
        <w:rPr>
          <w:rFonts w:ascii="Arial" w:hAnsi="Arial" w:cs="Arial"/>
        </w:rPr>
        <w:t>r</w:t>
      </w:r>
      <w:r w:rsidR="0044498B">
        <w:rPr>
          <w:rFonts w:ascii="Arial" w:hAnsi="Arial" w:cs="Arial"/>
        </w:rPr>
        <w:t>in</w:t>
      </w:r>
      <w:r w:rsidR="005F1009">
        <w:rPr>
          <w:rFonts w:ascii="Arial" w:hAnsi="Arial" w:cs="Arial"/>
        </w:rPr>
        <w:t>g</w:t>
      </w:r>
      <w:r w:rsidR="0044498B">
        <w:rPr>
          <w:rFonts w:ascii="Arial" w:hAnsi="Arial" w:cs="Arial"/>
        </w:rPr>
        <w:t xml:space="preserve"> quantitative data from large numbers of participants</w:t>
      </w:r>
      <w:r w:rsidR="005F1009">
        <w:rPr>
          <w:rFonts w:ascii="Arial" w:hAnsi="Arial" w:cs="Arial"/>
        </w:rPr>
        <w:t xml:space="preserve"> which capture participants opinions, experiences or behaviours relates to the problem, allowing for statistical analysis.</w:t>
      </w:r>
      <w:r w:rsidR="00900A3D">
        <w:rPr>
          <w:rFonts w:ascii="Arial" w:hAnsi="Arial" w:cs="Arial"/>
        </w:rPr>
        <w:t xml:space="preserve">  Interviews provide qualitative data through in-depth conversations with key stakeholders </w:t>
      </w:r>
      <w:sdt>
        <w:sdtPr>
          <w:rPr>
            <w:rFonts w:ascii="Arial" w:hAnsi="Arial" w:cs="Arial"/>
          </w:rPr>
          <w:id w:val="1723940968"/>
          <w:citation/>
        </w:sdtPr>
        <w:sdtContent>
          <w:r w:rsidR="00186DE0">
            <w:rPr>
              <w:rFonts w:ascii="Arial" w:hAnsi="Arial" w:cs="Arial"/>
            </w:rPr>
            <w:fldChar w:fldCharType="begin"/>
          </w:r>
          <w:r w:rsidR="00186DE0">
            <w:rPr>
              <w:rFonts w:ascii="Arial" w:hAnsi="Arial" w:cs="Arial"/>
            </w:rPr>
            <w:instrText xml:space="preserve"> CITATION Cre09 \l 2057 </w:instrText>
          </w:r>
          <w:r w:rsidR="00186DE0">
            <w:rPr>
              <w:rFonts w:ascii="Arial" w:hAnsi="Arial" w:cs="Arial"/>
            </w:rPr>
            <w:fldChar w:fldCharType="separate"/>
          </w:r>
          <w:r w:rsidR="00186DE0" w:rsidRPr="00186DE0">
            <w:rPr>
              <w:rFonts w:ascii="Arial" w:hAnsi="Arial" w:cs="Arial"/>
              <w:noProof/>
            </w:rPr>
            <w:t>(Creswell, 2009)</w:t>
          </w:r>
          <w:r w:rsidR="00186DE0">
            <w:rPr>
              <w:rFonts w:ascii="Arial" w:hAnsi="Arial" w:cs="Arial"/>
            </w:rPr>
            <w:fldChar w:fldCharType="end"/>
          </w:r>
        </w:sdtContent>
      </w:sdt>
      <w:r w:rsidR="00186DE0">
        <w:rPr>
          <w:rFonts w:ascii="Arial" w:hAnsi="Arial" w:cs="Arial"/>
        </w:rPr>
        <w:t xml:space="preserve"> and offer insights into perspectives, experiences </w:t>
      </w:r>
      <w:r w:rsidR="00CD56BE">
        <w:rPr>
          <w:rFonts w:ascii="Arial" w:hAnsi="Arial" w:cs="Arial"/>
        </w:rPr>
        <w:t xml:space="preserve">and provide suggestions for improvement.  Observations involve direct observation of the context or situation under study </w:t>
      </w:r>
      <w:sdt>
        <w:sdtPr>
          <w:rPr>
            <w:rFonts w:ascii="Arial" w:hAnsi="Arial" w:cs="Arial"/>
          </w:rPr>
          <w:id w:val="-351961281"/>
          <w:citation/>
        </w:sdtPr>
        <w:sdtContent>
          <w:r w:rsidR="00CD56BE">
            <w:rPr>
              <w:rFonts w:ascii="Arial" w:hAnsi="Arial" w:cs="Arial"/>
            </w:rPr>
            <w:fldChar w:fldCharType="begin"/>
          </w:r>
          <w:r w:rsidR="00CD56BE">
            <w:rPr>
              <w:rFonts w:ascii="Arial" w:hAnsi="Arial" w:cs="Arial"/>
            </w:rPr>
            <w:instrText xml:space="preserve"> CITATION Win87 \l 2057 </w:instrText>
          </w:r>
          <w:r w:rsidR="00CD56BE">
            <w:rPr>
              <w:rFonts w:ascii="Arial" w:hAnsi="Arial" w:cs="Arial"/>
            </w:rPr>
            <w:fldChar w:fldCharType="separate"/>
          </w:r>
          <w:r w:rsidR="00CD56BE" w:rsidRPr="00CD56BE">
            <w:rPr>
              <w:rFonts w:ascii="Arial" w:hAnsi="Arial" w:cs="Arial"/>
              <w:noProof/>
            </w:rPr>
            <w:t>(Winter, 1987)</w:t>
          </w:r>
          <w:r w:rsidR="00CD56BE">
            <w:rPr>
              <w:rFonts w:ascii="Arial" w:hAnsi="Arial" w:cs="Arial"/>
            </w:rPr>
            <w:fldChar w:fldCharType="end"/>
          </w:r>
        </w:sdtContent>
      </w:sdt>
      <w:r w:rsidR="00125160">
        <w:rPr>
          <w:rFonts w:ascii="Arial" w:hAnsi="Arial" w:cs="Arial"/>
        </w:rPr>
        <w:t xml:space="preserve"> with observations of interactions, behaviours, or processes to gain a deeper understanding of the problem and interventions.</w:t>
      </w:r>
      <w:r w:rsidR="00F67670">
        <w:rPr>
          <w:rFonts w:ascii="Arial" w:hAnsi="Arial" w:cs="Arial"/>
        </w:rPr>
        <w:t xml:space="preserve">  </w:t>
      </w:r>
      <w:r w:rsidR="006B4905">
        <w:rPr>
          <w:rFonts w:ascii="Arial" w:hAnsi="Arial" w:cs="Arial"/>
        </w:rPr>
        <w:t xml:space="preserve">Focus groups offer another opportunity to conduct an </w:t>
      </w:r>
      <w:r w:rsidR="00FF0B2D">
        <w:rPr>
          <w:rFonts w:ascii="Arial" w:hAnsi="Arial" w:cs="Arial"/>
        </w:rPr>
        <w:t xml:space="preserve">action research approach and allow for interactive conversations and collective problem solving </w:t>
      </w:r>
      <w:sdt>
        <w:sdtPr>
          <w:rPr>
            <w:rFonts w:ascii="Arial" w:hAnsi="Arial" w:cs="Arial"/>
          </w:rPr>
          <w:id w:val="-1925950945"/>
          <w:citation/>
        </w:sdtPr>
        <w:sdtContent>
          <w:r w:rsidR="00FF0B2D">
            <w:rPr>
              <w:rFonts w:ascii="Arial" w:hAnsi="Arial" w:cs="Arial"/>
            </w:rPr>
            <w:fldChar w:fldCharType="begin"/>
          </w:r>
          <w:r w:rsidR="00FF0B2D">
            <w:rPr>
              <w:rFonts w:ascii="Arial" w:hAnsi="Arial" w:cs="Arial"/>
            </w:rPr>
            <w:instrText xml:space="preserve"> CITATION Gre98 \l 2057 </w:instrText>
          </w:r>
          <w:r w:rsidR="00FF0B2D">
            <w:rPr>
              <w:rFonts w:ascii="Arial" w:hAnsi="Arial" w:cs="Arial"/>
            </w:rPr>
            <w:fldChar w:fldCharType="separate"/>
          </w:r>
          <w:r w:rsidR="00FF0B2D" w:rsidRPr="00FF0B2D">
            <w:rPr>
              <w:rFonts w:ascii="Arial" w:hAnsi="Arial" w:cs="Arial"/>
              <w:noProof/>
            </w:rPr>
            <w:t>(Greenbaum, 1998)</w:t>
          </w:r>
          <w:r w:rsidR="00FF0B2D">
            <w:rPr>
              <w:rFonts w:ascii="Arial" w:hAnsi="Arial" w:cs="Arial"/>
            </w:rPr>
            <w:fldChar w:fldCharType="end"/>
          </w:r>
        </w:sdtContent>
      </w:sdt>
      <w:r w:rsidR="006931BA">
        <w:rPr>
          <w:rFonts w:ascii="Arial" w:hAnsi="Arial" w:cs="Arial"/>
        </w:rPr>
        <w:t>.  Additional context</w:t>
      </w:r>
      <w:r w:rsidR="00016C8F">
        <w:rPr>
          <w:rFonts w:ascii="Arial" w:hAnsi="Arial" w:cs="Arial"/>
        </w:rPr>
        <w:t xml:space="preserve"> can be gleaned when conducting document analysis which can often prove fruitful in identifying patterns and trends </w:t>
      </w:r>
      <w:sdt>
        <w:sdtPr>
          <w:rPr>
            <w:rFonts w:ascii="Arial" w:hAnsi="Arial" w:cs="Arial"/>
          </w:rPr>
          <w:id w:val="-1398741731"/>
          <w:citation/>
        </w:sdtPr>
        <w:sdtContent>
          <w:r w:rsidR="00016C8F">
            <w:rPr>
              <w:rFonts w:ascii="Arial" w:hAnsi="Arial" w:cs="Arial"/>
            </w:rPr>
            <w:fldChar w:fldCharType="begin"/>
          </w:r>
          <w:r w:rsidR="00016C8F">
            <w:rPr>
              <w:rFonts w:ascii="Arial" w:hAnsi="Arial" w:cs="Arial"/>
            </w:rPr>
            <w:instrText xml:space="preserve"> CITATION Alt83 \l 2057 </w:instrText>
          </w:r>
          <w:r w:rsidR="00016C8F">
            <w:rPr>
              <w:rFonts w:ascii="Arial" w:hAnsi="Arial" w:cs="Arial"/>
            </w:rPr>
            <w:fldChar w:fldCharType="separate"/>
          </w:r>
          <w:r w:rsidR="00016C8F" w:rsidRPr="00016C8F">
            <w:rPr>
              <w:rFonts w:ascii="Arial" w:hAnsi="Arial" w:cs="Arial"/>
              <w:noProof/>
            </w:rPr>
            <w:t>(Altrichter, 1983)</w:t>
          </w:r>
          <w:r w:rsidR="00016C8F">
            <w:rPr>
              <w:rFonts w:ascii="Arial" w:hAnsi="Arial" w:cs="Arial"/>
            </w:rPr>
            <w:fldChar w:fldCharType="end"/>
          </w:r>
        </w:sdtContent>
      </w:sdt>
      <w:r w:rsidR="00AF05E2">
        <w:rPr>
          <w:rFonts w:ascii="Arial" w:hAnsi="Arial" w:cs="Arial"/>
        </w:rPr>
        <w:t xml:space="preserve">.  Reflection and journaling will </w:t>
      </w:r>
      <w:r w:rsidR="006D50B9">
        <w:rPr>
          <w:rFonts w:ascii="Arial" w:hAnsi="Arial" w:cs="Arial"/>
        </w:rPr>
        <w:t xml:space="preserve">also capture participants thoughts, experiences and insights and this qualitative data can contribute to the overall improvement of a situation </w:t>
      </w:r>
      <w:sdt>
        <w:sdtPr>
          <w:rPr>
            <w:rFonts w:ascii="Arial" w:hAnsi="Arial" w:cs="Arial"/>
          </w:rPr>
          <w:id w:val="-700320458"/>
          <w:citation/>
        </w:sdtPr>
        <w:sdtContent>
          <w:r w:rsidR="006D50B9">
            <w:rPr>
              <w:rFonts w:ascii="Arial" w:hAnsi="Arial" w:cs="Arial"/>
            </w:rPr>
            <w:fldChar w:fldCharType="begin"/>
          </w:r>
          <w:r w:rsidR="006D50B9">
            <w:rPr>
              <w:rFonts w:ascii="Arial" w:hAnsi="Arial" w:cs="Arial"/>
            </w:rPr>
            <w:instrText xml:space="preserve"> CITATION McN11 \l 2057 </w:instrText>
          </w:r>
          <w:r w:rsidR="006D50B9">
            <w:rPr>
              <w:rFonts w:ascii="Arial" w:hAnsi="Arial" w:cs="Arial"/>
            </w:rPr>
            <w:fldChar w:fldCharType="separate"/>
          </w:r>
          <w:r w:rsidR="006D50B9" w:rsidRPr="006D50B9">
            <w:rPr>
              <w:rFonts w:ascii="Arial" w:hAnsi="Arial" w:cs="Arial"/>
              <w:noProof/>
            </w:rPr>
            <w:t>(McNiff, 2011)</w:t>
          </w:r>
          <w:r w:rsidR="006D50B9">
            <w:rPr>
              <w:rFonts w:ascii="Arial" w:hAnsi="Arial" w:cs="Arial"/>
            </w:rPr>
            <w:fldChar w:fldCharType="end"/>
          </w:r>
        </w:sdtContent>
      </w:sdt>
      <w:r w:rsidR="006D50B9">
        <w:rPr>
          <w:rFonts w:ascii="Arial" w:hAnsi="Arial" w:cs="Arial"/>
        </w:rPr>
        <w:t>.</w:t>
      </w:r>
    </w:p>
    <w:p w14:paraId="38EF5208" w14:textId="742BC560" w:rsidR="009F3E2F" w:rsidRDefault="009F3E2F" w:rsidP="007E22E3">
      <w:pPr>
        <w:jc w:val="both"/>
        <w:rPr>
          <w:rFonts w:ascii="Arial" w:hAnsi="Arial" w:cs="Arial"/>
        </w:rPr>
      </w:pPr>
      <w:r>
        <w:rPr>
          <w:rFonts w:ascii="Arial" w:hAnsi="Arial" w:cs="Arial"/>
        </w:rPr>
        <w:t xml:space="preserve">One of the strengths of action research is its emphasis on collaboration and active </w:t>
      </w:r>
      <w:r w:rsidR="00A64E3A">
        <w:rPr>
          <w:rFonts w:ascii="Arial" w:hAnsi="Arial" w:cs="Arial"/>
        </w:rPr>
        <w:t xml:space="preserve">participation from stakeholders </w:t>
      </w:r>
      <w:sdt>
        <w:sdtPr>
          <w:rPr>
            <w:rFonts w:ascii="Arial" w:hAnsi="Arial" w:cs="Arial"/>
          </w:rPr>
          <w:id w:val="1279912678"/>
          <w:citation/>
        </w:sdtPr>
        <w:sdtContent>
          <w:r w:rsidR="00A64E3A">
            <w:rPr>
              <w:rFonts w:ascii="Arial" w:hAnsi="Arial" w:cs="Arial"/>
            </w:rPr>
            <w:fldChar w:fldCharType="begin"/>
          </w:r>
          <w:r w:rsidR="00A64E3A">
            <w:rPr>
              <w:rFonts w:ascii="Arial" w:hAnsi="Arial" w:cs="Arial"/>
            </w:rPr>
            <w:instrText xml:space="preserve"> CITATION Rea08 \l 2057 </w:instrText>
          </w:r>
          <w:r w:rsidR="00A64E3A">
            <w:rPr>
              <w:rFonts w:ascii="Arial" w:hAnsi="Arial" w:cs="Arial"/>
            </w:rPr>
            <w:fldChar w:fldCharType="separate"/>
          </w:r>
          <w:r w:rsidR="00A64E3A" w:rsidRPr="00A64E3A">
            <w:rPr>
              <w:rFonts w:ascii="Arial" w:hAnsi="Arial" w:cs="Arial"/>
              <w:noProof/>
            </w:rPr>
            <w:t>(Reason, 2008)</w:t>
          </w:r>
          <w:r w:rsidR="00A64E3A">
            <w:rPr>
              <w:rFonts w:ascii="Arial" w:hAnsi="Arial" w:cs="Arial"/>
            </w:rPr>
            <w:fldChar w:fldCharType="end"/>
          </w:r>
        </w:sdtContent>
      </w:sdt>
      <w:r w:rsidR="00A64E3A">
        <w:rPr>
          <w:rFonts w:ascii="Arial" w:hAnsi="Arial" w:cs="Arial"/>
        </w:rPr>
        <w:t>.  This participatory approach allows for the co-</w:t>
      </w:r>
      <w:r w:rsidR="004A6274">
        <w:rPr>
          <w:rFonts w:ascii="Arial" w:hAnsi="Arial" w:cs="Arial"/>
        </w:rPr>
        <w:t>creation</w:t>
      </w:r>
      <w:r w:rsidR="00A64E3A">
        <w:rPr>
          <w:rFonts w:ascii="Arial" w:hAnsi="Arial" w:cs="Arial"/>
        </w:rPr>
        <w:t xml:space="preserve"> of knowledge</w:t>
      </w:r>
      <w:r w:rsidR="004A6274">
        <w:rPr>
          <w:rFonts w:ascii="Arial" w:hAnsi="Arial" w:cs="Arial"/>
        </w:rPr>
        <w:t xml:space="preserve"> </w:t>
      </w:r>
      <w:r w:rsidR="00A64E3A">
        <w:rPr>
          <w:rFonts w:ascii="Arial" w:hAnsi="Arial" w:cs="Arial"/>
        </w:rPr>
        <w:t xml:space="preserve">and ensures </w:t>
      </w:r>
      <w:r w:rsidR="004A6274">
        <w:rPr>
          <w:rFonts w:ascii="Arial" w:hAnsi="Arial" w:cs="Arial"/>
        </w:rPr>
        <w:t xml:space="preserve">that the interventions and solutions are relevant and meaningful to the context.  </w:t>
      </w:r>
      <w:r w:rsidR="006C4593">
        <w:rPr>
          <w:rFonts w:ascii="Arial" w:hAnsi="Arial" w:cs="Arial"/>
        </w:rPr>
        <w:t xml:space="preserve">It is </w:t>
      </w:r>
      <w:r w:rsidR="003D2F6D">
        <w:rPr>
          <w:rFonts w:ascii="Arial" w:hAnsi="Arial" w:cs="Arial"/>
        </w:rPr>
        <w:t>argued</w:t>
      </w:r>
      <w:r w:rsidR="006C4593">
        <w:rPr>
          <w:rFonts w:ascii="Arial" w:hAnsi="Arial" w:cs="Arial"/>
        </w:rPr>
        <w:t xml:space="preserve"> by</w:t>
      </w:r>
      <w:r w:rsidR="00BA500D">
        <w:rPr>
          <w:rFonts w:ascii="Arial" w:hAnsi="Arial" w:cs="Arial"/>
        </w:rPr>
        <w:t xml:space="preserve"> Kemmis (2005) that i</w:t>
      </w:r>
      <w:r w:rsidR="004A6274">
        <w:rPr>
          <w:rFonts w:ascii="Arial" w:hAnsi="Arial" w:cs="Arial"/>
        </w:rPr>
        <w:t>t also promotes empowerment and ownership among the participants, as they are actively involved in the research process.</w:t>
      </w:r>
      <w:r w:rsidR="00DF5464">
        <w:rPr>
          <w:rFonts w:ascii="Arial" w:hAnsi="Arial" w:cs="Arial"/>
        </w:rPr>
        <w:t xml:space="preserve">  </w:t>
      </w:r>
      <w:r w:rsidR="00707CA6">
        <w:rPr>
          <w:rFonts w:ascii="Arial" w:hAnsi="Arial" w:cs="Arial"/>
        </w:rPr>
        <w:t>According to Kemmis (2005) a</w:t>
      </w:r>
      <w:r w:rsidR="00DF5464">
        <w:rPr>
          <w:rFonts w:ascii="Arial" w:hAnsi="Arial" w:cs="Arial"/>
        </w:rPr>
        <w:t>ction research is known for its focus on addressing real-world problem and generating practical knowledge</w:t>
      </w:r>
      <w:r w:rsidR="00F844CA">
        <w:rPr>
          <w:rFonts w:ascii="Arial" w:hAnsi="Arial" w:cs="Arial"/>
        </w:rPr>
        <w:t xml:space="preserve"> – the cyclical nature of action research, involving planning, acting, </w:t>
      </w:r>
      <w:r w:rsidR="003D2F6D">
        <w:rPr>
          <w:rFonts w:ascii="Arial" w:hAnsi="Arial" w:cs="Arial"/>
        </w:rPr>
        <w:t>observing,</w:t>
      </w:r>
      <w:r w:rsidR="00F844CA">
        <w:rPr>
          <w:rFonts w:ascii="Arial" w:hAnsi="Arial" w:cs="Arial"/>
        </w:rPr>
        <w:t xml:space="preserve"> and reflecting allows for continuous improvement</w:t>
      </w:r>
      <w:r w:rsidR="00707CA6">
        <w:rPr>
          <w:rFonts w:ascii="Arial" w:hAnsi="Arial" w:cs="Arial"/>
        </w:rPr>
        <w:t xml:space="preserve"> and adaptation of interventions.</w:t>
      </w:r>
      <w:r w:rsidR="0034542F">
        <w:rPr>
          <w:rFonts w:ascii="Arial" w:hAnsi="Arial" w:cs="Arial"/>
        </w:rPr>
        <w:t xml:space="preserve">  Furthermore, action research provides an opportunity to bridge the gap between theory and practice</w:t>
      </w:r>
      <w:r w:rsidR="00142F0D">
        <w:rPr>
          <w:rFonts w:ascii="Arial" w:hAnsi="Arial" w:cs="Arial"/>
        </w:rPr>
        <w:t xml:space="preserve">, allowing researchers to test and refine theoretical concepts in real-world settings and gain insights in to their </w:t>
      </w:r>
      <w:r w:rsidR="00862EEB">
        <w:rPr>
          <w:rFonts w:ascii="Arial" w:hAnsi="Arial" w:cs="Arial"/>
        </w:rPr>
        <w:t>applicability</w:t>
      </w:r>
      <w:r w:rsidR="00142F0D">
        <w:rPr>
          <w:rFonts w:ascii="Arial" w:hAnsi="Arial" w:cs="Arial"/>
        </w:rPr>
        <w:t xml:space="preserve"> and effectiveness</w:t>
      </w:r>
      <w:r w:rsidR="00862EEB">
        <w:rPr>
          <w:rFonts w:ascii="Arial" w:hAnsi="Arial" w:cs="Arial"/>
        </w:rPr>
        <w:t xml:space="preserve"> </w:t>
      </w:r>
      <w:sdt>
        <w:sdtPr>
          <w:rPr>
            <w:rFonts w:ascii="Arial" w:hAnsi="Arial" w:cs="Arial"/>
          </w:rPr>
          <w:id w:val="1658497807"/>
          <w:citation/>
        </w:sdtPr>
        <w:sdtContent>
          <w:r w:rsidR="00862EEB">
            <w:rPr>
              <w:rFonts w:ascii="Arial" w:hAnsi="Arial" w:cs="Arial"/>
            </w:rPr>
            <w:fldChar w:fldCharType="begin"/>
          </w:r>
          <w:r w:rsidR="00862EEB">
            <w:rPr>
              <w:rFonts w:ascii="Arial" w:hAnsi="Arial" w:cs="Arial"/>
            </w:rPr>
            <w:instrText xml:space="preserve"> CITATION Cre09 \l 2057 </w:instrText>
          </w:r>
          <w:r w:rsidR="00862EEB">
            <w:rPr>
              <w:rFonts w:ascii="Arial" w:hAnsi="Arial" w:cs="Arial"/>
            </w:rPr>
            <w:fldChar w:fldCharType="separate"/>
          </w:r>
          <w:r w:rsidR="00862EEB" w:rsidRPr="00862EEB">
            <w:rPr>
              <w:rFonts w:ascii="Arial" w:hAnsi="Arial" w:cs="Arial"/>
              <w:noProof/>
            </w:rPr>
            <w:t>(Creswell, 2009)</w:t>
          </w:r>
          <w:r w:rsidR="00862EEB">
            <w:rPr>
              <w:rFonts w:ascii="Arial" w:hAnsi="Arial" w:cs="Arial"/>
            </w:rPr>
            <w:fldChar w:fldCharType="end"/>
          </w:r>
        </w:sdtContent>
      </w:sdt>
      <w:r w:rsidR="005E44EF">
        <w:rPr>
          <w:rFonts w:ascii="Arial" w:hAnsi="Arial" w:cs="Arial"/>
        </w:rPr>
        <w:t xml:space="preserve"> and is particularly valuable in fields where the ultimate goal is to improve practice and make a positive impact.</w:t>
      </w:r>
    </w:p>
    <w:p w14:paraId="36C25779" w14:textId="4B173588" w:rsidR="006B60CE" w:rsidRDefault="00F335E5" w:rsidP="007E22E3">
      <w:pPr>
        <w:jc w:val="both"/>
        <w:rPr>
          <w:rFonts w:ascii="Arial" w:hAnsi="Arial" w:cs="Arial"/>
        </w:rPr>
      </w:pPr>
      <w:r>
        <w:rPr>
          <w:rFonts w:ascii="Arial" w:hAnsi="Arial" w:cs="Arial"/>
        </w:rPr>
        <w:t xml:space="preserve">However, it is important to consider the limitations and challenge of action research.  One criticism </w:t>
      </w:r>
      <w:r w:rsidR="00BC4C8F">
        <w:rPr>
          <w:rFonts w:ascii="Arial" w:hAnsi="Arial" w:cs="Arial"/>
        </w:rPr>
        <w:t xml:space="preserve">is that the findings of action research may lack generalisability due to its context-specific nature </w:t>
      </w:r>
      <w:sdt>
        <w:sdtPr>
          <w:rPr>
            <w:rFonts w:ascii="Arial" w:hAnsi="Arial" w:cs="Arial"/>
          </w:rPr>
          <w:id w:val="1301504240"/>
          <w:citation/>
        </w:sdtPr>
        <w:sdtContent>
          <w:r w:rsidR="00E31FA9">
            <w:rPr>
              <w:rFonts w:ascii="Arial" w:hAnsi="Arial" w:cs="Arial"/>
            </w:rPr>
            <w:fldChar w:fldCharType="begin"/>
          </w:r>
          <w:r w:rsidR="00E31FA9">
            <w:rPr>
              <w:rFonts w:ascii="Arial" w:hAnsi="Arial" w:cs="Arial"/>
            </w:rPr>
            <w:instrText xml:space="preserve"> CITATION Alt83 \l 2057 </w:instrText>
          </w:r>
          <w:r w:rsidR="00E31FA9">
            <w:rPr>
              <w:rFonts w:ascii="Arial" w:hAnsi="Arial" w:cs="Arial"/>
            </w:rPr>
            <w:fldChar w:fldCharType="separate"/>
          </w:r>
          <w:r w:rsidR="00E31FA9" w:rsidRPr="00E31FA9">
            <w:rPr>
              <w:rFonts w:ascii="Arial" w:hAnsi="Arial" w:cs="Arial"/>
              <w:noProof/>
            </w:rPr>
            <w:t>(Altrichter, 1983)</w:t>
          </w:r>
          <w:r w:rsidR="00E31FA9">
            <w:rPr>
              <w:rFonts w:ascii="Arial" w:hAnsi="Arial" w:cs="Arial"/>
            </w:rPr>
            <w:fldChar w:fldCharType="end"/>
          </w:r>
        </w:sdtContent>
      </w:sdt>
      <w:r w:rsidR="00E31FA9">
        <w:rPr>
          <w:rFonts w:ascii="Arial" w:hAnsi="Arial" w:cs="Arial"/>
        </w:rPr>
        <w:t xml:space="preserve"> with the focus on a specific </w:t>
      </w:r>
      <w:r w:rsidR="00C37B5C">
        <w:rPr>
          <w:rFonts w:ascii="Arial" w:hAnsi="Arial" w:cs="Arial"/>
        </w:rPr>
        <w:t>context and the active involvement of stakeholders making it difficult to apply the findings to other settings.</w:t>
      </w:r>
      <w:r w:rsidR="0091100E">
        <w:rPr>
          <w:rFonts w:ascii="Arial" w:hAnsi="Arial" w:cs="Arial"/>
        </w:rPr>
        <w:t xml:space="preserve">  Another challenge is the potential for biases and subjectivity in data collection and analysis.  The involvement of </w:t>
      </w:r>
      <w:r w:rsidR="0091100E">
        <w:rPr>
          <w:rFonts w:ascii="Arial" w:hAnsi="Arial" w:cs="Arial"/>
        </w:rPr>
        <w:lastRenderedPageBreak/>
        <w:t>stakeholders may introduce personal biases</w:t>
      </w:r>
      <w:r w:rsidR="002A6833">
        <w:rPr>
          <w:rFonts w:ascii="Arial" w:hAnsi="Arial" w:cs="Arial"/>
        </w:rPr>
        <w:t>, and the interpretation o</w:t>
      </w:r>
      <w:r w:rsidR="009018C8">
        <w:rPr>
          <w:rFonts w:ascii="Arial" w:hAnsi="Arial" w:cs="Arial"/>
        </w:rPr>
        <w:t>f</w:t>
      </w:r>
      <w:r w:rsidR="002A6833">
        <w:rPr>
          <w:rFonts w:ascii="Arial" w:hAnsi="Arial" w:cs="Arial"/>
        </w:rPr>
        <w:t xml:space="preserve"> qualitative data can be subjective </w:t>
      </w:r>
      <w:sdt>
        <w:sdtPr>
          <w:rPr>
            <w:rFonts w:ascii="Arial" w:hAnsi="Arial" w:cs="Arial"/>
          </w:rPr>
          <w:id w:val="1953902376"/>
          <w:citation/>
        </w:sdtPr>
        <w:sdtContent>
          <w:r w:rsidR="009018C8">
            <w:rPr>
              <w:rFonts w:ascii="Arial" w:hAnsi="Arial" w:cs="Arial"/>
            </w:rPr>
            <w:fldChar w:fldCharType="begin"/>
          </w:r>
          <w:r w:rsidR="009018C8">
            <w:rPr>
              <w:rFonts w:ascii="Arial" w:hAnsi="Arial" w:cs="Arial"/>
            </w:rPr>
            <w:instrText xml:space="preserve"> CITATION Str14 \l 2057 </w:instrText>
          </w:r>
          <w:r w:rsidR="009018C8">
            <w:rPr>
              <w:rFonts w:ascii="Arial" w:hAnsi="Arial" w:cs="Arial"/>
            </w:rPr>
            <w:fldChar w:fldCharType="separate"/>
          </w:r>
          <w:r w:rsidR="009018C8" w:rsidRPr="009018C8">
            <w:rPr>
              <w:rFonts w:ascii="Arial" w:hAnsi="Arial" w:cs="Arial"/>
              <w:noProof/>
            </w:rPr>
            <w:t>(Stringer, 2014)</w:t>
          </w:r>
          <w:r w:rsidR="009018C8">
            <w:rPr>
              <w:rFonts w:ascii="Arial" w:hAnsi="Arial" w:cs="Arial"/>
            </w:rPr>
            <w:fldChar w:fldCharType="end"/>
          </w:r>
        </w:sdtContent>
      </w:sdt>
      <w:r w:rsidR="009018C8">
        <w:rPr>
          <w:rFonts w:ascii="Arial" w:hAnsi="Arial" w:cs="Arial"/>
        </w:rPr>
        <w:t xml:space="preserve"> with researchers needing </w:t>
      </w:r>
      <w:r w:rsidR="00197793">
        <w:rPr>
          <w:rFonts w:ascii="Arial" w:hAnsi="Arial" w:cs="Arial"/>
        </w:rPr>
        <w:t>to ensure rigorous data collection and analysis processes to enhance the validity and reliability of findings.</w:t>
      </w:r>
      <w:r w:rsidR="004A360D">
        <w:rPr>
          <w:rFonts w:ascii="Arial" w:hAnsi="Arial" w:cs="Arial"/>
        </w:rPr>
        <w:t xml:space="preserve">  Additionally, organisations and institutions need to provide the necessary resources and supports for action research to be successful as it requires the time, </w:t>
      </w:r>
      <w:r w:rsidR="003D2F6D">
        <w:rPr>
          <w:rFonts w:ascii="Arial" w:hAnsi="Arial" w:cs="Arial"/>
        </w:rPr>
        <w:t>resources,</w:t>
      </w:r>
      <w:r w:rsidR="004A360D">
        <w:rPr>
          <w:rFonts w:ascii="Arial" w:hAnsi="Arial" w:cs="Arial"/>
        </w:rPr>
        <w:t xml:space="preserve"> and this supportive </w:t>
      </w:r>
      <w:r w:rsidR="00046C4A">
        <w:rPr>
          <w:rFonts w:ascii="Arial" w:hAnsi="Arial" w:cs="Arial"/>
        </w:rPr>
        <w:t>organisational culture to be successful</w:t>
      </w:r>
      <w:sdt>
        <w:sdtPr>
          <w:rPr>
            <w:rFonts w:ascii="Arial" w:hAnsi="Arial" w:cs="Arial"/>
          </w:rPr>
          <w:id w:val="1441183278"/>
          <w:citation/>
        </w:sdtPr>
        <w:sdtContent>
          <w:r w:rsidR="00046C4A">
            <w:rPr>
              <w:rFonts w:ascii="Arial" w:hAnsi="Arial" w:cs="Arial"/>
            </w:rPr>
            <w:fldChar w:fldCharType="begin"/>
          </w:r>
          <w:r w:rsidR="00046C4A">
            <w:rPr>
              <w:rFonts w:ascii="Arial" w:hAnsi="Arial" w:cs="Arial"/>
            </w:rPr>
            <w:instrText xml:space="preserve"> CITATION Win87 \l 2057 </w:instrText>
          </w:r>
          <w:r w:rsidR="00046C4A">
            <w:rPr>
              <w:rFonts w:ascii="Arial" w:hAnsi="Arial" w:cs="Arial"/>
            </w:rPr>
            <w:fldChar w:fldCharType="separate"/>
          </w:r>
          <w:r w:rsidR="00046C4A">
            <w:rPr>
              <w:rFonts w:ascii="Arial" w:hAnsi="Arial" w:cs="Arial"/>
              <w:noProof/>
            </w:rPr>
            <w:t xml:space="preserve"> </w:t>
          </w:r>
          <w:r w:rsidR="00046C4A" w:rsidRPr="00046C4A">
            <w:rPr>
              <w:rFonts w:ascii="Arial" w:hAnsi="Arial" w:cs="Arial"/>
              <w:noProof/>
            </w:rPr>
            <w:t>(Winter, 1987)</w:t>
          </w:r>
          <w:r w:rsidR="00046C4A">
            <w:rPr>
              <w:rFonts w:ascii="Arial" w:hAnsi="Arial" w:cs="Arial"/>
            </w:rPr>
            <w:fldChar w:fldCharType="end"/>
          </w:r>
        </w:sdtContent>
      </w:sdt>
    </w:p>
    <w:p w14:paraId="66BBFE80" w14:textId="3BAD9430" w:rsidR="001633D3" w:rsidRDefault="00A90E42" w:rsidP="007E22E3">
      <w:pPr>
        <w:jc w:val="both"/>
        <w:rPr>
          <w:rFonts w:ascii="Arial" w:hAnsi="Arial" w:cs="Arial"/>
        </w:rPr>
      </w:pPr>
      <w:r>
        <w:rPr>
          <w:rFonts w:ascii="Arial" w:hAnsi="Arial" w:cs="Arial"/>
        </w:rPr>
        <w:t xml:space="preserve">A </w:t>
      </w:r>
      <w:r w:rsidR="001C2E3C">
        <w:rPr>
          <w:rFonts w:ascii="Arial" w:hAnsi="Arial" w:cs="Arial"/>
        </w:rPr>
        <w:t>well-designed</w:t>
      </w:r>
      <w:r>
        <w:rPr>
          <w:rFonts w:ascii="Arial" w:hAnsi="Arial" w:cs="Arial"/>
        </w:rPr>
        <w:t xml:space="preserve"> data collection strategy </w:t>
      </w:r>
      <w:r w:rsidR="00F54D1C">
        <w:rPr>
          <w:rFonts w:ascii="Arial" w:hAnsi="Arial" w:cs="Arial"/>
        </w:rPr>
        <w:t>is essential for ensuring the validity and reliability of research findings.  It helps researchers mini</w:t>
      </w:r>
      <w:r w:rsidR="00D22DE3">
        <w:rPr>
          <w:rFonts w:ascii="Arial" w:hAnsi="Arial" w:cs="Arial"/>
        </w:rPr>
        <w:t xml:space="preserve">mize bias, </w:t>
      </w:r>
      <w:r w:rsidR="003D2F6D">
        <w:rPr>
          <w:rFonts w:ascii="Arial" w:hAnsi="Arial" w:cs="Arial"/>
        </w:rPr>
        <w:t>errors,</w:t>
      </w:r>
      <w:r w:rsidR="00D22DE3">
        <w:rPr>
          <w:rFonts w:ascii="Arial" w:hAnsi="Arial" w:cs="Arial"/>
        </w:rPr>
        <w:t xml:space="preserve"> and limitations in data collection, thereby enhancing the overall quality of the study</w:t>
      </w:r>
      <w:r w:rsidR="007551FF">
        <w:rPr>
          <w:rFonts w:ascii="Arial" w:hAnsi="Arial" w:cs="Arial"/>
        </w:rPr>
        <w:t>.  According to Creswell (2009)</w:t>
      </w:r>
      <w:r w:rsidR="003E3F10">
        <w:rPr>
          <w:rFonts w:ascii="Arial" w:hAnsi="Arial" w:cs="Arial"/>
        </w:rPr>
        <w:t xml:space="preserve">, a data collection strategy involves making decisions about the type of data to be collected, the instruments of tools to be used, the sampling techniques, and the procedures for data collections.  These decisions </w:t>
      </w:r>
      <w:r w:rsidR="008B3757">
        <w:rPr>
          <w:rFonts w:ascii="Arial" w:hAnsi="Arial" w:cs="Arial"/>
        </w:rPr>
        <w:t>should be based on the research objectives, the nature of the research questions, and the available resources.</w:t>
      </w:r>
      <w:r w:rsidR="006061C3">
        <w:rPr>
          <w:rFonts w:ascii="Arial" w:hAnsi="Arial" w:cs="Arial"/>
        </w:rPr>
        <w:t xml:space="preserve">  One commonly used data collection strategy is the survey method, which involves collecting data from a sample of individuals</w:t>
      </w:r>
      <w:r w:rsidR="00017809">
        <w:rPr>
          <w:rFonts w:ascii="Arial" w:hAnsi="Arial" w:cs="Arial"/>
        </w:rPr>
        <w:t xml:space="preserve"> through standardized questionnaires or interviews.  Surveys offers the advantage of collecting large amounts of data</w:t>
      </w:r>
      <w:r w:rsidR="00657A49">
        <w:rPr>
          <w:rFonts w:ascii="Arial" w:hAnsi="Arial" w:cs="Arial"/>
        </w:rPr>
        <w:t xml:space="preserve"> from a diverse population within a relatively s</w:t>
      </w:r>
      <w:r w:rsidR="007A1F12">
        <w:rPr>
          <w:rFonts w:ascii="Arial" w:hAnsi="Arial" w:cs="Arial"/>
        </w:rPr>
        <w:t>h</w:t>
      </w:r>
      <w:r w:rsidR="00657A49">
        <w:rPr>
          <w:rFonts w:ascii="Arial" w:hAnsi="Arial" w:cs="Arial"/>
        </w:rPr>
        <w:t xml:space="preserve">ort time frame </w:t>
      </w:r>
      <w:r w:rsidR="007A1F12">
        <w:rPr>
          <w:rFonts w:ascii="Arial" w:hAnsi="Arial" w:cs="Arial"/>
        </w:rPr>
        <w:t>However, surveys may be limited</w:t>
      </w:r>
      <w:r w:rsidR="006C590C">
        <w:rPr>
          <w:rFonts w:ascii="Arial" w:hAnsi="Arial" w:cs="Arial"/>
        </w:rPr>
        <w:t xml:space="preserve"> by response bias, social desirability bias</w:t>
      </w:r>
      <w:r w:rsidR="007401E2">
        <w:rPr>
          <w:rFonts w:ascii="Arial" w:hAnsi="Arial" w:cs="Arial"/>
        </w:rPr>
        <w:t xml:space="preserve">, and the potential for measurement errors if the questions are poorly designed or if respondents do not understand them correctly </w:t>
      </w:r>
      <w:sdt>
        <w:sdtPr>
          <w:rPr>
            <w:rFonts w:ascii="Arial" w:hAnsi="Arial" w:cs="Arial"/>
          </w:rPr>
          <w:id w:val="-1465495963"/>
          <w:citation/>
        </w:sdtPr>
        <w:sdtContent>
          <w:r w:rsidR="00AF71D0">
            <w:rPr>
              <w:rFonts w:ascii="Arial" w:hAnsi="Arial" w:cs="Arial"/>
            </w:rPr>
            <w:fldChar w:fldCharType="begin"/>
          </w:r>
          <w:r w:rsidR="00AF71D0">
            <w:rPr>
              <w:rFonts w:ascii="Arial" w:hAnsi="Arial" w:cs="Arial"/>
            </w:rPr>
            <w:instrText xml:space="preserve"> CITATION Bab16 \l 2057 </w:instrText>
          </w:r>
          <w:r w:rsidR="00AF71D0">
            <w:rPr>
              <w:rFonts w:ascii="Arial" w:hAnsi="Arial" w:cs="Arial"/>
            </w:rPr>
            <w:fldChar w:fldCharType="separate"/>
          </w:r>
          <w:r w:rsidR="00AF71D0" w:rsidRPr="00AF71D0">
            <w:rPr>
              <w:rFonts w:ascii="Arial" w:hAnsi="Arial" w:cs="Arial"/>
              <w:noProof/>
            </w:rPr>
            <w:t>(Babbie, 2016)</w:t>
          </w:r>
          <w:r w:rsidR="00AF71D0">
            <w:rPr>
              <w:rFonts w:ascii="Arial" w:hAnsi="Arial" w:cs="Arial"/>
            </w:rPr>
            <w:fldChar w:fldCharType="end"/>
          </w:r>
        </w:sdtContent>
      </w:sdt>
      <w:r w:rsidR="00AF71D0">
        <w:rPr>
          <w:rFonts w:ascii="Arial" w:hAnsi="Arial" w:cs="Arial"/>
        </w:rPr>
        <w:t>.  In conclusion, a research data collection strategy is a systematic plan or approach used to gather data for a research study</w:t>
      </w:r>
      <w:r w:rsidR="005D5BAC">
        <w:rPr>
          <w:rFonts w:ascii="Arial" w:hAnsi="Arial" w:cs="Arial"/>
        </w:rPr>
        <w:t xml:space="preserve">.  The choice of a data collection strategy is crucial for </w:t>
      </w:r>
      <w:r w:rsidR="00347FDB">
        <w:rPr>
          <w:rFonts w:ascii="Arial" w:hAnsi="Arial" w:cs="Arial"/>
        </w:rPr>
        <w:t>ensuring</w:t>
      </w:r>
      <w:r w:rsidR="005D5BAC">
        <w:rPr>
          <w:rFonts w:ascii="Arial" w:hAnsi="Arial" w:cs="Arial"/>
        </w:rPr>
        <w:t xml:space="preserve"> the validity and reliability of research findings</w:t>
      </w:r>
      <w:r w:rsidR="00BD0792">
        <w:rPr>
          <w:rFonts w:ascii="Arial" w:hAnsi="Arial" w:cs="Arial"/>
        </w:rPr>
        <w:t xml:space="preserve">.  It is important for researchers to critically evaluate the chosen strategy and take steps to minimise </w:t>
      </w:r>
      <w:r w:rsidR="00347FDB">
        <w:rPr>
          <w:rFonts w:ascii="Arial" w:hAnsi="Arial" w:cs="Arial"/>
        </w:rPr>
        <w:t>biases and errors to enhance the overall quality of the study.</w:t>
      </w:r>
    </w:p>
    <w:p w14:paraId="5775B884" w14:textId="2B2AB868" w:rsidR="00AE572E" w:rsidRDefault="008264F0" w:rsidP="007E22E3">
      <w:pPr>
        <w:jc w:val="both"/>
        <w:rPr>
          <w:rFonts w:ascii="Arial" w:hAnsi="Arial" w:cs="Arial"/>
        </w:rPr>
      </w:pPr>
      <w:r>
        <w:rPr>
          <w:rFonts w:ascii="Arial" w:hAnsi="Arial" w:cs="Arial"/>
        </w:rPr>
        <w:t xml:space="preserve">Case study </w:t>
      </w:r>
      <w:r w:rsidR="002036E8">
        <w:rPr>
          <w:rFonts w:ascii="Arial" w:hAnsi="Arial" w:cs="Arial"/>
        </w:rPr>
        <w:t xml:space="preserve">research is particularly </w:t>
      </w:r>
      <w:r w:rsidR="00580F1B">
        <w:rPr>
          <w:rFonts w:ascii="Arial" w:hAnsi="Arial" w:cs="Arial"/>
        </w:rPr>
        <w:t xml:space="preserve">useful when the research questions aim to explore complex phenomena within a </w:t>
      </w:r>
      <w:r w:rsidR="001C2E3C">
        <w:rPr>
          <w:rFonts w:ascii="Arial" w:hAnsi="Arial" w:cs="Arial"/>
        </w:rPr>
        <w:t>real-life</w:t>
      </w:r>
      <w:r w:rsidR="00580F1B">
        <w:rPr>
          <w:rFonts w:ascii="Arial" w:hAnsi="Arial" w:cs="Arial"/>
        </w:rPr>
        <w:t xml:space="preserve"> </w:t>
      </w:r>
      <w:r w:rsidR="00D4183A">
        <w:rPr>
          <w:rFonts w:ascii="Arial" w:hAnsi="Arial" w:cs="Arial"/>
        </w:rPr>
        <w:t>context, understand processes over time, or investigate unique or rare case</w:t>
      </w:r>
      <w:r w:rsidR="00C7743A">
        <w:rPr>
          <w:rFonts w:ascii="Arial" w:hAnsi="Arial" w:cs="Arial"/>
        </w:rPr>
        <w:t xml:space="preserve">s </w:t>
      </w:r>
      <w:sdt>
        <w:sdtPr>
          <w:rPr>
            <w:rFonts w:ascii="Arial" w:hAnsi="Arial" w:cs="Arial"/>
          </w:rPr>
          <w:id w:val="-1103487601"/>
          <w:citation/>
        </w:sdtPr>
        <w:sdtContent>
          <w:r w:rsidR="00C7743A">
            <w:rPr>
              <w:rFonts w:ascii="Arial" w:hAnsi="Arial" w:cs="Arial"/>
            </w:rPr>
            <w:fldChar w:fldCharType="begin"/>
          </w:r>
          <w:r w:rsidR="00C7743A">
            <w:rPr>
              <w:rFonts w:ascii="Arial" w:hAnsi="Arial" w:cs="Arial"/>
            </w:rPr>
            <w:instrText xml:space="preserve"> CITATION Yin18 \l 2057 </w:instrText>
          </w:r>
          <w:r w:rsidR="00C7743A">
            <w:rPr>
              <w:rFonts w:ascii="Arial" w:hAnsi="Arial" w:cs="Arial"/>
            </w:rPr>
            <w:fldChar w:fldCharType="separate"/>
          </w:r>
          <w:r w:rsidR="00C7743A" w:rsidRPr="00C7743A">
            <w:rPr>
              <w:rFonts w:ascii="Arial" w:hAnsi="Arial" w:cs="Arial"/>
              <w:noProof/>
            </w:rPr>
            <w:t>(Yin, 2018)</w:t>
          </w:r>
          <w:r w:rsidR="00C7743A">
            <w:rPr>
              <w:rFonts w:ascii="Arial" w:hAnsi="Arial" w:cs="Arial"/>
            </w:rPr>
            <w:fldChar w:fldCharType="end"/>
          </w:r>
        </w:sdtContent>
      </w:sdt>
      <w:r w:rsidR="00110A3E">
        <w:rPr>
          <w:rFonts w:ascii="Arial" w:hAnsi="Arial" w:cs="Arial"/>
        </w:rPr>
        <w:t>.  It allows researchers to examine the interplay between different variables and factors and to generate rich and detailed insights</w:t>
      </w:r>
      <w:r w:rsidR="00185363">
        <w:rPr>
          <w:rFonts w:ascii="Arial" w:hAnsi="Arial" w:cs="Arial"/>
        </w:rPr>
        <w:t>.  According to Stake (1995)</w:t>
      </w:r>
      <w:r w:rsidR="0029119A">
        <w:rPr>
          <w:rFonts w:ascii="Arial" w:hAnsi="Arial" w:cs="Arial"/>
        </w:rPr>
        <w:t>, case study data collection involves gathering data from multiple sources to triangulate and validate findings.</w:t>
      </w:r>
      <w:r w:rsidR="00EB78E9">
        <w:rPr>
          <w:rFonts w:ascii="Arial" w:hAnsi="Arial" w:cs="Arial"/>
        </w:rPr>
        <w:t xml:space="preserve">  One of the main data collection methods used in </w:t>
      </w:r>
      <w:r w:rsidR="00887CCC">
        <w:rPr>
          <w:rFonts w:ascii="Arial" w:hAnsi="Arial" w:cs="Arial"/>
        </w:rPr>
        <w:t>case study research is interviews.  Interviews can be structured, semi-structures, or unstructured, depending on the research objectives and the level of flexibility required</w:t>
      </w:r>
      <w:sdt>
        <w:sdtPr>
          <w:rPr>
            <w:rFonts w:ascii="Arial" w:hAnsi="Arial" w:cs="Arial"/>
          </w:rPr>
          <w:id w:val="1365257058"/>
          <w:citation/>
        </w:sdtPr>
        <w:sdtContent>
          <w:r w:rsidR="005257AE">
            <w:rPr>
              <w:rFonts w:ascii="Arial" w:hAnsi="Arial" w:cs="Arial"/>
            </w:rPr>
            <w:fldChar w:fldCharType="begin"/>
          </w:r>
          <w:r w:rsidR="005257AE">
            <w:rPr>
              <w:rFonts w:ascii="Arial" w:hAnsi="Arial" w:cs="Arial"/>
            </w:rPr>
            <w:instrText xml:space="preserve"> CITATION Mer09 \l 2057 </w:instrText>
          </w:r>
          <w:r w:rsidR="005257AE">
            <w:rPr>
              <w:rFonts w:ascii="Arial" w:hAnsi="Arial" w:cs="Arial"/>
            </w:rPr>
            <w:fldChar w:fldCharType="separate"/>
          </w:r>
          <w:r w:rsidR="005257AE">
            <w:rPr>
              <w:rFonts w:ascii="Arial" w:hAnsi="Arial" w:cs="Arial"/>
              <w:noProof/>
            </w:rPr>
            <w:t xml:space="preserve"> </w:t>
          </w:r>
          <w:r w:rsidR="005257AE" w:rsidRPr="005257AE">
            <w:rPr>
              <w:rFonts w:ascii="Arial" w:hAnsi="Arial" w:cs="Arial"/>
              <w:noProof/>
            </w:rPr>
            <w:t>(Merriam, 2009)</w:t>
          </w:r>
          <w:r w:rsidR="005257AE">
            <w:rPr>
              <w:rFonts w:ascii="Arial" w:hAnsi="Arial" w:cs="Arial"/>
            </w:rPr>
            <w:fldChar w:fldCharType="end"/>
          </w:r>
        </w:sdtContent>
      </w:sdt>
      <w:r w:rsidR="005257AE">
        <w:rPr>
          <w:rFonts w:ascii="Arial" w:hAnsi="Arial" w:cs="Arial"/>
        </w:rPr>
        <w:t xml:space="preserve">.  </w:t>
      </w:r>
      <w:r w:rsidR="00BE2409">
        <w:rPr>
          <w:rFonts w:ascii="Arial" w:hAnsi="Arial" w:cs="Arial"/>
        </w:rPr>
        <w:t>Merriam suggests that i</w:t>
      </w:r>
      <w:r w:rsidR="005257AE">
        <w:rPr>
          <w:rFonts w:ascii="Arial" w:hAnsi="Arial" w:cs="Arial"/>
        </w:rPr>
        <w:t xml:space="preserve">nterviews allow researchers to gather </w:t>
      </w:r>
      <w:r w:rsidR="001C2E3C">
        <w:rPr>
          <w:rFonts w:ascii="Arial" w:hAnsi="Arial" w:cs="Arial"/>
        </w:rPr>
        <w:t>first-hand</w:t>
      </w:r>
      <w:r w:rsidR="00575703">
        <w:rPr>
          <w:rFonts w:ascii="Arial" w:hAnsi="Arial" w:cs="Arial"/>
        </w:rPr>
        <w:t xml:space="preserve"> information, explore participants perspectives and delve into the complexities of the case.  However, interviews can be influences by social desirability bias, memory recall bias, and the subjective interpretation of the interviewer.</w:t>
      </w:r>
      <w:r w:rsidR="00B5050F">
        <w:rPr>
          <w:rFonts w:ascii="Arial" w:hAnsi="Arial" w:cs="Arial"/>
        </w:rPr>
        <w:t xml:space="preserve">  Documents and archival records are also important sources of data in case study research and can provide historical context, background information</w:t>
      </w:r>
      <w:r w:rsidR="00FB0900">
        <w:rPr>
          <w:rFonts w:ascii="Arial" w:hAnsi="Arial" w:cs="Arial"/>
        </w:rPr>
        <w:t xml:space="preserve">, and additional insights into the case </w:t>
      </w:r>
      <w:sdt>
        <w:sdtPr>
          <w:rPr>
            <w:rFonts w:ascii="Arial" w:hAnsi="Arial" w:cs="Arial"/>
          </w:rPr>
          <w:id w:val="-1383941331"/>
          <w:citation/>
        </w:sdtPr>
        <w:sdtContent>
          <w:r w:rsidR="00FB0900">
            <w:rPr>
              <w:rFonts w:ascii="Arial" w:hAnsi="Arial" w:cs="Arial"/>
            </w:rPr>
            <w:fldChar w:fldCharType="begin"/>
          </w:r>
          <w:r w:rsidR="00FB0900">
            <w:rPr>
              <w:rFonts w:ascii="Arial" w:hAnsi="Arial" w:cs="Arial"/>
            </w:rPr>
            <w:instrText xml:space="preserve"> CITATION Yin18 \l 2057 </w:instrText>
          </w:r>
          <w:r w:rsidR="00FB0900">
            <w:rPr>
              <w:rFonts w:ascii="Arial" w:hAnsi="Arial" w:cs="Arial"/>
            </w:rPr>
            <w:fldChar w:fldCharType="separate"/>
          </w:r>
          <w:r w:rsidR="00FB0900" w:rsidRPr="00FB0900">
            <w:rPr>
              <w:rFonts w:ascii="Arial" w:hAnsi="Arial" w:cs="Arial"/>
              <w:noProof/>
            </w:rPr>
            <w:t>(Yin, 2018)</w:t>
          </w:r>
          <w:r w:rsidR="00FB0900">
            <w:rPr>
              <w:rFonts w:ascii="Arial" w:hAnsi="Arial" w:cs="Arial"/>
            </w:rPr>
            <w:fldChar w:fldCharType="end"/>
          </w:r>
        </w:sdtContent>
      </w:sdt>
      <w:r w:rsidR="00FB0900">
        <w:rPr>
          <w:rFonts w:ascii="Arial" w:hAnsi="Arial" w:cs="Arial"/>
        </w:rPr>
        <w:t>.  Documents can include reports, official records</w:t>
      </w:r>
      <w:r w:rsidR="004C2E52">
        <w:rPr>
          <w:rFonts w:ascii="Arial" w:hAnsi="Arial" w:cs="Arial"/>
        </w:rPr>
        <w:t xml:space="preserve">, memos, </w:t>
      </w:r>
      <w:proofErr w:type="gramStart"/>
      <w:r w:rsidR="004C2E52">
        <w:rPr>
          <w:rFonts w:ascii="Arial" w:hAnsi="Arial" w:cs="Arial"/>
        </w:rPr>
        <w:t>emails</w:t>
      </w:r>
      <w:proofErr w:type="gramEnd"/>
      <w:r w:rsidR="004C2E52">
        <w:rPr>
          <w:rFonts w:ascii="Arial" w:hAnsi="Arial" w:cs="Arial"/>
        </w:rPr>
        <w:t xml:space="preserve"> and other written materials.  However, </w:t>
      </w:r>
      <w:r w:rsidR="0045076E">
        <w:rPr>
          <w:rFonts w:ascii="Arial" w:hAnsi="Arial" w:cs="Arial"/>
        </w:rPr>
        <w:t>researchers</w:t>
      </w:r>
      <w:r w:rsidR="004C2E52">
        <w:rPr>
          <w:rFonts w:ascii="Arial" w:hAnsi="Arial" w:cs="Arial"/>
        </w:rPr>
        <w:t xml:space="preserve"> need to critically evaluate the </w:t>
      </w:r>
      <w:r w:rsidR="0045076E">
        <w:rPr>
          <w:rFonts w:ascii="Arial" w:hAnsi="Arial" w:cs="Arial"/>
        </w:rPr>
        <w:t>reliability</w:t>
      </w:r>
      <w:r w:rsidR="004C2E52">
        <w:rPr>
          <w:rFonts w:ascii="Arial" w:hAnsi="Arial" w:cs="Arial"/>
        </w:rPr>
        <w:t xml:space="preserve"> and validity of the documents, considering issues such as bias</w:t>
      </w:r>
      <w:r w:rsidR="0045076E">
        <w:rPr>
          <w:rFonts w:ascii="Arial" w:hAnsi="Arial" w:cs="Arial"/>
        </w:rPr>
        <w:t xml:space="preserve">, incomplete information, and the potential for selective or biased record keeping </w:t>
      </w:r>
      <w:sdt>
        <w:sdtPr>
          <w:rPr>
            <w:rFonts w:ascii="Arial" w:hAnsi="Arial" w:cs="Arial"/>
          </w:rPr>
          <w:id w:val="65076659"/>
          <w:citation/>
        </w:sdtPr>
        <w:sdtContent>
          <w:r w:rsidR="0045076E">
            <w:rPr>
              <w:rFonts w:ascii="Arial" w:hAnsi="Arial" w:cs="Arial"/>
            </w:rPr>
            <w:fldChar w:fldCharType="begin"/>
          </w:r>
          <w:r w:rsidR="0045076E">
            <w:rPr>
              <w:rFonts w:ascii="Arial" w:hAnsi="Arial" w:cs="Arial"/>
            </w:rPr>
            <w:instrText xml:space="preserve"> CITATION Yin18 \l 2057 </w:instrText>
          </w:r>
          <w:r w:rsidR="0045076E">
            <w:rPr>
              <w:rFonts w:ascii="Arial" w:hAnsi="Arial" w:cs="Arial"/>
            </w:rPr>
            <w:fldChar w:fldCharType="separate"/>
          </w:r>
          <w:r w:rsidR="0045076E" w:rsidRPr="0045076E">
            <w:rPr>
              <w:rFonts w:ascii="Arial" w:hAnsi="Arial" w:cs="Arial"/>
              <w:noProof/>
            </w:rPr>
            <w:t>(Yin, 2018)</w:t>
          </w:r>
          <w:r w:rsidR="0045076E">
            <w:rPr>
              <w:rFonts w:ascii="Arial" w:hAnsi="Arial" w:cs="Arial"/>
            </w:rPr>
            <w:fldChar w:fldCharType="end"/>
          </w:r>
        </w:sdtContent>
      </w:sdt>
      <w:r w:rsidR="0045076E">
        <w:rPr>
          <w:rFonts w:ascii="Arial" w:hAnsi="Arial" w:cs="Arial"/>
        </w:rPr>
        <w:t>.</w:t>
      </w:r>
      <w:r w:rsidR="00504F13">
        <w:rPr>
          <w:rFonts w:ascii="Arial" w:hAnsi="Arial" w:cs="Arial"/>
        </w:rPr>
        <w:t xml:space="preserve">  An observation is another data collection </w:t>
      </w:r>
      <w:r w:rsidR="0001031A">
        <w:rPr>
          <w:rFonts w:ascii="Arial" w:hAnsi="Arial" w:cs="Arial"/>
        </w:rPr>
        <w:t>method used in case study research</w:t>
      </w:r>
      <w:r w:rsidR="00A50BCE">
        <w:rPr>
          <w:rFonts w:ascii="Arial" w:hAnsi="Arial" w:cs="Arial"/>
        </w:rPr>
        <w:t>, as is artifact analysis</w:t>
      </w:r>
      <w:r w:rsidR="00F22C76">
        <w:rPr>
          <w:rFonts w:ascii="Arial" w:hAnsi="Arial" w:cs="Arial"/>
        </w:rPr>
        <w:t xml:space="preserve"> which involves examining physical objects, products, or materials associated with the </w:t>
      </w:r>
      <w:r w:rsidR="00CC0048">
        <w:rPr>
          <w:rFonts w:ascii="Arial" w:hAnsi="Arial" w:cs="Arial"/>
        </w:rPr>
        <w:t xml:space="preserve">research project </w:t>
      </w:r>
      <w:sdt>
        <w:sdtPr>
          <w:rPr>
            <w:rFonts w:ascii="Arial" w:hAnsi="Arial" w:cs="Arial"/>
          </w:rPr>
          <w:id w:val="704370081"/>
          <w:citation/>
        </w:sdtPr>
        <w:sdtContent>
          <w:r w:rsidR="00CC0048">
            <w:rPr>
              <w:rFonts w:ascii="Arial" w:hAnsi="Arial" w:cs="Arial"/>
            </w:rPr>
            <w:fldChar w:fldCharType="begin"/>
          </w:r>
          <w:r w:rsidR="00CC0048">
            <w:rPr>
              <w:rFonts w:ascii="Arial" w:hAnsi="Arial" w:cs="Arial"/>
            </w:rPr>
            <w:instrText xml:space="preserve"> CITATION Sta95 \l 2057 </w:instrText>
          </w:r>
          <w:r w:rsidR="00CC0048">
            <w:rPr>
              <w:rFonts w:ascii="Arial" w:hAnsi="Arial" w:cs="Arial"/>
            </w:rPr>
            <w:fldChar w:fldCharType="separate"/>
          </w:r>
          <w:r w:rsidR="00CC0048" w:rsidRPr="00CC0048">
            <w:rPr>
              <w:rFonts w:ascii="Arial" w:hAnsi="Arial" w:cs="Arial"/>
              <w:noProof/>
            </w:rPr>
            <w:t>(Stake, 1995)</w:t>
          </w:r>
          <w:r w:rsidR="00CC0048">
            <w:rPr>
              <w:rFonts w:ascii="Arial" w:hAnsi="Arial" w:cs="Arial"/>
            </w:rPr>
            <w:fldChar w:fldCharType="end"/>
          </w:r>
        </w:sdtContent>
      </w:sdt>
      <w:r w:rsidR="00CC0048">
        <w:rPr>
          <w:rFonts w:ascii="Arial" w:hAnsi="Arial" w:cs="Arial"/>
        </w:rPr>
        <w:t>.  Artifacts can provide additiona</w:t>
      </w:r>
      <w:r w:rsidR="00C61033">
        <w:rPr>
          <w:rFonts w:ascii="Arial" w:hAnsi="Arial" w:cs="Arial"/>
        </w:rPr>
        <w:t xml:space="preserve">l insights into the case and complement other types of data.  However, researchers need to consider issues of </w:t>
      </w:r>
      <w:r w:rsidR="00310E7D">
        <w:rPr>
          <w:rFonts w:ascii="Arial" w:hAnsi="Arial" w:cs="Arial"/>
        </w:rPr>
        <w:t>authenticity, interpretation, and the potential bias in selection and presentation of artifacts.</w:t>
      </w:r>
      <w:r w:rsidR="00AC115C">
        <w:rPr>
          <w:rFonts w:ascii="Arial" w:hAnsi="Arial" w:cs="Arial"/>
        </w:rPr>
        <w:t xml:space="preserve">  In conclusion, a case study data collection strategy involves in-depth investigation and analysis of a specific case or a small number of cases</w:t>
      </w:r>
      <w:r w:rsidR="0043771F">
        <w:rPr>
          <w:rFonts w:ascii="Arial" w:hAnsi="Arial" w:cs="Arial"/>
        </w:rPr>
        <w:t>.  It aims to gain a comprehensive understanding of the cases under stu</w:t>
      </w:r>
      <w:r w:rsidR="00DA4930">
        <w:rPr>
          <w:rFonts w:ascii="Arial" w:hAnsi="Arial" w:cs="Arial"/>
        </w:rPr>
        <w:t>d</w:t>
      </w:r>
      <w:r w:rsidR="0043771F">
        <w:rPr>
          <w:rFonts w:ascii="Arial" w:hAnsi="Arial" w:cs="Arial"/>
        </w:rPr>
        <w:t>y by collecting and analysing various type</w:t>
      </w:r>
      <w:r w:rsidR="00DA4930">
        <w:rPr>
          <w:rFonts w:ascii="Arial" w:hAnsi="Arial" w:cs="Arial"/>
        </w:rPr>
        <w:t xml:space="preserve">s </w:t>
      </w:r>
      <w:r w:rsidR="0043771F">
        <w:rPr>
          <w:rFonts w:ascii="Arial" w:hAnsi="Arial" w:cs="Arial"/>
        </w:rPr>
        <w:t>of data</w:t>
      </w:r>
      <w:r w:rsidR="00416C5F">
        <w:rPr>
          <w:rFonts w:ascii="Arial" w:hAnsi="Arial" w:cs="Arial"/>
        </w:rPr>
        <w:t xml:space="preserve">.  Case study research is </w:t>
      </w:r>
      <w:r w:rsidR="00DA4930">
        <w:rPr>
          <w:rFonts w:ascii="Arial" w:hAnsi="Arial" w:cs="Arial"/>
        </w:rPr>
        <w:t>particularly</w:t>
      </w:r>
      <w:r w:rsidR="00416C5F">
        <w:rPr>
          <w:rFonts w:ascii="Arial" w:hAnsi="Arial" w:cs="Arial"/>
        </w:rPr>
        <w:t xml:space="preserve"> useful for </w:t>
      </w:r>
      <w:r w:rsidR="00DA4930">
        <w:rPr>
          <w:rFonts w:ascii="Arial" w:hAnsi="Arial" w:cs="Arial"/>
        </w:rPr>
        <w:t>exploring</w:t>
      </w:r>
      <w:r w:rsidR="00416C5F">
        <w:rPr>
          <w:rFonts w:ascii="Arial" w:hAnsi="Arial" w:cs="Arial"/>
        </w:rPr>
        <w:t xml:space="preserve"> complex </w:t>
      </w:r>
      <w:r w:rsidR="00DA4930">
        <w:rPr>
          <w:rFonts w:ascii="Arial" w:hAnsi="Arial" w:cs="Arial"/>
        </w:rPr>
        <w:t>phenomena</w:t>
      </w:r>
      <w:r w:rsidR="00416C5F">
        <w:rPr>
          <w:rFonts w:ascii="Arial" w:hAnsi="Arial" w:cs="Arial"/>
        </w:rPr>
        <w:t xml:space="preserve"> and understanding processes over time</w:t>
      </w:r>
      <w:r w:rsidR="00DA4930">
        <w:rPr>
          <w:rFonts w:ascii="Arial" w:hAnsi="Arial" w:cs="Arial"/>
        </w:rPr>
        <w:t xml:space="preserve">.  </w:t>
      </w:r>
      <w:r w:rsidR="00664081">
        <w:rPr>
          <w:rFonts w:ascii="Arial" w:hAnsi="Arial" w:cs="Arial"/>
        </w:rPr>
        <w:t xml:space="preserve">However, it is also vital to </w:t>
      </w:r>
      <w:r w:rsidR="00E03575">
        <w:rPr>
          <w:rFonts w:ascii="Arial" w:hAnsi="Arial" w:cs="Arial"/>
        </w:rPr>
        <w:t xml:space="preserve">have consideration for any ethical and privacy concerns; </w:t>
      </w:r>
      <w:r w:rsidR="00E03575">
        <w:rPr>
          <w:rFonts w:ascii="Arial" w:hAnsi="Arial" w:cs="Arial"/>
        </w:rPr>
        <w:lastRenderedPageBreak/>
        <w:t>case studies often involve studying individuals or organisations in real life contexts</w:t>
      </w:r>
      <w:r w:rsidR="00775CE0">
        <w:rPr>
          <w:rFonts w:ascii="Arial" w:hAnsi="Arial" w:cs="Arial"/>
        </w:rPr>
        <w:t xml:space="preserve">.  Ensuring the privacy, confidentiality, and ethical treatment of participants and sensitive data can be challenging.  Researchers need to navigate ethical considerations, gain informed consent, and protect the identities of the participants </w:t>
      </w:r>
      <w:sdt>
        <w:sdtPr>
          <w:rPr>
            <w:rFonts w:ascii="Arial" w:hAnsi="Arial" w:cs="Arial"/>
          </w:rPr>
          <w:id w:val="-790281328"/>
          <w:citation/>
        </w:sdtPr>
        <w:sdtContent>
          <w:r w:rsidR="00775CE0">
            <w:rPr>
              <w:rFonts w:ascii="Arial" w:hAnsi="Arial" w:cs="Arial"/>
            </w:rPr>
            <w:fldChar w:fldCharType="begin"/>
          </w:r>
          <w:r w:rsidR="00775CE0">
            <w:rPr>
              <w:rFonts w:ascii="Arial" w:hAnsi="Arial" w:cs="Arial"/>
            </w:rPr>
            <w:instrText xml:space="preserve"> CITATION Mer09 \l 2057 </w:instrText>
          </w:r>
          <w:r w:rsidR="00775CE0">
            <w:rPr>
              <w:rFonts w:ascii="Arial" w:hAnsi="Arial" w:cs="Arial"/>
            </w:rPr>
            <w:fldChar w:fldCharType="separate"/>
          </w:r>
          <w:r w:rsidR="00775CE0" w:rsidRPr="00775CE0">
            <w:rPr>
              <w:rFonts w:ascii="Arial" w:hAnsi="Arial" w:cs="Arial"/>
              <w:noProof/>
            </w:rPr>
            <w:t>(Merriam, 2009)</w:t>
          </w:r>
          <w:r w:rsidR="00775CE0">
            <w:rPr>
              <w:rFonts w:ascii="Arial" w:hAnsi="Arial" w:cs="Arial"/>
            </w:rPr>
            <w:fldChar w:fldCharType="end"/>
          </w:r>
        </w:sdtContent>
      </w:sdt>
      <w:r w:rsidR="00775CE0">
        <w:rPr>
          <w:rFonts w:ascii="Arial" w:hAnsi="Arial" w:cs="Arial"/>
        </w:rPr>
        <w:t>.</w:t>
      </w:r>
    </w:p>
    <w:p w14:paraId="563620D6" w14:textId="4E641C15" w:rsidR="0062348C" w:rsidRDefault="00EA21EC" w:rsidP="007E22E3">
      <w:pPr>
        <w:jc w:val="both"/>
        <w:rPr>
          <w:rFonts w:ascii="Arial" w:hAnsi="Arial" w:cs="Arial"/>
        </w:rPr>
      </w:pPr>
      <w:r>
        <w:rPr>
          <w:rFonts w:ascii="Arial" w:hAnsi="Arial" w:cs="Arial"/>
        </w:rPr>
        <w:t xml:space="preserve">There are several </w:t>
      </w:r>
      <w:r w:rsidR="0062348C">
        <w:rPr>
          <w:rFonts w:ascii="Arial" w:hAnsi="Arial" w:cs="Arial"/>
        </w:rPr>
        <w:t xml:space="preserve">different approaches to data collection in research.  </w:t>
      </w:r>
      <w:r w:rsidR="005F2AEC">
        <w:rPr>
          <w:rFonts w:ascii="Arial" w:hAnsi="Arial" w:cs="Arial"/>
        </w:rPr>
        <w:t>A mono-method</w:t>
      </w:r>
      <w:r w:rsidR="00DE3CBD">
        <w:rPr>
          <w:rFonts w:ascii="Arial" w:hAnsi="Arial" w:cs="Arial"/>
        </w:rPr>
        <w:t xml:space="preserve"> data choice is one where researchers rely on a single data collection method to gather information for their study.  This method could be qualitative or </w:t>
      </w:r>
      <w:r w:rsidR="001942D5">
        <w:rPr>
          <w:rFonts w:ascii="Arial" w:hAnsi="Arial" w:cs="Arial"/>
        </w:rPr>
        <w:t>quantitative</w:t>
      </w:r>
      <w:r w:rsidR="004F113C">
        <w:rPr>
          <w:rFonts w:ascii="Arial" w:hAnsi="Arial" w:cs="Arial"/>
        </w:rPr>
        <w:t>, depending on the research objective and nature of the study.  Examples would include techniques such as surveys</w:t>
      </w:r>
      <w:r w:rsidR="00436846">
        <w:rPr>
          <w:rFonts w:ascii="Arial" w:hAnsi="Arial" w:cs="Arial"/>
        </w:rPr>
        <w:t xml:space="preserve">, </w:t>
      </w:r>
      <w:proofErr w:type="gramStart"/>
      <w:r w:rsidR="00436846">
        <w:rPr>
          <w:rFonts w:ascii="Arial" w:hAnsi="Arial" w:cs="Arial"/>
        </w:rPr>
        <w:t>interviews</w:t>
      </w:r>
      <w:proofErr w:type="gramEnd"/>
      <w:r w:rsidR="00436846">
        <w:rPr>
          <w:rFonts w:ascii="Arial" w:hAnsi="Arial" w:cs="Arial"/>
        </w:rPr>
        <w:t xml:space="preserve"> and observations.  This approach allows for a focused and </w:t>
      </w:r>
      <w:r w:rsidR="001942D5">
        <w:rPr>
          <w:rFonts w:ascii="Arial" w:hAnsi="Arial" w:cs="Arial"/>
        </w:rPr>
        <w:t>in-depth</w:t>
      </w:r>
      <w:r w:rsidR="00436846">
        <w:rPr>
          <w:rFonts w:ascii="Arial" w:hAnsi="Arial" w:cs="Arial"/>
        </w:rPr>
        <w:t xml:space="preserve"> investigation of a specific research question or topic </w:t>
      </w:r>
      <w:sdt>
        <w:sdtPr>
          <w:rPr>
            <w:rFonts w:ascii="Arial" w:hAnsi="Arial" w:cs="Arial"/>
          </w:rPr>
          <w:id w:val="2084870021"/>
          <w:citation/>
        </w:sdtPr>
        <w:sdtContent>
          <w:r w:rsidR="001942D5">
            <w:rPr>
              <w:rFonts w:ascii="Arial" w:hAnsi="Arial" w:cs="Arial"/>
            </w:rPr>
            <w:fldChar w:fldCharType="begin"/>
          </w:r>
          <w:r w:rsidR="001942D5">
            <w:rPr>
              <w:rFonts w:ascii="Arial" w:hAnsi="Arial" w:cs="Arial"/>
            </w:rPr>
            <w:instrText xml:space="preserve"> CITATION Cre17 \l 2057 </w:instrText>
          </w:r>
          <w:r w:rsidR="001942D5">
            <w:rPr>
              <w:rFonts w:ascii="Arial" w:hAnsi="Arial" w:cs="Arial"/>
            </w:rPr>
            <w:fldChar w:fldCharType="separate"/>
          </w:r>
          <w:r w:rsidR="001942D5" w:rsidRPr="001942D5">
            <w:rPr>
              <w:rFonts w:ascii="Arial" w:hAnsi="Arial" w:cs="Arial"/>
              <w:noProof/>
            </w:rPr>
            <w:t>(Creswell, 2017)</w:t>
          </w:r>
          <w:r w:rsidR="001942D5">
            <w:rPr>
              <w:rFonts w:ascii="Arial" w:hAnsi="Arial" w:cs="Arial"/>
            </w:rPr>
            <w:fldChar w:fldCharType="end"/>
          </w:r>
        </w:sdtContent>
      </w:sdt>
      <w:r w:rsidR="001942D5">
        <w:rPr>
          <w:rFonts w:ascii="Arial" w:hAnsi="Arial" w:cs="Arial"/>
        </w:rPr>
        <w:t xml:space="preserve">.  </w:t>
      </w:r>
      <w:r w:rsidR="00DC0B52">
        <w:rPr>
          <w:rFonts w:ascii="Arial" w:hAnsi="Arial" w:cs="Arial"/>
        </w:rPr>
        <w:t xml:space="preserve"> A mixed-method data choice would see researchers combine </w:t>
      </w:r>
      <w:r w:rsidR="003C23BA">
        <w:rPr>
          <w:rFonts w:ascii="Arial" w:hAnsi="Arial" w:cs="Arial"/>
        </w:rPr>
        <w:t>multiple data collection methods within a single study.  This approach will involve gathering both qu</w:t>
      </w:r>
      <w:r w:rsidR="007278BA">
        <w:rPr>
          <w:rFonts w:ascii="Arial" w:hAnsi="Arial" w:cs="Arial"/>
        </w:rPr>
        <w:t>alitative and quantitative data to gain a more comprehensive understanding of the research topic.</w:t>
      </w:r>
      <w:r w:rsidR="0067094F">
        <w:rPr>
          <w:rFonts w:ascii="Arial" w:hAnsi="Arial" w:cs="Arial"/>
        </w:rPr>
        <w:t xml:space="preserve">  In addition to a survey or interview, this mixed method may also </w:t>
      </w:r>
      <w:r w:rsidR="0053057E">
        <w:rPr>
          <w:rFonts w:ascii="Arial" w:hAnsi="Arial" w:cs="Arial"/>
        </w:rPr>
        <w:t>integrate</w:t>
      </w:r>
      <w:r w:rsidR="0067094F">
        <w:rPr>
          <w:rFonts w:ascii="Arial" w:hAnsi="Arial" w:cs="Arial"/>
        </w:rPr>
        <w:t xml:space="preserve"> a more nuanced and </w:t>
      </w:r>
      <w:r w:rsidR="0053057E">
        <w:rPr>
          <w:rFonts w:ascii="Arial" w:hAnsi="Arial" w:cs="Arial"/>
        </w:rPr>
        <w:t>holistic</w:t>
      </w:r>
      <w:r w:rsidR="0067094F">
        <w:rPr>
          <w:rFonts w:ascii="Arial" w:hAnsi="Arial" w:cs="Arial"/>
        </w:rPr>
        <w:t xml:space="preserve"> approach</w:t>
      </w:r>
      <w:r w:rsidR="0053057E">
        <w:rPr>
          <w:rFonts w:ascii="Arial" w:hAnsi="Arial" w:cs="Arial"/>
        </w:rPr>
        <w:t xml:space="preserve"> allowing for triangulation of data to enhance the validity and reliability of findings</w:t>
      </w:r>
      <w:r w:rsidR="00465856">
        <w:rPr>
          <w:rFonts w:ascii="Arial" w:hAnsi="Arial" w:cs="Arial"/>
        </w:rPr>
        <w:t xml:space="preserve"> </w:t>
      </w:r>
      <w:sdt>
        <w:sdtPr>
          <w:rPr>
            <w:rFonts w:ascii="Arial" w:hAnsi="Arial" w:cs="Arial"/>
          </w:rPr>
          <w:id w:val="317309391"/>
          <w:citation/>
        </w:sdtPr>
        <w:sdtContent>
          <w:r w:rsidR="00465856">
            <w:rPr>
              <w:rFonts w:ascii="Arial" w:hAnsi="Arial" w:cs="Arial"/>
            </w:rPr>
            <w:fldChar w:fldCharType="begin"/>
          </w:r>
          <w:r w:rsidR="00465856">
            <w:rPr>
              <w:rFonts w:ascii="Arial" w:hAnsi="Arial" w:cs="Arial"/>
            </w:rPr>
            <w:instrText xml:space="preserve"> CITATION Joh04 \l 2057 </w:instrText>
          </w:r>
          <w:r w:rsidR="00465856">
            <w:rPr>
              <w:rFonts w:ascii="Arial" w:hAnsi="Arial" w:cs="Arial"/>
            </w:rPr>
            <w:fldChar w:fldCharType="separate"/>
          </w:r>
          <w:r w:rsidR="00465856" w:rsidRPr="00465856">
            <w:rPr>
              <w:rFonts w:ascii="Arial" w:hAnsi="Arial" w:cs="Arial"/>
              <w:noProof/>
            </w:rPr>
            <w:t>(Johnson, 2004)</w:t>
          </w:r>
          <w:r w:rsidR="00465856">
            <w:rPr>
              <w:rFonts w:ascii="Arial" w:hAnsi="Arial" w:cs="Arial"/>
            </w:rPr>
            <w:fldChar w:fldCharType="end"/>
          </w:r>
        </w:sdtContent>
      </w:sdt>
      <w:r w:rsidR="00465856">
        <w:rPr>
          <w:rFonts w:ascii="Arial" w:hAnsi="Arial" w:cs="Arial"/>
        </w:rPr>
        <w:t xml:space="preserve">.  </w:t>
      </w:r>
      <w:r w:rsidR="0014609B">
        <w:rPr>
          <w:rFonts w:ascii="Arial" w:hAnsi="Arial" w:cs="Arial"/>
        </w:rPr>
        <w:t>A multi-method data choice would see researchers employ multiple data collection methods simultaneously or sequentially in a study</w:t>
      </w:r>
      <w:r w:rsidR="00134D88">
        <w:rPr>
          <w:rFonts w:ascii="Arial" w:hAnsi="Arial" w:cs="Arial"/>
        </w:rPr>
        <w:t>.  Unlike the mixed method approach, the focus of a multi-method approach is on using different methods</w:t>
      </w:r>
      <w:r w:rsidR="00770FBB">
        <w:rPr>
          <w:rFonts w:ascii="Arial" w:hAnsi="Arial" w:cs="Arial"/>
        </w:rPr>
        <w:t xml:space="preserve"> to investigate different aspects of the research question or to address different dimensions of the research proble</w:t>
      </w:r>
      <w:r w:rsidR="00180FAA">
        <w:rPr>
          <w:rFonts w:ascii="Arial" w:hAnsi="Arial" w:cs="Arial"/>
        </w:rPr>
        <w:t>m.  This may see researchers gathering data through various qualitative and quant</w:t>
      </w:r>
      <w:r w:rsidR="00336CDA">
        <w:rPr>
          <w:rFonts w:ascii="Arial" w:hAnsi="Arial" w:cs="Arial"/>
        </w:rPr>
        <w:t xml:space="preserve">itative methods and </w:t>
      </w:r>
      <w:r w:rsidR="00AD2780">
        <w:rPr>
          <w:rFonts w:ascii="Arial" w:hAnsi="Arial" w:cs="Arial"/>
        </w:rPr>
        <w:t>analysing</w:t>
      </w:r>
      <w:r w:rsidR="00336CDA">
        <w:rPr>
          <w:rFonts w:ascii="Arial" w:hAnsi="Arial" w:cs="Arial"/>
        </w:rPr>
        <w:t xml:space="preserve"> them separately.  This approach allows for a more comprehensive </w:t>
      </w:r>
      <w:r w:rsidR="00AD2780">
        <w:rPr>
          <w:rFonts w:ascii="Arial" w:hAnsi="Arial" w:cs="Arial"/>
        </w:rPr>
        <w:t>exploration</w:t>
      </w:r>
      <w:r w:rsidR="00336CDA">
        <w:rPr>
          <w:rFonts w:ascii="Arial" w:hAnsi="Arial" w:cs="Arial"/>
        </w:rPr>
        <w:t xml:space="preserve"> of the topic</w:t>
      </w:r>
      <w:r w:rsidR="00AD2780">
        <w:rPr>
          <w:rFonts w:ascii="Arial" w:hAnsi="Arial" w:cs="Arial"/>
        </w:rPr>
        <w:t xml:space="preserve"> by leveraging the strengths of different methods</w:t>
      </w:r>
      <w:r w:rsidR="00AF1771">
        <w:rPr>
          <w:rFonts w:ascii="Arial" w:hAnsi="Arial" w:cs="Arial"/>
        </w:rPr>
        <w:t xml:space="preserve"> </w:t>
      </w:r>
      <w:sdt>
        <w:sdtPr>
          <w:rPr>
            <w:rFonts w:ascii="Arial" w:hAnsi="Arial" w:cs="Arial"/>
          </w:rPr>
          <w:id w:val="-963959468"/>
          <w:citation/>
        </w:sdtPr>
        <w:sdtContent>
          <w:r w:rsidR="00AF1771">
            <w:rPr>
              <w:rFonts w:ascii="Arial" w:hAnsi="Arial" w:cs="Arial"/>
            </w:rPr>
            <w:fldChar w:fldCharType="begin"/>
          </w:r>
          <w:r w:rsidR="00AF1771">
            <w:rPr>
              <w:rFonts w:ascii="Arial" w:hAnsi="Arial" w:cs="Arial"/>
            </w:rPr>
            <w:instrText xml:space="preserve"> CITATION Tas10 \l 2057 </w:instrText>
          </w:r>
          <w:r w:rsidR="00AF1771">
            <w:rPr>
              <w:rFonts w:ascii="Arial" w:hAnsi="Arial" w:cs="Arial"/>
            </w:rPr>
            <w:fldChar w:fldCharType="separate"/>
          </w:r>
          <w:r w:rsidR="00AF1771" w:rsidRPr="00AF1771">
            <w:rPr>
              <w:rFonts w:ascii="Arial" w:hAnsi="Arial" w:cs="Arial"/>
              <w:noProof/>
            </w:rPr>
            <w:t>(Tashakkori, 2010)</w:t>
          </w:r>
          <w:r w:rsidR="00AF1771">
            <w:rPr>
              <w:rFonts w:ascii="Arial" w:hAnsi="Arial" w:cs="Arial"/>
            </w:rPr>
            <w:fldChar w:fldCharType="end"/>
          </w:r>
        </w:sdtContent>
      </w:sdt>
      <w:r w:rsidR="00AF1771">
        <w:rPr>
          <w:rFonts w:ascii="Arial" w:hAnsi="Arial" w:cs="Arial"/>
        </w:rPr>
        <w:t>.</w:t>
      </w:r>
    </w:p>
    <w:p w14:paraId="0DF9040D" w14:textId="762D5D0E" w:rsidR="009B3A81" w:rsidRDefault="009B3A81" w:rsidP="007E22E3">
      <w:pPr>
        <w:jc w:val="both"/>
        <w:rPr>
          <w:rFonts w:ascii="Arial" w:hAnsi="Arial" w:cs="Arial"/>
        </w:rPr>
      </w:pPr>
      <w:r>
        <w:rPr>
          <w:rFonts w:ascii="Arial" w:hAnsi="Arial" w:cs="Arial"/>
        </w:rPr>
        <w:t xml:space="preserve">In conclusion, while mono-method research </w:t>
      </w:r>
      <w:r w:rsidR="00B31422">
        <w:rPr>
          <w:rFonts w:ascii="Arial" w:hAnsi="Arial" w:cs="Arial"/>
        </w:rPr>
        <w:t xml:space="preserve">offers simplicity, mixed method and multi method approaches provide mor </w:t>
      </w:r>
      <w:r w:rsidR="00B02ABB">
        <w:rPr>
          <w:rFonts w:ascii="Arial" w:hAnsi="Arial" w:cs="Arial"/>
        </w:rPr>
        <w:t>comprehensive</w:t>
      </w:r>
      <w:r w:rsidR="00B31422">
        <w:rPr>
          <w:rFonts w:ascii="Arial" w:hAnsi="Arial" w:cs="Arial"/>
        </w:rPr>
        <w:t xml:space="preserve"> and robust analysis </w:t>
      </w:r>
      <w:r w:rsidR="008F1497">
        <w:rPr>
          <w:rFonts w:ascii="Arial" w:hAnsi="Arial" w:cs="Arial"/>
        </w:rPr>
        <w:t xml:space="preserve">by </w:t>
      </w:r>
      <w:r w:rsidR="00B02ABB">
        <w:rPr>
          <w:rFonts w:ascii="Arial" w:hAnsi="Arial" w:cs="Arial"/>
        </w:rPr>
        <w:t>integrating</w:t>
      </w:r>
      <w:r w:rsidR="008F1497">
        <w:rPr>
          <w:rFonts w:ascii="Arial" w:hAnsi="Arial" w:cs="Arial"/>
        </w:rPr>
        <w:t xml:space="preserve"> different data collection methods.  Mixed and multi-method designs enable triangulation, </w:t>
      </w:r>
      <w:r w:rsidR="00346522">
        <w:rPr>
          <w:rFonts w:ascii="Arial" w:hAnsi="Arial" w:cs="Arial"/>
        </w:rPr>
        <w:t>complementarity,</w:t>
      </w:r>
      <w:r w:rsidR="008F1497">
        <w:rPr>
          <w:rFonts w:ascii="Arial" w:hAnsi="Arial" w:cs="Arial"/>
        </w:rPr>
        <w:t xml:space="preserve"> and expansion of research findings</w:t>
      </w:r>
      <w:r w:rsidR="00B02ABB">
        <w:rPr>
          <w:rFonts w:ascii="Arial" w:hAnsi="Arial" w:cs="Arial"/>
        </w:rPr>
        <w:t xml:space="preserve">, leading to a deeper understanding of complex phenomena </w:t>
      </w:r>
      <w:sdt>
        <w:sdtPr>
          <w:rPr>
            <w:rFonts w:ascii="Arial" w:hAnsi="Arial" w:cs="Arial"/>
          </w:rPr>
          <w:id w:val="-1550534745"/>
          <w:citation/>
        </w:sdtPr>
        <w:sdtContent>
          <w:r w:rsidR="00B02ABB">
            <w:rPr>
              <w:rFonts w:ascii="Arial" w:hAnsi="Arial" w:cs="Arial"/>
            </w:rPr>
            <w:fldChar w:fldCharType="begin"/>
          </w:r>
          <w:r w:rsidR="00B02ABB">
            <w:rPr>
              <w:rFonts w:ascii="Arial" w:hAnsi="Arial" w:cs="Arial"/>
            </w:rPr>
            <w:instrText xml:space="preserve"> CITATION Joh04 \l 2057 </w:instrText>
          </w:r>
          <w:r w:rsidR="00B02ABB">
            <w:rPr>
              <w:rFonts w:ascii="Arial" w:hAnsi="Arial" w:cs="Arial"/>
            </w:rPr>
            <w:fldChar w:fldCharType="separate"/>
          </w:r>
          <w:r w:rsidR="00B02ABB" w:rsidRPr="00B02ABB">
            <w:rPr>
              <w:rFonts w:ascii="Arial" w:hAnsi="Arial" w:cs="Arial"/>
              <w:noProof/>
            </w:rPr>
            <w:t>(Johnson, 2004)</w:t>
          </w:r>
          <w:r w:rsidR="00B02ABB">
            <w:rPr>
              <w:rFonts w:ascii="Arial" w:hAnsi="Arial" w:cs="Arial"/>
            </w:rPr>
            <w:fldChar w:fldCharType="end"/>
          </w:r>
        </w:sdtContent>
      </w:sdt>
      <w:r w:rsidR="00B02ABB">
        <w:rPr>
          <w:rFonts w:ascii="Arial" w:hAnsi="Arial" w:cs="Arial"/>
        </w:rPr>
        <w:t>.</w:t>
      </w:r>
      <w:r w:rsidR="0008198D">
        <w:rPr>
          <w:rFonts w:ascii="Arial" w:hAnsi="Arial" w:cs="Arial"/>
        </w:rPr>
        <w:t xml:space="preserve">  </w:t>
      </w:r>
    </w:p>
    <w:p w14:paraId="52047A09" w14:textId="68D6E2BA" w:rsidR="00551AC3" w:rsidRDefault="00A969B2" w:rsidP="007E22E3">
      <w:pPr>
        <w:jc w:val="both"/>
        <w:rPr>
          <w:rFonts w:ascii="Arial" w:hAnsi="Arial" w:cs="Arial"/>
        </w:rPr>
      </w:pPr>
      <w:r>
        <w:rPr>
          <w:rFonts w:ascii="Arial" w:hAnsi="Arial" w:cs="Arial"/>
        </w:rPr>
        <w:t>There are several methods that are commonly used to analyse dat</w:t>
      </w:r>
      <w:r w:rsidR="00746C53">
        <w:rPr>
          <w:rFonts w:ascii="Arial" w:hAnsi="Arial" w:cs="Arial"/>
        </w:rPr>
        <w:t xml:space="preserve">a.  Thematic analysis is </w:t>
      </w:r>
      <w:r w:rsidR="007E572E">
        <w:rPr>
          <w:rFonts w:ascii="Arial" w:hAnsi="Arial" w:cs="Arial"/>
        </w:rPr>
        <w:t xml:space="preserve">a </w:t>
      </w:r>
      <w:r w:rsidR="00746C53">
        <w:rPr>
          <w:rFonts w:ascii="Arial" w:hAnsi="Arial" w:cs="Arial"/>
        </w:rPr>
        <w:t xml:space="preserve">widely used </w:t>
      </w:r>
      <w:r w:rsidR="007E572E">
        <w:rPr>
          <w:rFonts w:ascii="Arial" w:hAnsi="Arial" w:cs="Arial"/>
        </w:rPr>
        <w:t>method in qualitative research for analysing qualitative data</w:t>
      </w:r>
      <w:r w:rsidR="00A43448">
        <w:rPr>
          <w:rFonts w:ascii="Arial" w:hAnsi="Arial" w:cs="Arial"/>
        </w:rPr>
        <w:t xml:space="preserve">.  According to </w:t>
      </w:r>
      <w:sdt>
        <w:sdtPr>
          <w:rPr>
            <w:rFonts w:ascii="Arial" w:hAnsi="Arial" w:cs="Arial"/>
          </w:rPr>
          <w:id w:val="1007098312"/>
          <w:citation/>
        </w:sdtPr>
        <w:sdtContent>
          <w:r w:rsidR="00496002">
            <w:rPr>
              <w:rFonts w:ascii="Arial" w:hAnsi="Arial" w:cs="Arial"/>
            </w:rPr>
            <w:fldChar w:fldCharType="begin"/>
          </w:r>
          <w:r w:rsidR="00496002">
            <w:rPr>
              <w:rFonts w:ascii="Arial" w:hAnsi="Arial" w:cs="Arial"/>
            </w:rPr>
            <w:instrText xml:space="preserve"> CITATION Bra06 \l 2057 </w:instrText>
          </w:r>
          <w:r w:rsidR="00496002">
            <w:rPr>
              <w:rFonts w:ascii="Arial" w:hAnsi="Arial" w:cs="Arial"/>
            </w:rPr>
            <w:fldChar w:fldCharType="separate"/>
          </w:r>
          <w:r w:rsidR="00496002" w:rsidRPr="00496002">
            <w:rPr>
              <w:rFonts w:ascii="Arial" w:hAnsi="Arial" w:cs="Arial"/>
              <w:noProof/>
            </w:rPr>
            <w:t>(Braun, 2006)</w:t>
          </w:r>
          <w:r w:rsidR="00496002">
            <w:rPr>
              <w:rFonts w:ascii="Arial" w:hAnsi="Arial" w:cs="Arial"/>
            </w:rPr>
            <w:fldChar w:fldCharType="end"/>
          </w:r>
        </w:sdtContent>
      </w:sdt>
      <w:r w:rsidR="00A43448">
        <w:rPr>
          <w:rFonts w:ascii="Arial" w:hAnsi="Arial" w:cs="Arial"/>
        </w:rPr>
        <w:t xml:space="preserve">, thematic analysis involves several steps.  The first step is </w:t>
      </w:r>
      <w:r w:rsidR="00C4663C">
        <w:rPr>
          <w:rFonts w:ascii="Arial" w:hAnsi="Arial" w:cs="Arial"/>
        </w:rPr>
        <w:t>familiarisation</w:t>
      </w:r>
      <w:r w:rsidR="00FC6ED2">
        <w:rPr>
          <w:rFonts w:ascii="Arial" w:hAnsi="Arial" w:cs="Arial"/>
        </w:rPr>
        <w:t xml:space="preserve"> with the data, where researchers read and re-read the data to gain a deep understanding of the content.  The second step </w:t>
      </w:r>
      <w:r w:rsidR="00BD08E3">
        <w:rPr>
          <w:rFonts w:ascii="Arial" w:hAnsi="Arial" w:cs="Arial"/>
        </w:rPr>
        <w:t xml:space="preserve">is generating initial codes, which involves identifying and labelling different aspects of the data that are relevant to the </w:t>
      </w:r>
      <w:r w:rsidR="009E41D1">
        <w:rPr>
          <w:rFonts w:ascii="Arial" w:hAnsi="Arial" w:cs="Arial"/>
        </w:rPr>
        <w:t>research question.  The third step is searching for themes, where researchers look for patterns and connections between the codes to develop overarching themes.</w:t>
      </w:r>
      <w:r w:rsidR="00B2039F">
        <w:rPr>
          <w:rFonts w:ascii="Arial" w:hAnsi="Arial" w:cs="Arial"/>
        </w:rPr>
        <w:t xml:space="preserve">  The </w:t>
      </w:r>
      <w:r w:rsidR="00D122D1">
        <w:rPr>
          <w:rFonts w:ascii="Arial" w:hAnsi="Arial" w:cs="Arial"/>
        </w:rPr>
        <w:t xml:space="preserve">fourth </w:t>
      </w:r>
      <w:r w:rsidR="00B2039F">
        <w:rPr>
          <w:rFonts w:ascii="Arial" w:hAnsi="Arial" w:cs="Arial"/>
        </w:rPr>
        <w:t xml:space="preserve">step will be to review and refine themes, where researchers critically examine and revise </w:t>
      </w:r>
      <w:r w:rsidR="00D122D1">
        <w:rPr>
          <w:rFonts w:ascii="Arial" w:hAnsi="Arial" w:cs="Arial"/>
        </w:rPr>
        <w:t>the themes to ensure they accurately represent the data.  The final step is defining and naming themes, where researchers provide clear descriptions and labels for each theme</w:t>
      </w:r>
      <w:r w:rsidR="00AB2ABB">
        <w:rPr>
          <w:rFonts w:ascii="Arial" w:hAnsi="Arial" w:cs="Arial"/>
        </w:rPr>
        <w:t xml:space="preserve">.  Content analysis </w:t>
      </w:r>
      <w:r w:rsidR="00A50155">
        <w:rPr>
          <w:rFonts w:ascii="Arial" w:hAnsi="Arial" w:cs="Arial"/>
        </w:rPr>
        <w:t>is another commonly used method in qualitative research.  According to Krippendorff (2018)</w:t>
      </w:r>
      <w:r w:rsidR="00B24BB4">
        <w:rPr>
          <w:rFonts w:ascii="Arial" w:hAnsi="Arial" w:cs="Arial"/>
        </w:rPr>
        <w:t>, content analysis involves systematically categorising and analysing</w:t>
      </w:r>
      <w:r w:rsidR="00574738">
        <w:rPr>
          <w:rFonts w:ascii="Arial" w:hAnsi="Arial" w:cs="Arial"/>
        </w:rPr>
        <w:t xml:space="preserve"> the content of textual or visual data.  It focuses on identifying patterns and themes within the data and can be used to analyse various forms of communication, such as documents, interviews, social media posts or news articles.</w:t>
      </w:r>
      <w:r w:rsidR="001637BF">
        <w:rPr>
          <w:rFonts w:ascii="Arial" w:hAnsi="Arial" w:cs="Arial"/>
        </w:rPr>
        <w:t xml:space="preserve">  Grounded theory is a method developed by Glasner and Strauss (1967) </w:t>
      </w:r>
      <w:r w:rsidR="000420C7">
        <w:rPr>
          <w:rFonts w:ascii="Arial" w:hAnsi="Arial" w:cs="Arial"/>
        </w:rPr>
        <w:t xml:space="preserve">for generating theories based on qualitative data. </w:t>
      </w:r>
      <w:r w:rsidR="007938E4">
        <w:rPr>
          <w:rFonts w:ascii="Arial" w:hAnsi="Arial" w:cs="Arial"/>
        </w:rPr>
        <w:t xml:space="preserve"> It involves a systematic process of analysing data to develop concepts, categories and theories that emerge directly from the data.</w:t>
      </w:r>
      <w:r w:rsidR="000420C7">
        <w:rPr>
          <w:rFonts w:ascii="Arial" w:hAnsi="Arial" w:cs="Arial"/>
        </w:rPr>
        <w:t xml:space="preserve"> </w:t>
      </w:r>
      <w:r w:rsidR="00EE4E4E">
        <w:rPr>
          <w:rFonts w:ascii="Arial" w:hAnsi="Arial" w:cs="Arial"/>
        </w:rPr>
        <w:t xml:space="preserve">Grounded theory is </w:t>
      </w:r>
      <w:r w:rsidR="007938E4">
        <w:rPr>
          <w:rFonts w:ascii="Arial" w:hAnsi="Arial" w:cs="Arial"/>
        </w:rPr>
        <w:t>particularly</w:t>
      </w:r>
      <w:r w:rsidR="00EE4E4E">
        <w:rPr>
          <w:rFonts w:ascii="Arial" w:hAnsi="Arial" w:cs="Arial"/>
        </w:rPr>
        <w:t xml:space="preserve"> useful when researchers want to explore new or under researched areas and allow theory to emerge from the data.</w:t>
      </w:r>
      <w:r w:rsidR="00045D19">
        <w:rPr>
          <w:rFonts w:ascii="Arial" w:hAnsi="Arial" w:cs="Arial"/>
        </w:rPr>
        <w:t xml:space="preserve">  A narrative analysis is a method that involves studying and interpretating the stories </w:t>
      </w:r>
      <w:r w:rsidR="00BE4A26">
        <w:rPr>
          <w:rFonts w:ascii="Arial" w:hAnsi="Arial" w:cs="Arial"/>
        </w:rPr>
        <w:t>or narratives shared by individuals or groups.  According to</w:t>
      </w:r>
      <w:r w:rsidR="00A33700">
        <w:rPr>
          <w:rFonts w:ascii="Arial" w:hAnsi="Arial" w:cs="Arial"/>
        </w:rPr>
        <w:t xml:space="preserve"> </w:t>
      </w:r>
      <w:r w:rsidR="00017F80">
        <w:rPr>
          <w:rFonts w:ascii="Arial" w:hAnsi="Arial" w:cs="Arial"/>
        </w:rPr>
        <w:t>Reissman (2008)</w:t>
      </w:r>
      <w:r w:rsidR="00BE4A26">
        <w:rPr>
          <w:rFonts w:ascii="Arial" w:hAnsi="Arial" w:cs="Arial"/>
        </w:rPr>
        <w:t xml:space="preserve">, narrative analysis aims to understand how individuals construct and </w:t>
      </w:r>
      <w:r w:rsidR="00BE4A26">
        <w:rPr>
          <w:rFonts w:ascii="Arial" w:hAnsi="Arial" w:cs="Arial"/>
        </w:rPr>
        <w:lastRenderedPageBreak/>
        <w:t xml:space="preserve">make sense </w:t>
      </w:r>
      <w:r w:rsidR="00AF138B">
        <w:rPr>
          <w:rFonts w:ascii="Arial" w:hAnsi="Arial" w:cs="Arial"/>
        </w:rPr>
        <w:t>of their experiences through storytelling.  It involves analysing personal narratives, life histories, interviews or other forms of story telling to uncover the underlying meanings and themes.</w:t>
      </w:r>
    </w:p>
    <w:p w14:paraId="77B02A65" w14:textId="77777777" w:rsidR="00221239" w:rsidRDefault="00221239" w:rsidP="007E22E3">
      <w:pPr>
        <w:jc w:val="both"/>
        <w:rPr>
          <w:rFonts w:ascii="Arial" w:hAnsi="Arial" w:cs="Arial"/>
        </w:rPr>
      </w:pPr>
      <w:r>
        <w:rPr>
          <w:rFonts w:ascii="Arial" w:hAnsi="Arial" w:cs="Arial"/>
        </w:rPr>
        <w:t xml:space="preserve">Researchers can adopt a combination of approaches based on specific research questions and objectives.  This research paper has adopted a combination of approaches although is mainly focused on a deductive research philosophy This lends itself to research undertaken by a practitioner given the prior knowledge held, as outlined by Goddard (2007).  This also enabled the researcher to gather quantitative data via a questionnaire and allows for the testing of existing theories or hypothesis.  As a practitioner, the researcher arguably holds a general theory relating to the application of Schedule 7 Powers and its use within the Common Travel Area, which a deductive research philosophy will allow for the collection of data to confirm or refute it, helping to establish any casual relationships and make predictions.  </w:t>
      </w:r>
    </w:p>
    <w:p w14:paraId="4DB31BB9" w14:textId="2540A41B" w:rsidR="007B111F" w:rsidRDefault="00162D31" w:rsidP="007E22E3">
      <w:pPr>
        <w:jc w:val="both"/>
        <w:rPr>
          <w:rFonts w:ascii="Arial" w:hAnsi="Arial" w:cs="Arial"/>
        </w:rPr>
      </w:pPr>
      <w:r>
        <w:rPr>
          <w:rFonts w:ascii="Arial" w:hAnsi="Arial" w:cs="Arial"/>
        </w:rPr>
        <w:t xml:space="preserve">The paper has considered a deductive </w:t>
      </w:r>
      <w:r w:rsidR="007B111F">
        <w:rPr>
          <w:rFonts w:ascii="Arial" w:hAnsi="Arial" w:cs="Arial"/>
        </w:rPr>
        <w:t xml:space="preserve">philosophy and one of the benefits of doing so is that it requires researchers to develop specific hypothesis based on existing theories or prior knowledge which in turn ensures the research questions are precise and testable, allowing for a focused and systematic investigation </w:t>
      </w:r>
      <w:sdt>
        <w:sdtPr>
          <w:rPr>
            <w:rFonts w:ascii="Arial" w:hAnsi="Arial" w:cs="Arial"/>
          </w:rPr>
          <w:id w:val="1200904369"/>
          <w:citation/>
        </w:sdtPr>
        <w:sdtContent>
          <w:r w:rsidR="007B111F">
            <w:rPr>
              <w:rFonts w:ascii="Arial" w:hAnsi="Arial" w:cs="Arial"/>
            </w:rPr>
            <w:fldChar w:fldCharType="begin"/>
          </w:r>
          <w:r w:rsidR="007B111F">
            <w:rPr>
              <w:rFonts w:ascii="Arial" w:hAnsi="Arial" w:cs="Arial"/>
            </w:rPr>
            <w:instrText xml:space="preserve"> CITATION God07 \l 2057 </w:instrText>
          </w:r>
          <w:r w:rsidR="007B111F">
            <w:rPr>
              <w:rFonts w:ascii="Arial" w:hAnsi="Arial" w:cs="Arial"/>
            </w:rPr>
            <w:fldChar w:fldCharType="separate"/>
          </w:r>
          <w:r w:rsidR="007B111F" w:rsidRPr="00E76C06">
            <w:rPr>
              <w:rFonts w:ascii="Arial" w:hAnsi="Arial" w:cs="Arial"/>
              <w:noProof/>
            </w:rPr>
            <w:t>(Goddard, 2007)</w:t>
          </w:r>
          <w:r w:rsidR="007B111F">
            <w:rPr>
              <w:rFonts w:ascii="Arial" w:hAnsi="Arial" w:cs="Arial"/>
            </w:rPr>
            <w:fldChar w:fldCharType="end"/>
          </w:r>
        </w:sdtContent>
      </w:sdt>
      <w:r w:rsidR="007B111F">
        <w:rPr>
          <w:rFonts w:ascii="Arial" w:hAnsi="Arial" w:cs="Arial"/>
        </w:rPr>
        <w:t>.</w:t>
      </w:r>
    </w:p>
    <w:p w14:paraId="5062B029" w14:textId="2ACC2942" w:rsidR="00D26343" w:rsidRDefault="00D26343" w:rsidP="007E22E3">
      <w:pPr>
        <w:jc w:val="both"/>
        <w:rPr>
          <w:rFonts w:ascii="Arial" w:hAnsi="Arial" w:cs="Arial"/>
        </w:rPr>
      </w:pPr>
      <w:r>
        <w:rPr>
          <w:rFonts w:ascii="Arial" w:hAnsi="Arial" w:cs="Arial"/>
        </w:rPr>
        <w:t xml:space="preserve">This research paper has combined a mixed methodology approach, combining both primary and secondary research methods.  The nature of the subject has presented some limitations with the sensitive nature of detecting terrorism meaning that both primary and secondary options sit behind national security protocols.  </w:t>
      </w:r>
      <w:r w:rsidR="00587617">
        <w:rPr>
          <w:rFonts w:ascii="Arial" w:hAnsi="Arial" w:cs="Arial"/>
        </w:rPr>
        <w:t>Therefore,</w:t>
      </w:r>
      <w:r>
        <w:rPr>
          <w:rFonts w:ascii="Arial" w:hAnsi="Arial" w:cs="Arial"/>
        </w:rPr>
        <w:t xml:space="preserve"> there is shift towards the utilisation of secondary research available via </w:t>
      </w:r>
      <w:r w:rsidR="003D2F6D">
        <w:rPr>
          <w:rFonts w:ascii="Arial" w:hAnsi="Arial" w:cs="Arial"/>
        </w:rPr>
        <w:t>open-source</w:t>
      </w:r>
      <w:r>
        <w:rPr>
          <w:rFonts w:ascii="Arial" w:hAnsi="Arial" w:cs="Arial"/>
        </w:rPr>
        <w:t xml:space="preserve"> platforms.  Whilst this has been a limitation, by using both primary and secondary research methods it has been possible to employ triangulation, which involves cross-validating findings from different sources.  This helps to enhance the credibility and reliability of the research by reducing the risk bias and increasing the robustness of the conclusions drawn </w:t>
      </w:r>
      <w:sdt>
        <w:sdtPr>
          <w:rPr>
            <w:rFonts w:ascii="Arial" w:hAnsi="Arial" w:cs="Arial"/>
          </w:rPr>
          <w:id w:val="1011724985"/>
          <w:citation/>
        </w:sdtPr>
        <w:sdtContent>
          <w:r>
            <w:rPr>
              <w:rFonts w:ascii="Arial" w:hAnsi="Arial" w:cs="Arial"/>
            </w:rPr>
            <w:fldChar w:fldCharType="begin"/>
          </w:r>
          <w:r>
            <w:rPr>
              <w:rFonts w:ascii="Arial" w:hAnsi="Arial" w:cs="Arial"/>
            </w:rPr>
            <w:instrText xml:space="preserve"> CITATION Cre17 \l 2057 </w:instrText>
          </w:r>
          <w:r>
            <w:rPr>
              <w:rFonts w:ascii="Arial" w:hAnsi="Arial" w:cs="Arial"/>
            </w:rPr>
            <w:fldChar w:fldCharType="separate"/>
          </w:r>
          <w:r>
            <w:rPr>
              <w:rFonts w:ascii="Arial" w:hAnsi="Arial" w:cs="Arial"/>
              <w:noProof/>
            </w:rPr>
            <w:t xml:space="preserve"> </w:t>
          </w:r>
          <w:r w:rsidRPr="000E54BF">
            <w:rPr>
              <w:rFonts w:ascii="Arial" w:hAnsi="Arial" w:cs="Arial"/>
              <w:noProof/>
            </w:rPr>
            <w:t>(Creswell, 2017)</w:t>
          </w:r>
          <w:r>
            <w:rPr>
              <w:rFonts w:ascii="Arial" w:hAnsi="Arial" w:cs="Arial"/>
            </w:rPr>
            <w:fldChar w:fldCharType="end"/>
          </w:r>
        </w:sdtContent>
      </w:sdt>
      <w:r>
        <w:rPr>
          <w:rFonts w:ascii="Arial" w:hAnsi="Arial" w:cs="Arial"/>
        </w:rPr>
        <w:t>.</w:t>
      </w:r>
    </w:p>
    <w:p w14:paraId="18DC6108" w14:textId="038FDFE1" w:rsidR="009F71B8" w:rsidRDefault="009F71B8" w:rsidP="007E22E3">
      <w:pPr>
        <w:jc w:val="both"/>
        <w:rPr>
          <w:rFonts w:ascii="Arial" w:hAnsi="Arial" w:cs="Arial"/>
        </w:rPr>
      </w:pPr>
      <w:r>
        <w:rPr>
          <w:rFonts w:ascii="Arial" w:hAnsi="Arial" w:cs="Arial"/>
        </w:rPr>
        <w:t>In undertaking this research, the researcher has included elements of action research with observations of processes around the activation of counter terrorism powers within the common travel area.  This real-world level of research has provided an understanding of the operational implications involved, albeit from a practitioner perspective.  It has perhaps lacked some scope in terms of a perspective from those subjected to checks and their opinions as ‘participants’.  Action research is a valuable research approach that promotes collaboration and generates practical knowledge</w:t>
      </w:r>
      <w:r w:rsidR="00011A46">
        <w:rPr>
          <w:rFonts w:ascii="Arial" w:hAnsi="Arial" w:cs="Arial"/>
        </w:rPr>
        <w:t xml:space="preserve"> </w:t>
      </w:r>
      <w:sdt>
        <w:sdtPr>
          <w:rPr>
            <w:rFonts w:ascii="Arial" w:hAnsi="Arial" w:cs="Arial"/>
          </w:rPr>
          <w:id w:val="-1909221057"/>
          <w:citation/>
        </w:sdtPr>
        <w:sdtContent>
          <w:r w:rsidR="00027BE6">
            <w:rPr>
              <w:rFonts w:ascii="Arial" w:hAnsi="Arial" w:cs="Arial"/>
            </w:rPr>
            <w:fldChar w:fldCharType="begin"/>
          </w:r>
          <w:r w:rsidR="00027BE6">
            <w:rPr>
              <w:rFonts w:ascii="Arial" w:hAnsi="Arial" w:cs="Arial"/>
            </w:rPr>
            <w:instrText xml:space="preserve"> CITATION Str14 \l 2057 </w:instrText>
          </w:r>
          <w:r w:rsidR="00027BE6">
            <w:rPr>
              <w:rFonts w:ascii="Arial" w:hAnsi="Arial" w:cs="Arial"/>
            </w:rPr>
            <w:fldChar w:fldCharType="separate"/>
          </w:r>
          <w:r w:rsidR="00027BE6" w:rsidRPr="00027BE6">
            <w:rPr>
              <w:rFonts w:ascii="Arial" w:hAnsi="Arial" w:cs="Arial"/>
              <w:noProof/>
            </w:rPr>
            <w:t>(Stringer, 2014)</w:t>
          </w:r>
          <w:r w:rsidR="00027BE6">
            <w:rPr>
              <w:rFonts w:ascii="Arial" w:hAnsi="Arial" w:cs="Arial"/>
            </w:rPr>
            <w:fldChar w:fldCharType="end"/>
          </w:r>
        </w:sdtContent>
      </w:sdt>
      <w:r w:rsidR="00027BE6">
        <w:rPr>
          <w:rFonts w:ascii="Arial" w:hAnsi="Arial" w:cs="Arial"/>
        </w:rPr>
        <w:t>.</w:t>
      </w:r>
    </w:p>
    <w:p w14:paraId="63A2CCE7" w14:textId="77777777" w:rsidR="00027BE6" w:rsidRDefault="00027BE6" w:rsidP="007E22E3">
      <w:pPr>
        <w:jc w:val="both"/>
        <w:rPr>
          <w:rFonts w:ascii="Arial" w:hAnsi="Arial" w:cs="Arial"/>
        </w:rPr>
      </w:pPr>
      <w:r>
        <w:rPr>
          <w:rFonts w:ascii="Arial" w:hAnsi="Arial" w:cs="Arial"/>
        </w:rPr>
        <w:t>In developing a data collection strategy for this paper, due consideration was given to the choice and wording of the questions that were posed via the survey with subject matter experts providing advice and guidance to minimise any bias through poorly worded or inappropriate questions.</w:t>
      </w:r>
    </w:p>
    <w:p w14:paraId="1C54D46D" w14:textId="77777777" w:rsidR="00587617" w:rsidRDefault="00587617" w:rsidP="007E22E3">
      <w:pPr>
        <w:jc w:val="both"/>
        <w:rPr>
          <w:rFonts w:ascii="Arial" w:hAnsi="Arial" w:cs="Arial"/>
        </w:rPr>
      </w:pPr>
      <w:r>
        <w:rPr>
          <w:rFonts w:ascii="Arial" w:hAnsi="Arial" w:cs="Arial"/>
        </w:rPr>
        <w:t xml:space="preserve">Despite the advantages of simplicity and time of a mono-method this research has allowed for a mixed-method data choice to ensure to minimise the potential for bias and limited perspectives.  This research paper has adopted a thematic analysis of the data.  Whilst thematic analysis can introduce subjectivity bias and present challenges in interpreting complex or contradictory data it offers several benefits, including its flexibility in being able to be applied to various types of qualitative data, such as interviews, observations or documents and this flexibility allows researchers to explore a wide range of topics and generate meaningful insights </w:t>
      </w:r>
      <w:sdt>
        <w:sdtPr>
          <w:rPr>
            <w:rFonts w:ascii="Arial" w:hAnsi="Arial" w:cs="Arial"/>
          </w:rPr>
          <w:id w:val="-786042207"/>
          <w:citation/>
        </w:sdtPr>
        <w:sdtContent>
          <w:r>
            <w:rPr>
              <w:rFonts w:ascii="Arial" w:hAnsi="Arial" w:cs="Arial"/>
            </w:rPr>
            <w:fldChar w:fldCharType="begin"/>
          </w:r>
          <w:r>
            <w:rPr>
              <w:rFonts w:ascii="Arial" w:hAnsi="Arial" w:cs="Arial"/>
            </w:rPr>
            <w:instrText xml:space="preserve"> CITATION Bra06 \l 2057 </w:instrText>
          </w:r>
          <w:r>
            <w:rPr>
              <w:rFonts w:ascii="Arial" w:hAnsi="Arial" w:cs="Arial"/>
            </w:rPr>
            <w:fldChar w:fldCharType="separate"/>
          </w:r>
          <w:r w:rsidRPr="00B7086A">
            <w:rPr>
              <w:rFonts w:ascii="Arial" w:hAnsi="Arial" w:cs="Arial"/>
              <w:noProof/>
            </w:rPr>
            <w:t>(Braun, 2006)</w:t>
          </w:r>
          <w:r>
            <w:rPr>
              <w:rFonts w:ascii="Arial" w:hAnsi="Arial" w:cs="Arial"/>
            </w:rPr>
            <w:fldChar w:fldCharType="end"/>
          </w:r>
        </w:sdtContent>
      </w:sdt>
      <w:r>
        <w:rPr>
          <w:rFonts w:ascii="Arial" w:hAnsi="Arial" w:cs="Arial"/>
        </w:rPr>
        <w:t>.</w:t>
      </w:r>
    </w:p>
    <w:p w14:paraId="7962533D" w14:textId="7165E723" w:rsidR="0099600E" w:rsidRDefault="00A569A5" w:rsidP="007E22E3">
      <w:pPr>
        <w:jc w:val="both"/>
        <w:rPr>
          <w:rFonts w:ascii="Arial" w:hAnsi="Arial" w:cs="Arial"/>
        </w:rPr>
      </w:pPr>
      <w:r>
        <w:rPr>
          <w:rFonts w:ascii="Arial" w:hAnsi="Arial" w:cs="Arial"/>
        </w:rPr>
        <w:t xml:space="preserve">In </w:t>
      </w:r>
      <w:r w:rsidR="00BF7FBD">
        <w:rPr>
          <w:rFonts w:ascii="Arial" w:hAnsi="Arial" w:cs="Arial"/>
        </w:rPr>
        <w:t>carrying out this research a questionnaire has been commissioned and sent to staff with an invitation to complete</w:t>
      </w:r>
      <w:r w:rsidR="004747EC">
        <w:rPr>
          <w:rFonts w:ascii="Arial" w:hAnsi="Arial" w:cs="Arial"/>
        </w:rPr>
        <w:t>.  A questionnaire is a research instrument used to collect information or data from individuals or groups of people.</w:t>
      </w:r>
      <w:r w:rsidR="00242AD2">
        <w:rPr>
          <w:rFonts w:ascii="Arial" w:hAnsi="Arial" w:cs="Arial"/>
        </w:rPr>
        <w:t xml:space="preserve">  It typically consists of a set of structured questions </w:t>
      </w:r>
      <w:r w:rsidR="00242AD2">
        <w:rPr>
          <w:rFonts w:ascii="Arial" w:hAnsi="Arial" w:cs="Arial"/>
        </w:rPr>
        <w:lastRenderedPageBreak/>
        <w:t xml:space="preserve">that respondents answer in writing, either on paper or </w:t>
      </w:r>
      <w:r w:rsidR="00BA57AD">
        <w:rPr>
          <w:rFonts w:ascii="Arial" w:hAnsi="Arial" w:cs="Arial"/>
        </w:rPr>
        <w:t>electronically</w:t>
      </w:r>
      <w:r w:rsidR="00384E91">
        <w:rPr>
          <w:rFonts w:ascii="Arial" w:hAnsi="Arial" w:cs="Arial"/>
        </w:rPr>
        <w:t xml:space="preserve">.  </w:t>
      </w:r>
      <w:r w:rsidR="007D3CEC">
        <w:rPr>
          <w:rFonts w:ascii="Arial" w:hAnsi="Arial" w:cs="Arial"/>
        </w:rPr>
        <w:t xml:space="preserve"> A questionnaire should be clear and concise</w:t>
      </w:r>
      <w:r w:rsidR="00C000F2">
        <w:rPr>
          <w:rFonts w:ascii="Arial" w:hAnsi="Arial" w:cs="Arial"/>
        </w:rPr>
        <w:t xml:space="preserve"> with appropriate response options, and a proper sequencing of questions</w:t>
      </w:r>
      <w:sdt>
        <w:sdtPr>
          <w:rPr>
            <w:rFonts w:ascii="Arial" w:hAnsi="Arial" w:cs="Arial"/>
          </w:rPr>
          <w:id w:val="-1356809571"/>
          <w:citation/>
        </w:sdtPr>
        <w:sdtContent>
          <w:r w:rsidR="00C000F2">
            <w:rPr>
              <w:rFonts w:ascii="Arial" w:hAnsi="Arial" w:cs="Arial"/>
            </w:rPr>
            <w:fldChar w:fldCharType="begin"/>
          </w:r>
          <w:r w:rsidR="00C000F2">
            <w:rPr>
              <w:rFonts w:ascii="Arial" w:hAnsi="Arial" w:cs="Arial"/>
            </w:rPr>
            <w:instrText xml:space="preserve"> CITATION Bra22 \l 2057 </w:instrText>
          </w:r>
          <w:r w:rsidR="00C000F2">
            <w:rPr>
              <w:rFonts w:ascii="Arial" w:hAnsi="Arial" w:cs="Arial"/>
            </w:rPr>
            <w:fldChar w:fldCharType="separate"/>
          </w:r>
          <w:r w:rsidR="00C000F2">
            <w:rPr>
              <w:rFonts w:ascii="Arial" w:hAnsi="Arial" w:cs="Arial"/>
              <w:noProof/>
            </w:rPr>
            <w:t xml:space="preserve"> </w:t>
          </w:r>
          <w:r w:rsidR="00C000F2" w:rsidRPr="00C000F2">
            <w:rPr>
              <w:rFonts w:ascii="Arial" w:hAnsi="Arial" w:cs="Arial"/>
              <w:noProof/>
            </w:rPr>
            <w:t>(Brace, 2022)</w:t>
          </w:r>
          <w:r w:rsidR="00C000F2">
            <w:rPr>
              <w:rFonts w:ascii="Arial" w:hAnsi="Arial" w:cs="Arial"/>
            </w:rPr>
            <w:fldChar w:fldCharType="end"/>
          </w:r>
        </w:sdtContent>
      </w:sdt>
      <w:r w:rsidR="00C000F2">
        <w:rPr>
          <w:rFonts w:ascii="Arial" w:hAnsi="Arial" w:cs="Arial"/>
        </w:rPr>
        <w:t>.</w:t>
      </w:r>
    </w:p>
    <w:p w14:paraId="6EFD758D" w14:textId="697FAD0B" w:rsidR="004D1BC9" w:rsidRPr="00A569A5" w:rsidRDefault="0075110E" w:rsidP="007E22E3">
      <w:pPr>
        <w:jc w:val="both"/>
        <w:rPr>
          <w:rFonts w:ascii="Arial" w:hAnsi="Arial" w:cs="Arial"/>
        </w:rPr>
      </w:pPr>
      <w:r>
        <w:rPr>
          <w:rFonts w:ascii="Arial" w:hAnsi="Arial" w:cs="Arial"/>
        </w:rPr>
        <w:t>A questionnaire is a cost effective and efficient</w:t>
      </w:r>
      <w:r w:rsidR="00920B07">
        <w:rPr>
          <w:rFonts w:ascii="Arial" w:hAnsi="Arial" w:cs="Arial"/>
        </w:rPr>
        <w:t xml:space="preserve"> method of data collection</w:t>
      </w:r>
      <w:r w:rsidR="00AC7F2E">
        <w:rPr>
          <w:rFonts w:ascii="Arial" w:hAnsi="Arial" w:cs="Arial"/>
        </w:rPr>
        <w:t xml:space="preserve">, particularly when compared to other techniques such as interviews or observations </w:t>
      </w:r>
      <w:sdt>
        <w:sdtPr>
          <w:rPr>
            <w:rFonts w:ascii="Arial" w:hAnsi="Arial" w:cs="Arial"/>
          </w:rPr>
          <w:id w:val="2005696413"/>
          <w:citation/>
        </w:sdtPr>
        <w:sdtContent>
          <w:r w:rsidR="00B7736F">
            <w:rPr>
              <w:rFonts w:ascii="Arial" w:hAnsi="Arial" w:cs="Arial"/>
            </w:rPr>
            <w:fldChar w:fldCharType="begin"/>
          </w:r>
          <w:r w:rsidR="00B7736F">
            <w:rPr>
              <w:rFonts w:ascii="Arial" w:hAnsi="Arial" w:cs="Arial"/>
            </w:rPr>
            <w:instrText xml:space="preserve"> CITATION Bab16 \l 2057 </w:instrText>
          </w:r>
          <w:r w:rsidR="00B7736F">
            <w:rPr>
              <w:rFonts w:ascii="Arial" w:hAnsi="Arial" w:cs="Arial"/>
            </w:rPr>
            <w:fldChar w:fldCharType="separate"/>
          </w:r>
          <w:r w:rsidR="00B7736F" w:rsidRPr="00B7736F">
            <w:rPr>
              <w:rFonts w:ascii="Arial" w:hAnsi="Arial" w:cs="Arial"/>
              <w:noProof/>
            </w:rPr>
            <w:t>(Babbie, 2016)</w:t>
          </w:r>
          <w:r w:rsidR="00B7736F">
            <w:rPr>
              <w:rFonts w:ascii="Arial" w:hAnsi="Arial" w:cs="Arial"/>
            </w:rPr>
            <w:fldChar w:fldCharType="end"/>
          </w:r>
        </w:sdtContent>
      </w:sdt>
      <w:r w:rsidR="00B7736F">
        <w:rPr>
          <w:rFonts w:ascii="Arial" w:hAnsi="Arial" w:cs="Arial"/>
        </w:rPr>
        <w:t>.  They also allow for standardisation of data collection, ensuring all participants receive the same set of questions in the same order</w:t>
      </w:r>
      <w:r w:rsidR="000030BC">
        <w:rPr>
          <w:rFonts w:ascii="Arial" w:hAnsi="Arial" w:cs="Arial"/>
        </w:rPr>
        <w:t xml:space="preserve">; this helps in reducing bias and ensuring consistency </w:t>
      </w:r>
      <w:sdt>
        <w:sdtPr>
          <w:rPr>
            <w:rFonts w:ascii="Arial" w:hAnsi="Arial" w:cs="Arial"/>
          </w:rPr>
          <w:id w:val="-1975520440"/>
          <w:citation/>
        </w:sdtPr>
        <w:sdtContent>
          <w:r w:rsidR="000030BC">
            <w:rPr>
              <w:rFonts w:ascii="Arial" w:hAnsi="Arial" w:cs="Arial"/>
            </w:rPr>
            <w:fldChar w:fldCharType="begin"/>
          </w:r>
          <w:r w:rsidR="000030BC">
            <w:rPr>
              <w:rFonts w:ascii="Arial" w:hAnsi="Arial" w:cs="Arial"/>
            </w:rPr>
            <w:instrText xml:space="preserve"> CITATION Fow13 \l 2057 </w:instrText>
          </w:r>
          <w:r w:rsidR="000030BC">
            <w:rPr>
              <w:rFonts w:ascii="Arial" w:hAnsi="Arial" w:cs="Arial"/>
            </w:rPr>
            <w:fldChar w:fldCharType="separate"/>
          </w:r>
          <w:r w:rsidR="000030BC" w:rsidRPr="000030BC">
            <w:rPr>
              <w:rFonts w:ascii="Arial" w:hAnsi="Arial" w:cs="Arial"/>
              <w:noProof/>
            </w:rPr>
            <w:t>(Fowler Jr, 2013)</w:t>
          </w:r>
          <w:r w:rsidR="000030BC">
            <w:rPr>
              <w:rFonts w:ascii="Arial" w:hAnsi="Arial" w:cs="Arial"/>
            </w:rPr>
            <w:fldChar w:fldCharType="end"/>
          </w:r>
        </w:sdtContent>
      </w:sdt>
      <w:r w:rsidR="00B67763">
        <w:rPr>
          <w:rFonts w:ascii="Arial" w:hAnsi="Arial" w:cs="Arial"/>
        </w:rPr>
        <w:t xml:space="preserve">.  </w:t>
      </w:r>
      <w:r w:rsidR="00FF2472">
        <w:rPr>
          <w:rFonts w:ascii="Arial" w:hAnsi="Arial" w:cs="Arial"/>
        </w:rPr>
        <w:t>Questionnaires</w:t>
      </w:r>
      <w:r w:rsidR="00B67763">
        <w:rPr>
          <w:rFonts w:ascii="Arial" w:hAnsi="Arial" w:cs="Arial"/>
        </w:rPr>
        <w:t xml:space="preserve"> can also be distributed to </w:t>
      </w:r>
      <w:proofErr w:type="gramStart"/>
      <w:r w:rsidR="00B67763">
        <w:rPr>
          <w:rFonts w:ascii="Arial" w:hAnsi="Arial" w:cs="Arial"/>
        </w:rPr>
        <w:t>a large number of</w:t>
      </w:r>
      <w:proofErr w:type="gramEnd"/>
      <w:r w:rsidR="00B67763">
        <w:rPr>
          <w:rFonts w:ascii="Arial" w:hAnsi="Arial" w:cs="Arial"/>
        </w:rPr>
        <w:t xml:space="preserve"> participants, allowing researchers to gather data</w:t>
      </w:r>
      <w:r w:rsidR="00FF2472">
        <w:rPr>
          <w:rFonts w:ascii="Arial" w:hAnsi="Arial" w:cs="Arial"/>
        </w:rPr>
        <w:t xml:space="preserve"> from a diverse range of individuals </w:t>
      </w:r>
      <w:sdt>
        <w:sdtPr>
          <w:rPr>
            <w:rFonts w:ascii="Arial" w:hAnsi="Arial" w:cs="Arial"/>
          </w:rPr>
          <w:id w:val="109642037"/>
          <w:citation/>
        </w:sdtPr>
        <w:sdtContent>
          <w:r w:rsidR="00FF2472">
            <w:rPr>
              <w:rFonts w:ascii="Arial" w:hAnsi="Arial" w:cs="Arial"/>
            </w:rPr>
            <w:fldChar w:fldCharType="begin"/>
          </w:r>
          <w:r w:rsidR="00FF2472">
            <w:rPr>
              <w:rFonts w:ascii="Arial" w:hAnsi="Arial" w:cs="Arial"/>
            </w:rPr>
            <w:instrText xml:space="preserve"> CITATION Fin16 \l 2057 </w:instrText>
          </w:r>
          <w:r w:rsidR="00FF2472">
            <w:rPr>
              <w:rFonts w:ascii="Arial" w:hAnsi="Arial" w:cs="Arial"/>
            </w:rPr>
            <w:fldChar w:fldCharType="separate"/>
          </w:r>
          <w:r w:rsidR="00FF2472" w:rsidRPr="00FF2472">
            <w:rPr>
              <w:rFonts w:ascii="Arial" w:hAnsi="Arial" w:cs="Arial"/>
              <w:noProof/>
            </w:rPr>
            <w:t>(Fink, 2016)</w:t>
          </w:r>
          <w:r w:rsidR="00FF2472">
            <w:rPr>
              <w:rFonts w:ascii="Arial" w:hAnsi="Arial" w:cs="Arial"/>
            </w:rPr>
            <w:fldChar w:fldCharType="end"/>
          </w:r>
        </w:sdtContent>
      </w:sdt>
      <w:r w:rsidR="00FF2472">
        <w:rPr>
          <w:rFonts w:ascii="Arial" w:hAnsi="Arial" w:cs="Arial"/>
        </w:rPr>
        <w:t>.</w:t>
      </w:r>
      <w:r w:rsidR="00F279B5">
        <w:rPr>
          <w:rFonts w:ascii="Arial" w:hAnsi="Arial" w:cs="Arial"/>
        </w:rPr>
        <w:t xml:space="preserve">  Conversely, a questionnaire</w:t>
      </w:r>
      <w:r w:rsidR="008C7F04">
        <w:rPr>
          <w:rFonts w:ascii="Arial" w:hAnsi="Arial" w:cs="Arial"/>
        </w:rPr>
        <w:t xml:space="preserve"> also poses issues where respondents may provide inaccurate or biased answers due to social desirability bias, memory recall issues, or lack of motivation to respond honestly </w:t>
      </w:r>
      <w:sdt>
        <w:sdtPr>
          <w:rPr>
            <w:rFonts w:ascii="Arial" w:hAnsi="Arial" w:cs="Arial"/>
          </w:rPr>
          <w:id w:val="-338312325"/>
          <w:citation/>
        </w:sdtPr>
        <w:sdtContent>
          <w:r w:rsidR="009554CE">
            <w:rPr>
              <w:rFonts w:ascii="Arial" w:hAnsi="Arial" w:cs="Arial"/>
            </w:rPr>
            <w:fldChar w:fldCharType="begin"/>
          </w:r>
          <w:r w:rsidR="009554CE">
            <w:rPr>
              <w:rFonts w:ascii="Arial" w:hAnsi="Arial" w:cs="Arial"/>
            </w:rPr>
            <w:instrText xml:space="preserve"> CITATION Bab16 \l 2057 </w:instrText>
          </w:r>
          <w:r w:rsidR="009554CE">
            <w:rPr>
              <w:rFonts w:ascii="Arial" w:hAnsi="Arial" w:cs="Arial"/>
            </w:rPr>
            <w:fldChar w:fldCharType="separate"/>
          </w:r>
          <w:r w:rsidR="009554CE" w:rsidRPr="009554CE">
            <w:rPr>
              <w:rFonts w:ascii="Arial" w:hAnsi="Arial" w:cs="Arial"/>
              <w:noProof/>
            </w:rPr>
            <w:t>(Babbie, 2016)</w:t>
          </w:r>
          <w:r w:rsidR="009554CE">
            <w:rPr>
              <w:rFonts w:ascii="Arial" w:hAnsi="Arial" w:cs="Arial"/>
            </w:rPr>
            <w:fldChar w:fldCharType="end"/>
          </w:r>
        </w:sdtContent>
      </w:sdt>
      <w:r w:rsidR="009554CE">
        <w:rPr>
          <w:rFonts w:ascii="Arial" w:hAnsi="Arial" w:cs="Arial"/>
        </w:rPr>
        <w:t>.  They also typically lack depth given the limited scope for providing contextualised information</w:t>
      </w:r>
      <w:r w:rsidR="0067453A">
        <w:rPr>
          <w:rFonts w:ascii="Arial" w:hAnsi="Arial" w:cs="Arial"/>
        </w:rPr>
        <w:t xml:space="preserve"> or detailed explanations and opinions </w:t>
      </w:r>
      <w:sdt>
        <w:sdtPr>
          <w:rPr>
            <w:rFonts w:ascii="Arial" w:hAnsi="Arial" w:cs="Arial"/>
          </w:rPr>
          <w:id w:val="2074389069"/>
          <w:citation/>
        </w:sdtPr>
        <w:sdtContent>
          <w:r w:rsidR="0067453A">
            <w:rPr>
              <w:rFonts w:ascii="Arial" w:hAnsi="Arial" w:cs="Arial"/>
            </w:rPr>
            <w:fldChar w:fldCharType="begin"/>
          </w:r>
          <w:r w:rsidR="0067453A">
            <w:rPr>
              <w:rFonts w:ascii="Arial" w:hAnsi="Arial" w:cs="Arial"/>
            </w:rPr>
            <w:instrText xml:space="preserve"> CITATION Fow13 \l 2057 </w:instrText>
          </w:r>
          <w:r w:rsidR="0067453A">
            <w:rPr>
              <w:rFonts w:ascii="Arial" w:hAnsi="Arial" w:cs="Arial"/>
            </w:rPr>
            <w:fldChar w:fldCharType="separate"/>
          </w:r>
          <w:r w:rsidR="0067453A" w:rsidRPr="0067453A">
            <w:rPr>
              <w:rFonts w:ascii="Arial" w:hAnsi="Arial" w:cs="Arial"/>
              <w:noProof/>
            </w:rPr>
            <w:t>(Fowler Jr, 2013)</w:t>
          </w:r>
          <w:r w:rsidR="0067453A">
            <w:rPr>
              <w:rFonts w:ascii="Arial" w:hAnsi="Arial" w:cs="Arial"/>
            </w:rPr>
            <w:fldChar w:fldCharType="end"/>
          </w:r>
        </w:sdtContent>
      </w:sdt>
      <w:r w:rsidR="0067453A">
        <w:rPr>
          <w:rFonts w:ascii="Arial" w:hAnsi="Arial" w:cs="Arial"/>
        </w:rPr>
        <w:t xml:space="preserve">.  </w:t>
      </w:r>
      <w:r w:rsidR="00A34A37">
        <w:rPr>
          <w:rFonts w:ascii="Arial" w:hAnsi="Arial" w:cs="Arial"/>
        </w:rPr>
        <w:t>Fink (2013)</w:t>
      </w:r>
      <w:r w:rsidR="007C12FC">
        <w:rPr>
          <w:rFonts w:ascii="Arial" w:hAnsi="Arial" w:cs="Arial"/>
        </w:rPr>
        <w:t xml:space="preserve"> also suggests that t</w:t>
      </w:r>
      <w:r w:rsidR="0067453A">
        <w:rPr>
          <w:rFonts w:ascii="Arial" w:hAnsi="Arial" w:cs="Arial"/>
        </w:rPr>
        <w:t xml:space="preserve">here also remains a possibility </w:t>
      </w:r>
      <w:r w:rsidR="007C12FC">
        <w:rPr>
          <w:rFonts w:ascii="Arial" w:hAnsi="Arial" w:cs="Arial"/>
        </w:rPr>
        <w:t xml:space="preserve">of a non-response bias whereby a portion of the target population does not </w:t>
      </w:r>
      <w:r w:rsidR="00A34A37">
        <w:rPr>
          <w:rFonts w:ascii="Arial" w:hAnsi="Arial" w:cs="Arial"/>
        </w:rPr>
        <w:t>complete the questionnaire, potentially leading to a biased sample.</w:t>
      </w:r>
    </w:p>
    <w:p w14:paraId="0B0122AD" w14:textId="3448FBD4" w:rsidR="0099600E" w:rsidRPr="00A43FDB" w:rsidRDefault="00A43FDB" w:rsidP="007E22E3">
      <w:pPr>
        <w:jc w:val="both"/>
        <w:rPr>
          <w:rFonts w:ascii="Arial" w:hAnsi="Arial" w:cs="Arial"/>
        </w:rPr>
      </w:pPr>
      <w:r>
        <w:rPr>
          <w:rFonts w:ascii="Arial" w:hAnsi="Arial" w:cs="Arial"/>
        </w:rPr>
        <w:t>This research pro</w:t>
      </w:r>
      <w:r w:rsidR="00096FB1">
        <w:rPr>
          <w:rFonts w:ascii="Arial" w:hAnsi="Arial" w:cs="Arial"/>
        </w:rPr>
        <w:t xml:space="preserve">posal suggested a sample size of approximately 35-65 members of staff </w:t>
      </w:r>
      <w:r w:rsidR="00C71817">
        <w:rPr>
          <w:rFonts w:ascii="Arial" w:hAnsi="Arial" w:cs="Arial"/>
        </w:rPr>
        <w:t xml:space="preserve">with </w:t>
      </w:r>
      <w:r w:rsidR="00A12D36">
        <w:rPr>
          <w:rFonts w:ascii="Arial" w:hAnsi="Arial" w:cs="Arial"/>
        </w:rPr>
        <w:t xml:space="preserve">29 people completing and submitting the questionnaire.  </w:t>
      </w:r>
      <w:r w:rsidR="00041610">
        <w:rPr>
          <w:rFonts w:ascii="Arial" w:hAnsi="Arial" w:cs="Arial"/>
        </w:rPr>
        <w:t xml:space="preserve">Although slightly below the anticipate sample size, the figure represents a healthy </w:t>
      </w:r>
      <w:r w:rsidR="008A7DB4">
        <w:rPr>
          <w:rFonts w:ascii="Arial" w:hAnsi="Arial" w:cs="Arial"/>
        </w:rPr>
        <w:t>proportion of staff with questionnaire submitted to a total of 65 persons.</w:t>
      </w:r>
      <w:r w:rsidR="006671FB">
        <w:rPr>
          <w:rFonts w:ascii="Arial" w:hAnsi="Arial" w:cs="Arial"/>
        </w:rPr>
        <w:t xml:space="preserve">  Whilst the proposal suggested that one to one </w:t>
      </w:r>
      <w:proofErr w:type="gramStart"/>
      <w:r w:rsidR="00750CAE">
        <w:rPr>
          <w:rFonts w:ascii="Arial" w:hAnsi="Arial" w:cs="Arial"/>
        </w:rPr>
        <w:t>interviews</w:t>
      </w:r>
      <w:proofErr w:type="gramEnd"/>
      <w:r w:rsidR="006671FB">
        <w:rPr>
          <w:rFonts w:ascii="Arial" w:hAnsi="Arial" w:cs="Arial"/>
        </w:rPr>
        <w:t xml:space="preserve"> with staff may present itself as a viable option if </w:t>
      </w:r>
      <w:r w:rsidR="0096796A">
        <w:rPr>
          <w:rFonts w:ascii="Arial" w:hAnsi="Arial" w:cs="Arial"/>
        </w:rPr>
        <w:t>response</w:t>
      </w:r>
      <w:r w:rsidR="006671FB">
        <w:rPr>
          <w:rFonts w:ascii="Arial" w:hAnsi="Arial" w:cs="Arial"/>
        </w:rPr>
        <w:t xml:space="preserve"> rates were poor, </w:t>
      </w:r>
      <w:r w:rsidR="00625AF9">
        <w:rPr>
          <w:rFonts w:ascii="Arial" w:hAnsi="Arial" w:cs="Arial"/>
        </w:rPr>
        <w:t>a 45 percent return has represented a reasonable sample size</w:t>
      </w:r>
      <w:r w:rsidR="00B4401E">
        <w:rPr>
          <w:rFonts w:ascii="Arial" w:hAnsi="Arial" w:cs="Arial"/>
        </w:rPr>
        <w:t>.</w:t>
      </w:r>
      <w:r w:rsidR="007D3F85">
        <w:rPr>
          <w:rFonts w:ascii="Arial" w:hAnsi="Arial" w:cs="Arial"/>
        </w:rPr>
        <w:t xml:space="preserve">  The questionnaire was made up of 12 questions in total.  </w:t>
      </w:r>
      <w:r w:rsidR="004D7802">
        <w:rPr>
          <w:rFonts w:ascii="Arial" w:hAnsi="Arial" w:cs="Arial"/>
        </w:rPr>
        <w:t>Eleven of the questions were structured, designed to</w:t>
      </w:r>
      <w:r w:rsidR="009B7359">
        <w:rPr>
          <w:rFonts w:ascii="Arial" w:hAnsi="Arial" w:cs="Arial"/>
        </w:rPr>
        <w:t xml:space="preserve"> gather specific information from respondents.  One semi-structured question was used </w:t>
      </w:r>
      <w:r w:rsidR="00C75498">
        <w:rPr>
          <w:rFonts w:ascii="Arial" w:hAnsi="Arial" w:cs="Arial"/>
        </w:rPr>
        <w:t>which allowed respondents to capture</w:t>
      </w:r>
      <w:r w:rsidR="00247680">
        <w:rPr>
          <w:rFonts w:ascii="Arial" w:hAnsi="Arial" w:cs="Arial"/>
        </w:rPr>
        <w:t xml:space="preserve"> some of the more complex topics and provide detailed and nuanced responses.  The researcher was mindful of the national security sensitivities around information sharing on </w:t>
      </w:r>
      <w:r w:rsidR="004261C5">
        <w:rPr>
          <w:rFonts w:ascii="Arial" w:hAnsi="Arial" w:cs="Arial"/>
        </w:rPr>
        <w:t xml:space="preserve">systems such as Microsoft Forms that may not be secure, hence the limitation placed on semi structured question </w:t>
      </w:r>
      <w:r w:rsidR="00926493">
        <w:rPr>
          <w:rFonts w:ascii="Arial" w:hAnsi="Arial" w:cs="Arial"/>
        </w:rPr>
        <w:t>format.</w:t>
      </w:r>
    </w:p>
    <w:p w14:paraId="5B4487E1" w14:textId="0C011168" w:rsidR="00183668" w:rsidRDefault="00183668" w:rsidP="007E22E3">
      <w:pPr>
        <w:jc w:val="both"/>
        <w:rPr>
          <w:rFonts w:ascii="Arial" w:hAnsi="Arial" w:cs="Arial"/>
        </w:rPr>
      </w:pPr>
      <w:r w:rsidRPr="00183668">
        <w:rPr>
          <w:rFonts w:ascii="Arial" w:hAnsi="Arial" w:cs="Arial"/>
        </w:rPr>
        <w:t>According to</w:t>
      </w:r>
      <w:r w:rsidR="00FB4627">
        <w:rPr>
          <w:rFonts w:ascii="Arial" w:hAnsi="Arial" w:cs="Arial"/>
        </w:rPr>
        <w:t xml:space="preserve"> </w:t>
      </w:r>
      <w:r w:rsidR="00B560C6" w:rsidRPr="00B560C6">
        <w:rPr>
          <w:rFonts w:ascii="Arial" w:hAnsi="Arial" w:cs="Arial"/>
          <w:noProof/>
        </w:rPr>
        <w:t>Resnik</w:t>
      </w:r>
      <w:r w:rsidR="00A95687">
        <w:rPr>
          <w:rFonts w:ascii="Arial" w:hAnsi="Arial" w:cs="Arial"/>
          <w:noProof/>
        </w:rPr>
        <w:t xml:space="preserve"> (</w:t>
      </w:r>
      <w:r w:rsidR="00B560C6" w:rsidRPr="00B560C6">
        <w:rPr>
          <w:rFonts w:ascii="Arial" w:hAnsi="Arial" w:cs="Arial"/>
          <w:noProof/>
        </w:rPr>
        <w:t>2015</w:t>
      </w:r>
      <w:r w:rsidR="00A95687">
        <w:rPr>
          <w:rFonts w:ascii="Arial" w:hAnsi="Arial" w:cs="Arial"/>
          <w:noProof/>
        </w:rPr>
        <w:t xml:space="preserve">) </w:t>
      </w:r>
      <w:r w:rsidRPr="00183668">
        <w:rPr>
          <w:rFonts w:ascii="Arial" w:hAnsi="Arial" w:cs="Arial"/>
        </w:rPr>
        <w:t xml:space="preserve">research ethics provides a framework for responsible conduct in research, addressing ethical considerations and dilemmas that arise throughout the research process. It involves the application of moral principles to guide researchers' </w:t>
      </w:r>
      <w:r w:rsidR="00580DA4" w:rsidRPr="00183668">
        <w:rPr>
          <w:rFonts w:ascii="Arial" w:hAnsi="Arial" w:cs="Arial"/>
        </w:rPr>
        <w:t>behaviour</w:t>
      </w:r>
      <w:r w:rsidRPr="00183668">
        <w:rPr>
          <w:rFonts w:ascii="Arial" w:hAnsi="Arial" w:cs="Arial"/>
        </w:rPr>
        <w:t xml:space="preserve"> and decision-making.</w:t>
      </w:r>
      <w:r w:rsidR="00395024">
        <w:rPr>
          <w:rFonts w:ascii="Arial" w:hAnsi="Arial" w:cs="Arial"/>
        </w:rPr>
        <w:t xml:space="preserve"> </w:t>
      </w:r>
      <w:r w:rsidR="006A0DE4">
        <w:rPr>
          <w:rFonts w:ascii="Arial" w:hAnsi="Arial" w:cs="Arial"/>
        </w:rPr>
        <w:t xml:space="preserve"> </w:t>
      </w:r>
      <w:r w:rsidR="00E956DB">
        <w:rPr>
          <w:rFonts w:ascii="Arial" w:hAnsi="Arial" w:cs="Arial"/>
          <w:noProof/>
        </w:rPr>
        <w:t xml:space="preserve">Beauchamp and </w:t>
      </w:r>
      <w:r w:rsidR="006A0DE4">
        <w:rPr>
          <w:rFonts w:ascii="Arial" w:hAnsi="Arial" w:cs="Arial"/>
          <w:noProof/>
        </w:rPr>
        <w:t>Childress (2019)</w:t>
      </w:r>
      <w:r w:rsidR="00E956DB">
        <w:rPr>
          <w:rFonts w:ascii="Arial" w:hAnsi="Arial" w:cs="Arial"/>
        </w:rPr>
        <w:t xml:space="preserve"> </w:t>
      </w:r>
      <w:r w:rsidRPr="00183668">
        <w:rPr>
          <w:rFonts w:ascii="Arial" w:hAnsi="Arial" w:cs="Arial"/>
        </w:rPr>
        <w:t>argue that research ethics involves the application of ethical principles, such as respect for autonomy, beneficence, justice, and integrity, to guide the design, conduct, and dissemination of research.</w:t>
      </w:r>
    </w:p>
    <w:p w14:paraId="59B65119" w14:textId="53541B69" w:rsidR="00D86F09" w:rsidRDefault="00197F42" w:rsidP="007E22E3">
      <w:pPr>
        <w:jc w:val="both"/>
        <w:rPr>
          <w:rFonts w:ascii="Arial" w:hAnsi="Arial" w:cs="Arial"/>
        </w:rPr>
      </w:pPr>
      <w:r w:rsidRPr="00D86F09">
        <w:rPr>
          <w:rFonts w:ascii="Arial" w:hAnsi="Arial" w:cs="Arial"/>
        </w:rPr>
        <w:t>When undertaking this research due consideration is given to ethical issues</w:t>
      </w:r>
      <w:r w:rsidR="0073652F" w:rsidRPr="00D86F09">
        <w:rPr>
          <w:rFonts w:ascii="Arial" w:hAnsi="Arial" w:cs="Arial"/>
        </w:rPr>
        <w:t xml:space="preserve">, particularly the </w:t>
      </w:r>
      <w:r w:rsidR="00FB2DFE">
        <w:rPr>
          <w:rFonts w:ascii="Arial" w:hAnsi="Arial" w:cs="Arial"/>
        </w:rPr>
        <w:t xml:space="preserve">core </w:t>
      </w:r>
      <w:r w:rsidR="0073652F" w:rsidRPr="00D86F09">
        <w:rPr>
          <w:rFonts w:ascii="Arial" w:hAnsi="Arial" w:cs="Arial"/>
        </w:rPr>
        <w:t>principles of research ethics</w:t>
      </w:r>
      <w:r w:rsidR="006124A3" w:rsidRPr="00D86F09">
        <w:rPr>
          <w:rFonts w:ascii="Arial" w:hAnsi="Arial" w:cs="Arial"/>
        </w:rPr>
        <w:t xml:space="preserve">; </w:t>
      </w:r>
      <w:r w:rsidR="00D86F09" w:rsidRPr="00D86F09">
        <w:rPr>
          <w:rFonts w:ascii="Arial" w:hAnsi="Arial" w:cs="Arial"/>
        </w:rPr>
        <w:t xml:space="preserve">minimising risk of harm, obtaining informed consent, protecting anonymity and confidentiality, avoiding deceptive </w:t>
      </w:r>
      <w:r w:rsidR="00233BAE" w:rsidRPr="00D86F09">
        <w:rPr>
          <w:rFonts w:ascii="Arial" w:hAnsi="Arial" w:cs="Arial"/>
        </w:rPr>
        <w:t>practices,</w:t>
      </w:r>
      <w:r w:rsidR="00D86F09" w:rsidRPr="00D86F09">
        <w:rPr>
          <w:rFonts w:ascii="Arial" w:hAnsi="Arial" w:cs="Arial"/>
        </w:rPr>
        <w:t xml:space="preserve"> and providing the right to withdraw</w:t>
      </w:r>
      <w:r w:rsidR="00FB2DFE">
        <w:rPr>
          <w:rFonts w:ascii="Arial" w:hAnsi="Arial" w:cs="Arial"/>
        </w:rPr>
        <w:t xml:space="preserve"> </w:t>
      </w:r>
      <w:sdt>
        <w:sdtPr>
          <w:rPr>
            <w:rFonts w:ascii="Arial" w:hAnsi="Arial" w:cs="Arial"/>
          </w:rPr>
          <w:id w:val="-930047977"/>
          <w:citation/>
        </w:sdtPr>
        <w:sdtContent>
          <w:r w:rsidR="00FB2DFE">
            <w:rPr>
              <w:rFonts w:ascii="Arial" w:hAnsi="Arial" w:cs="Arial"/>
            </w:rPr>
            <w:fldChar w:fldCharType="begin"/>
          </w:r>
          <w:r w:rsidR="00FB2DFE">
            <w:rPr>
              <w:rFonts w:ascii="Arial" w:hAnsi="Arial" w:cs="Arial"/>
            </w:rPr>
            <w:instrText xml:space="preserve"> CITATION Smi03 \l 2057 </w:instrText>
          </w:r>
          <w:r w:rsidR="00FB2DFE">
            <w:rPr>
              <w:rFonts w:ascii="Arial" w:hAnsi="Arial" w:cs="Arial"/>
            </w:rPr>
            <w:fldChar w:fldCharType="separate"/>
          </w:r>
          <w:r w:rsidR="00FB2DFE" w:rsidRPr="00FB2DFE">
            <w:rPr>
              <w:rFonts w:ascii="Arial" w:hAnsi="Arial" w:cs="Arial"/>
              <w:noProof/>
            </w:rPr>
            <w:t>(Smith, 2003)</w:t>
          </w:r>
          <w:r w:rsidR="00FB2DFE">
            <w:rPr>
              <w:rFonts w:ascii="Arial" w:hAnsi="Arial" w:cs="Arial"/>
            </w:rPr>
            <w:fldChar w:fldCharType="end"/>
          </w:r>
        </w:sdtContent>
      </w:sdt>
      <w:r w:rsidR="00905FD4">
        <w:rPr>
          <w:rFonts w:ascii="Arial" w:hAnsi="Arial" w:cs="Arial"/>
        </w:rPr>
        <w:t>.</w:t>
      </w:r>
    </w:p>
    <w:p w14:paraId="27C968F5" w14:textId="69D34FB7" w:rsidR="00905FD4" w:rsidRPr="00D86F09" w:rsidRDefault="00905FD4" w:rsidP="007E22E3">
      <w:pPr>
        <w:jc w:val="both"/>
        <w:rPr>
          <w:rFonts w:ascii="Arial" w:hAnsi="Arial" w:cs="Arial"/>
        </w:rPr>
      </w:pPr>
      <w:r>
        <w:rPr>
          <w:rFonts w:ascii="Arial" w:hAnsi="Arial" w:cs="Arial"/>
        </w:rPr>
        <w:t>This research gave particular regard to the necessity to maintain sensitivities around national security</w:t>
      </w:r>
      <w:r w:rsidR="0015550E">
        <w:rPr>
          <w:rFonts w:ascii="Arial" w:hAnsi="Arial" w:cs="Arial"/>
        </w:rPr>
        <w:t xml:space="preserve"> and as such the questions posed were signed off </w:t>
      </w:r>
      <w:r w:rsidR="00B16CDC">
        <w:rPr>
          <w:rFonts w:ascii="Arial" w:hAnsi="Arial" w:cs="Arial"/>
        </w:rPr>
        <w:t xml:space="preserve">by appropriate personnel within the Counter Terrorism Policing organisation.  </w:t>
      </w:r>
      <w:r w:rsidR="00405EA9">
        <w:rPr>
          <w:rFonts w:ascii="Arial" w:hAnsi="Arial" w:cs="Arial"/>
        </w:rPr>
        <w:t xml:space="preserve">This mitigated and reduced risks to both organisation, </w:t>
      </w:r>
      <w:r w:rsidR="00233BAE">
        <w:rPr>
          <w:rFonts w:ascii="Arial" w:hAnsi="Arial" w:cs="Arial"/>
        </w:rPr>
        <w:t>respondents,</w:t>
      </w:r>
      <w:r w:rsidR="00405EA9">
        <w:rPr>
          <w:rFonts w:ascii="Arial" w:hAnsi="Arial" w:cs="Arial"/>
        </w:rPr>
        <w:t xml:space="preserve"> and researcher.  </w:t>
      </w:r>
      <w:r w:rsidR="00426FE6">
        <w:rPr>
          <w:rFonts w:ascii="Arial" w:hAnsi="Arial" w:cs="Arial"/>
        </w:rPr>
        <w:t>The researcher also ensured that anonymity and confidentiality was maintained throughout, with the Microsoft Forms platform not requiring and personal information</w:t>
      </w:r>
      <w:r w:rsidR="00A9773A">
        <w:rPr>
          <w:rFonts w:ascii="Arial" w:hAnsi="Arial" w:cs="Arial"/>
        </w:rPr>
        <w:t xml:space="preserve">.  </w:t>
      </w:r>
      <w:r w:rsidR="00233BAE">
        <w:rPr>
          <w:rFonts w:ascii="Arial" w:hAnsi="Arial" w:cs="Arial"/>
        </w:rPr>
        <w:t>Consequently,</w:t>
      </w:r>
      <w:r w:rsidR="00A9773A">
        <w:rPr>
          <w:rFonts w:ascii="Arial" w:hAnsi="Arial" w:cs="Arial"/>
        </w:rPr>
        <w:t xml:space="preserve"> this did pose some limitations, with a </w:t>
      </w:r>
      <w:r w:rsidR="002A1E22">
        <w:rPr>
          <w:rFonts w:ascii="Arial" w:hAnsi="Arial" w:cs="Arial"/>
        </w:rPr>
        <w:t xml:space="preserve">relatively small number of questions being approved, all but one being a structured question therefore limiting the amount of information that a semi structured question may have provided in its place.  </w:t>
      </w:r>
      <w:r w:rsidR="00EB1B34">
        <w:rPr>
          <w:rFonts w:ascii="Arial" w:hAnsi="Arial" w:cs="Arial"/>
        </w:rPr>
        <w:t xml:space="preserve">Whilst the proposal suggested that the researcher </w:t>
      </w:r>
      <w:r w:rsidR="005817B9">
        <w:rPr>
          <w:rFonts w:ascii="Arial" w:hAnsi="Arial" w:cs="Arial"/>
        </w:rPr>
        <w:t xml:space="preserve">would be able to review existing data held on police networks this was not the case given the security classification of the information </w:t>
      </w:r>
      <w:r w:rsidR="005817B9">
        <w:rPr>
          <w:rFonts w:ascii="Arial" w:hAnsi="Arial" w:cs="Arial"/>
        </w:rPr>
        <w:lastRenderedPageBreak/>
        <w:t xml:space="preserve">that may have been useful.  This did not detract from the overall research objectives given the </w:t>
      </w:r>
      <w:r w:rsidR="00C8684E">
        <w:rPr>
          <w:rFonts w:ascii="Arial" w:hAnsi="Arial" w:cs="Arial"/>
        </w:rPr>
        <w:t xml:space="preserve">mixed method of data collection that was achieved through empirical data held on </w:t>
      </w:r>
      <w:r w:rsidR="00233BAE">
        <w:rPr>
          <w:rFonts w:ascii="Arial" w:hAnsi="Arial" w:cs="Arial"/>
        </w:rPr>
        <w:t>open-source</w:t>
      </w:r>
      <w:r w:rsidR="00C8684E">
        <w:rPr>
          <w:rFonts w:ascii="Arial" w:hAnsi="Arial" w:cs="Arial"/>
        </w:rPr>
        <w:t xml:space="preserve"> </w:t>
      </w:r>
      <w:r w:rsidR="004E3F48">
        <w:rPr>
          <w:rFonts w:ascii="Arial" w:hAnsi="Arial" w:cs="Arial"/>
        </w:rPr>
        <w:t>platforms, complimented by the primary research undertaken.</w:t>
      </w:r>
    </w:p>
    <w:p w14:paraId="102BBB2B" w14:textId="42521C40" w:rsidR="00D8438A" w:rsidRPr="00183668" w:rsidRDefault="00D8438A" w:rsidP="007E22E3">
      <w:pPr>
        <w:jc w:val="both"/>
        <w:rPr>
          <w:rFonts w:ascii="Arial" w:hAnsi="Arial" w:cs="Arial"/>
        </w:rPr>
      </w:pPr>
    </w:p>
    <w:p w14:paraId="09EAF55C" w14:textId="77777777" w:rsidR="00E67079" w:rsidRPr="00E67079" w:rsidRDefault="00E67079" w:rsidP="007E22E3">
      <w:pPr>
        <w:jc w:val="both"/>
        <w:rPr>
          <w:rFonts w:ascii="Arial" w:hAnsi="Arial" w:cs="Arial"/>
        </w:rPr>
      </w:pPr>
    </w:p>
    <w:p w14:paraId="62FB0883" w14:textId="77777777" w:rsidR="00B70329" w:rsidRDefault="00B70329" w:rsidP="007E22E3">
      <w:pPr>
        <w:jc w:val="both"/>
        <w:rPr>
          <w:rFonts w:ascii="Arial" w:hAnsi="Arial" w:cs="Arial"/>
        </w:rPr>
      </w:pPr>
    </w:p>
    <w:p w14:paraId="418AB15A" w14:textId="77777777" w:rsidR="00C12CBA" w:rsidRPr="00C12CBA" w:rsidRDefault="00C12CBA" w:rsidP="007E22E3">
      <w:pPr>
        <w:jc w:val="both"/>
        <w:rPr>
          <w:rFonts w:ascii="Arial" w:hAnsi="Arial" w:cs="Arial"/>
        </w:rPr>
      </w:pPr>
    </w:p>
    <w:p w14:paraId="554D90AE" w14:textId="77777777" w:rsidR="006C36C8" w:rsidRDefault="006C36C8" w:rsidP="007E22E3">
      <w:pPr>
        <w:jc w:val="both"/>
        <w:rPr>
          <w:rFonts w:ascii="Arial" w:hAnsi="Arial" w:cs="Arial"/>
        </w:rPr>
      </w:pPr>
    </w:p>
    <w:p w14:paraId="36E70FC8" w14:textId="77777777" w:rsidR="003D3A1D" w:rsidRDefault="003D3A1D" w:rsidP="007E22E3">
      <w:pPr>
        <w:jc w:val="both"/>
        <w:rPr>
          <w:rFonts w:ascii="Arial" w:hAnsi="Arial" w:cs="Arial"/>
        </w:rPr>
      </w:pPr>
    </w:p>
    <w:p w14:paraId="346C8C6F" w14:textId="77777777" w:rsidR="003D3A1D" w:rsidRDefault="003D3A1D" w:rsidP="007E22E3">
      <w:pPr>
        <w:jc w:val="both"/>
        <w:rPr>
          <w:rFonts w:ascii="Arial" w:hAnsi="Arial" w:cs="Arial"/>
        </w:rPr>
      </w:pPr>
    </w:p>
    <w:p w14:paraId="154E5A5D" w14:textId="77777777" w:rsidR="003D3A1D" w:rsidRDefault="003D3A1D" w:rsidP="007E22E3">
      <w:pPr>
        <w:jc w:val="both"/>
        <w:rPr>
          <w:rFonts w:ascii="Arial" w:hAnsi="Arial" w:cs="Arial"/>
        </w:rPr>
      </w:pPr>
    </w:p>
    <w:p w14:paraId="23CC9BE8" w14:textId="77777777" w:rsidR="003D3A1D" w:rsidRDefault="003D3A1D" w:rsidP="007E22E3">
      <w:pPr>
        <w:jc w:val="both"/>
        <w:rPr>
          <w:rFonts w:ascii="Arial" w:hAnsi="Arial" w:cs="Arial"/>
        </w:rPr>
      </w:pPr>
    </w:p>
    <w:p w14:paraId="58FB318F" w14:textId="77777777" w:rsidR="003D3A1D" w:rsidRDefault="003D3A1D" w:rsidP="007E22E3">
      <w:pPr>
        <w:jc w:val="both"/>
        <w:rPr>
          <w:rFonts w:ascii="Arial" w:hAnsi="Arial" w:cs="Arial"/>
        </w:rPr>
      </w:pPr>
    </w:p>
    <w:p w14:paraId="0006862D" w14:textId="77777777" w:rsidR="00233BAE" w:rsidRDefault="00233BAE" w:rsidP="007E22E3">
      <w:pPr>
        <w:jc w:val="both"/>
        <w:rPr>
          <w:rFonts w:ascii="Arial" w:hAnsi="Arial" w:cs="Arial"/>
          <w:b/>
          <w:bCs/>
        </w:rPr>
      </w:pPr>
    </w:p>
    <w:p w14:paraId="23439C83" w14:textId="77777777" w:rsidR="00233BAE" w:rsidRDefault="00233BAE" w:rsidP="007E22E3">
      <w:pPr>
        <w:jc w:val="both"/>
        <w:rPr>
          <w:rFonts w:ascii="Arial" w:hAnsi="Arial" w:cs="Arial"/>
          <w:b/>
          <w:bCs/>
        </w:rPr>
      </w:pPr>
    </w:p>
    <w:p w14:paraId="408354BD" w14:textId="77777777" w:rsidR="00233BAE" w:rsidRDefault="00233BAE" w:rsidP="007E22E3">
      <w:pPr>
        <w:jc w:val="both"/>
        <w:rPr>
          <w:rFonts w:ascii="Arial" w:hAnsi="Arial" w:cs="Arial"/>
          <w:b/>
          <w:bCs/>
        </w:rPr>
      </w:pPr>
    </w:p>
    <w:p w14:paraId="5B0C0F35" w14:textId="77777777" w:rsidR="00233BAE" w:rsidRDefault="00233BAE" w:rsidP="007E22E3">
      <w:pPr>
        <w:jc w:val="both"/>
        <w:rPr>
          <w:rFonts w:ascii="Arial" w:hAnsi="Arial" w:cs="Arial"/>
          <w:b/>
          <w:bCs/>
        </w:rPr>
      </w:pPr>
    </w:p>
    <w:p w14:paraId="20B77D70" w14:textId="77777777" w:rsidR="00233BAE" w:rsidRDefault="00233BAE" w:rsidP="007E22E3">
      <w:pPr>
        <w:jc w:val="both"/>
        <w:rPr>
          <w:rFonts w:ascii="Arial" w:hAnsi="Arial" w:cs="Arial"/>
          <w:b/>
          <w:bCs/>
        </w:rPr>
      </w:pPr>
    </w:p>
    <w:p w14:paraId="435CA1F5" w14:textId="77777777" w:rsidR="00233BAE" w:rsidRDefault="00233BAE" w:rsidP="007E22E3">
      <w:pPr>
        <w:jc w:val="both"/>
        <w:rPr>
          <w:rFonts w:ascii="Arial" w:hAnsi="Arial" w:cs="Arial"/>
          <w:b/>
          <w:bCs/>
        </w:rPr>
      </w:pPr>
    </w:p>
    <w:p w14:paraId="3FD20A5D" w14:textId="77777777" w:rsidR="00233BAE" w:rsidRDefault="00233BAE" w:rsidP="007E22E3">
      <w:pPr>
        <w:jc w:val="both"/>
        <w:rPr>
          <w:rFonts w:ascii="Arial" w:hAnsi="Arial" w:cs="Arial"/>
          <w:b/>
          <w:bCs/>
        </w:rPr>
      </w:pPr>
    </w:p>
    <w:p w14:paraId="0DAED115" w14:textId="77777777" w:rsidR="00233BAE" w:rsidRDefault="00233BAE" w:rsidP="007E22E3">
      <w:pPr>
        <w:jc w:val="both"/>
        <w:rPr>
          <w:rFonts w:ascii="Arial" w:hAnsi="Arial" w:cs="Arial"/>
          <w:b/>
          <w:bCs/>
        </w:rPr>
      </w:pPr>
    </w:p>
    <w:p w14:paraId="06615974" w14:textId="77777777" w:rsidR="00233BAE" w:rsidRDefault="00233BAE" w:rsidP="007E22E3">
      <w:pPr>
        <w:jc w:val="both"/>
        <w:rPr>
          <w:rFonts w:ascii="Arial" w:hAnsi="Arial" w:cs="Arial"/>
          <w:b/>
          <w:bCs/>
        </w:rPr>
      </w:pPr>
    </w:p>
    <w:p w14:paraId="31F85C3B" w14:textId="77777777" w:rsidR="00233BAE" w:rsidRDefault="00233BAE" w:rsidP="007E22E3">
      <w:pPr>
        <w:jc w:val="both"/>
        <w:rPr>
          <w:rFonts w:ascii="Arial" w:hAnsi="Arial" w:cs="Arial"/>
          <w:b/>
          <w:bCs/>
        </w:rPr>
      </w:pPr>
    </w:p>
    <w:p w14:paraId="4F2C8EBF" w14:textId="77777777" w:rsidR="007E22E3" w:rsidRDefault="007E22E3" w:rsidP="007E22E3">
      <w:pPr>
        <w:jc w:val="both"/>
        <w:rPr>
          <w:rFonts w:ascii="Arial" w:hAnsi="Arial" w:cs="Arial"/>
          <w:b/>
          <w:bCs/>
        </w:rPr>
      </w:pPr>
    </w:p>
    <w:p w14:paraId="22722FCC" w14:textId="77777777" w:rsidR="007E22E3" w:rsidRDefault="007E22E3" w:rsidP="007E22E3">
      <w:pPr>
        <w:jc w:val="both"/>
        <w:rPr>
          <w:rFonts w:ascii="Arial" w:hAnsi="Arial" w:cs="Arial"/>
          <w:b/>
          <w:bCs/>
        </w:rPr>
      </w:pPr>
    </w:p>
    <w:p w14:paraId="4FB8410F" w14:textId="77777777" w:rsidR="007E22E3" w:rsidRDefault="007E22E3" w:rsidP="007E22E3">
      <w:pPr>
        <w:jc w:val="both"/>
        <w:rPr>
          <w:rFonts w:ascii="Arial" w:hAnsi="Arial" w:cs="Arial"/>
          <w:b/>
          <w:bCs/>
        </w:rPr>
      </w:pPr>
    </w:p>
    <w:p w14:paraId="2399D5B3" w14:textId="77777777" w:rsidR="007A1508" w:rsidRDefault="007A1508" w:rsidP="006C36C8">
      <w:pPr>
        <w:rPr>
          <w:rFonts w:ascii="Arial" w:hAnsi="Arial" w:cs="Arial"/>
          <w:b/>
          <w:bCs/>
        </w:rPr>
      </w:pPr>
    </w:p>
    <w:p w14:paraId="0975439D" w14:textId="77777777" w:rsidR="00F514DB" w:rsidRDefault="00F514DB" w:rsidP="006C36C8">
      <w:pPr>
        <w:rPr>
          <w:rFonts w:ascii="Arial" w:hAnsi="Arial" w:cs="Arial"/>
          <w:b/>
          <w:bCs/>
        </w:rPr>
      </w:pPr>
    </w:p>
    <w:p w14:paraId="5604DDF6" w14:textId="77777777" w:rsidR="00F514DB" w:rsidRDefault="00F514DB" w:rsidP="006C36C8">
      <w:pPr>
        <w:rPr>
          <w:rFonts w:ascii="Arial" w:hAnsi="Arial" w:cs="Arial"/>
          <w:b/>
          <w:bCs/>
        </w:rPr>
      </w:pPr>
    </w:p>
    <w:p w14:paraId="62F22FC9" w14:textId="77777777" w:rsidR="00F514DB" w:rsidRDefault="00F514DB" w:rsidP="006C36C8">
      <w:pPr>
        <w:rPr>
          <w:rFonts w:ascii="Arial" w:hAnsi="Arial" w:cs="Arial"/>
          <w:b/>
          <w:bCs/>
        </w:rPr>
      </w:pPr>
    </w:p>
    <w:p w14:paraId="68F802A4" w14:textId="77777777" w:rsidR="00F514DB" w:rsidRDefault="00F514DB" w:rsidP="006C36C8">
      <w:pPr>
        <w:rPr>
          <w:rFonts w:ascii="Arial" w:hAnsi="Arial" w:cs="Arial"/>
          <w:b/>
          <w:bCs/>
        </w:rPr>
      </w:pPr>
    </w:p>
    <w:p w14:paraId="0E1BCE9D" w14:textId="77777777" w:rsidR="00F514DB" w:rsidRDefault="00F514DB" w:rsidP="006C36C8">
      <w:pPr>
        <w:rPr>
          <w:rFonts w:ascii="Arial" w:hAnsi="Arial" w:cs="Arial"/>
          <w:b/>
          <w:bCs/>
        </w:rPr>
      </w:pPr>
    </w:p>
    <w:p w14:paraId="2673F062" w14:textId="77777777" w:rsidR="00F514DB" w:rsidRDefault="00F514DB" w:rsidP="006C36C8">
      <w:pPr>
        <w:rPr>
          <w:rFonts w:ascii="Arial" w:hAnsi="Arial" w:cs="Arial"/>
          <w:b/>
          <w:bCs/>
        </w:rPr>
      </w:pPr>
    </w:p>
    <w:p w14:paraId="31973866" w14:textId="73272B0A" w:rsidR="006C36C8" w:rsidRPr="006B1413" w:rsidRDefault="006B1413" w:rsidP="006C36C8">
      <w:pPr>
        <w:rPr>
          <w:rFonts w:ascii="Arial" w:hAnsi="Arial" w:cs="Arial"/>
          <w:b/>
          <w:bCs/>
          <w:u w:val="single"/>
        </w:rPr>
      </w:pPr>
      <w:r w:rsidRPr="006B1413">
        <w:rPr>
          <w:rFonts w:ascii="Arial" w:hAnsi="Arial" w:cs="Arial"/>
          <w:b/>
          <w:bCs/>
          <w:u w:val="single"/>
        </w:rPr>
        <w:lastRenderedPageBreak/>
        <w:t>Research Findings.</w:t>
      </w:r>
    </w:p>
    <w:p w14:paraId="5364DC9C" w14:textId="0080A294" w:rsidR="005B6E38" w:rsidRDefault="00B6041C" w:rsidP="006C36C8">
      <w:pPr>
        <w:rPr>
          <w:rFonts w:ascii="Arial" w:hAnsi="Arial" w:cs="Arial"/>
        </w:rPr>
      </w:pPr>
      <w:r>
        <w:rPr>
          <w:rFonts w:ascii="Arial" w:hAnsi="Arial" w:cs="Arial"/>
        </w:rPr>
        <w:t xml:space="preserve">This </w:t>
      </w:r>
      <w:r w:rsidR="005B6E38">
        <w:rPr>
          <w:rFonts w:ascii="Arial" w:hAnsi="Arial" w:cs="Arial"/>
        </w:rPr>
        <w:t>empirical study covers research objective 4:</w:t>
      </w:r>
    </w:p>
    <w:p w14:paraId="05DABD60" w14:textId="3B1096D8" w:rsidR="006C36C8" w:rsidRPr="00050F14" w:rsidRDefault="005B6E38" w:rsidP="008469D1">
      <w:pPr>
        <w:jc w:val="both"/>
        <w:rPr>
          <w:rFonts w:ascii="Arial" w:hAnsi="Arial" w:cs="Arial"/>
          <w:i/>
          <w:iCs/>
        </w:rPr>
      </w:pPr>
      <w:r w:rsidRPr="00050F14">
        <w:rPr>
          <w:rFonts w:ascii="Arial" w:hAnsi="Arial" w:cs="Arial"/>
          <w:b/>
          <w:bCs/>
          <w:i/>
          <w:iCs/>
        </w:rPr>
        <w:t xml:space="preserve">Research Objective </w:t>
      </w:r>
      <w:r w:rsidR="00050F14" w:rsidRPr="00050F14">
        <w:rPr>
          <w:rFonts w:ascii="Arial" w:hAnsi="Arial" w:cs="Arial"/>
          <w:b/>
          <w:bCs/>
          <w:i/>
          <w:iCs/>
        </w:rPr>
        <w:t>4</w:t>
      </w:r>
      <w:r w:rsidR="00050F14" w:rsidRPr="00050F14">
        <w:rPr>
          <w:rFonts w:ascii="Arial" w:hAnsi="Arial" w:cs="Arial"/>
          <w:i/>
          <w:iCs/>
        </w:rPr>
        <w:t xml:space="preserve">:  </w:t>
      </w:r>
      <w:r w:rsidR="00750CAE" w:rsidRPr="00050F14">
        <w:rPr>
          <w:rFonts w:ascii="Arial" w:hAnsi="Arial" w:cs="Arial"/>
          <w:i/>
          <w:iCs/>
        </w:rPr>
        <w:t>Formulate opinions based on the findings of the analysis to enhance the effectiveness of the use of Schedule 7 at CTA Ports whilst ensuring the protection of civil liberties and human rights.</w:t>
      </w:r>
    </w:p>
    <w:p w14:paraId="319F2420" w14:textId="5A50B91A" w:rsidR="008D194C" w:rsidRDefault="00AB582E" w:rsidP="008469D1">
      <w:pPr>
        <w:jc w:val="both"/>
        <w:rPr>
          <w:rFonts w:ascii="Arial" w:hAnsi="Arial" w:cs="Arial"/>
        </w:rPr>
      </w:pPr>
      <w:r>
        <w:rPr>
          <w:rFonts w:ascii="Arial" w:hAnsi="Arial" w:cs="Arial"/>
        </w:rPr>
        <w:t xml:space="preserve">The data was collected via a questionnaire, hosted on Microsoft Forms </w:t>
      </w:r>
      <w:proofErr w:type="gramStart"/>
      <w:r>
        <w:rPr>
          <w:rFonts w:ascii="Arial" w:hAnsi="Arial" w:cs="Arial"/>
        </w:rPr>
        <w:t>platform</w:t>
      </w:r>
      <w:proofErr w:type="gramEnd"/>
      <w:r>
        <w:rPr>
          <w:rFonts w:ascii="Arial" w:hAnsi="Arial" w:cs="Arial"/>
        </w:rPr>
        <w:t xml:space="preserve"> and sent to </w:t>
      </w:r>
      <w:r w:rsidR="00DC662B">
        <w:rPr>
          <w:rFonts w:ascii="Arial" w:hAnsi="Arial" w:cs="Arial"/>
        </w:rPr>
        <w:t>Schedule 7 accredited practitioners within Counter Terrorism Policing Wales.</w:t>
      </w:r>
      <w:r w:rsidR="00506C83">
        <w:rPr>
          <w:rFonts w:ascii="Arial" w:hAnsi="Arial" w:cs="Arial"/>
        </w:rPr>
        <w:t xml:space="preserve">  The respondents include those </w:t>
      </w:r>
      <w:r w:rsidR="002B2EB0">
        <w:rPr>
          <w:rFonts w:ascii="Arial" w:hAnsi="Arial" w:cs="Arial"/>
        </w:rPr>
        <w:t>day-to-day</w:t>
      </w:r>
      <w:r w:rsidR="00506C83">
        <w:rPr>
          <w:rFonts w:ascii="Arial" w:hAnsi="Arial" w:cs="Arial"/>
        </w:rPr>
        <w:t xml:space="preserve"> practitioners</w:t>
      </w:r>
      <w:r w:rsidR="0035203D">
        <w:rPr>
          <w:rFonts w:ascii="Arial" w:hAnsi="Arial" w:cs="Arial"/>
        </w:rPr>
        <w:t xml:space="preserve"> (examining officers)</w:t>
      </w:r>
      <w:r w:rsidR="00506C83">
        <w:rPr>
          <w:rFonts w:ascii="Arial" w:hAnsi="Arial" w:cs="Arial"/>
        </w:rPr>
        <w:t xml:space="preserve">, including supervisors </w:t>
      </w:r>
      <w:r w:rsidR="0035203D">
        <w:rPr>
          <w:rFonts w:ascii="Arial" w:hAnsi="Arial" w:cs="Arial"/>
        </w:rPr>
        <w:t xml:space="preserve">(review officers) </w:t>
      </w:r>
      <w:r w:rsidR="00506C83">
        <w:rPr>
          <w:rFonts w:ascii="Arial" w:hAnsi="Arial" w:cs="Arial"/>
        </w:rPr>
        <w:t xml:space="preserve">who also hold additional </w:t>
      </w:r>
      <w:r w:rsidR="0035203D">
        <w:rPr>
          <w:rFonts w:ascii="Arial" w:hAnsi="Arial" w:cs="Arial"/>
        </w:rPr>
        <w:t>authorities under Schedule 7 as reviewing officers.</w:t>
      </w:r>
      <w:r w:rsidR="00E429D3">
        <w:rPr>
          <w:rFonts w:ascii="Arial" w:hAnsi="Arial" w:cs="Arial"/>
        </w:rPr>
        <w:t xml:space="preserve"> </w:t>
      </w:r>
      <w:r w:rsidR="000A3F8B">
        <w:rPr>
          <w:rFonts w:ascii="Arial" w:hAnsi="Arial" w:cs="Arial"/>
        </w:rPr>
        <w:t xml:space="preserve">The results from the empirical research will be </w:t>
      </w:r>
      <w:proofErr w:type="gramStart"/>
      <w:r w:rsidR="000A3F8B">
        <w:rPr>
          <w:rFonts w:ascii="Arial" w:hAnsi="Arial" w:cs="Arial"/>
        </w:rPr>
        <w:t>compared and contrasted</w:t>
      </w:r>
      <w:proofErr w:type="gramEnd"/>
      <w:r w:rsidR="000A3F8B">
        <w:rPr>
          <w:rFonts w:ascii="Arial" w:hAnsi="Arial" w:cs="Arial"/>
        </w:rPr>
        <w:t xml:space="preserve"> to those findings </w:t>
      </w:r>
      <w:r w:rsidR="00FB6C87">
        <w:rPr>
          <w:rFonts w:ascii="Arial" w:hAnsi="Arial" w:cs="Arial"/>
        </w:rPr>
        <w:t>from a thourough literature review</w:t>
      </w:r>
      <w:r w:rsidR="007A21F1">
        <w:rPr>
          <w:rFonts w:ascii="Arial" w:hAnsi="Arial" w:cs="Arial"/>
        </w:rPr>
        <w:t xml:space="preserve">.  </w:t>
      </w:r>
      <w:r w:rsidR="00254B77">
        <w:rPr>
          <w:rFonts w:ascii="Arial" w:hAnsi="Arial" w:cs="Arial"/>
        </w:rPr>
        <w:t xml:space="preserve">The research findings generated additional qualitative research opportunities that had not previously been </w:t>
      </w:r>
      <w:r w:rsidR="004F4AD4">
        <w:rPr>
          <w:rFonts w:ascii="Arial" w:hAnsi="Arial" w:cs="Arial"/>
        </w:rPr>
        <w:t>relevant to the research and hence appear in this section.</w:t>
      </w:r>
    </w:p>
    <w:p w14:paraId="5E9E1B20" w14:textId="57A3E55F" w:rsidR="008D194C" w:rsidRDefault="008D194C" w:rsidP="008469D1">
      <w:pPr>
        <w:jc w:val="both"/>
        <w:rPr>
          <w:rFonts w:ascii="Arial" w:hAnsi="Arial" w:cs="Arial"/>
        </w:rPr>
      </w:pPr>
      <w:r>
        <w:rPr>
          <w:rFonts w:ascii="Arial" w:hAnsi="Arial" w:cs="Arial"/>
        </w:rPr>
        <w:t>In total there were 29 respondents to the questionnaire.</w:t>
      </w:r>
      <w:r w:rsidR="00EA57F5">
        <w:rPr>
          <w:rFonts w:ascii="Arial" w:hAnsi="Arial" w:cs="Arial"/>
        </w:rPr>
        <w:t xml:space="preserve">  </w:t>
      </w:r>
      <w:r w:rsidR="00C340B2">
        <w:rPr>
          <w:rFonts w:ascii="Arial" w:hAnsi="Arial" w:cs="Arial"/>
        </w:rPr>
        <w:t>Across a p</w:t>
      </w:r>
      <w:r w:rsidR="00346522">
        <w:rPr>
          <w:rFonts w:ascii="Arial" w:hAnsi="Arial" w:cs="Arial"/>
        </w:rPr>
        <w:t xml:space="preserve">opulation size of approximately </w:t>
      </w:r>
      <w:r w:rsidR="008D78DB">
        <w:rPr>
          <w:rFonts w:ascii="Arial" w:hAnsi="Arial" w:cs="Arial"/>
        </w:rPr>
        <w:t>65</w:t>
      </w:r>
      <w:r w:rsidR="00346522">
        <w:rPr>
          <w:rFonts w:ascii="Arial" w:hAnsi="Arial" w:cs="Arial"/>
        </w:rPr>
        <w:t xml:space="preserve"> </w:t>
      </w:r>
      <w:r w:rsidR="008D78DB">
        <w:rPr>
          <w:rFonts w:ascii="Arial" w:hAnsi="Arial" w:cs="Arial"/>
        </w:rPr>
        <w:t>t</w:t>
      </w:r>
      <w:r w:rsidR="00EA57F5">
        <w:rPr>
          <w:rFonts w:ascii="Arial" w:hAnsi="Arial" w:cs="Arial"/>
        </w:rPr>
        <w:t xml:space="preserve">his </w:t>
      </w:r>
      <w:r w:rsidR="007862A8">
        <w:rPr>
          <w:rFonts w:ascii="Arial" w:hAnsi="Arial" w:cs="Arial"/>
        </w:rPr>
        <w:t>represents a return of 45 percent</w:t>
      </w:r>
      <w:r w:rsidR="007945E5">
        <w:rPr>
          <w:rFonts w:ascii="Arial" w:hAnsi="Arial" w:cs="Arial"/>
        </w:rPr>
        <w:t xml:space="preserve"> which should allow for an accurate representation of opinion.</w:t>
      </w:r>
    </w:p>
    <w:p w14:paraId="4DD5E3B8" w14:textId="77777777" w:rsidR="00E61E3F" w:rsidRDefault="00E61E3F" w:rsidP="008469D1">
      <w:pPr>
        <w:jc w:val="both"/>
        <w:rPr>
          <w:rFonts w:ascii="Arial" w:hAnsi="Arial" w:cs="Arial"/>
          <w:b/>
          <w:bCs/>
        </w:rPr>
      </w:pPr>
    </w:p>
    <w:p w14:paraId="5D448CA6" w14:textId="77777777" w:rsidR="00E61E3F" w:rsidRDefault="00E61E3F" w:rsidP="006C36C8">
      <w:pPr>
        <w:rPr>
          <w:rFonts w:ascii="Arial" w:hAnsi="Arial" w:cs="Arial"/>
          <w:b/>
          <w:bCs/>
        </w:rPr>
      </w:pPr>
    </w:p>
    <w:p w14:paraId="7CE29C3B" w14:textId="218DF033" w:rsidR="006C36C8" w:rsidRPr="00CA7E05" w:rsidRDefault="006C36C8" w:rsidP="006C36C8">
      <w:pPr>
        <w:rPr>
          <w:rFonts w:ascii="Arial" w:hAnsi="Arial" w:cs="Arial"/>
          <w:b/>
          <w:bCs/>
        </w:rPr>
      </w:pPr>
      <w:r w:rsidRPr="00CA7E05">
        <w:rPr>
          <w:rFonts w:ascii="Arial" w:hAnsi="Arial" w:cs="Arial"/>
          <w:b/>
          <w:bCs/>
        </w:rPr>
        <w:t>Main Findings</w:t>
      </w:r>
    </w:p>
    <w:p w14:paraId="1C3E5411" w14:textId="59370F27" w:rsidR="0077781A" w:rsidRPr="006A30A1" w:rsidRDefault="0077781A" w:rsidP="006C36C8">
      <w:pPr>
        <w:rPr>
          <w:rFonts w:ascii="Arial" w:hAnsi="Arial" w:cs="Arial"/>
          <w:b/>
          <w:bCs/>
        </w:rPr>
      </w:pPr>
    </w:p>
    <w:p w14:paraId="0CF4FA4E" w14:textId="79583089" w:rsidR="00CA7E05" w:rsidRPr="006A30A1" w:rsidRDefault="00095DFF" w:rsidP="006A30A1">
      <w:pPr>
        <w:rPr>
          <w:rFonts w:ascii="Arial" w:hAnsi="Arial" w:cs="Arial"/>
          <w:b/>
          <w:bCs/>
        </w:rPr>
      </w:pPr>
      <w:bookmarkStart w:id="12" w:name="_Hlk170429238"/>
      <w:r w:rsidRPr="006A30A1">
        <w:rPr>
          <w:rFonts w:ascii="Arial" w:hAnsi="Arial" w:cs="Arial"/>
          <w:b/>
          <w:bCs/>
        </w:rPr>
        <w:t>Question 1 -</w:t>
      </w:r>
      <w:r w:rsidR="00F21079" w:rsidRPr="006A30A1">
        <w:rPr>
          <w:rFonts w:ascii="Arial" w:hAnsi="Arial" w:cs="Arial"/>
          <w:b/>
          <w:bCs/>
        </w:rPr>
        <w:t xml:space="preserve"> How long have you served with counter terrorism policing?</w:t>
      </w:r>
    </w:p>
    <w:bookmarkEnd w:id="12"/>
    <w:p w14:paraId="4C11FD60" w14:textId="77777777" w:rsidR="00A81C2F" w:rsidRPr="00D42CA1" w:rsidRDefault="00A81C2F" w:rsidP="006C36C8">
      <w:pPr>
        <w:rPr>
          <w:rFonts w:ascii="Arial" w:hAnsi="Arial" w:cs="Arial"/>
          <w:b/>
          <w:bCs/>
        </w:rPr>
      </w:pPr>
    </w:p>
    <w:p w14:paraId="40077A16" w14:textId="1EC4F6F2" w:rsidR="0077781A" w:rsidRDefault="00A81C2F" w:rsidP="00E61E3F">
      <w:pPr>
        <w:rPr>
          <w:rFonts w:ascii="Arial" w:hAnsi="Arial" w:cs="Arial"/>
        </w:rPr>
      </w:pPr>
      <w:r>
        <w:rPr>
          <w:rFonts w:eastAsia="Times New Roman"/>
          <w:noProof/>
        </w:rPr>
        <w:drawing>
          <wp:inline distT="0" distB="0" distL="0" distR="0" wp14:anchorId="79CB8C20" wp14:editId="5CB174A1">
            <wp:extent cx="2813050" cy="275103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2822859" cy="2760623"/>
                    </a:xfrm>
                    <a:prstGeom prst="rect">
                      <a:avLst/>
                    </a:prstGeom>
                    <a:noFill/>
                    <a:ln>
                      <a:noFill/>
                    </a:ln>
                  </pic:spPr>
                </pic:pic>
              </a:graphicData>
            </a:graphic>
          </wp:inline>
        </w:drawing>
      </w:r>
    </w:p>
    <w:p w14:paraId="233B31B8" w14:textId="65A6E315" w:rsidR="0077781A" w:rsidRDefault="00A55D37" w:rsidP="0076309F">
      <w:pPr>
        <w:rPr>
          <w:rFonts w:ascii="Arial" w:hAnsi="Arial" w:cs="Arial"/>
        </w:rPr>
      </w:pPr>
      <w:r w:rsidRPr="00E61E3F">
        <w:rPr>
          <w:rFonts w:ascii="Arial" w:hAnsi="Arial" w:cs="Arial"/>
          <w:b/>
          <w:bCs/>
          <w:i/>
          <w:iCs/>
        </w:rPr>
        <w:t xml:space="preserve">Figure </w:t>
      </w:r>
      <w:r w:rsidR="007A1508">
        <w:rPr>
          <w:rFonts w:ascii="Arial" w:hAnsi="Arial" w:cs="Arial"/>
          <w:b/>
          <w:bCs/>
          <w:i/>
          <w:iCs/>
        </w:rPr>
        <w:t>2</w:t>
      </w:r>
      <w:r w:rsidRPr="006868E5">
        <w:rPr>
          <w:rFonts w:ascii="Arial" w:hAnsi="Arial" w:cs="Arial"/>
        </w:rPr>
        <w:t xml:space="preserve"> – </w:t>
      </w:r>
      <w:r w:rsidR="005212C0" w:rsidRPr="00E61E3F">
        <w:rPr>
          <w:rFonts w:ascii="Arial" w:hAnsi="Arial" w:cs="Arial"/>
          <w:i/>
          <w:iCs/>
        </w:rPr>
        <w:t>How long have you served with counter terrorism policing?</w:t>
      </w:r>
    </w:p>
    <w:p w14:paraId="1B2238C8" w14:textId="77777777" w:rsidR="0076309F" w:rsidRDefault="0076309F" w:rsidP="0076309F">
      <w:pPr>
        <w:rPr>
          <w:rFonts w:ascii="Arial" w:hAnsi="Arial" w:cs="Arial"/>
        </w:rPr>
      </w:pPr>
    </w:p>
    <w:p w14:paraId="594B9DA2" w14:textId="6D76D02A" w:rsidR="00921447" w:rsidRDefault="00B43CD6" w:rsidP="008469D1">
      <w:pPr>
        <w:jc w:val="both"/>
        <w:rPr>
          <w:rFonts w:ascii="Arial" w:hAnsi="Arial" w:cs="Arial"/>
        </w:rPr>
      </w:pPr>
      <w:r>
        <w:rPr>
          <w:rFonts w:ascii="Arial" w:hAnsi="Arial" w:cs="Arial"/>
        </w:rPr>
        <w:t xml:space="preserve">As can be seen in the illustration in </w:t>
      </w:r>
      <w:r w:rsidR="00807698">
        <w:rPr>
          <w:rFonts w:ascii="Arial" w:hAnsi="Arial" w:cs="Arial"/>
        </w:rPr>
        <w:t>Fi</w:t>
      </w:r>
      <w:r w:rsidR="00905C05">
        <w:rPr>
          <w:rFonts w:ascii="Arial" w:hAnsi="Arial" w:cs="Arial"/>
        </w:rPr>
        <w:t>gure 1</w:t>
      </w:r>
      <w:r>
        <w:rPr>
          <w:rFonts w:ascii="Arial" w:hAnsi="Arial" w:cs="Arial"/>
        </w:rPr>
        <w:t xml:space="preserve">, there is a broad range of service and experience within </w:t>
      </w:r>
      <w:r w:rsidR="007679A4">
        <w:rPr>
          <w:rFonts w:ascii="Arial" w:hAnsi="Arial" w:cs="Arial"/>
        </w:rPr>
        <w:t xml:space="preserve">the respondents </w:t>
      </w:r>
      <w:r w:rsidR="00815AE0">
        <w:rPr>
          <w:rFonts w:ascii="Arial" w:hAnsi="Arial" w:cs="Arial"/>
        </w:rPr>
        <w:t xml:space="preserve">with </w:t>
      </w:r>
      <w:r w:rsidR="00FE76B0">
        <w:rPr>
          <w:rFonts w:ascii="Arial" w:hAnsi="Arial" w:cs="Arial"/>
        </w:rPr>
        <w:t xml:space="preserve">35 percent of people having over 10 </w:t>
      </w:r>
      <w:r w:rsidR="006F7E98">
        <w:rPr>
          <w:rFonts w:ascii="Arial" w:hAnsi="Arial" w:cs="Arial"/>
        </w:rPr>
        <w:t>years’ service</w:t>
      </w:r>
      <w:r w:rsidR="00FE76B0">
        <w:rPr>
          <w:rFonts w:ascii="Arial" w:hAnsi="Arial" w:cs="Arial"/>
        </w:rPr>
        <w:t xml:space="preserve"> with Counter </w:t>
      </w:r>
      <w:r w:rsidR="00FE76B0">
        <w:rPr>
          <w:rFonts w:ascii="Arial" w:hAnsi="Arial" w:cs="Arial"/>
        </w:rPr>
        <w:lastRenderedPageBreak/>
        <w:t>Terrorism Policing.</w:t>
      </w:r>
      <w:r w:rsidR="006F7E98">
        <w:rPr>
          <w:rFonts w:ascii="Arial" w:hAnsi="Arial" w:cs="Arial"/>
        </w:rPr>
        <w:t xml:space="preserve">  </w:t>
      </w:r>
      <w:r w:rsidR="003C031C">
        <w:rPr>
          <w:rFonts w:ascii="Arial" w:hAnsi="Arial" w:cs="Arial"/>
        </w:rPr>
        <w:t>This data informs a relatively experienced picture of experience within counter terrorism</w:t>
      </w:r>
      <w:r w:rsidR="006134C0">
        <w:rPr>
          <w:rFonts w:ascii="Arial" w:hAnsi="Arial" w:cs="Arial"/>
        </w:rPr>
        <w:t>.</w:t>
      </w:r>
    </w:p>
    <w:p w14:paraId="6E1DA8E8" w14:textId="77777777" w:rsidR="00873984" w:rsidRPr="006868E5" w:rsidRDefault="00873984" w:rsidP="0076309F">
      <w:pPr>
        <w:rPr>
          <w:rFonts w:ascii="Arial" w:hAnsi="Arial" w:cs="Arial"/>
        </w:rPr>
      </w:pPr>
    </w:p>
    <w:p w14:paraId="3BAC1A5A" w14:textId="0642F85A" w:rsidR="006B6906" w:rsidRPr="006A30A1" w:rsidRDefault="00DC5F34" w:rsidP="006A30A1">
      <w:pPr>
        <w:rPr>
          <w:rFonts w:ascii="Arial" w:hAnsi="Arial" w:cs="Arial"/>
          <w:b/>
          <w:bCs/>
        </w:rPr>
      </w:pPr>
      <w:r w:rsidRPr="006A30A1">
        <w:rPr>
          <w:rFonts w:ascii="Arial" w:hAnsi="Arial" w:cs="Arial"/>
          <w:b/>
          <w:bCs/>
        </w:rPr>
        <w:t xml:space="preserve">Question 2 - </w:t>
      </w:r>
      <w:r w:rsidR="00921447" w:rsidRPr="006A30A1">
        <w:rPr>
          <w:rFonts w:ascii="Arial" w:hAnsi="Arial" w:cs="Arial"/>
          <w:b/>
          <w:bCs/>
        </w:rPr>
        <w:t>How many times have you used your Schedule 7 Powers within last 6 months?</w:t>
      </w:r>
    </w:p>
    <w:p w14:paraId="190F43DA" w14:textId="77777777" w:rsidR="00921447" w:rsidRDefault="00921447" w:rsidP="00921447">
      <w:pPr>
        <w:rPr>
          <w:rFonts w:ascii="Arial" w:hAnsi="Arial" w:cs="Arial"/>
        </w:rPr>
      </w:pPr>
    </w:p>
    <w:p w14:paraId="3E9735ED" w14:textId="77777777" w:rsidR="00921447" w:rsidRPr="00921447" w:rsidRDefault="00921447" w:rsidP="00921447">
      <w:pPr>
        <w:rPr>
          <w:rFonts w:ascii="Arial" w:hAnsi="Arial" w:cs="Arial"/>
        </w:rPr>
      </w:pPr>
    </w:p>
    <w:p w14:paraId="29E8F70A" w14:textId="2DAE15B8" w:rsidR="006B6906" w:rsidRDefault="00980451" w:rsidP="00921447">
      <w:pPr>
        <w:rPr>
          <w:rFonts w:ascii="Arial" w:hAnsi="Arial" w:cs="Arial"/>
        </w:rPr>
      </w:pPr>
      <w:r>
        <w:rPr>
          <w:rFonts w:eastAsia="Times New Roman"/>
          <w:noProof/>
        </w:rPr>
        <w:drawing>
          <wp:inline distT="0" distB="0" distL="0" distR="0" wp14:anchorId="3963DCE0" wp14:editId="33C767A3">
            <wp:extent cx="2800350" cy="2932828"/>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2802772" cy="2935364"/>
                    </a:xfrm>
                    <a:prstGeom prst="rect">
                      <a:avLst/>
                    </a:prstGeom>
                    <a:noFill/>
                    <a:ln>
                      <a:noFill/>
                    </a:ln>
                  </pic:spPr>
                </pic:pic>
              </a:graphicData>
            </a:graphic>
          </wp:inline>
        </w:drawing>
      </w:r>
    </w:p>
    <w:p w14:paraId="55956DF7" w14:textId="1501C7CA" w:rsidR="00A55D37" w:rsidRDefault="00A55D37" w:rsidP="0076309F">
      <w:pPr>
        <w:rPr>
          <w:rFonts w:ascii="Arial" w:hAnsi="Arial" w:cs="Arial"/>
        </w:rPr>
      </w:pPr>
    </w:p>
    <w:p w14:paraId="1078A760" w14:textId="1AE06244" w:rsidR="0077781A" w:rsidRDefault="00A55D37" w:rsidP="0076309F">
      <w:pPr>
        <w:rPr>
          <w:rFonts w:ascii="Arial" w:hAnsi="Arial" w:cs="Arial"/>
          <w:i/>
          <w:iCs/>
        </w:rPr>
      </w:pPr>
      <w:r w:rsidRPr="00921447">
        <w:rPr>
          <w:rFonts w:ascii="Arial" w:hAnsi="Arial" w:cs="Arial"/>
          <w:b/>
          <w:bCs/>
          <w:i/>
          <w:iCs/>
        </w:rPr>
        <w:t>Figure 2</w:t>
      </w:r>
      <w:r w:rsidRPr="00921447">
        <w:rPr>
          <w:rFonts w:ascii="Arial" w:hAnsi="Arial" w:cs="Arial"/>
          <w:i/>
          <w:iCs/>
        </w:rPr>
        <w:t xml:space="preserve"> </w:t>
      </w:r>
      <w:r w:rsidR="003F6D8B" w:rsidRPr="00921447">
        <w:rPr>
          <w:rFonts w:ascii="Arial" w:hAnsi="Arial" w:cs="Arial"/>
          <w:i/>
          <w:iCs/>
        </w:rPr>
        <w:t>– How many times have you used your Schedule 7 Powers in last 6 month</w:t>
      </w:r>
      <w:r w:rsidR="00980451" w:rsidRPr="00921447">
        <w:rPr>
          <w:rFonts w:ascii="Arial" w:hAnsi="Arial" w:cs="Arial"/>
          <w:i/>
          <w:iCs/>
        </w:rPr>
        <w:t>s?</w:t>
      </w:r>
    </w:p>
    <w:p w14:paraId="34D6B928" w14:textId="77777777" w:rsidR="00921447" w:rsidRPr="00921447" w:rsidRDefault="00921447" w:rsidP="008469D1">
      <w:pPr>
        <w:jc w:val="both"/>
        <w:rPr>
          <w:rFonts w:ascii="Arial" w:hAnsi="Arial" w:cs="Arial"/>
          <w:i/>
          <w:iCs/>
        </w:rPr>
      </w:pPr>
    </w:p>
    <w:p w14:paraId="2A1C26B3" w14:textId="0E73CBE6" w:rsidR="003F6D8B" w:rsidRDefault="002477AC" w:rsidP="008469D1">
      <w:pPr>
        <w:jc w:val="both"/>
        <w:rPr>
          <w:rFonts w:ascii="Arial" w:hAnsi="Arial" w:cs="Arial"/>
        </w:rPr>
      </w:pPr>
      <w:r>
        <w:rPr>
          <w:rFonts w:ascii="Arial" w:hAnsi="Arial" w:cs="Arial"/>
        </w:rPr>
        <w:t>Figure 2 illustrates that over 58 percent of respondents have utilised they powers under Schedule 7 at least 3 times</w:t>
      </w:r>
      <w:r w:rsidR="00E6674C">
        <w:rPr>
          <w:rFonts w:ascii="Arial" w:hAnsi="Arial" w:cs="Arial"/>
        </w:rPr>
        <w:t xml:space="preserve">, although </w:t>
      </w:r>
      <w:proofErr w:type="gramStart"/>
      <w:r w:rsidR="00E6674C">
        <w:rPr>
          <w:rFonts w:ascii="Arial" w:hAnsi="Arial" w:cs="Arial"/>
        </w:rPr>
        <w:t>it can be seen that 21 percent</w:t>
      </w:r>
      <w:proofErr w:type="gramEnd"/>
      <w:r w:rsidR="00E6674C">
        <w:rPr>
          <w:rFonts w:ascii="Arial" w:hAnsi="Arial" w:cs="Arial"/>
        </w:rPr>
        <w:t xml:space="preserve"> of respondents had not used this primary power </w:t>
      </w:r>
      <w:r w:rsidR="005046E0">
        <w:rPr>
          <w:rFonts w:ascii="Arial" w:hAnsi="Arial" w:cs="Arial"/>
        </w:rPr>
        <w:t>at all within the last 6 months.</w:t>
      </w:r>
      <w:r w:rsidR="0043644B">
        <w:rPr>
          <w:rFonts w:ascii="Arial" w:hAnsi="Arial" w:cs="Arial"/>
        </w:rPr>
        <w:t xml:space="preserve">  </w:t>
      </w:r>
      <w:r w:rsidR="001149C5">
        <w:rPr>
          <w:rFonts w:ascii="Arial" w:hAnsi="Arial" w:cs="Arial"/>
        </w:rPr>
        <w:t>Nationally, 2498 persons were subject of Schedule 7 powers in the year ending June 30</w:t>
      </w:r>
      <w:r w:rsidR="001149C5" w:rsidRPr="001149C5">
        <w:rPr>
          <w:rFonts w:ascii="Arial" w:hAnsi="Arial" w:cs="Arial"/>
          <w:vertAlign w:val="superscript"/>
        </w:rPr>
        <w:t>th</w:t>
      </w:r>
      <w:proofErr w:type="gramStart"/>
      <w:r w:rsidR="001149C5">
        <w:rPr>
          <w:rFonts w:ascii="Arial" w:hAnsi="Arial" w:cs="Arial"/>
        </w:rPr>
        <w:t xml:space="preserve"> 2023</w:t>
      </w:r>
      <w:proofErr w:type="gramEnd"/>
      <w:r w:rsidR="00636E68">
        <w:rPr>
          <w:rFonts w:ascii="Arial" w:hAnsi="Arial" w:cs="Arial"/>
        </w:rPr>
        <w:t>, a decrease of 6 percent compared to the previous year and a 96 percent decrease on corresponding data from 2012</w:t>
      </w:r>
      <w:r w:rsidR="00D04859">
        <w:rPr>
          <w:rFonts w:ascii="Arial" w:hAnsi="Arial" w:cs="Arial"/>
        </w:rPr>
        <w:t xml:space="preserve"> which highlights a significant downward trend of the use of the power.  </w:t>
      </w:r>
      <w:r w:rsidR="00520110">
        <w:rPr>
          <w:rFonts w:ascii="Arial" w:hAnsi="Arial" w:cs="Arial"/>
        </w:rPr>
        <w:t xml:space="preserve">An increased regime of public scrutiny is likely to </w:t>
      </w:r>
      <w:r w:rsidR="003B3728">
        <w:rPr>
          <w:rFonts w:ascii="Arial" w:hAnsi="Arial" w:cs="Arial"/>
        </w:rPr>
        <w:t xml:space="preserve">be a significant factor in </w:t>
      </w:r>
      <w:proofErr w:type="gramStart"/>
      <w:r w:rsidR="003B3728">
        <w:rPr>
          <w:rFonts w:ascii="Arial" w:hAnsi="Arial" w:cs="Arial"/>
        </w:rPr>
        <w:t>this regards</w:t>
      </w:r>
      <w:proofErr w:type="gramEnd"/>
      <w:r w:rsidR="003B3728">
        <w:rPr>
          <w:rFonts w:ascii="Arial" w:hAnsi="Arial" w:cs="Arial"/>
        </w:rPr>
        <w:t>, notwithstanding a move towards a more targeted approach</w:t>
      </w:r>
      <w:r w:rsidR="00C767BA">
        <w:rPr>
          <w:rFonts w:ascii="Arial" w:hAnsi="Arial" w:cs="Arial"/>
        </w:rPr>
        <w:t xml:space="preserve"> (Home Office 2023a).</w:t>
      </w:r>
      <w:r w:rsidR="009A5540">
        <w:rPr>
          <w:rFonts w:ascii="Arial" w:hAnsi="Arial" w:cs="Arial"/>
        </w:rPr>
        <w:t xml:space="preserve">  Twenty percent of respondents have not utilised their powers in the last 3 months.  However, it is worth noting that not all respondents are likely to be day to day practitioners as this empirical study captured supervisors and other support staff who may not ordinarily be at the ‘front line’</w:t>
      </w:r>
      <w:r w:rsidR="008469D1">
        <w:rPr>
          <w:rFonts w:ascii="Arial" w:hAnsi="Arial" w:cs="Arial"/>
        </w:rPr>
        <w:t>.</w:t>
      </w:r>
    </w:p>
    <w:p w14:paraId="435E7328" w14:textId="77777777" w:rsidR="00921447" w:rsidRDefault="00921447" w:rsidP="006C36C8">
      <w:pPr>
        <w:rPr>
          <w:rFonts w:ascii="Arial" w:hAnsi="Arial" w:cs="Arial"/>
        </w:rPr>
      </w:pPr>
    </w:p>
    <w:p w14:paraId="27443184" w14:textId="77777777" w:rsidR="00921447" w:rsidRDefault="00921447" w:rsidP="006C36C8">
      <w:pPr>
        <w:rPr>
          <w:rFonts w:ascii="Arial" w:hAnsi="Arial" w:cs="Arial"/>
        </w:rPr>
      </w:pPr>
    </w:p>
    <w:p w14:paraId="08BD3DC5" w14:textId="77777777" w:rsidR="00921447" w:rsidRDefault="00921447" w:rsidP="006C36C8">
      <w:pPr>
        <w:rPr>
          <w:rFonts w:ascii="Arial" w:hAnsi="Arial" w:cs="Arial"/>
        </w:rPr>
      </w:pPr>
    </w:p>
    <w:p w14:paraId="5117AD16" w14:textId="77777777" w:rsidR="00921447" w:rsidRDefault="00921447" w:rsidP="006C36C8">
      <w:pPr>
        <w:rPr>
          <w:rFonts w:ascii="Arial" w:hAnsi="Arial" w:cs="Arial"/>
        </w:rPr>
      </w:pPr>
    </w:p>
    <w:p w14:paraId="386E0EF6" w14:textId="3BDAC78D" w:rsidR="00921447" w:rsidRPr="00DC5F34" w:rsidRDefault="00DC5F34" w:rsidP="006A30A1">
      <w:pPr>
        <w:rPr>
          <w:rFonts w:ascii="Arial" w:hAnsi="Arial" w:cs="Arial"/>
          <w:b/>
          <w:bCs/>
        </w:rPr>
      </w:pPr>
      <w:r>
        <w:rPr>
          <w:rFonts w:ascii="Arial" w:hAnsi="Arial" w:cs="Arial"/>
          <w:b/>
          <w:bCs/>
        </w:rPr>
        <w:lastRenderedPageBreak/>
        <w:t xml:space="preserve">Question 3 - </w:t>
      </w:r>
      <w:r w:rsidR="009A5540" w:rsidRPr="00DC5F34">
        <w:rPr>
          <w:rFonts w:ascii="Arial" w:hAnsi="Arial" w:cs="Arial"/>
          <w:b/>
          <w:bCs/>
        </w:rPr>
        <w:t>Do you feel that the current legislation supports you to undertake your duties as an examining officer?</w:t>
      </w:r>
    </w:p>
    <w:p w14:paraId="62E25BA4" w14:textId="77777777" w:rsidR="009A5540" w:rsidRDefault="009A5540" w:rsidP="009A5540">
      <w:pPr>
        <w:pStyle w:val="ListParagraph"/>
        <w:rPr>
          <w:rFonts w:ascii="Arial" w:hAnsi="Arial" w:cs="Arial"/>
        </w:rPr>
      </w:pPr>
    </w:p>
    <w:p w14:paraId="5DF8FE89" w14:textId="77777777" w:rsidR="009A5540" w:rsidRPr="009A5540" w:rsidRDefault="009A5540" w:rsidP="009A5540">
      <w:pPr>
        <w:rPr>
          <w:rFonts w:ascii="Arial" w:hAnsi="Arial" w:cs="Arial"/>
        </w:rPr>
      </w:pPr>
    </w:p>
    <w:p w14:paraId="77712A4C" w14:textId="16F5E879" w:rsidR="00A55D37" w:rsidRDefault="0085629A" w:rsidP="00850A82">
      <w:pPr>
        <w:rPr>
          <w:rFonts w:ascii="Arial" w:hAnsi="Arial" w:cs="Arial"/>
        </w:rPr>
      </w:pPr>
      <w:r>
        <w:rPr>
          <w:rFonts w:eastAsia="Times New Roman"/>
          <w:noProof/>
        </w:rPr>
        <w:drawing>
          <wp:inline distT="0" distB="0" distL="0" distR="0" wp14:anchorId="2299729E" wp14:editId="0205FA5D">
            <wp:extent cx="2758345" cy="2755900"/>
            <wp:effectExtent l="0" t="0" r="4445"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2778761" cy="2776298"/>
                    </a:xfrm>
                    <a:prstGeom prst="rect">
                      <a:avLst/>
                    </a:prstGeom>
                    <a:noFill/>
                    <a:ln>
                      <a:noFill/>
                    </a:ln>
                  </pic:spPr>
                </pic:pic>
              </a:graphicData>
            </a:graphic>
          </wp:inline>
        </w:drawing>
      </w:r>
    </w:p>
    <w:p w14:paraId="39109B62" w14:textId="2CE8B680" w:rsidR="00A55D37" w:rsidRPr="009A5540" w:rsidRDefault="005F59FA" w:rsidP="00E766E2">
      <w:pPr>
        <w:rPr>
          <w:rFonts w:ascii="Arial" w:hAnsi="Arial" w:cs="Arial"/>
          <w:i/>
          <w:iCs/>
        </w:rPr>
      </w:pPr>
      <w:r w:rsidRPr="009A5540">
        <w:rPr>
          <w:rFonts w:ascii="Arial" w:hAnsi="Arial" w:cs="Arial"/>
          <w:b/>
          <w:bCs/>
          <w:i/>
          <w:iCs/>
        </w:rPr>
        <w:t>Figure 3</w:t>
      </w:r>
      <w:r w:rsidR="003F6D8B" w:rsidRPr="009A5540">
        <w:rPr>
          <w:rFonts w:ascii="Arial" w:hAnsi="Arial" w:cs="Arial"/>
          <w:i/>
          <w:iCs/>
        </w:rPr>
        <w:t xml:space="preserve"> – Do you feel that the current legislation supports you to undertake your duties as an examining officer?</w:t>
      </w:r>
    </w:p>
    <w:p w14:paraId="1E75D11A" w14:textId="07DEA1B5" w:rsidR="00E12A7E" w:rsidRDefault="00C10E29" w:rsidP="006D13FF">
      <w:pPr>
        <w:jc w:val="both"/>
        <w:rPr>
          <w:rFonts w:ascii="Arial" w:hAnsi="Arial" w:cs="Arial"/>
        </w:rPr>
      </w:pPr>
      <w:r>
        <w:rPr>
          <w:rFonts w:ascii="Arial" w:hAnsi="Arial" w:cs="Arial"/>
        </w:rPr>
        <w:t xml:space="preserve">There was a clear belief </w:t>
      </w:r>
      <w:r w:rsidR="006C0424">
        <w:rPr>
          <w:rFonts w:ascii="Arial" w:hAnsi="Arial" w:cs="Arial"/>
        </w:rPr>
        <w:t xml:space="preserve">from the respondents that the legislation supports them when undertaking their duties as examining officers, with 90 percent of respondents </w:t>
      </w:r>
      <w:r w:rsidR="000E650D">
        <w:rPr>
          <w:rFonts w:ascii="Arial" w:hAnsi="Arial" w:cs="Arial"/>
        </w:rPr>
        <w:t>answering ‘Yes’ to this question.</w:t>
      </w:r>
      <w:r w:rsidR="005B100F">
        <w:rPr>
          <w:rFonts w:ascii="Arial" w:hAnsi="Arial" w:cs="Arial"/>
        </w:rPr>
        <w:t xml:space="preserve">  It is also noteworthy that </w:t>
      </w:r>
      <w:proofErr w:type="gramStart"/>
      <w:r w:rsidR="0011586B">
        <w:rPr>
          <w:rFonts w:ascii="Arial" w:hAnsi="Arial" w:cs="Arial"/>
        </w:rPr>
        <w:t>the</w:t>
      </w:r>
      <w:r w:rsidR="00723CB4">
        <w:rPr>
          <w:rFonts w:ascii="Arial" w:hAnsi="Arial" w:cs="Arial"/>
        </w:rPr>
        <w:t xml:space="preserve"> majority of</w:t>
      </w:r>
      <w:proofErr w:type="gramEnd"/>
      <w:r w:rsidR="00723CB4">
        <w:rPr>
          <w:rFonts w:ascii="Arial" w:hAnsi="Arial" w:cs="Arial"/>
        </w:rPr>
        <w:t xml:space="preserve"> the</w:t>
      </w:r>
      <w:r w:rsidR="0011586B">
        <w:rPr>
          <w:rFonts w:ascii="Arial" w:hAnsi="Arial" w:cs="Arial"/>
        </w:rPr>
        <w:t xml:space="preserve"> </w:t>
      </w:r>
      <w:r w:rsidR="00A46ED0">
        <w:rPr>
          <w:rFonts w:ascii="Arial" w:hAnsi="Arial" w:cs="Arial"/>
        </w:rPr>
        <w:t>7 percent</w:t>
      </w:r>
      <w:r w:rsidR="0011586B">
        <w:rPr>
          <w:rFonts w:ascii="Arial" w:hAnsi="Arial" w:cs="Arial"/>
        </w:rPr>
        <w:t xml:space="preserve"> who</w:t>
      </w:r>
      <w:r w:rsidR="00A46ED0">
        <w:rPr>
          <w:rFonts w:ascii="Arial" w:hAnsi="Arial" w:cs="Arial"/>
        </w:rPr>
        <w:t xml:space="preserve"> answered ‘No’ to this question </w:t>
      </w:r>
      <w:r w:rsidR="0011586B">
        <w:rPr>
          <w:rFonts w:ascii="Arial" w:hAnsi="Arial" w:cs="Arial"/>
        </w:rPr>
        <w:t>also indicated that they had be</w:t>
      </w:r>
      <w:r w:rsidR="00723CB4">
        <w:rPr>
          <w:rFonts w:ascii="Arial" w:hAnsi="Arial" w:cs="Arial"/>
        </w:rPr>
        <w:t xml:space="preserve">low 3 </w:t>
      </w:r>
      <w:r w:rsidR="00AA5A30">
        <w:rPr>
          <w:rFonts w:ascii="Arial" w:hAnsi="Arial" w:cs="Arial"/>
        </w:rPr>
        <w:t>years’ service</w:t>
      </w:r>
      <w:r w:rsidR="00723CB4">
        <w:rPr>
          <w:rFonts w:ascii="Arial" w:hAnsi="Arial" w:cs="Arial"/>
        </w:rPr>
        <w:t xml:space="preserve">, </w:t>
      </w:r>
      <w:r w:rsidR="00AA5A30">
        <w:rPr>
          <w:rFonts w:ascii="Arial" w:hAnsi="Arial" w:cs="Arial"/>
        </w:rPr>
        <w:t>which arguably indicates a link between confidence in the legislation and experience within role.</w:t>
      </w:r>
      <w:r w:rsidR="009D3474">
        <w:rPr>
          <w:rFonts w:ascii="Arial" w:hAnsi="Arial" w:cs="Arial"/>
        </w:rPr>
        <w:t xml:space="preserve">  One individual did not provide a response to this question.</w:t>
      </w:r>
      <w:r w:rsidR="00F112DA">
        <w:rPr>
          <w:rFonts w:ascii="Arial" w:hAnsi="Arial" w:cs="Arial"/>
        </w:rPr>
        <w:t xml:space="preserve">  </w:t>
      </w:r>
      <w:r w:rsidR="00A856EF">
        <w:rPr>
          <w:rFonts w:ascii="Arial" w:hAnsi="Arial" w:cs="Arial"/>
        </w:rPr>
        <w:t xml:space="preserve">The legislation is now nearing 25 years old, with several iterations and </w:t>
      </w:r>
      <w:r w:rsidR="007D0008">
        <w:rPr>
          <w:rFonts w:ascii="Arial" w:hAnsi="Arial" w:cs="Arial"/>
        </w:rPr>
        <w:t xml:space="preserve">refinements made during that time.  These have </w:t>
      </w:r>
      <w:r w:rsidR="006C43B7">
        <w:rPr>
          <w:rFonts w:ascii="Arial" w:hAnsi="Arial" w:cs="Arial"/>
        </w:rPr>
        <w:t xml:space="preserve">sometimes </w:t>
      </w:r>
      <w:r w:rsidR="007D0008">
        <w:rPr>
          <w:rFonts w:ascii="Arial" w:hAnsi="Arial" w:cs="Arial"/>
        </w:rPr>
        <w:t>followed judicial reviews</w:t>
      </w:r>
      <w:r w:rsidR="006C43B7">
        <w:rPr>
          <w:rFonts w:ascii="Arial" w:hAnsi="Arial" w:cs="Arial"/>
        </w:rPr>
        <w:t xml:space="preserve"> and </w:t>
      </w:r>
      <w:r w:rsidR="007D0008">
        <w:rPr>
          <w:rFonts w:ascii="Arial" w:hAnsi="Arial" w:cs="Arial"/>
        </w:rPr>
        <w:t>Supreme Court rulings a</w:t>
      </w:r>
      <w:r w:rsidR="006C43B7">
        <w:rPr>
          <w:rFonts w:ascii="Arial" w:hAnsi="Arial" w:cs="Arial"/>
        </w:rPr>
        <w:t xml:space="preserve">lthough the latest change to the legislation </w:t>
      </w:r>
      <w:r w:rsidR="009D4875">
        <w:rPr>
          <w:rFonts w:ascii="Arial" w:hAnsi="Arial" w:cs="Arial"/>
        </w:rPr>
        <w:t>is in response to the small boats crisis where persons are accessing the UK from abroad via waterways not necessarily linked to a portal region where the power has traditionally been authorised</w:t>
      </w:r>
      <w:r w:rsidR="00E12A7E">
        <w:rPr>
          <w:rFonts w:ascii="Arial" w:hAnsi="Arial" w:cs="Arial"/>
        </w:rPr>
        <w:t>.</w:t>
      </w:r>
    </w:p>
    <w:p w14:paraId="09E22C1F" w14:textId="77777777" w:rsidR="00332DEC" w:rsidRDefault="00332DEC" w:rsidP="006D13FF">
      <w:pPr>
        <w:jc w:val="both"/>
        <w:rPr>
          <w:rFonts w:ascii="Arial" w:hAnsi="Arial" w:cs="Arial"/>
        </w:rPr>
      </w:pPr>
    </w:p>
    <w:p w14:paraId="1351EDF1" w14:textId="77777777" w:rsidR="00332DEC" w:rsidRDefault="00332DEC" w:rsidP="006C36C8">
      <w:pPr>
        <w:rPr>
          <w:rFonts w:ascii="Arial" w:hAnsi="Arial" w:cs="Arial"/>
        </w:rPr>
      </w:pPr>
    </w:p>
    <w:p w14:paraId="37F03FA0" w14:textId="77777777" w:rsidR="00332DEC" w:rsidRDefault="00332DEC" w:rsidP="006C36C8">
      <w:pPr>
        <w:rPr>
          <w:rFonts w:ascii="Arial" w:hAnsi="Arial" w:cs="Arial"/>
        </w:rPr>
      </w:pPr>
    </w:p>
    <w:p w14:paraId="399038D6" w14:textId="77777777" w:rsidR="00332DEC" w:rsidRDefault="00332DEC" w:rsidP="006C36C8">
      <w:pPr>
        <w:rPr>
          <w:rFonts w:ascii="Arial" w:hAnsi="Arial" w:cs="Arial"/>
        </w:rPr>
      </w:pPr>
    </w:p>
    <w:p w14:paraId="160A9DE9" w14:textId="77777777" w:rsidR="00332DEC" w:rsidRDefault="00332DEC" w:rsidP="006C36C8">
      <w:pPr>
        <w:rPr>
          <w:rFonts w:ascii="Arial" w:hAnsi="Arial" w:cs="Arial"/>
        </w:rPr>
      </w:pPr>
    </w:p>
    <w:p w14:paraId="56E48158" w14:textId="77777777" w:rsidR="00332DEC" w:rsidRDefault="00332DEC" w:rsidP="006C36C8">
      <w:pPr>
        <w:rPr>
          <w:rFonts w:ascii="Arial" w:hAnsi="Arial" w:cs="Arial"/>
        </w:rPr>
      </w:pPr>
    </w:p>
    <w:p w14:paraId="7C24AA4D" w14:textId="77777777" w:rsidR="00332DEC" w:rsidRDefault="00332DEC" w:rsidP="006C36C8">
      <w:pPr>
        <w:rPr>
          <w:rFonts w:ascii="Arial" w:hAnsi="Arial" w:cs="Arial"/>
        </w:rPr>
      </w:pPr>
    </w:p>
    <w:p w14:paraId="74E54D33" w14:textId="77777777" w:rsidR="00332DEC" w:rsidRDefault="00332DEC" w:rsidP="006C36C8">
      <w:pPr>
        <w:rPr>
          <w:rFonts w:ascii="Arial" w:hAnsi="Arial" w:cs="Arial"/>
        </w:rPr>
      </w:pPr>
    </w:p>
    <w:p w14:paraId="04FD169E" w14:textId="77777777" w:rsidR="00332DEC" w:rsidRDefault="00332DEC" w:rsidP="006C36C8">
      <w:pPr>
        <w:rPr>
          <w:rFonts w:ascii="Arial" w:hAnsi="Arial" w:cs="Arial"/>
        </w:rPr>
      </w:pPr>
    </w:p>
    <w:p w14:paraId="3FA051D9" w14:textId="53264E3A" w:rsidR="00E12A7E" w:rsidRPr="00DC5F34" w:rsidRDefault="00DC5F34" w:rsidP="006A30A1">
      <w:pPr>
        <w:rPr>
          <w:rFonts w:ascii="Arial" w:hAnsi="Arial" w:cs="Arial"/>
          <w:b/>
          <w:bCs/>
        </w:rPr>
      </w:pPr>
      <w:r>
        <w:rPr>
          <w:rFonts w:ascii="Arial" w:hAnsi="Arial" w:cs="Arial"/>
          <w:b/>
          <w:bCs/>
        </w:rPr>
        <w:lastRenderedPageBreak/>
        <w:t>Question 4 -</w:t>
      </w:r>
      <w:r w:rsidR="00E12A7E" w:rsidRPr="00DC5F34">
        <w:rPr>
          <w:rFonts w:ascii="Arial" w:hAnsi="Arial" w:cs="Arial"/>
          <w:b/>
          <w:bCs/>
        </w:rPr>
        <w:t xml:space="preserve"> In your opinion, how effective is the common travel area in preventing terrorism and enhancing the security of the UK?</w:t>
      </w:r>
    </w:p>
    <w:p w14:paraId="1AA7DCBB" w14:textId="48E942E0" w:rsidR="00850A82" w:rsidRDefault="00850A82" w:rsidP="00850A82">
      <w:pPr>
        <w:pStyle w:val="ListParagraph"/>
        <w:jc w:val="both"/>
        <w:rPr>
          <w:rFonts w:ascii="Arial" w:hAnsi="Arial" w:cs="Arial"/>
          <w:b/>
          <w:bCs/>
        </w:rPr>
      </w:pPr>
      <w:r>
        <w:rPr>
          <w:rFonts w:eastAsia="Times New Roman"/>
          <w:noProof/>
        </w:rPr>
        <w:drawing>
          <wp:anchor distT="0" distB="0" distL="114300" distR="114300" simplePos="0" relativeHeight="251656704" behindDoc="0" locked="0" layoutInCell="1" allowOverlap="1" wp14:anchorId="6F0EA01B" wp14:editId="19AADB46">
            <wp:simplePos x="0" y="0"/>
            <wp:positionH relativeFrom="margin">
              <wp:posOffset>-77470</wp:posOffset>
            </wp:positionH>
            <wp:positionV relativeFrom="paragraph">
              <wp:posOffset>120650</wp:posOffset>
            </wp:positionV>
            <wp:extent cx="2943925" cy="3168650"/>
            <wp:effectExtent l="0" t="0" r="889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2943925" cy="3168650"/>
                    </a:xfrm>
                    <a:prstGeom prst="rect">
                      <a:avLst/>
                    </a:prstGeom>
                    <a:noFill/>
                    <a:ln>
                      <a:noFill/>
                    </a:ln>
                  </pic:spPr>
                </pic:pic>
              </a:graphicData>
            </a:graphic>
          </wp:anchor>
        </w:drawing>
      </w:r>
      <w:r w:rsidR="00BB02F6" w:rsidRPr="00E12A7E">
        <w:rPr>
          <w:rFonts w:ascii="Arial" w:hAnsi="Arial" w:cs="Arial"/>
        </w:rPr>
        <w:br w:type="textWrapping" w:clear="all"/>
      </w:r>
    </w:p>
    <w:p w14:paraId="57951509" w14:textId="0E42DA83" w:rsidR="005F2638" w:rsidRPr="00850A82" w:rsidRDefault="00850A82" w:rsidP="00850A82">
      <w:pPr>
        <w:jc w:val="both"/>
        <w:rPr>
          <w:rFonts w:ascii="Arial" w:hAnsi="Arial" w:cs="Arial"/>
          <w:i/>
          <w:iCs/>
        </w:rPr>
      </w:pPr>
      <w:r>
        <w:rPr>
          <w:rFonts w:ascii="Arial" w:hAnsi="Arial" w:cs="Arial"/>
          <w:b/>
          <w:bCs/>
          <w:i/>
          <w:iCs/>
        </w:rPr>
        <w:t>F</w:t>
      </w:r>
      <w:r w:rsidR="005F2638" w:rsidRPr="00850A82">
        <w:rPr>
          <w:rFonts w:ascii="Arial" w:hAnsi="Arial" w:cs="Arial"/>
          <w:b/>
          <w:bCs/>
          <w:i/>
          <w:iCs/>
        </w:rPr>
        <w:t>igure 4</w:t>
      </w:r>
      <w:r w:rsidR="003F6D8B" w:rsidRPr="00850A82">
        <w:rPr>
          <w:rFonts w:ascii="Arial" w:hAnsi="Arial" w:cs="Arial"/>
          <w:i/>
          <w:iCs/>
        </w:rPr>
        <w:t xml:space="preserve"> – In your opinion how effective is the common travel area in preventing terrorism and enhancing the security of the UK?</w:t>
      </w:r>
    </w:p>
    <w:p w14:paraId="2CECD829" w14:textId="77777777" w:rsidR="00850A82" w:rsidRDefault="00850A82" w:rsidP="006C36C8">
      <w:pPr>
        <w:rPr>
          <w:rFonts w:ascii="Arial" w:hAnsi="Arial" w:cs="Arial"/>
        </w:rPr>
      </w:pPr>
    </w:p>
    <w:p w14:paraId="2DB4D703" w14:textId="77777777" w:rsidR="004B5C0D" w:rsidRDefault="00B5218E" w:rsidP="00686D08">
      <w:pPr>
        <w:jc w:val="both"/>
        <w:rPr>
          <w:rFonts w:ascii="Arial" w:hAnsi="Arial" w:cs="Arial"/>
        </w:rPr>
      </w:pPr>
      <w:r>
        <w:rPr>
          <w:rFonts w:ascii="Arial" w:hAnsi="Arial" w:cs="Arial"/>
        </w:rPr>
        <w:t xml:space="preserve">The </w:t>
      </w:r>
      <w:r w:rsidR="00F6792A">
        <w:rPr>
          <w:rFonts w:ascii="Arial" w:hAnsi="Arial" w:cs="Arial"/>
        </w:rPr>
        <w:t xml:space="preserve">data illustrated within Figure 4 suggests a strong opinion </w:t>
      </w:r>
      <w:r w:rsidR="007E0D46">
        <w:rPr>
          <w:rFonts w:ascii="Arial" w:hAnsi="Arial" w:cs="Arial"/>
        </w:rPr>
        <w:t xml:space="preserve">that the Common Travel Area is ineffective, or very ineffective in enhancing the security of the UK, with </w:t>
      </w:r>
      <w:r w:rsidR="006E0F09">
        <w:rPr>
          <w:rFonts w:ascii="Arial" w:hAnsi="Arial" w:cs="Arial"/>
        </w:rPr>
        <w:t xml:space="preserve">83 percent of respondents </w:t>
      </w:r>
      <w:r w:rsidR="00983A89">
        <w:rPr>
          <w:rFonts w:ascii="Arial" w:hAnsi="Arial" w:cs="Arial"/>
        </w:rPr>
        <w:t>indicating this in their answer.</w:t>
      </w:r>
      <w:r w:rsidR="002F14DA">
        <w:rPr>
          <w:rFonts w:ascii="Arial" w:hAnsi="Arial" w:cs="Arial"/>
        </w:rPr>
        <w:t xml:space="preserve">  This corroborates the findings </w:t>
      </w:r>
      <w:r w:rsidR="0048327E">
        <w:rPr>
          <w:rFonts w:ascii="Arial" w:hAnsi="Arial" w:cs="Arial"/>
        </w:rPr>
        <w:t xml:space="preserve">from </w:t>
      </w:r>
      <w:r w:rsidR="00C7113C">
        <w:rPr>
          <w:rFonts w:ascii="Arial" w:hAnsi="Arial" w:cs="Arial"/>
        </w:rPr>
        <w:t xml:space="preserve">the qualitative review of the literature which addresses the complexity of the Common Travel Area and </w:t>
      </w:r>
      <w:r w:rsidR="00F741CD">
        <w:rPr>
          <w:rFonts w:ascii="Arial" w:hAnsi="Arial" w:cs="Arial"/>
        </w:rPr>
        <w:t xml:space="preserve">presents the associated risks that the free movement principles of the CTA present.  </w:t>
      </w:r>
      <w:r w:rsidR="00B03515">
        <w:rPr>
          <w:rFonts w:ascii="Arial" w:hAnsi="Arial" w:cs="Arial"/>
        </w:rPr>
        <w:t xml:space="preserve">At the present time, following the realisation of Brexit and differing relationships with the EU, including Ireland, it is apparent that the </w:t>
      </w:r>
      <w:r w:rsidR="00D06D30">
        <w:rPr>
          <w:rFonts w:ascii="Arial" w:hAnsi="Arial" w:cs="Arial"/>
        </w:rPr>
        <w:t>respondents view around the ineffective nature of the Common Travel Area</w:t>
      </w:r>
      <w:r w:rsidR="009729E5">
        <w:rPr>
          <w:rFonts w:ascii="Arial" w:hAnsi="Arial" w:cs="Arial"/>
        </w:rPr>
        <w:t xml:space="preserve"> is in keeping with the general overview of literature that has been presented.</w:t>
      </w:r>
      <w:r w:rsidR="001B6CA9">
        <w:rPr>
          <w:rFonts w:ascii="Arial" w:hAnsi="Arial" w:cs="Arial"/>
        </w:rPr>
        <w:t xml:space="preserve">  </w:t>
      </w:r>
    </w:p>
    <w:p w14:paraId="791B94AE" w14:textId="3261B8D4" w:rsidR="00AA5A30" w:rsidRDefault="001B6CA9" w:rsidP="00686D08">
      <w:pPr>
        <w:jc w:val="both"/>
        <w:rPr>
          <w:rFonts w:ascii="Arial" w:hAnsi="Arial" w:cs="Arial"/>
        </w:rPr>
      </w:pPr>
      <w:r>
        <w:rPr>
          <w:rFonts w:ascii="Arial" w:hAnsi="Arial" w:cs="Arial"/>
        </w:rPr>
        <w:t xml:space="preserve">That said, there is </w:t>
      </w:r>
      <w:r w:rsidR="004B5C0D">
        <w:rPr>
          <w:rFonts w:ascii="Arial" w:hAnsi="Arial" w:cs="Arial"/>
        </w:rPr>
        <w:t xml:space="preserve">evidence to suggest that there is </w:t>
      </w:r>
      <w:r>
        <w:rPr>
          <w:rFonts w:ascii="Arial" w:hAnsi="Arial" w:cs="Arial"/>
        </w:rPr>
        <w:t>no notable increase in terrorist related activities that can be associated with open borders – such as the EU where free movement has existed since its inception.</w:t>
      </w:r>
      <w:r w:rsidR="000F0B70">
        <w:rPr>
          <w:rFonts w:ascii="Arial" w:hAnsi="Arial" w:cs="Arial"/>
        </w:rPr>
        <w:t xml:space="preserve">  This is supported</w:t>
      </w:r>
      <w:r w:rsidR="008C1C91">
        <w:rPr>
          <w:rFonts w:ascii="Arial" w:hAnsi="Arial" w:cs="Arial"/>
        </w:rPr>
        <w:t xml:space="preserve"> by</w:t>
      </w:r>
      <w:r w:rsidR="00370CE9">
        <w:rPr>
          <w:rFonts w:ascii="Arial" w:hAnsi="Arial" w:cs="Arial"/>
        </w:rPr>
        <w:t xml:space="preserve"> Woude (2009) who argues that</w:t>
      </w:r>
      <w:r w:rsidR="008C1C91">
        <w:rPr>
          <w:rFonts w:ascii="Arial" w:hAnsi="Arial" w:cs="Arial"/>
        </w:rPr>
        <w:t xml:space="preserve"> The Schengen Agreement</w:t>
      </w:r>
      <w:r w:rsidR="00370CE9">
        <w:rPr>
          <w:rFonts w:ascii="Arial" w:hAnsi="Arial" w:cs="Arial"/>
        </w:rPr>
        <w:t xml:space="preserve">, which is similar in nature to the CTA in that it allows for the free movement of </w:t>
      </w:r>
      <w:r w:rsidR="00027B2B">
        <w:rPr>
          <w:rFonts w:ascii="Arial" w:hAnsi="Arial" w:cs="Arial"/>
        </w:rPr>
        <w:t xml:space="preserve">people across participating countries </w:t>
      </w:r>
      <w:r w:rsidR="008C1C91">
        <w:rPr>
          <w:rFonts w:ascii="Arial" w:hAnsi="Arial" w:cs="Arial"/>
        </w:rPr>
        <w:t xml:space="preserve">has facilitated </w:t>
      </w:r>
      <w:r w:rsidR="00402F7F">
        <w:rPr>
          <w:rFonts w:ascii="Arial" w:hAnsi="Arial" w:cs="Arial"/>
        </w:rPr>
        <w:t>greater cooperation and information sharing across participating countries</w:t>
      </w:r>
      <w:r w:rsidR="00027B2B">
        <w:rPr>
          <w:rFonts w:ascii="Arial" w:hAnsi="Arial" w:cs="Arial"/>
        </w:rPr>
        <w:t>.  This has</w:t>
      </w:r>
      <w:r w:rsidR="00402F7F">
        <w:rPr>
          <w:rFonts w:ascii="Arial" w:hAnsi="Arial" w:cs="Arial"/>
        </w:rPr>
        <w:t xml:space="preserve"> enabl</w:t>
      </w:r>
      <w:r w:rsidR="00027B2B">
        <w:rPr>
          <w:rFonts w:ascii="Arial" w:hAnsi="Arial" w:cs="Arial"/>
        </w:rPr>
        <w:t>ed</w:t>
      </w:r>
      <w:r w:rsidR="00402F7F">
        <w:rPr>
          <w:rFonts w:ascii="Arial" w:hAnsi="Arial" w:cs="Arial"/>
        </w:rPr>
        <w:t xml:space="preserve"> them to work together more effectively</w:t>
      </w:r>
      <w:r w:rsidR="008C0823">
        <w:rPr>
          <w:rFonts w:ascii="Arial" w:hAnsi="Arial" w:cs="Arial"/>
        </w:rPr>
        <w:t xml:space="preserve"> in combating transnational crime, including drug trafficking, human trafficking, and terrorism with this co</w:t>
      </w:r>
      <w:r w:rsidR="005C724E">
        <w:rPr>
          <w:rFonts w:ascii="Arial" w:hAnsi="Arial" w:cs="Arial"/>
        </w:rPr>
        <w:t>operation found to contribute positively to crime prevention</w:t>
      </w:r>
      <w:r w:rsidR="004B5C0D">
        <w:rPr>
          <w:rFonts w:ascii="Arial" w:hAnsi="Arial" w:cs="Arial"/>
        </w:rPr>
        <w:t>.</w:t>
      </w:r>
      <w:r w:rsidR="002506A4">
        <w:rPr>
          <w:rFonts w:ascii="Arial" w:hAnsi="Arial" w:cs="Arial"/>
        </w:rPr>
        <w:t xml:space="preserve"> </w:t>
      </w:r>
      <w:r w:rsidR="00ED0122">
        <w:rPr>
          <w:rFonts w:ascii="Arial" w:hAnsi="Arial" w:cs="Arial"/>
        </w:rPr>
        <w:t xml:space="preserve"> </w:t>
      </w:r>
    </w:p>
    <w:p w14:paraId="54FD9D12" w14:textId="77777777" w:rsidR="00F514DB" w:rsidRDefault="0091558A" w:rsidP="00F514DB">
      <w:pPr>
        <w:jc w:val="both"/>
        <w:rPr>
          <w:rFonts w:ascii="Arial" w:hAnsi="Arial" w:cs="Arial"/>
        </w:rPr>
      </w:pPr>
      <w:r>
        <w:rPr>
          <w:rFonts w:ascii="Arial" w:hAnsi="Arial" w:cs="Arial"/>
        </w:rPr>
        <w:t xml:space="preserve">That said, the important dynamic that needs to exist for there to be a positive impact on prevention is likely to be cooperation.  </w:t>
      </w:r>
      <w:r w:rsidR="00DE6AE3">
        <w:rPr>
          <w:rFonts w:ascii="Arial" w:hAnsi="Arial" w:cs="Arial"/>
        </w:rPr>
        <w:t>The implications of Brexit had an immediate detrimental impact with relationships between the UK and Ireland</w:t>
      </w:r>
      <w:r w:rsidR="00AC17E2">
        <w:rPr>
          <w:rFonts w:ascii="Arial" w:hAnsi="Arial" w:cs="Arial"/>
        </w:rPr>
        <w:t xml:space="preserve"> with academic research highlighting the challenges of maintaining peace and stability in Northern Ireland, given the </w:t>
      </w:r>
      <w:r w:rsidR="0042702F">
        <w:rPr>
          <w:rFonts w:ascii="Arial" w:hAnsi="Arial" w:cs="Arial"/>
        </w:rPr>
        <w:t xml:space="preserve">potential for Brexit to disrupt the delicate balance achieved through the Good Friday Agreement </w:t>
      </w:r>
      <w:sdt>
        <w:sdtPr>
          <w:rPr>
            <w:rFonts w:ascii="Arial" w:hAnsi="Arial" w:cs="Arial"/>
          </w:rPr>
          <w:id w:val="271363276"/>
          <w:citation/>
        </w:sdtPr>
        <w:sdtContent>
          <w:r w:rsidR="0042702F">
            <w:rPr>
              <w:rFonts w:ascii="Arial" w:hAnsi="Arial" w:cs="Arial"/>
            </w:rPr>
            <w:fldChar w:fldCharType="begin"/>
          </w:r>
          <w:r w:rsidR="0042702F">
            <w:rPr>
              <w:rFonts w:ascii="Arial" w:hAnsi="Arial" w:cs="Arial"/>
            </w:rPr>
            <w:instrText xml:space="preserve"> CITATION Lou20 \l 2057 </w:instrText>
          </w:r>
          <w:r w:rsidR="0042702F">
            <w:rPr>
              <w:rFonts w:ascii="Arial" w:hAnsi="Arial" w:cs="Arial"/>
            </w:rPr>
            <w:fldChar w:fldCharType="separate"/>
          </w:r>
          <w:r w:rsidR="0042702F" w:rsidRPr="0042702F">
            <w:rPr>
              <w:rFonts w:ascii="Arial" w:hAnsi="Arial" w:cs="Arial"/>
              <w:noProof/>
            </w:rPr>
            <w:t>(Loughlin, 2020)</w:t>
          </w:r>
          <w:r w:rsidR="0042702F">
            <w:rPr>
              <w:rFonts w:ascii="Arial" w:hAnsi="Arial" w:cs="Arial"/>
            </w:rPr>
            <w:fldChar w:fldCharType="end"/>
          </w:r>
        </w:sdtContent>
      </w:sdt>
      <w:r w:rsidR="0042702F">
        <w:rPr>
          <w:rFonts w:ascii="Arial" w:hAnsi="Arial" w:cs="Arial"/>
        </w:rPr>
        <w:t>.</w:t>
      </w:r>
    </w:p>
    <w:p w14:paraId="319A593F" w14:textId="2ADC0020" w:rsidR="000E650D" w:rsidRPr="00DC5F34" w:rsidRDefault="00DC5F34" w:rsidP="00F514DB">
      <w:pPr>
        <w:jc w:val="both"/>
        <w:rPr>
          <w:rFonts w:ascii="Arial" w:hAnsi="Arial" w:cs="Arial"/>
        </w:rPr>
      </w:pPr>
      <w:r>
        <w:rPr>
          <w:rFonts w:ascii="Arial" w:hAnsi="Arial" w:cs="Arial"/>
          <w:b/>
          <w:bCs/>
        </w:rPr>
        <w:lastRenderedPageBreak/>
        <w:t xml:space="preserve">Question 5 - </w:t>
      </w:r>
      <w:r w:rsidR="00BE14BA" w:rsidRPr="00DC5F34">
        <w:rPr>
          <w:rFonts w:ascii="Arial" w:hAnsi="Arial" w:cs="Arial"/>
          <w:b/>
          <w:bCs/>
        </w:rPr>
        <w:t xml:space="preserve">Do you believe </w:t>
      </w:r>
      <w:r w:rsidR="00114CA9" w:rsidRPr="00DC5F34">
        <w:rPr>
          <w:rFonts w:ascii="Arial" w:hAnsi="Arial" w:cs="Arial"/>
          <w:b/>
          <w:bCs/>
        </w:rPr>
        <w:t>that the existence of the Common Travel Area makes it easier for potential terrorists to move undetected between the participating territories?</w:t>
      </w:r>
    </w:p>
    <w:p w14:paraId="36041B4F" w14:textId="77777777" w:rsidR="005F2638" w:rsidRDefault="005F2638" w:rsidP="006C36C8">
      <w:pPr>
        <w:rPr>
          <w:rFonts w:ascii="Arial" w:hAnsi="Arial" w:cs="Arial"/>
        </w:rPr>
      </w:pPr>
    </w:p>
    <w:p w14:paraId="6D25C970" w14:textId="0FC44969" w:rsidR="00515308" w:rsidRDefault="00DC35E8" w:rsidP="00114CA9">
      <w:pPr>
        <w:rPr>
          <w:rFonts w:ascii="Arial" w:hAnsi="Arial" w:cs="Arial"/>
        </w:rPr>
      </w:pPr>
      <w:r>
        <w:rPr>
          <w:rFonts w:eastAsia="Times New Roman"/>
          <w:noProof/>
        </w:rPr>
        <w:drawing>
          <wp:inline distT="0" distB="0" distL="0" distR="0" wp14:anchorId="41239DEA" wp14:editId="39150653">
            <wp:extent cx="2701876" cy="2622550"/>
            <wp:effectExtent l="0" t="0" r="381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2724135" cy="2644155"/>
                    </a:xfrm>
                    <a:prstGeom prst="rect">
                      <a:avLst/>
                    </a:prstGeom>
                    <a:noFill/>
                    <a:ln>
                      <a:noFill/>
                    </a:ln>
                  </pic:spPr>
                </pic:pic>
              </a:graphicData>
            </a:graphic>
          </wp:inline>
        </w:drawing>
      </w:r>
    </w:p>
    <w:p w14:paraId="6DF76A0F" w14:textId="5D1B29A2" w:rsidR="00515308" w:rsidRPr="00114CA9" w:rsidRDefault="00515308" w:rsidP="006C36C8">
      <w:pPr>
        <w:rPr>
          <w:rFonts w:ascii="Arial" w:hAnsi="Arial" w:cs="Arial"/>
          <w:i/>
          <w:iCs/>
        </w:rPr>
      </w:pPr>
      <w:r w:rsidRPr="00114CA9">
        <w:rPr>
          <w:rFonts w:ascii="Arial" w:hAnsi="Arial" w:cs="Arial"/>
          <w:b/>
          <w:bCs/>
          <w:i/>
          <w:iCs/>
        </w:rPr>
        <w:t>Figure 5</w:t>
      </w:r>
      <w:r w:rsidR="003F6D8B" w:rsidRPr="00114CA9">
        <w:rPr>
          <w:rFonts w:ascii="Arial" w:hAnsi="Arial" w:cs="Arial"/>
          <w:i/>
          <w:iCs/>
        </w:rPr>
        <w:t xml:space="preserve"> – Do you believe that the existence of the Common Travel Area makes it easier for potential terrorists to move undetected between the participating territories?</w:t>
      </w:r>
    </w:p>
    <w:p w14:paraId="5758C26A" w14:textId="3DAE38B8" w:rsidR="00983A89" w:rsidRDefault="00265427" w:rsidP="00686D08">
      <w:pPr>
        <w:jc w:val="both"/>
        <w:rPr>
          <w:rFonts w:ascii="Arial" w:hAnsi="Arial" w:cs="Arial"/>
        </w:rPr>
      </w:pPr>
      <w:r>
        <w:rPr>
          <w:rFonts w:ascii="Arial" w:hAnsi="Arial" w:cs="Arial"/>
        </w:rPr>
        <w:t xml:space="preserve">There is a very clear indication that the respondents believe that the Common Travel Area makes it easier for potential terrorists to move undetected between the participating territories with 100 percent of the respondents </w:t>
      </w:r>
      <w:r w:rsidR="004D55A5">
        <w:rPr>
          <w:rFonts w:ascii="Arial" w:hAnsi="Arial" w:cs="Arial"/>
        </w:rPr>
        <w:t>demonstrating this in their answer.</w:t>
      </w:r>
    </w:p>
    <w:p w14:paraId="00D7358E" w14:textId="2D27CA7A" w:rsidR="007611E0" w:rsidRDefault="007611E0" w:rsidP="00686D08">
      <w:pPr>
        <w:jc w:val="both"/>
        <w:rPr>
          <w:rFonts w:ascii="Arial" w:hAnsi="Arial" w:cs="Arial"/>
        </w:rPr>
      </w:pPr>
      <w:r>
        <w:rPr>
          <w:rFonts w:ascii="Arial" w:hAnsi="Arial" w:cs="Arial"/>
        </w:rPr>
        <w:t>This is not necessarily reflected in a qualitative review of literature</w:t>
      </w:r>
      <w:r w:rsidR="003C4785">
        <w:rPr>
          <w:rFonts w:ascii="Arial" w:hAnsi="Arial" w:cs="Arial"/>
        </w:rPr>
        <w:t xml:space="preserve">.  There is evidence to suggest that the CTA facilitates enhanced cooperation and intelligence sharing between the UK and Ireland, which can strengthen </w:t>
      </w:r>
      <w:r w:rsidR="007F48A0">
        <w:rPr>
          <w:rFonts w:ascii="Arial" w:hAnsi="Arial" w:cs="Arial"/>
        </w:rPr>
        <w:t xml:space="preserve">security measures and counter-terrorism efforts.  Academic research suggests that the close working relationship between the two countries, including information exchange and joint operations, has been effective in detecting and preventing terrorist activities </w:t>
      </w:r>
      <w:sdt>
        <w:sdtPr>
          <w:rPr>
            <w:rFonts w:ascii="Arial" w:hAnsi="Arial" w:cs="Arial"/>
          </w:rPr>
          <w:id w:val="172072663"/>
          <w:citation/>
        </w:sdtPr>
        <w:sdtContent>
          <w:r w:rsidR="00C55E6C">
            <w:rPr>
              <w:rFonts w:ascii="Arial" w:hAnsi="Arial" w:cs="Arial"/>
            </w:rPr>
            <w:fldChar w:fldCharType="begin"/>
          </w:r>
          <w:r w:rsidR="00C55E6C">
            <w:rPr>
              <w:rFonts w:ascii="Arial" w:hAnsi="Arial" w:cs="Arial"/>
            </w:rPr>
            <w:instrText xml:space="preserve"> CITATION Con18 \l 2057 </w:instrText>
          </w:r>
          <w:r w:rsidR="00C55E6C">
            <w:rPr>
              <w:rFonts w:ascii="Arial" w:hAnsi="Arial" w:cs="Arial"/>
            </w:rPr>
            <w:fldChar w:fldCharType="separate"/>
          </w:r>
          <w:r w:rsidR="00C55E6C" w:rsidRPr="00C55E6C">
            <w:rPr>
              <w:rFonts w:ascii="Arial" w:hAnsi="Arial" w:cs="Arial"/>
              <w:noProof/>
            </w:rPr>
            <w:t>(Conway, 2018)</w:t>
          </w:r>
          <w:r w:rsidR="00C55E6C">
            <w:rPr>
              <w:rFonts w:ascii="Arial" w:hAnsi="Arial" w:cs="Arial"/>
            </w:rPr>
            <w:fldChar w:fldCharType="end"/>
          </w:r>
        </w:sdtContent>
      </w:sdt>
      <w:r w:rsidR="00C55E6C">
        <w:rPr>
          <w:rFonts w:ascii="Arial" w:hAnsi="Arial" w:cs="Arial"/>
        </w:rPr>
        <w:t>.</w:t>
      </w:r>
      <w:r w:rsidR="000C3589">
        <w:rPr>
          <w:rFonts w:ascii="Arial" w:hAnsi="Arial" w:cs="Arial"/>
        </w:rPr>
        <w:t xml:space="preserve">  O’Donoghue (2019) also advocates that the existence of the CTA does not imply a lack of security measures or screening </w:t>
      </w:r>
      <w:r w:rsidR="00642D7A">
        <w:rPr>
          <w:rFonts w:ascii="Arial" w:hAnsi="Arial" w:cs="Arial"/>
        </w:rPr>
        <w:t>procedures with research highlighting a robust risk assessment and intelligence sharing regimen in place between the UK and Ireland</w:t>
      </w:r>
      <w:r w:rsidR="00F5768A">
        <w:rPr>
          <w:rFonts w:ascii="Arial" w:hAnsi="Arial" w:cs="Arial"/>
        </w:rPr>
        <w:t xml:space="preserve"> to identify security threats to address evolving challenges.</w:t>
      </w:r>
    </w:p>
    <w:p w14:paraId="4361100D" w14:textId="352909BD" w:rsidR="00F94AA1" w:rsidRDefault="00F94AA1" w:rsidP="00686D08">
      <w:pPr>
        <w:jc w:val="both"/>
        <w:rPr>
          <w:rFonts w:ascii="Arial" w:hAnsi="Arial" w:cs="Arial"/>
        </w:rPr>
      </w:pPr>
      <w:r>
        <w:rPr>
          <w:rFonts w:ascii="Arial" w:hAnsi="Arial" w:cs="Arial"/>
        </w:rPr>
        <w:t xml:space="preserve">This view is shared by others who </w:t>
      </w:r>
      <w:r w:rsidR="00CE0202">
        <w:rPr>
          <w:rFonts w:ascii="Arial" w:hAnsi="Arial" w:cs="Arial"/>
        </w:rPr>
        <w:t>suggest that although the UK has left the European Union and therefore its participation in certain EU security mechanisms</w:t>
      </w:r>
      <w:r w:rsidR="00083EBB">
        <w:rPr>
          <w:rFonts w:ascii="Arial" w:hAnsi="Arial" w:cs="Arial"/>
        </w:rPr>
        <w:t>, the UK and Ireland remain committed to maintain effective collaboration and counter terrorism efforts</w:t>
      </w:r>
      <w:r w:rsidR="003509AD">
        <w:rPr>
          <w:rFonts w:ascii="Arial" w:hAnsi="Arial" w:cs="Arial"/>
        </w:rPr>
        <w:t xml:space="preserve"> with bilateral agreements and ongoing cooperation </w:t>
      </w:r>
      <w:r w:rsidR="00643069">
        <w:rPr>
          <w:rFonts w:ascii="Arial" w:hAnsi="Arial" w:cs="Arial"/>
        </w:rPr>
        <w:t>w</w:t>
      </w:r>
      <w:r w:rsidR="003509AD">
        <w:rPr>
          <w:rFonts w:ascii="Arial" w:hAnsi="Arial" w:cs="Arial"/>
        </w:rPr>
        <w:t>ith EU security agencies helping to address ongoing risks</w:t>
      </w:r>
      <w:r w:rsidR="00643069">
        <w:rPr>
          <w:rFonts w:ascii="Arial" w:hAnsi="Arial" w:cs="Arial"/>
        </w:rPr>
        <w:t xml:space="preserve"> associated with the movement of terrorists </w:t>
      </w:r>
      <w:sdt>
        <w:sdtPr>
          <w:rPr>
            <w:rFonts w:ascii="Arial" w:hAnsi="Arial" w:cs="Arial"/>
          </w:rPr>
          <w:id w:val="-803769270"/>
          <w:citation/>
        </w:sdtPr>
        <w:sdtContent>
          <w:r w:rsidR="008440A2">
            <w:rPr>
              <w:rFonts w:ascii="Arial" w:hAnsi="Arial" w:cs="Arial"/>
            </w:rPr>
            <w:fldChar w:fldCharType="begin"/>
          </w:r>
          <w:r w:rsidR="008440A2">
            <w:rPr>
              <w:rFonts w:ascii="Arial" w:hAnsi="Arial" w:cs="Arial"/>
            </w:rPr>
            <w:instrText xml:space="preserve"> CITATION Car20 \l 2057 </w:instrText>
          </w:r>
          <w:r w:rsidR="008440A2">
            <w:rPr>
              <w:rFonts w:ascii="Arial" w:hAnsi="Arial" w:cs="Arial"/>
            </w:rPr>
            <w:fldChar w:fldCharType="separate"/>
          </w:r>
          <w:r w:rsidR="008440A2" w:rsidRPr="008440A2">
            <w:rPr>
              <w:rFonts w:ascii="Arial" w:hAnsi="Arial" w:cs="Arial"/>
              <w:noProof/>
            </w:rPr>
            <w:t>(Carrapico, 2020)</w:t>
          </w:r>
          <w:r w:rsidR="008440A2">
            <w:rPr>
              <w:rFonts w:ascii="Arial" w:hAnsi="Arial" w:cs="Arial"/>
            </w:rPr>
            <w:fldChar w:fldCharType="end"/>
          </w:r>
        </w:sdtContent>
      </w:sdt>
      <w:r w:rsidR="008440A2">
        <w:rPr>
          <w:rFonts w:ascii="Arial" w:hAnsi="Arial" w:cs="Arial"/>
        </w:rPr>
        <w:t>.</w:t>
      </w:r>
    </w:p>
    <w:p w14:paraId="79EA71A5" w14:textId="77777777" w:rsidR="00B54AF7" w:rsidRDefault="00B54AF7" w:rsidP="00686D08">
      <w:pPr>
        <w:jc w:val="both"/>
        <w:rPr>
          <w:rFonts w:ascii="Arial" w:hAnsi="Arial" w:cs="Arial"/>
        </w:rPr>
      </w:pPr>
    </w:p>
    <w:p w14:paraId="2D223C5D" w14:textId="77777777" w:rsidR="00B54AF7" w:rsidRDefault="00B54AF7" w:rsidP="00686D08">
      <w:pPr>
        <w:jc w:val="both"/>
        <w:rPr>
          <w:rFonts w:ascii="Arial" w:hAnsi="Arial" w:cs="Arial"/>
        </w:rPr>
      </w:pPr>
    </w:p>
    <w:p w14:paraId="67789194" w14:textId="77777777" w:rsidR="00B54AF7" w:rsidRDefault="00B54AF7" w:rsidP="00686D08">
      <w:pPr>
        <w:jc w:val="both"/>
        <w:rPr>
          <w:rFonts w:ascii="Arial" w:hAnsi="Arial" w:cs="Arial"/>
        </w:rPr>
      </w:pPr>
    </w:p>
    <w:p w14:paraId="1F27903A" w14:textId="77777777" w:rsidR="00B54AF7" w:rsidRDefault="00B54AF7" w:rsidP="00686D08">
      <w:pPr>
        <w:jc w:val="both"/>
        <w:rPr>
          <w:rFonts w:ascii="Arial" w:hAnsi="Arial" w:cs="Arial"/>
        </w:rPr>
      </w:pPr>
    </w:p>
    <w:p w14:paraId="4A8FB5EC" w14:textId="77777777" w:rsidR="006A30A1" w:rsidRDefault="006A30A1" w:rsidP="00DC5F34">
      <w:pPr>
        <w:ind w:left="360"/>
        <w:rPr>
          <w:rFonts w:ascii="Arial" w:hAnsi="Arial" w:cs="Arial"/>
          <w:b/>
          <w:bCs/>
        </w:rPr>
      </w:pPr>
    </w:p>
    <w:p w14:paraId="3A4A4E98" w14:textId="7F93F762" w:rsidR="00B54AF7" w:rsidRPr="00DC5F34" w:rsidRDefault="00DC5F34" w:rsidP="006A30A1">
      <w:pPr>
        <w:rPr>
          <w:rFonts w:ascii="Arial" w:hAnsi="Arial" w:cs="Arial"/>
          <w:b/>
          <w:bCs/>
        </w:rPr>
      </w:pPr>
      <w:r>
        <w:rPr>
          <w:rFonts w:ascii="Arial" w:hAnsi="Arial" w:cs="Arial"/>
          <w:b/>
          <w:bCs/>
        </w:rPr>
        <w:lastRenderedPageBreak/>
        <w:t xml:space="preserve">Question 6 - </w:t>
      </w:r>
      <w:r w:rsidR="00B54AF7" w:rsidRPr="00DC5F34">
        <w:rPr>
          <w:rFonts w:ascii="Arial" w:hAnsi="Arial" w:cs="Arial"/>
          <w:b/>
          <w:bCs/>
        </w:rPr>
        <w:t>How confident are you in the ability of the Common Travel Area to balance security concerns with the free movement of people?</w:t>
      </w:r>
    </w:p>
    <w:p w14:paraId="0282781F" w14:textId="1AF7BCEB" w:rsidR="00CE2674" w:rsidRDefault="00B54AF7" w:rsidP="006C36C8">
      <w:pPr>
        <w:rPr>
          <w:rFonts w:ascii="Arial" w:hAnsi="Arial" w:cs="Arial"/>
        </w:rPr>
      </w:pPr>
      <w:r>
        <w:rPr>
          <w:rFonts w:eastAsia="Times New Roman"/>
          <w:noProof/>
        </w:rPr>
        <w:drawing>
          <wp:anchor distT="0" distB="0" distL="114300" distR="114300" simplePos="0" relativeHeight="251658752" behindDoc="0" locked="0" layoutInCell="1" allowOverlap="1" wp14:anchorId="2CE8C3BF" wp14:editId="41167199">
            <wp:simplePos x="0" y="0"/>
            <wp:positionH relativeFrom="margin">
              <wp:posOffset>158750</wp:posOffset>
            </wp:positionH>
            <wp:positionV relativeFrom="paragraph">
              <wp:posOffset>257810</wp:posOffset>
            </wp:positionV>
            <wp:extent cx="2848610" cy="3695700"/>
            <wp:effectExtent l="0" t="0" r="889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2848610" cy="3695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9CDF32" w14:textId="04F08A56" w:rsidR="00CE2674" w:rsidRDefault="00CE2674" w:rsidP="006C36C8">
      <w:pPr>
        <w:rPr>
          <w:rFonts w:ascii="Arial" w:hAnsi="Arial" w:cs="Arial"/>
        </w:rPr>
      </w:pPr>
    </w:p>
    <w:p w14:paraId="7FF5A87B" w14:textId="031D8208" w:rsidR="007A688F" w:rsidRDefault="00CE2674" w:rsidP="006C36C8">
      <w:pPr>
        <w:rPr>
          <w:rFonts w:ascii="Arial" w:hAnsi="Arial" w:cs="Arial"/>
          <w:i/>
          <w:iCs/>
        </w:rPr>
      </w:pPr>
      <w:r>
        <w:rPr>
          <w:rFonts w:ascii="Arial" w:hAnsi="Arial" w:cs="Arial"/>
        </w:rPr>
        <w:br w:type="textWrapping" w:clear="all"/>
      </w:r>
      <w:r w:rsidR="005C53F5" w:rsidRPr="00B54AF7">
        <w:rPr>
          <w:rFonts w:ascii="Arial" w:hAnsi="Arial" w:cs="Arial"/>
          <w:b/>
          <w:bCs/>
          <w:i/>
          <w:iCs/>
        </w:rPr>
        <w:t>Figure 6</w:t>
      </w:r>
      <w:r w:rsidR="001113F9" w:rsidRPr="00B54AF7">
        <w:rPr>
          <w:rFonts w:ascii="Arial" w:hAnsi="Arial" w:cs="Arial"/>
          <w:i/>
          <w:iCs/>
        </w:rPr>
        <w:t xml:space="preserve"> – How confident are you in the ability of the Common Travel Area to balance security concerns with the free movement of people</w:t>
      </w:r>
      <w:r w:rsidRPr="00B54AF7">
        <w:rPr>
          <w:rFonts w:ascii="Arial" w:hAnsi="Arial" w:cs="Arial"/>
          <w:i/>
          <w:iCs/>
        </w:rPr>
        <w:t>?</w:t>
      </w:r>
    </w:p>
    <w:p w14:paraId="6E639738" w14:textId="77777777" w:rsidR="00B54AF7" w:rsidRPr="00B54AF7" w:rsidRDefault="00B54AF7" w:rsidP="006C36C8">
      <w:pPr>
        <w:rPr>
          <w:rFonts w:ascii="Arial" w:hAnsi="Arial" w:cs="Arial"/>
          <w:i/>
          <w:iCs/>
        </w:rPr>
      </w:pPr>
    </w:p>
    <w:p w14:paraId="2C4A2D8B" w14:textId="3B503B0A" w:rsidR="00D16CA2" w:rsidRDefault="00E31093" w:rsidP="00686D08">
      <w:pPr>
        <w:jc w:val="both"/>
        <w:rPr>
          <w:rFonts w:ascii="Arial" w:hAnsi="Arial" w:cs="Arial"/>
        </w:rPr>
      </w:pPr>
      <w:r>
        <w:rPr>
          <w:rFonts w:ascii="Arial" w:hAnsi="Arial" w:cs="Arial"/>
        </w:rPr>
        <w:t xml:space="preserve">Figure 6 </w:t>
      </w:r>
      <w:r w:rsidR="001552B0">
        <w:rPr>
          <w:rFonts w:ascii="Arial" w:hAnsi="Arial" w:cs="Arial"/>
        </w:rPr>
        <w:t xml:space="preserve">presents a more mixed view around the confidence respondents had around their belief that the Common Travel Area balanced security with free movement and whilst </w:t>
      </w:r>
      <w:r w:rsidR="004E6C5B">
        <w:rPr>
          <w:rFonts w:ascii="Arial" w:hAnsi="Arial" w:cs="Arial"/>
        </w:rPr>
        <w:t>the majority (56 percent) were unconfident that there was a</w:t>
      </w:r>
      <w:r w:rsidR="00AD3D16">
        <w:rPr>
          <w:rFonts w:ascii="Arial" w:hAnsi="Arial" w:cs="Arial"/>
        </w:rPr>
        <w:t xml:space="preserve"> balance, </w:t>
      </w:r>
      <w:r w:rsidR="00CB1BDC">
        <w:rPr>
          <w:rFonts w:ascii="Arial" w:hAnsi="Arial" w:cs="Arial"/>
        </w:rPr>
        <w:t>17 percent of the respondents had an alternative view.</w:t>
      </w:r>
      <w:r w:rsidR="00674842">
        <w:rPr>
          <w:rFonts w:ascii="Arial" w:hAnsi="Arial" w:cs="Arial"/>
        </w:rPr>
        <w:t xml:space="preserve">  Given that one of the Common Travel Area’s core principles</w:t>
      </w:r>
      <w:r w:rsidR="00504D61">
        <w:rPr>
          <w:rFonts w:ascii="Arial" w:hAnsi="Arial" w:cs="Arial"/>
        </w:rPr>
        <w:t xml:space="preserve"> is to al</w:t>
      </w:r>
      <w:r w:rsidR="002C7FEC">
        <w:rPr>
          <w:rFonts w:ascii="Arial" w:hAnsi="Arial" w:cs="Arial"/>
        </w:rPr>
        <w:t>low</w:t>
      </w:r>
      <w:r w:rsidR="00504D61">
        <w:rPr>
          <w:rFonts w:ascii="Arial" w:hAnsi="Arial" w:cs="Arial"/>
        </w:rPr>
        <w:t xml:space="preserve"> </w:t>
      </w:r>
      <w:r w:rsidR="002C7FEC">
        <w:rPr>
          <w:rFonts w:ascii="Arial" w:hAnsi="Arial" w:cs="Arial"/>
        </w:rPr>
        <w:t xml:space="preserve">free movement of people it is not surprising that there is a balance to be struck between </w:t>
      </w:r>
      <w:r w:rsidR="00BC16E7">
        <w:rPr>
          <w:rFonts w:ascii="Arial" w:hAnsi="Arial" w:cs="Arial"/>
        </w:rPr>
        <w:t xml:space="preserve">security and the </w:t>
      </w:r>
      <w:r w:rsidR="00332DEC">
        <w:rPr>
          <w:rFonts w:ascii="Arial" w:hAnsi="Arial" w:cs="Arial"/>
        </w:rPr>
        <w:t>free</w:t>
      </w:r>
      <w:r w:rsidR="00BC16E7">
        <w:rPr>
          <w:rFonts w:ascii="Arial" w:hAnsi="Arial" w:cs="Arial"/>
        </w:rPr>
        <w:t xml:space="preserve"> movement </w:t>
      </w:r>
      <w:r w:rsidR="00F536FF">
        <w:rPr>
          <w:rFonts w:ascii="Arial" w:hAnsi="Arial" w:cs="Arial"/>
        </w:rPr>
        <w:t xml:space="preserve">of people.  Whilst </w:t>
      </w:r>
      <w:proofErr w:type="gramStart"/>
      <w:r w:rsidR="00F536FF">
        <w:rPr>
          <w:rFonts w:ascii="Arial" w:hAnsi="Arial" w:cs="Arial"/>
        </w:rPr>
        <w:t xml:space="preserve">the </w:t>
      </w:r>
      <w:r w:rsidR="000742F3">
        <w:rPr>
          <w:rFonts w:ascii="Arial" w:hAnsi="Arial" w:cs="Arial"/>
        </w:rPr>
        <w:t>majority of</w:t>
      </w:r>
      <w:proofErr w:type="gramEnd"/>
      <w:r w:rsidR="000742F3">
        <w:rPr>
          <w:rFonts w:ascii="Arial" w:hAnsi="Arial" w:cs="Arial"/>
        </w:rPr>
        <w:t xml:space="preserve"> respondents </w:t>
      </w:r>
      <w:r w:rsidR="003B36B2">
        <w:rPr>
          <w:rFonts w:ascii="Arial" w:hAnsi="Arial" w:cs="Arial"/>
        </w:rPr>
        <w:t xml:space="preserve">believed that free movement was at the detriment of security, the research aligned to </w:t>
      </w:r>
      <w:r w:rsidR="004D3BE2">
        <w:rPr>
          <w:rFonts w:ascii="Arial" w:hAnsi="Arial" w:cs="Arial"/>
        </w:rPr>
        <w:t xml:space="preserve">question 4 provides a more balanced assessment with </w:t>
      </w:r>
      <w:r w:rsidR="00D50D26">
        <w:rPr>
          <w:rFonts w:ascii="Arial" w:hAnsi="Arial" w:cs="Arial"/>
        </w:rPr>
        <w:t>a lack of any notable qua</w:t>
      </w:r>
      <w:r w:rsidR="00A4187C">
        <w:rPr>
          <w:rFonts w:ascii="Arial" w:hAnsi="Arial" w:cs="Arial"/>
        </w:rPr>
        <w:t>nti</w:t>
      </w:r>
      <w:r w:rsidR="00D50D26">
        <w:rPr>
          <w:rFonts w:ascii="Arial" w:hAnsi="Arial" w:cs="Arial"/>
        </w:rPr>
        <w:t xml:space="preserve">tative data available to support the view that </w:t>
      </w:r>
      <w:r w:rsidR="001C1DBA">
        <w:rPr>
          <w:rFonts w:ascii="Arial" w:hAnsi="Arial" w:cs="Arial"/>
        </w:rPr>
        <w:t>would provide any significant cause for alarm</w:t>
      </w:r>
      <w:r w:rsidR="00A4187C">
        <w:rPr>
          <w:rFonts w:ascii="Arial" w:hAnsi="Arial" w:cs="Arial"/>
        </w:rPr>
        <w:t xml:space="preserve"> set against the qualitative </w:t>
      </w:r>
      <w:r w:rsidR="00BB3DD7">
        <w:rPr>
          <w:rFonts w:ascii="Arial" w:hAnsi="Arial" w:cs="Arial"/>
        </w:rPr>
        <w:t xml:space="preserve">theories where proponents take a view of increased cooperation between </w:t>
      </w:r>
      <w:r w:rsidR="00BF4E80">
        <w:rPr>
          <w:rFonts w:ascii="Arial" w:hAnsi="Arial" w:cs="Arial"/>
        </w:rPr>
        <w:t>participating territories that mitigate risks associated with the CTA.</w:t>
      </w:r>
    </w:p>
    <w:p w14:paraId="0BB14349" w14:textId="77777777" w:rsidR="00BF4E80" w:rsidRDefault="00BF4E80" w:rsidP="00686D08">
      <w:pPr>
        <w:jc w:val="both"/>
        <w:rPr>
          <w:rFonts w:ascii="Arial" w:hAnsi="Arial" w:cs="Arial"/>
        </w:rPr>
      </w:pPr>
    </w:p>
    <w:p w14:paraId="6B61DDDB" w14:textId="77777777" w:rsidR="00BF4E80" w:rsidRDefault="00BF4E80" w:rsidP="00686D08">
      <w:pPr>
        <w:jc w:val="both"/>
        <w:rPr>
          <w:rFonts w:ascii="Arial" w:hAnsi="Arial" w:cs="Arial"/>
        </w:rPr>
      </w:pPr>
    </w:p>
    <w:p w14:paraId="1120EBE9" w14:textId="77777777" w:rsidR="00332DEC" w:rsidRDefault="00332DEC" w:rsidP="00686D08">
      <w:pPr>
        <w:jc w:val="both"/>
        <w:rPr>
          <w:rFonts w:ascii="Arial" w:hAnsi="Arial" w:cs="Arial"/>
        </w:rPr>
      </w:pPr>
    </w:p>
    <w:p w14:paraId="3A47A300" w14:textId="77777777" w:rsidR="00BF4E80" w:rsidRDefault="00BF4E80" w:rsidP="00686D08">
      <w:pPr>
        <w:jc w:val="both"/>
        <w:rPr>
          <w:rFonts w:ascii="Arial" w:hAnsi="Arial" w:cs="Arial"/>
        </w:rPr>
      </w:pPr>
    </w:p>
    <w:p w14:paraId="5038E1AC" w14:textId="77777777" w:rsidR="00686D08" w:rsidRDefault="00686D08" w:rsidP="00686D08">
      <w:pPr>
        <w:jc w:val="both"/>
        <w:rPr>
          <w:rFonts w:ascii="Arial" w:hAnsi="Arial" w:cs="Arial"/>
        </w:rPr>
      </w:pPr>
    </w:p>
    <w:p w14:paraId="176D9342" w14:textId="77777777" w:rsidR="00BF4E80" w:rsidRDefault="00BF4E80" w:rsidP="006C36C8">
      <w:pPr>
        <w:rPr>
          <w:rFonts w:ascii="Arial" w:hAnsi="Arial" w:cs="Arial"/>
        </w:rPr>
      </w:pPr>
    </w:p>
    <w:p w14:paraId="5D1AF37A" w14:textId="72AD48D5" w:rsidR="00BF4E80" w:rsidRPr="00DC5F34" w:rsidRDefault="00DC5F34" w:rsidP="00440BF7">
      <w:pPr>
        <w:rPr>
          <w:rFonts w:ascii="Arial" w:hAnsi="Arial" w:cs="Arial"/>
          <w:b/>
          <w:bCs/>
        </w:rPr>
      </w:pPr>
      <w:r>
        <w:rPr>
          <w:rFonts w:ascii="Arial" w:hAnsi="Arial" w:cs="Arial"/>
          <w:b/>
          <w:bCs/>
        </w:rPr>
        <w:lastRenderedPageBreak/>
        <w:t xml:space="preserve">Question 7 - </w:t>
      </w:r>
      <w:r w:rsidR="00BF4E80" w:rsidRPr="00DC5F34">
        <w:rPr>
          <w:rFonts w:ascii="Arial" w:hAnsi="Arial" w:cs="Arial"/>
          <w:b/>
          <w:bCs/>
        </w:rPr>
        <w:t>Do you think that there are potential gaps or weakness in the Common Travel Area that could be exploited by terrorists?</w:t>
      </w:r>
    </w:p>
    <w:p w14:paraId="512FB69D" w14:textId="77777777" w:rsidR="005C53F5" w:rsidRDefault="005C53F5" w:rsidP="006C36C8">
      <w:pPr>
        <w:rPr>
          <w:rFonts w:ascii="Arial" w:hAnsi="Arial" w:cs="Arial"/>
        </w:rPr>
      </w:pPr>
    </w:p>
    <w:p w14:paraId="1F0ECDD6" w14:textId="0F533C73" w:rsidR="005C53F5" w:rsidRDefault="00BF4E80" w:rsidP="00BF4E80">
      <w:pPr>
        <w:rPr>
          <w:rFonts w:ascii="Arial" w:hAnsi="Arial" w:cs="Arial"/>
        </w:rPr>
      </w:pPr>
      <w:r>
        <w:rPr>
          <w:rFonts w:eastAsia="Times New Roman"/>
          <w:noProof/>
        </w:rPr>
        <w:t xml:space="preserve">      </w:t>
      </w:r>
      <w:r w:rsidR="00093160">
        <w:rPr>
          <w:rFonts w:eastAsia="Times New Roman"/>
          <w:noProof/>
        </w:rPr>
        <w:drawing>
          <wp:inline distT="0" distB="0" distL="0" distR="0" wp14:anchorId="7D10F8DA" wp14:editId="6A3384D1">
            <wp:extent cx="2806065" cy="29654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2821916" cy="2982201"/>
                    </a:xfrm>
                    <a:prstGeom prst="rect">
                      <a:avLst/>
                    </a:prstGeom>
                    <a:noFill/>
                    <a:ln>
                      <a:noFill/>
                    </a:ln>
                  </pic:spPr>
                </pic:pic>
              </a:graphicData>
            </a:graphic>
          </wp:inline>
        </w:drawing>
      </w:r>
    </w:p>
    <w:p w14:paraId="091175C7" w14:textId="3DC1E910" w:rsidR="005C53F5" w:rsidRPr="00BF4E80" w:rsidRDefault="005C53F5" w:rsidP="006C36C8">
      <w:pPr>
        <w:rPr>
          <w:rFonts w:ascii="Arial" w:hAnsi="Arial" w:cs="Arial"/>
          <w:i/>
          <w:iCs/>
        </w:rPr>
      </w:pPr>
      <w:r w:rsidRPr="00BF4E80">
        <w:rPr>
          <w:rFonts w:ascii="Arial" w:hAnsi="Arial" w:cs="Arial"/>
          <w:b/>
          <w:bCs/>
          <w:i/>
          <w:iCs/>
        </w:rPr>
        <w:t>Figure 7</w:t>
      </w:r>
      <w:r w:rsidRPr="00BF4E80">
        <w:rPr>
          <w:rFonts w:ascii="Arial" w:hAnsi="Arial" w:cs="Arial"/>
          <w:i/>
          <w:iCs/>
        </w:rPr>
        <w:t xml:space="preserve"> </w:t>
      </w:r>
      <w:r w:rsidR="001113F9" w:rsidRPr="00BF4E80">
        <w:rPr>
          <w:rFonts w:ascii="Arial" w:hAnsi="Arial" w:cs="Arial"/>
          <w:i/>
          <w:iCs/>
        </w:rPr>
        <w:t xml:space="preserve">– Do you think there are potential gaps or weaknesses in the Common Travel Area that could </w:t>
      </w:r>
      <w:r w:rsidR="00EC379C" w:rsidRPr="00BF4E80">
        <w:rPr>
          <w:rFonts w:ascii="Arial" w:hAnsi="Arial" w:cs="Arial"/>
          <w:i/>
          <w:iCs/>
        </w:rPr>
        <w:t>be exploited by terrorists?</w:t>
      </w:r>
    </w:p>
    <w:p w14:paraId="0EC71588" w14:textId="4B4C7C86" w:rsidR="004C294A" w:rsidRDefault="004C294A" w:rsidP="00686D08">
      <w:pPr>
        <w:jc w:val="both"/>
        <w:rPr>
          <w:rFonts w:ascii="Arial" w:hAnsi="Arial" w:cs="Arial"/>
        </w:rPr>
      </w:pPr>
      <w:bookmarkStart w:id="13" w:name="_Hlk170406180"/>
      <w:r>
        <w:rPr>
          <w:rFonts w:ascii="Arial" w:hAnsi="Arial" w:cs="Arial"/>
        </w:rPr>
        <w:t xml:space="preserve">Very clearly, there is a belief my </w:t>
      </w:r>
      <w:r w:rsidR="00CB56A2">
        <w:rPr>
          <w:rFonts w:ascii="Arial" w:hAnsi="Arial" w:cs="Arial"/>
        </w:rPr>
        <w:t>respondents</w:t>
      </w:r>
      <w:r>
        <w:rPr>
          <w:rFonts w:ascii="Arial" w:hAnsi="Arial" w:cs="Arial"/>
        </w:rPr>
        <w:t xml:space="preserve"> that there are potential gaps and </w:t>
      </w:r>
      <w:r w:rsidR="00CB56A2">
        <w:rPr>
          <w:rFonts w:ascii="Arial" w:hAnsi="Arial" w:cs="Arial"/>
        </w:rPr>
        <w:t>weaknesses</w:t>
      </w:r>
      <w:r>
        <w:rPr>
          <w:rFonts w:ascii="Arial" w:hAnsi="Arial" w:cs="Arial"/>
        </w:rPr>
        <w:t xml:space="preserve"> in the Common Travel Area that terrorists can exploit.</w:t>
      </w:r>
      <w:r w:rsidR="004965DB">
        <w:rPr>
          <w:rFonts w:ascii="Arial" w:hAnsi="Arial" w:cs="Arial"/>
        </w:rPr>
        <w:t xml:space="preserve">  </w:t>
      </w:r>
      <w:r w:rsidR="00674C03">
        <w:rPr>
          <w:rFonts w:ascii="Arial" w:hAnsi="Arial" w:cs="Arial"/>
        </w:rPr>
        <w:t>Respondents were asked to explain in further detail</w:t>
      </w:r>
      <w:r w:rsidR="000E07FC">
        <w:rPr>
          <w:rFonts w:ascii="Arial" w:hAnsi="Arial" w:cs="Arial"/>
        </w:rPr>
        <w:t xml:space="preserve"> what the gaps and potential weaknesses were, illustrated in Figure 8, below.  </w:t>
      </w:r>
      <w:r w:rsidR="008D3923">
        <w:rPr>
          <w:rFonts w:ascii="Arial" w:hAnsi="Arial" w:cs="Arial"/>
        </w:rPr>
        <w:t xml:space="preserve">On reviewing the answers providing there is a strong indication that lack of </w:t>
      </w:r>
      <w:r w:rsidR="00505003">
        <w:rPr>
          <w:rFonts w:ascii="Arial" w:hAnsi="Arial" w:cs="Arial"/>
        </w:rPr>
        <w:t xml:space="preserve">necessity to show an official ID presented the biggest area of concern.  One respondent made explicit references to </w:t>
      </w:r>
      <w:r w:rsidR="00255AFC">
        <w:rPr>
          <w:rFonts w:ascii="Arial" w:hAnsi="Arial" w:cs="Arial"/>
        </w:rPr>
        <w:t>the lack of requirement to provide advanced passenger information when travelling by ferry</w:t>
      </w:r>
      <w:r w:rsidR="00A716CB">
        <w:rPr>
          <w:rFonts w:ascii="Arial" w:hAnsi="Arial" w:cs="Arial"/>
        </w:rPr>
        <w:t xml:space="preserve"> from UK to Ireland and the fact that </w:t>
      </w:r>
      <w:r w:rsidR="005666F8">
        <w:rPr>
          <w:rFonts w:ascii="Arial" w:hAnsi="Arial" w:cs="Arial"/>
        </w:rPr>
        <w:t xml:space="preserve">there is no political appetite to </w:t>
      </w:r>
      <w:r w:rsidR="0083512A">
        <w:rPr>
          <w:rFonts w:ascii="Arial" w:hAnsi="Arial" w:cs="Arial"/>
        </w:rPr>
        <w:t xml:space="preserve">make any changes due concerns around </w:t>
      </w:r>
      <w:r w:rsidR="00475152">
        <w:rPr>
          <w:rFonts w:ascii="Arial" w:hAnsi="Arial" w:cs="Arial"/>
        </w:rPr>
        <w:t xml:space="preserve">potential classification as a ‘hard border’.  A large proportion of respondents indicated that there is </w:t>
      </w:r>
      <w:r w:rsidR="00F07F92">
        <w:rPr>
          <w:rFonts w:ascii="Arial" w:hAnsi="Arial" w:cs="Arial"/>
        </w:rPr>
        <w:t>active avoidance</w:t>
      </w:r>
      <w:r w:rsidR="004D7A2B">
        <w:rPr>
          <w:rFonts w:ascii="Arial" w:hAnsi="Arial" w:cs="Arial"/>
        </w:rPr>
        <w:t xml:space="preserve"> by some passengers</w:t>
      </w:r>
      <w:r w:rsidR="00F07F92">
        <w:rPr>
          <w:rFonts w:ascii="Arial" w:hAnsi="Arial" w:cs="Arial"/>
        </w:rPr>
        <w:t xml:space="preserve"> </w:t>
      </w:r>
      <w:r w:rsidR="004D7A2B">
        <w:rPr>
          <w:rFonts w:ascii="Arial" w:hAnsi="Arial" w:cs="Arial"/>
        </w:rPr>
        <w:t xml:space="preserve">to provide their correct identity with one </w:t>
      </w:r>
      <w:r w:rsidR="00703ACB">
        <w:rPr>
          <w:rFonts w:ascii="Arial" w:hAnsi="Arial" w:cs="Arial"/>
        </w:rPr>
        <w:t>respondent</w:t>
      </w:r>
      <w:r w:rsidR="004D7A2B">
        <w:rPr>
          <w:rFonts w:ascii="Arial" w:hAnsi="Arial" w:cs="Arial"/>
        </w:rPr>
        <w:t xml:space="preserve"> stating</w:t>
      </w:r>
      <w:r w:rsidR="00703ACB">
        <w:rPr>
          <w:rFonts w:ascii="Arial" w:hAnsi="Arial" w:cs="Arial"/>
        </w:rPr>
        <w:t xml:space="preserve"> ‘</w:t>
      </w:r>
      <w:r w:rsidR="00703ACB" w:rsidRPr="00492D06">
        <w:rPr>
          <w:rFonts w:ascii="Arial" w:hAnsi="Arial" w:cs="Arial"/>
          <w:i/>
          <w:iCs/>
        </w:rPr>
        <w:t xml:space="preserve">Passengers </w:t>
      </w:r>
      <w:proofErr w:type="gramStart"/>
      <w:r w:rsidR="00703ACB" w:rsidRPr="00492D06">
        <w:rPr>
          <w:rFonts w:ascii="Arial" w:hAnsi="Arial" w:cs="Arial"/>
          <w:i/>
          <w:iCs/>
        </w:rPr>
        <w:t>are able to</w:t>
      </w:r>
      <w:proofErr w:type="gramEnd"/>
      <w:r w:rsidR="00703ACB" w:rsidRPr="00492D06">
        <w:rPr>
          <w:rFonts w:ascii="Arial" w:hAnsi="Arial" w:cs="Arial"/>
          <w:i/>
          <w:iCs/>
        </w:rPr>
        <w:t xml:space="preserve"> provide false details to ferry companies or no details if they travel using rail/sail tickets. Quite often more passengers are discovered in vehicles than there is on their bookings. If not </w:t>
      </w:r>
      <w:r w:rsidR="005533E0" w:rsidRPr="00492D06">
        <w:rPr>
          <w:rFonts w:ascii="Arial" w:hAnsi="Arial" w:cs="Arial"/>
          <w:i/>
          <w:iCs/>
        </w:rPr>
        <w:t>identified,</w:t>
      </w:r>
      <w:r w:rsidR="00703ACB" w:rsidRPr="00492D06">
        <w:rPr>
          <w:rFonts w:ascii="Arial" w:hAnsi="Arial" w:cs="Arial"/>
          <w:i/>
          <w:iCs/>
        </w:rPr>
        <w:t xml:space="preserve"> then these passengers are able to pass through controls without being detected</w:t>
      </w:r>
      <w:r w:rsidR="00703ACB">
        <w:rPr>
          <w:rFonts w:ascii="Arial" w:hAnsi="Arial" w:cs="Arial"/>
        </w:rPr>
        <w:t>’.</w:t>
      </w:r>
      <w:r w:rsidR="005533E0">
        <w:rPr>
          <w:rFonts w:ascii="Arial" w:hAnsi="Arial" w:cs="Arial"/>
        </w:rPr>
        <w:t xml:space="preserve">  </w:t>
      </w:r>
      <w:r w:rsidR="005217D9">
        <w:rPr>
          <w:rFonts w:ascii="Arial" w:hAnsi="Arial" w:cs="Arial"/>
        </w:rPr>
        <w:t>All 29 respondents provided additional information following question 7</w:t>
      </w:r>
      <w:r w:rsidR="00073A93">
        <w:rPr>
          <w:rFonts w:ascii="Arial" w:hAnsi="Arial" w:cs="Arial"/>
        </w:rPr>
        <w:t xml:space="preserve">, with 7 of 29 respondents specifically </w:t>
      </w:r>
      <w:r w:rsidR="002536E9">
        <w:rPr>
          <w:rFonts w:ascii="Arial" w:hAnsi="Arial" w:cs="Arial"/>
        </w:rPr>
        <w:t>highlighting the lack of accurate manifest data that is provided by ferry companies to police</w:t>
      </w:r>
      <w:r w:rsidR="00975F3C">
        <w:rPr>
          <w:rFonts w:ascii="Arial" w:hAnsi="Arial" w:cs="Arial"/>
        </w:rPr>
        <w:t xml:space="preserve">.  </w:t>
      </w:r>
      <w:r w:rsidR="006A7436">
        <w:rPr>
          <w:rFonts w:ascii="Arial" w:hAnsi="Arial" w:cs="Arial"/>
        </w:rPr>
        <w:t>This is illustrated in the following response</w:t>
      </w:r>
      <w:r w:rsidR="00EC0A62">
        <w:rPr>
          <w:rFonts w:ascii="Arial" w:hAnsi="Arial" w:cs="Arial"/>
        </w:rPr>
        <w:t xml:space="preserve"> ‘</w:t>
      </w:r>
      <w:r w:rsidR="00EC0A62" w:rsidRPr="009E242B">
        <w:rPr>
          <w:rFonts w:ascii="Arial" w:hAnsi="Arial" w:cs="Arial"/>
          <w:i/>
          <w:iCs/>
        </w:rPr>
        <w:t>There are currently no legal requirement on ferry companies to check passenger details against a travel document as airlines do resulting in poor unreliable manifest information. The manifest has been compared against foot passengers arriving in UK by port police which found that 30% were recorded incorrectly, names and date of birth are regularly incorrect. Vehicle registration numbers are often entered incorrectly or missing completely’</w:t>
      </w:r>
      <w:r w:rsidR="00EC0A62">
        <w:rPr>
          <w:rFonts w:ascii="Arial" w:hAnsi="Arial" w:cs="Arial"/>
        </w:rPr>
        <w:t>.</w:t>
      </w:r>
    </w:p>
    <w:p w14:paraId="4ECF914D" w14:textId="77777777" w:rsidR="00440BF7" w:rsidRDefault="00B96E93" w:rsidP="00440BF7">
      <w:pPr>
        <w:jc w:val="both"/>
        <w:rPr>
          <w:rFonts w:ascii="Arial" w:hAnsi="Arial" w:cs="Arial"/>
        </w:rPr>
      </w:pPr>
      <w:r>
        <w:rPr>
          <w:rFonts w:ascii="Arial" w:hAnsi="Arial" w:cs="Arial"/>
        </w:rPr>
        <w:t xml:space="preserve">Given the sensitive nature of Counter Terrorism and the necessity to maintain operational security this </w:t>
      </w:r>
      <w:r w:rsidR="00CA7427">
        <w:rPr>
          <w:rFonts w:ascii="Arial" w:hAnsi="Arial" w:cs="Arial"/>
        </w:rPr>
        <w:t xml:space="preserve">research paper has limitations around the </w:t>
      </w:r>
      <w:proofErr w:type="gramStart"/>
      <w:r w:rsidR="00CA7427">
        <w:rPr>
          <w:rFonts w:ascii="Arial" w:hAnsi="Arial" w:cs="Arial"/>
        </w:rPr>
        <w:t>manner in which</w:t>
      </w:r>
      <w:proofErr w:type="gramEnd"/>
      <w:r w:rsidR="00CA7427">
        <w:rPr>
          <w:rFonts w:ascii="Arial" w:hAnsi="Arial" w:cs="Arial"/>
        </w:rPr>
        <w:t xml:space="preserve"> the above qualitative </w:t>
      </w:r>
      <w:r w:rsidR="009A052F">
        <w:rPr>
          <w:rFonts w:ascii="Arial" w:hAnsi="Arial" w:cs="Arial"/>
        </w:rPr>
        <w:t>responses can be commented upon</w:t>
      </w:r>
      <w:r w:rsidR="000A6966">
        <w:rPr>
          <w:rFonts w:ascii="Arial" w:hAnsi="Arial" w:cs="Arial"/>
        </w:rPr>
        <w:t xml:space="preserve"> as any embellishment of the above responses may </w:t>
      </w:r>
      <w:r w:rsidR="0021475A">
        <w:rPr>
          <w:rFonts w:ascii="Arial" w:hAnsi="Arial" w:cs="Arial"/>
        </w:rPr>
        <w:t>highlight exploitation opportunities not in the public domain.  To that effect, commentary on the above responses have been somewhat sanitised</w:t>
      </w:r>
      <w:r w:rsidR="00332DEC">
        <w:rPr>
          <w:rFonts w:ascii="Arial" w:hAnsi="Arial" w:cs="Arial"/>
        </w:rPr>
        <w:t>.</w:t>
      </w:r>
      <w:bookmarkEnd w:id="13"/>
    </w:p>
    <w:p w14:paraId="699B6A87" w14:textId="01FC8038" w:rsidR="00674C03" w:rsidRPr="00440BF7" w:rsidRDefault="00DC5F34" w:rsidP="00440BF7">
      <w:pPr>
        <w:jc w:val="both"/>
        <w:rPr>
          <w:rFonts w:ascii="Arial" w:hAnsi="Arial" w:cs="Arial"/>
        </w:rPr>
      </w:pPr>
      <w:r>
        <w:rPr>
          <w:rFonts w:ascii="Arial" w:hAnsi="Arial" w:cs="Arial"/>
          <w:b/>
          <w:bCs/>
        </w:rPr>
        <w:lastRenderedPageBreak/>
        <w:t xml:space="preserve">Question </w:t>
      </w:r>
      <w:r w:rsidR="009E242B" w:rsidRPr="000D739F">
        <w:rPr>
          <w:rFonts w:ascii="Arial" w:hAnsi="Arial" w:cs="Arial"/>
          <w:b/>
          <w:bCs/>
        </w:rPr>
        <w:t xml:space="preserve">8 </w:t>
      </w:r>
      <w:r w:rsidR="000D739F" w:rsidRPr="000D739F">
        <w:rPr>
          <w:rFonts w:ascii="Arial" w:hAnsi="Arial" w:cs="Arial"/>
          <w:b/>
          <w:bCs/>
        </w:rPr>
        <w:t>–</w:t>
      </w:r>
      <w:r w:rsidR="009E242B" w:rsidRPr="000D739F">
        <w:rPr>
          <w:rFonts w:ascii="Arial" w:hAnsi="Arial" w:cs="Arial"/>
          <w:b/>
          <w:bCs/>
        </w:rPr>
        <w:t xml:space="preserve"> </w:t>
      </w:r>
      <w:r w:rsidR="000D739F" w:rsidRPr="000D739F">
        <w:rPr>
          <w:rFonts w:ascii="Arial" w:hAnsi="Arial" w:cs="Arial"/>
          <w:b/>
          <w:bCs/>
        </w:rPr>
        <w:t>If yes to Q7 – please explain</w:t>
      </w:r>
    </w:p>
    <w:p w14:paraId="50AB213D" w14:textId="77777777" w:rsidR="00530C15" w:rsidRDefault="00674C03" w:rsidP="009E242B">
      <w:pPr>
        <w:rPr>
          <w:rFonts w:ascii="Arial" w:hAnsi="Arial" w:cs="Arial"/>
        </w:rPr>
      </w:pPr>
      <w:r>
        <w:rPr>
          <w:rFonts w:eastAsia="Times New Roman"/>
          <w:noProof/>
        </w:rPr>
        <w:drawing>
          <wp:inline distT="0" distB="0" distL="0" distR="0" wp14:anchorId="287A7E4E" wp14:editId="41ACFCEB">
            <wp:extent cx="3128310" cy="21336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1" r:link="rId32" cstate="print">
                      <a:extLst>
                        <a:ext uri="{28A0092B-C50C-407E-A947-70E740481C1C}">
                          <a14:useLocalDpi xmlns:a14="http://schemas.microsoft.com/office/drawing/2010/main" val="0"/>
                        </a:ext>
                      </a:extLst>
                    </a:blip>
                    <a:srcRect/>
                    <a:stretch>
                      <a:fillRect/>
                    </a:stretch>
                  </pic:blipFill>
                  <pic:spPr bwMode="auto">
                    <a:xfrm>
                      <a:off x="0" y="0"/>
                      <a:ext cx="3128310" cy="2133600"/>
                    </a:xfrm>
                    <a:prstGeom prst="rect">
                      <a:avLst/>
                    </a:prstGeom>
                    <a:noFill/>
                    <a:ln>
                      <a:noFill/>
                    </a:ln>
                  </pic:spPr>
                </pic:pic>
              </a:graphicData>
            </a:graphic>
          </wp:inline>
        </w:drawing>
      </w:r>
    </w:p>
    <w:p w14:paraId="0AB6ABD1" w14:textId="1864089D" w:rsidR="00F07FB7" w:rsidRDefault="00F07FB7" w:rsidP="00530C15">
      <w:pPr>
        <w:rPr>
          <w:rFonts w:ascii="Arial" w:hAnsi="Arial" w:cs="Arial"/>
          <w:i/>
          <w:iCs/>
        </w:rPr>
      </w:pPr>
      <w:r w:rsidRPr="009E242B">
        <w:rPr>
          <w:rFonts w:ascii="Arial" w:hAnsi="Arial" w:cs="Arial"/>
          <w:b/>
          <w:bCs/>
          <w:i/>
          <w:iCs/>
        </w:rPr>
        <w:t>Figure 8</w:t>
      </w:r>
      <w:r w:rsidRPr="009E242B">
        <w:rPr>
          <w:rFonts w:ascii="Arial" w:hAnsi="Arial" w:cs="Arial"/>
          <w:i/>
          <w:iCs/>
        </w:rPr>
        <w:t xml:space="preserve"> – </w:t>
      </w:r>
      <w:r w:rsidR="00D6055A" w:rsidRPr="009E242B">
        <w:rPr>
          <w:rFonts w:ascii="Arial" w:hAnsi="Arial" w:cs="Arial"/>
          <w:i/>
          <w:iCs/>
        </w:rPr>
        <w:t xml:space="preserve">Word Cloud illustrating </w:t>
      </w:r>
      <w:r w:rsidR="00530C15" w:rsidRPr="009E242B">
        <w:rPr>
          <w:rFonts w:ascii="Arial" w:hAnsi="Arial" w:cs="Arial"/>
          <w:i/>
          <w:iCs/>
        </w:rPr>
        <w:t xml:space="preserve">common words and phrases </w:t>
      </w:r>
    </w:p>
    <w:p w14:paraId="40F1A516" w14:textId="77777777" w:rsidR="00783FE2" w:rsidRDefault="00783FE2" w:rsidP="00530C15">
      <w:pPr>
        <w:rPr>
          <w:rFonts w:ascii="Arial" w:hAnsi="Arial" w:cs="Arial"/>
          <w:i/>
          <w:iCs/>
        </w:rPr>
      </w:pPr>
    </w:p>
    <w:p w14:paraId="75328D68" w14:textId="1FDC455F" w:rsidR="00783FE2" w:rsidRPr="00783FE2" w:rsidRDefault="00783FE2" w:rsidP="00530C15">
      <w:pPr>
        <w:rPr>
          <w:rFonts w:ascii="Arial" w:hAnsi="Arial" w:cs="Arial"/>
          <w:b/>
          <w:bCs/>
        </w:rPr>
      </w:pPr>
      <w:r w:rsidRPr="00783FE2">
        <w:rPr>
          <w:rFonts w:ascii="Arial" w:hAnsi="Arial" w:cs="Arial"/>
          <w:b/>
          <w:bCs/>
        </w:rPr>
        <w:t>Question 9 – Do you perceive there to be any negative impacts on individuals’ human rights when utilising S7 powers?</w:t>
      </w:r>
    </w:p>
    <w:p w14:paraId="64BBA5D7" w14:textId="77777777" w:rsidR="00857F10" w:rsidRDefault="00857F10" w:rsidP="006C36C8">
      <w:pPr>
        <w:rPr>
          <w:rFonts w:ascii="Arial" w:hAnsi="Arial" w:cs="Arial"/>
        </w:rPr>
      </w:pPr>
    </w:p>
    <w:p w14:paraId="00C1AF6D" w14:textId="1C81569B" w:rsidR="00FA256C" w:rsidRDefault="00EB586D" w:rsidP="00783FE2">
      <w:pPr>
        <w:rPr>
          <w:rFonts w:ascii="Arial" w:hAnsi="Arial" w:cs="Arial"/>
          <w:b/>
          <w:bCs/>
        </w:rPr>
      </w:pPr>
      <w:r>
        <w:rPr>
          <w:rFonts w:eastAsia="Times New Roman"/>
          <w:noProof/>
        </w:rPr>
        <w:drawing>
          <wp:inline distT="0" distB="0" distL="0" distR="0" wp14:anchorId="7673D8FB" wp14:editId="0BA61BB5">
            <wp:extent cx="2778080" cy="2565400"/>
            <wp:effectExtent l="0" t="0" r="381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3" r:link="rId34" cstate="print">
                      <a:extLst>
                        <a:ext uri="{28A0092B-C50C-407E-A947-70E740481C1C}">
                          <a14:useLocalDpi xmlns:a14="http://schemas.microsoft.com/office/drawing/2010/main" val="0"/>
                        </a:ext>
                      </a:extLst>
                    </a:blip>
                    <a:srcRect/>
                    <a:stretch>
                      <a:fillRect/>
                    </a:stretch>
                  </pic:blipFill>
                  <pic:spPr bwMode="auto">
                    <a:xfrm>
                      <a:off x="0" y="0"/>
                      <a:ext cx="2792607" cy="2578815"/>
                    </a:xfrm>
                    <a:prstGeom prst="rect">
                      <a:avLst/>
                    </a:prstGeom>
                    <a:noFill/>
                    <a:ln>
                      <a:noFill/>
                    </a:ln>
                  </pic:spPr>
                </pic:pic>
              </a:graphicData>
            </a:graphic>
          </wp:inline>
        </w:drawing>
      </w:r>
    </w:p>
    <w:p w14:paraId="0CE4B0F4" w14:textId="5D1B70C2" w:rsidR="00D23394" w:rsidRPr="008A5E42" w:rsidRDefault="00D23394" w:rsidP="006C36C8">
      <w:pPr>
        <w:rPr>
          <w:rFonts w:ascii="Arial" w:hAnsi="Arial" w:cs="Arial"/>
          <w:i/>
          <w:iCs/>
        </w:rPr>
      </w:pPr>
      <w:r w:rsidRPr="008A5E42">
        <w:rPr>
          <w:rFonts w:ascii="Arial" w:hAnsi="Arial" w:cs="Arial"/>
          <w:b/>
          <w:bCs/>
          <w:i/>
          <w:iCs/>
        </w:rPr>
        <w:t>Figure 9</w:t>
      </w:r>
      <w:r w:rsidRPr="008A5E42">
        <w:rPr>
          <w:rFonts w:ascii="Arial" w:hAnsi="Arial" w:cs="Arial"/>
          <w:i/>
          <w:iCs/>
        </w:rPr>
        <w:t xml:space="preserve"> – Do you perceive there to be any negative impacts on </w:t>
      </w:r>
      <w:r w:rsidR="00EB586D" w:rsidRPr="008A5E42">
        <w:rPr>
          <w:rFonts w:ascii="Arial" w:hAnsi="Arial" w:cs="Arial"/>
          <w:i/>
          <w:iCs/>
        </w:rPr>
        <w:t>individuals’</w:t>
      </w:r>
      <w:r w:rsidRPr="008A5E42">
        <w:rPr>
          <w:rFonts w:ascii="Arial" w:hAnsi="Arial" w:cs="Arial"/>
          <w:i/>
          <w:iCs/>
        </w:rPr>
        <w:t xml:space="preserve"> human rights when utilising S7 powers?</w:t>
      </w:r>
    </w:p>
    <w:p w14:paraId="53EF3583" w14:textId="77777777" w:rsidR="008A5E42" w:rsidRDefault="008A5E42" w:rsidP="007B14FC">
      <w:pPr>
        <w:jc w:val="both"/>
        <w:rPr>
          <w:rFonts w:ascii="Arial" w:hAnsi="Arial" w:cs="Arial"/>
        </w:rPr>
      </w:pPr>
    </w:p>
    <w:p w14:paraId="75BCB20B" w14:textId="28E4286A" w:rsidR="007B14FC" w:rsidRDefault="00364082" w:rsidP="007B14FC">
      <w:pPr>
        <w:jc w:val="both"/>
        <w:rPr>
          <w:rFonts w:ascii="Arial" w:hAnsi="Arial" w:cs="Arial"/>
        </w:rPr>
      </w:pPr>
      <w:r>
        <w:rPr>
          <w:rFonts w:ascii="Arial" w:hAnsi="Arial" w:cs="Arial"/>
        </w:rPr>
        <w:t>Wh</w:t>
      </w:r>
      <w:r w:rsidR="001730CE">
        <w:rPr>
          <w:rFonts w:ascii="Arial" w:hAnsi="Arial" w:cs="Arial"/>
        </w:rPr>
        <w:t>ilst</w:t>
      </w:r>
      <w:r w:rsidR="008A5E42">
        <w:rPr>
          <w:rFonts w:ascii="Arial" w:hAnsi="Arial" w:cs="Arial"/>
        </w:rPr>
        <w:t xml:space="preserve"> 17 respondents</w:t>
      </w:r>
      <w:r w:rsidR="001730CE">
        <w:rPr>
          <w:rFonts w:ascii="Arial" w:hAnsi="Arial" w:cs="Arial"/>
        </w:rPr>
        <w:t xml:space="preserve"> </w:t>
      </w:r>
      <w:r w:rsidR="008A5E42">
        <w:rPr>
          <w:rFonts w:ascii="Arial" w:hAnsi="Arial" w:cs="Arial"/>
        </w:rPr>
        <w:t xml:space="preserve">(59 percent) </w:t>
      </w:r>
      <w:r w:rsidR="008D56A1">
        <w:rPr>
          <w:rFonts w:ascii="Arial" w:hAnsi="Arial" w:cs="Arial"/>
        </w:rPr>
        <w:t>indicat</w:t>
      </w:r>
      <w:r w:rsidR="008A5E42">
        <w:rPr>
          <w:rFonts w:ascii="Arial" w:hAnsi="Arial" w:cs="Arial"/>
        </w:rPr>
        <w:t>ed</w:t>
      </w:r>
      <w:r w:rsidR="001730CE">
        <w:rPr>
          <w:rFonts w:ascii="Arial" w:hAnsi="Arial" w:cs="Arial"/>
        </w:rPr>
        <w:t xml:space="preserve"> that they did not perceive there to be any negative impacts on </w:t>
      </w:r>
      <w:proofErr w:type="gramStart"/>
      <w:r w:rsidR="001730CE">
        <w:rPr>
          <w:rFonts w:ascii="Arial" w:hAnsi="Arial" w:cs="Arial"/>
        </w:rPr>
        <w:t>individuals</w:t>
      </w:r>
      <w:proofErr w:type="gramEnd"/>
      <w:r w:rsidR="001730CE">
        <w:rPr>
          <w:rFonts w:ascii="Arial" w:hAnsi="Arial" w:cs="Arial"/>
        </w:rPr>
        <w:t xml:space="preserve"> human rights when utilising Schedule 7 powers, analysis of the </w:t>
      </w:r>
      <w:r w:rsidR="004B70D5">
        <w:rPr>
          <w:rFonts w:ascii="Arial" w:hAnsi="Arial" w:cs="Arial"/>
        </w:rPr>
        <w:t xml:space="preserve">replies to question 8 reveal elements of concern whereby one respondent </w:t>
      </w:r>
      <w:r w:rsidR="00DC4FCC">
        <w:rPr>
          <w:rFonts w:ascii="Arial" w:hAnsi="Arial" w:cs="Arial"/>
        </w:rPr>
        <w:t xml:space="preserve">highlighting </w:t>
      </w:r>
      <w:r w:rsidR="009436F2">
        <w:rPr>
          <w:rFonts w:ascii="Arial" w:hAnsi="Arial" w:cs="Arial"/>
        </w:rPr>
        <w:t xml:space="preserve">a level of unnecessary checks on passengers given unreliable data provided by ferry companies.  This </w:t>
      </w:r>
      <w:r w:rsidR="008E191C">
        <w:rPr>
          <w:rFonts w:ascii="Arial" w:hAnsi="Arial" w:cs="Arial"/>
        </w:rPr>
        <w:t xml:space="preserve">is arguably resulting in </w:t>
      </w:r>
      <w:r w:rsidR="00876A53">
        <w:rPr>
          <w:rFonts w:ascii="Arial" w:hAnsi="Arial" w:cs="Arial"/>
        </w:rPr>
        <w:t xml:space="preserve">an unnecessary level of engagement with individuals who pass through the CTA </w:t>
      </w:r>
      <w:proofErr w:type="gramStart"/>
      <w:r w:rsidR="00876A53">
        <w:rPr>
          <w:rFonts w:ascii="Arial" w:hAnsi="Arial" w:cs="Arial"/>
        </w:rPr>
        <w:t>in order to</w:t>
      </w:r>
      <w:proofErr w:type="gramEnd"/>
      <w:r w:rsidR="00876A53">
        <w:rPr>
          <w:rFonts w:ascii="Arial" w:hAnsi="Arial" w:cs="Arial"/>
        </w:rPr>
        <w:t xml:space="preserve"> check </w:t>
      </w:r>
      <w:r w:rsidR="000F02F4">
        <w:rPr>
          <w:rFonts w:ascii="Arial" w:hAnsi="Arial" w:cs="Arial"/>
        </w:rPr>
        <w:t xml:space="preserve">information against that provided when booking journey.  </w:t>
      </w:r>
      <w:r w:rsidR="00666023">
        <w:rPr>
          <w:rFonts w:ascii="Arial" w:hAnsi="Arial" w:cs="Arial"/>
        </w:rPr>
        <w:t xml:space="preserve">The case law resulting from Beghal and Miranda clearly highlight causes for concern around the </w:t>
      </w:r>
      <w:r w:rsidR="006D154A">
        <w:rPr>
          <w:rFonts w:ascii="Arial" w:hAnsi="Arial" w:cs="Arial"/>
        </w:rPr>
        <w:t xml:space="preserve">potential for negative impacts upon </w:t>
      </w:r>
      <w:r w:rsidR="007B14FC">
        <w:rPr>
          <w:rFonts w:ascii="Arial" w:hAnsi="Arial" w:cs="Arial"/>
        </w:rPr>
        <w:t>individuals’</w:t>
      </w:r>
      <w:r w:rsidR="006D154A">
        <w:rPr>
          <w:rFonts w:ascii="Arial" w:hAnsi="Arial" w:cs="Arial"/>
        </w:rPr>
        <w:t xml:space="preserve"> human rights and the qualitative research carried out </w:t>
      </w:r>
      <w:r w:rsidR="007B14FC">
        <w:rPr>
          <w:rFonts w:ascii="Arial" w:hAnsi="Arial" w:cs="Arial"/>
        </w:rPr>
        <w:t>outlines a significant body of work that addresses th</w:t>
      </w:r>
      <w:r w:rsidR="00DD4845">
        <w:rPr>
          <w:rFonts w:ascii="Arial" w:hAnsi="Arial" w:cs="Arial"/>
        </w:rPr>
        <w:t>ese</w:t>
      </w:r>
      <w:r w:rsidR="007B14FC">
        <w:rPr>
          <w:rFonts w:ascii="Arial" w:hAnsi="Arial" w:cs="Arial"/>
        </w:rPr>
        <w:t xml:space="preserve"> issues.  </w:t>
      </w:r>
      <w:r w:rsidR="00690B96" w:rsidRPr="00690B96">
        <w:rPr>
          <w:rFonts w:ascii="Arial" w:hAnsi="Arial" w:cs="Arial"/>
        </w:rPr>
        <w:t xml:space="preserve">After </w:t>
      </w:r>
      <w:r w:rsidR="00690B96" w:rsidRPr="00690B96">
        <w:rPr>
          <w:rFonts w:ascii="Arial" w:hAnsi="Arial" w:cs="Arial"/>
        </w:rPr>
        <w:lastRenderedPageBreak/>
        <w:t>reviewing th</w:t>
      </w:r>
      <w:r w:rsidR="00DD4845">
        <w:rPr>
          <w:rFonts w:ascii="Arial" w:hAnsi="Arial" w:cs="Arial"/>
        </w:rPr>
        <w:t>is</w:t>
      </w:r>
      <w:r w:rsidR="00690B96" w:rsidRPr="00690B96">
        <w:rPr>
          <w:rFonts w:ascii="Arial" w:hAnsi="Arial" w:cs="Arial"/>
        </w:rPr>
        <w:t xml:space="preserve"> literat</w:t>
      </w:r>
      <w:r w:rsidR="00DD4845">
        <w:rPr>
          <w:rFonts w:ascii="Arial" w:hAnsi="Arial" w:cs="Arial"/>
        </w:rPr>
        <w:t>ure</w:t>
      </w:r>
      <w:r w:rsidR="00690B96" w:rsidRPr="00690B96">
        <w:rPr>
          <w:rFonts w:ascii="Arial" w:hAnsi="Arial" w:cs="Arial"/>
        </w:rPr>
        <w:t xml:space="preserve">, </w:t>
      </w:r>
      <w:proofErr w:type="gramStart"/>
      <w:r w:rsidR="00690B96" w:rsidRPr="00690B96">
        <w:rPr>
          <w:rFonts w:ascii="Arial" w:hAnsi="Arial" w:cs="Arial"/>
        </w:rPr>
        <w:t>it is clear that much</w:t>
      </w:r>
      <w:proofErr w:type="gramEnd"/>
      <w:r w:rsidR="00690B96" w:rsidRPr="00690B96">
        <w:rPr>
          <w:rFonts w:ascii="Arial" w:hAnsi="Arial" w:cs="Arial"/>
        </w:rPr>
        <w:t xml:space="preserve"> of the discussion revolves around concerns regarding civil liberties. Stark (2016) provid</w:t>
      </w:r>
      <w:r w:rsidR="007A61B0">
        <w:rPr>
          <w:rFonts w:ascii="Arial" w:hAnsi="Arial" w:cs="Arial"/>
        </w:rPr>
        <w:t xml:space="preserve">ing the </w:t>
      </w:r>
      <w:r w:rsidR="00690B96" w:rsidRPr="00690B96">
        <w:rPr>
          <w:rFonts w:ascii="Arial" w:hAnsi="Arial" w:cs="Arial"/>
        </w:rPr>
        <w:t xml:space="preserve">example that illustrates the need to strike a balance between individual rights and the prevention of terrorism, as demonstrated by the Supreme Court's decision in Beghal v DPP [2015]. This ruling serves as a significant illustration of the delicate equilibrium between protecting individual rights and the necessity to prevent terrorism. In this specific case, </w:t>
      </w:r>
      <w:proofErr w:type="gramStart"/>
      <w:r w:rsidR="00690B96" w:rsidRPr="00690B96">
        <w:rPr>
          <w:rFonts w:ascii="Arial" w:hAnsi="Arial" w:cs="Arial"/>
        </w:rPr>
        <w:t>the majority of</w:t>
      </w:r>
      <w:proofErr w:type="gramEnd"/>
      <w:r w:rsidR="00690B96" w:rsidRPr="00690B96">
        <w:rPr>
          <w:rFonts w:ascii="Arial" w:hAnsi="Arial" w:cs="Arial"/>
        </w:rPr>
        <w:t xml:space="preserve"> the findings placed greater emphasis on the latter. However, there were notable criticisms directed at the Schedule 7 legislation, which grants examining officers the authority to exercise their powers without requiring reasonable suspicion.</w:t>
      </w:r>
      <w:r w:rsidR="003D383A">
        <w:rPr>
          <w:rFonts w:ascii="Arial" w:hAnsi="Arial" w:cs="Arial"/>
        </w:rPr>
        <w:t xml:space="preserve">  Whilst </w:t>
      </w:r>
      <w:proofErr w:type="gramStart"/>
      <w:r w:rsidR="003D383A">
        <w:rPr>
          <w:rFonts w:ascii="Arial" w:hAnsi="Arial" w:cs="Arial"/>
        </w:rPr>
        <w:t>the majority of</w:t>
      </w:r>
      <w:proofErr w:type="gramEnd"/>
      <w:r w:rsidR="003D383A">
        <w:rPr>
          <w:rFonts w:ascii="Arial" w:hAnsi="Arial" w:cs="Arial"/>
        </w:rPr>
        <w:t xml:space="preserve"> respondents in the empirical study concluded that they did not perceive there to be any negative consequences relating to individual human rights, 38 percent of them did reply either yes, or maybe which outlines a more balanced view</w:t>
      </w:r>
      <w:r w:rsidR="00870E7D">
        <w:rPr>
          <w:rFonts w:ascii="Arial" w:hAnsi="Arial" w:cs="Arial"/>
        </w:rPr>
        <w:t xml:space="preserve"> when compared to </w:t>
      </w:r>
      <w:r w:rsidR="004E5943">
        <w:rPr>
          <w:rFonts w:ascii="Arial" w:hAnsi="Arial" w:cs="Arial"/>
        </w:rPr>
        <w:t>Question 6</w:t>
      </w:r>
      <w:r w:rsidR="00C65C49">
        <w:rPr>
          <w:rFonts w:ascii="Arial" w:hAnsi="Arial" w:cs="Arial"/>
        </w:rPr>
        <w:t xml:space="preserve"> which also addresses </w:t>
      </w:r>
      <w:r w:rsidR="00D11675">
        <w:rPr>
          <w:rFonts w:ascii="Arial" w:hAnsi="Arial" w:cs="Arial"/>
        </w:rPr>
        <w:t xml:space="preserve">elements of </w:t>
      </w:r>
      <w:r w:rsidR="00606E04">
        <w:rPr>
          <w:rFonts w:ascii="Arial" w:hAnsi="Arial" w:cs="Arial"/>
        </w:rPr>
        <w:t>ECHR</w:t>
      </w:r>
      <w:r w:rsidR="00D11675">
        <w:rPr>
          <w:rFonts w:ascii="Arial" w:hAnsi="Arial" w:cs="Arial"/>
        </w:rPr>
        <w:t>.</w:t>
      </w:r>
    </w:p>
    <w:p w14:paraId="0EEC8A7A" w14:textId="77777777" w:rsidR="00440BF7" w:rsidRDefault="00440BF7" w:rsidP="008A5E42">
      <w:pPr>
        <w:jc w:val="both"/>
        <w:rPr>
          <w:rFonts w:ascii="Arial" w:hAnsi="Arial" w:cs="Arial"/>
        </w:rPr>
      </w:pPr>
    </w:p>
    <w:p w14:paraId="00BD5498" w14:textId="6D70795B" w:rsidR="00530C15" w:rsidRDefault="008A5E42" w:rsidP="008A5E42">
      <w:pPr>
        <w:jc w:val="both"/>
        <w:rPr>
          <w:rFonts w:ascii="Arial" w:hAnsi="Arial" w:cs="Arial"/>
        </w:rPr>
      </w:pPr>
      <w:r w:rsidRPr="008A5E42">
        <w:rPr>
          <w:rFonts w:ascii="Arial" w:hAnsi="Arial" w:cs="Arial"/>
          <w:b/>
          <w:bCs/>
        </w:rPr>
        <w:t>Question 10 – How effective is Schedule 7 in detecting terrorism?</w:t>
      </w:r>
    </w:p>
    <w:p w14:paraId="19F75FEA" w14:textId="4DD04F84" w:rsidR="00D23394" w:rsidRDefault="001B4F06" w:rsidP="008A5E42">
      <w:pPr>
        <w:rPr>
          <w:rFonts w:ascii="Arial" w:hAnsi="Arial" w:cs="Arial"/>
        </w:rPr>
      </w:pPr>
      <w:r>
        <w:rPr>
          <w:rFonts w:eastAsia="Times New Roman"/>
          <w:noProof/>
        </w:rPr>
        <w:drawing>
          <wp:inline distT="0" distB="0" distL="0" distR="0" wp14:anchorId="6C4742A0" wp14:editId="3BF5826F">
            <wp:extent cx="2781300" cy="337262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5" r:link="rId36" cstate="print">
                      <a:extLst>
                        <a:ext uri="{28A0092B-C50C-407E-A947-70E740481C1C}">
                          <a14:useLocalDpi xmlns:a14="http://schemas.microsoft.com/office/drawing/2010/main" val="0"/>
                        </a:ext>
                      </a:extLst>
                    </a:blip>
                    <a:srcRect/>
                    <a:stretch>
                      <a:fillRect/>
                    </a:stretch>
                  </pic:blipFill>
                  <pic:spPr bwMode="auto">
                    <a:xfrm>
                      <a:off x="0" y="0"/>
                      <a:ext cx="2788368" cy="3381197"/>
                    </a:xfrm>
                    <a:prstGeom prst="rect">
                      <a:avLst/>
                    </a:prstGeom>
                    <a:noFill/>
                    <a:ln>
                      <a:noFill/>
                    </a:ln>
                  </pic:spPr>
                </pic:pic>
              </a:graphicData>
            </a:graphic>
          </wp:inline>
        </w:drawing>
      </w:r>
    </w:p>
    <w:p w14:paraId="12A014BE" w14:textId="5499A095" w:rsidR="0040081F" w:rsidRPr="008A5E42" w:rsidRDefault="0040081F" w:rsidP="006C36C8">
      <w:pPr>
        <w:rPr>
          <w:rFonts w:ascii="Arial" w:hAnsi="Arial" w:cs="Arial"/>
          <w:i/>
          <w:iCs/>
        </w:rPr>
      </w:pPr>
      <w:r w:rsidRPr="008A5E42">
        <w:rPr>
          <w:rFonts w:ascii="Arial" w:hAnsi="Arial" w:cs="Arial"/>
          <w:b/>
          <w:bCs/>
          <w:i/>
          <w:iCs/>
        </w:rPr>
        <w:t>Figure 10</w:t>
      </w:r>
      <w:r w:rsidRPr="008A5E42">
        <w:rPr>
          <w:rFonts w:ascii="Arial" w:hAnsi="Arial" w:cs="Arial"/>
          <w:i/>
          <w:iCs/>
        </w:rPr>
        <w:t xml:space="preserve"> – How effective is Schedule 7 in detecting terrorism</w:t>
      </w:r>
      <w:r w:rsidR="001B4F06" w:rsidRPr="008A5E42">
        <w:rPr>
          <w:rFonts w:ascii="Arial" w:hAnsi="Arial" w:cs="Arial"/>
          <w:i/>
          <w:iCs/>
        </w:rPr>
        <w:t>?</w:t>
      </w:r>
    </w:p>
    <w:p w14:paraId="66720B5A" w14:textId="684B4098" w:rsidR="00FA1350" w:rsidRDefault="000313B5" w:rsidP="00C31C93">
      <w:pPr>
        <w:jc w:val="both"/>
        <w:rPr>
          <w:rFonts w:ascii="Arial" w:hAnsi="Arial" w:cs="Arial"/>
        </w:rPr>
      </w:pPr>
      <w:r>
        <w:rPr>
          <w:rFonts w:ascii="Arial" w:hAnsi="Arial" w:cs="Arial"/>
        </w:rPr>
        <w:t xml:space="preserve">Twenty </w:t>
      </w:r>
      <w:r w:rsidR="008A5E42">
        <w:rPr>
          <w:rFonts w:ascii="Arial" w:hAnsi="Arial" w:cs="Arial"/>
        </w:rPr>
        <w:t>seven of twenty-nine</w:t>
      </w:r>
      <w:r>
        <w:rPr>
          <w:rFonts w:ascii="Arial" w:hAnsi="Arial" w:cs="Arial"/>
        </w:rPr>
        <w:t xml:space="preserve"> </w:t>
      </w:r>
      <w:r w:rsidR="009E12BA">
        <w:rPr>
          <w:rFonts w:ascii="Arial" w:hAnsi="Arial" w:cs="Arial"/>
        </w:rPr>
        <w:t>of</w:t>
      </w:r>
      <w:r>
        <w:rPr>
          <w:rFonts w:ascii="Arial" w:hAnsi="Arial" w:cs="Arial"/>
        </w:rPr>
        <w:t xml:space="preserve"> </w:t>
      </w:r>
      <w:r w:rsidR="009E12BA">
        <w:rPr>
          <w:rFonts w:ascii="Arial" w:hAnsi="Arial" w:cs="Arial"/>
        </w:rPr>
        <w:t xml:space="preserve">respondents believe that Schedule 7 legislation </w:t>
      </w:r>
      <w:r w:rsidR="00545038">
        <w:rPr>
          <w:rFonts w:ascii="Arial" w:hAnsi="Arial" w:cs="Arial"/>
        </w:rPr>
        <w:t>is effective at detecting terrorism.</w:t>
      </w:r>
      <w:r w:rsidR="00641B5A">
        <w:rPr>
          <w:rFonts w:ascii="Arial" w:hAnsi="Arial" w:cs="Arial"/>
        </w:rPr>
        <w:t xml:space="preserve">  This is notable, given that 83 percent of </w:t>
      </w:r>
      <w:r w:rsidR="00FA1350">
        <w:rPr>
          <w:rFonts w:ascii="Arial" w:hAnsi="Arial" w:cs="Arial"/>
        </w:rPr>
        <w:t>respondents</w:t>
      </w:r>
      <w:r w:rsidR="00641B5A">
        <w:rPr>
          <w:rFonts w:ascii="Arial" w:hAnsi="Arial" w:cs="Arial"/>
        </w:rPr>
        <w:t xml:space="preserve"> believe that the Common Travel Area </w:t>
      </w:r>
      <w:r>
        <w:rPr>
          <w:rFonts w:ascii="Arial" w:hAnsi="Arial" w:cs="Arial"/>
        </w:rPr>
        <w:t xml:space="preserve">is </w:t>
      </w:r>
      <w:r w:rsidR="00641B5A">
        <w:rPr>
          <w:rFonts w:ascii="Arial" w:hAnsi="Arial" w:cs="Arial"/>
        </w:rPr>
        <w:t xml:space="preserve">ineffective or very ineffective </w:t>
      </w:r>
      <w:r w:rsidR="00FA1350">
        <w:rPr>
          <w:rFonts w:ascii="Arial" w:hAnsi="Arial" w:cs="Arial"/>
        </w:rPr>
        <w:t>in preventing terrorism and enhancing the security of the UK (as illustrated in Figure 4)</w:t>
      </w:r>
      <w:r>
        <w:rPr>
          <w:rFonts w:ascii="Arial" w:hAnsi="Arial" w:cs="Arial"/>
        </w:rPr>
        <w:t>.  This finding would suggest that despite the</w:t>
      </w:r>
      <w:r w:rsidR="0050206F">
        <w:rPr>
          <w:rFonts w:ascii="Arial" w:hAnsi="Arial" w:cs="Arial"/>
        </w:rPr>
        <w:t xml:space="preserve"> </w:t>
      </w:r>
      <w:r w:rsidR="005165C5">
        <w:rPr>
          <w:rFonts w:ascii="Arial" w:hAnsi="Arial" w:cs="Arial"/>
        </w:rPr>
        <w:t xml:space="preserve">perceived </w:t>
      </w:r>
      <w:r w:rsidR="0050206F">
        <w:rPr>
          <w:rFonts w:ascii="Arial" w:hAnsi="Arial" w:cs="Arial"/>
        </w:rPr>
        <w:t xml:space="preserve">weaknesses of the Common Travel Area, when used, Schedule 7 is a strong </w:t>
      </w:r>
      <w:r w:rsidR="006D4569">
        <w:rPr>
          <w:rFonts w:ascii="Arial" w:hAnsi="Arial" w:cs="Arial"/>
        </w:rPr>
        <w:t>tool in detecting terrorism offences</w:t>
      </w:r>
      <w:r w:rsidR="00A24976">
        <w:rPr>
          <w:rFonts w:ascii="Arial" w:hAnsi="Arial" w:cs="Arial"/>
        </w:rPr>
        <w:t xml:space="preserve"> – a clear indication in strength of enforcement over weakness of prevention.</w:t>
      </w:r>
      <w:r w:rsidR="000A2F3C">
        <w:rPr>
          <w:rFonts w:ascii="Arial" w:hAnsi="Arial" w:cs="Arial"/>
        </w:rPr>
        <w:t xml:space="preserve">  </w:t>
      </w:r>
      <w:r w:rsidR="00742E44">
        <w:rPr>
          <w:rFonts w:ascii="Arial" w:hAnsi="Arial" w:cs="Arial"/>
        </w:rPr>
        <w:t xml:space="preserve">This strong correlation between Schedule 7 and detection does correlate to </w:t>
      </w:r>
      <w:r w:rsidR="00C83EB9">
        <w:rPr>
          <w:rFonts w:ascii="Arial" w:hAnsi="Arial" w:cs="Arial"/>
        </w:rPr>
        <w:t>quantitative data presented by the Home Office (2023a) with findings illustrating a sharp reduction in the use of Schedule 7 since 2012 but</w:t>
      </w:r>
      <w:r w:rsidR="002435F6">
        <w:rPr>
          <w:rFonts w:ascii="Arial" w:hAnsi="Arial" w:cs="Arial"/>
        </w:rPr>
        <w:t xml:space="preserve"> the proportion of application versus arrests </w:t>
      </w:r>
      <w:r w:rsidR="00F53A11">
        <w:rPr>
          <w:rFonts w:ascii="Arial" w:hAnsi="Arial" w:cs="Arial"/>
        </w:rPr>
        <w:t xml:space="preserve">aligning more closely, perhaps signalling a more targeted approach which is reflected in </w:t>
      </w:r>
      <w:r w:rsidR="00DB09EC">
        <w:rPr>
          <w:rFonts w:ascii="Arial" w:hAnsi="Arial" w:cs="Arial"/>
        </w:rPr>
        <w:t>officers’</w:t>
      </w:r>
      <w:r w:rsidR="00F53A11">
        <w:rPr>
          <w:rFonts w:ascii="Arial" w:hAnsi="Arial" w:cs="Arial"/>
        </w:rPr>
        <w:t xml:space="preserve"> perceptions that when it is used, it works.</w:t>
      </w:r>
      <w:r w:rsidR="00B12031">
        <w:rPr>
          <w:rFonts w:ascii="Arial" w:hAnsi="Arial" w:cs="Arial"/>
        </w:rPr>
        <w:t xml:space="preserve">  Silke (2018) also advocates </w:t>
      </w:r>
      <w:r w:rsidR="00731136">
        <w:rPr>
          <w:rFonts w:ascii="Arial" w:hAnsi="Arial" w:cs="Arial"/>
        </w:rPr>
        <w:t>that in allowin</w:t>
      </w:r>
      <w:r w:rsidR="00B55E4F">
        <w:rPr>
          <w:rFonts w:ascii="Arial" w:hAnsi="Arial" w:cs="Arial"/>
        </w:rPr>
        <w:t>g</w:t>
      </w:r>
      <w:r w:rsidR="00731136">
        <w:rPr>
          <w:rFonts w:ascii="Arial" w:hAnsi="Arial" w:cs="Arial"/>
        </w:rPr>
        <w:t xml:space="preserve"> for the gathering of intelligence, Schedule 7 provides the opportu</w:t>
      </w:r>
      <w:r w:rsidR="00B55E4F">
        <w:rPr>
          <w:rFonts w:ascii="Arial" w:hAnsi="Arial" w:cs="Arial"/>
        </w:rPr>
        <w:t>nities to prevent as well as detect terrorism related activity</w:t>
      </w:r>
      <w:r w:rsidR="00D32EC7">
        <w:rPr>
          <w:rFonts w:ascii="Arial" w:hAnsi="Arial" w:cs="Arial"/>
        </w:rPr>
        <w:t>.</w:t>
      </w:r>
      <w:r w:rsidR="009321A4">
        <w:rPr>
          <w:rFonts w:ascii="Arial" w:hAnsi="Arial" w:cs="Arial"/>
        </w:rPr>
        <w:t xml:space="preserve">  Other academic studies support this theory with Schedule 7 </w:t>
      </w:r>
      <w:r w:rsidR="009321A4">
        <w:rPr>
          <w:rFonts w:ascii="Arial" w:hAnsi="Arial" w:cs="Arial"/>
        </w:rPr>
        <w:lastRenderedPageBreak/>
        <w:t xml:space="preserve">credited with playing a crucial role </w:t>
      </w:r>
      <w:r w:rsidR="001D0318">
        <w:rPr>
          <w:rFonts w:ascii="Arial" w:hAnsi="Arial" w:cs="Arial"/>
        </w:rPr>
        <w:t xml:space="preserve">in detecting and deterring terrorism through detailed examination of individuals travelling through the border, including </w:t>
      </w:r>
      <w:r w:rsidR="001042EF">
        <w:rPr>
          <w:rFonts w:ascii="Arial" w:hAnsi="Arial" w:cs="Arial"/>
        </w:rPr>
        <w:t>their belongings and electronic devices which assist in showing associations</w:t>
      </w:r>
      <w:r w:rsidR="00F00FF1">
        <w:rPr>
          <w:rFonts w:ascii="Arial" w:hAnsi="Arial" w:cs="Arial"/>
        </w:rPr>
        <w:t xml:space="preserve"> thereby disrupting terrorist activities </w:t>
      </w:r>
      <w:sdt>
        <w:sdtPr>
          <w:rPr>
            <w:rFonts w:ascii="Arial" w:hAnsi="Arial" w:cs="Arial"/>
          </w:rPr>
          <w:id w:val="2122799237"/>
          <w:citation/>
        </w:sdtPr>
        <w:sdtContent>
          <w:r w:rsidR="00F00FF1">
            <w:rPr>
              <w:rFonts w:ascii="Arial" w:hAnsi="Arial" w:cs="Arial"/>
            </w:rPr>
            <w:fldChar w:fldCharType="begin"/>
          </w:r>
          <w:r w:rsidR="00F00FF1">
            <w:rPr>
              <w:rFonts w:ascii="Arial" w:hAnsi="Arial" w:cs="Arial"/>
            </w:rPr>
            <w:instrText xml:space="preserve"> CITATION Gil17 \l 2057 </w:instrText>
          </w:r>
          <w:r w:rsidR="00F00FF1">
            <w:rPr>
              <w:rFonts w:ascii="Arial" w:hAnsi="Arial" w:cs="Arial"/>
            </w:rPr>
            <w:fldChar w:fldCharType="separate"/>
          </w:r>
          <w:r w:rsidR="00F00FF1" w:rsidRPr="00F00FF1">
            <w:rPr>
              <w:rFonts w:ascii="Arial" w:hAnsi="Arial" w:cs="Arial"/>
              <w:noProof/>
            </w:rPr>
            <w:t>(Gill, 2017)</w:t>
          </w:r>
          <w:r w:rsidR="00F00FF1">
            <w:rPr>
              <w:rFonts w:ascii="Arial" w:hAnsi="Arial" w:cs="Arial"/>
            </w:rPr>
            <w:fldChar w:fldCharType="end"/>
          </w:r>
        </w:sdtContent>
      </w:sdt>
      <w:r w:rsidR="00F00FF1">
        <w:rPr>
          <w:rFonts w:ascii="Arial" w:hAnsi="Arial" w:cs="Arial"/>
        </w:rPr>
        <w:t>.</w:t>
      </w:r>
    </w:p>
    <w:p w14:paraId="1CF0621B" w14:textId="77777777" w:rsidR="00657AAA" w:rsidRPr="00DB09EC" w:rsidRDefault="00657AAA" w:rsidP="00C31C93">
      <w:pPr>
        <w:jc w:val="both"/>
        <w:rPr>
          <w:rFonts w:ascii="Arial" w:hAnsi="Arial" w:cs="Arial"/>
          <w:b/>
          <w:bCs/>
        </w:rPr>
      </w:pPr>
    </w:p>
    <w:p w14:paraId="2DD90FCF" w14:textId="3DDEE039" w:rsidR="00095DFF" w:rsidRPr="00DB09EC" w:rsidRDefault="00657AAA" w:rsidP="00C31C93">
      <w:pPr>
        <w:jc w:val="both"/>
        <w:rPr>
          <w:rFonts w:ascii="Arial" w:hAnsi="Arial" w:cs="Arial"/>
          <w:b/>
          <w:bCs/>
        </w:rPr>
      </w:pPr>
      <w:r w:rsidRPr="00DB09EC">
        <w:rPr>
          <w:rFonts w:ascii="Arial" w:hAnsi="Arial" w:cs="Arial"/>
          <w:b/>
          <w:bCs/>
        </w:rPr>
        <w:t>11.</w:t>
      </w:r>
      <w:r w:rsidR="00095DFF" w:rsidRPr="00DB09EC">
        <w:rPr>
          <w:rFonts w:ascii="Arial" w:hAnsi="Arial" w:cs="Arial"/>
          <w:b/>
          <w:bCs/>
        </w:rPr>
        <w:t xml:space="preserve">  </w:t>
      </w:r>
      <w:r w:rsidRPr="00DB09EC">
        <w:rPr>
          <w:rFonts w:ascii="Arial" w:hAnsi="Arial" w:cs="Arial"/>
          <w:b/>
          <w:bCs/>
        </w:rPr>
        <w:t>How effective is Schedule 7 legislation in providing a deter</w:t>
      </w:r>
      <w:r w:rsidR="00DB09EC" w:rsidRPr="00DB09EC">
        <w:rPr>
          <w:rFonts w:ascii="Arial" w:hAnsi="Arial" w:cs="Arial"/>
          <w:b/>
          <w:bCs/>
        </w:rPr>
        <w:t>rence effect?</w:t>
      </w:r>
    </w:p>
    <w:p w14:paraId="1BBD8998" w14:textId="402A6113" w:rsidR="009E12BA" w:rsidRDefault="009E12BA" w:rsidP="00C31C93">
      <w:pPr>
        <w:jc w:val="both"/>
        <w:rPr>
          <w:rFonts w:ascii="Arial" w:hAnsi="Arial" w:cs="Arial"/>
        </w:rPr>
      </w:pPr>
    </w:p>
    <w:p w14:paraId="392890B7" w14:textId="77777777" w:rsidR="004A054E" w:rsidRDefault="00E31166" w:rsidP="00DB09EC">
      <w:pPr>
        <w:rPr>
          <w:rFonts w:ascii="Arial" w:hAnsi="Arial" w:cs="Arial"/>
          <w:b/>
          <w:bCs/>
        </w:rPr>
      </w:pPr>
      <w:r>
        <w:rPr>
          <w:rFonts w:eastAsia="Times New Roman"/>
          <w:noProof/>
        </w:rPr>
        <w:drawing>
          <wp:inline distT="0" distB="0" distL="0" distR="0" wp14:anchorId="5946CAE3" wp14:editId="499BCD79">
            <wp:extent cx="2806057" cy="3536950"/>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2815012" cy="3548238"/>
                    </a:xfrm>
                    <a:prstGeom prst="rect">
                      <a:avLst/>
                    </a:prstGeom>
                    <a:noFill/>
                    <a:ln>
                      <a:noFill/>
                    </a:ln>
                  </pic:spPr>
                </pic:pic>
              </a:graphicData>
            </a:graphic>
          </wp:inline>
        </w:drawing>
      </w:r>
    </w:p>
    <w:p w14:paraId="01B13D9D" w14:textId="24BE7203" w:rsidR="0040081F" w:rsidRPr="00DB09EC" w:rsidRDefault="00E31166" w:rsidP="006C36C8">
      <w:pPr>
        <w:rPr>
          <w:rFonts w:ascii="Arial" w:hAnsi="Arial" w:cs="Arial"/>
          <w:i/>
          <w:iCs/>
        </w:rPr>
      </w:pPr>
      <w:r w:rsidRPr="00DB09EC">
        <w:rPr>
          <w:rFonts w:ascii="Arial" w:hAnsi="Arial" w:cs="Arial"/>
          <w:b/>
          <w:bCs/>
          <w:i/>
          <w:iCs/>
        </w:rPr>
        <w:t>F</w:t>
      </w:r>
      <w:r w:rsidR="00485EA9" w:rsidRPr="00DB09EC">
        <w:rPr>
          <w:rFonts w:ascii="Arial" w:hAnsi="Arial" w:cs="Arial"/>
          <w:b/>
          <w:bCs/>
          <w:i/>
          <w:iCs/>
        </w:rPr>
        <w:t>igure 11</w:t>
      </w:r>
      <w:r w:rsidR="00485EA9" w:rsidRPr="00DB09EC">
        <w:rPr>
          <w:rFonts w:ascii="Arial" w:hAnsi="Arial" w:cs="Arial"/>
          <w:i/>
          <w:iCs/>
        </w:rPr>
        <w:t xml:space="preserve"> – How effective is Schedule 7 legislation in providing a deterrence effect?</w:t>
      </w:r>
    </w:p>
    <w:p w14:paraId="73EFB7C3" w14:textId="28344521" w:rsidR="00DA4C88" w:rsidRDefault="000B06AA" w:rsidP="00C31C93">
      <w:pPr>
        <w:jc w:val="both"/>
        <w:rPr>
          <w:rFonts w:ascii="Arial" w:hAnsi="Arial" w:cs="Arial"/>
        </w:rPr>
      </w:pPr>
      <w:r>
        <w:rPr>
          <w:rFonts w:ascii="Arial" w:hAnsi="Arial" w:cs="Arial"/>
        </w:rPr>
        <w:t xml:space="preserve">With 69 percent of respondents indicating that </w:t>
      </w:r>
      <w:r w:rsidR="00D70812">
        <w:rPr>
          <w:rFonts w:ascii="Arial" w:hAnsi="Arial" w:cs="Arial"/>
        </w:rPr>
        <w:t>Schedule</w:t>
      </w:r>
      <w:r w:rsidR="002C2B44">
        <w:rPr>
          <w:rFonts w:ascii="Arial" w:hAnsi="Arial" w:cs="Arial"/>
        </w:rPr>
        <w:t xml:space="preserve"> 7 is </w:t>
      </w:r>
      <w:r w:rsidR="00592E48">
        <w:rPr>
          <w:rFonts w:ascii="Arial" w:hAnsi="Arial" w:cs="Arial"/>
        </w:rPr>
        <w:t xml:space="preserve">either very effective or somewhat effective at providing a deterrence effect this would suggest that those who </w:t>
      </w:r>
      <w:r w:rsidR="00D70812">
        <w:rPr>
          <w:rFonts w:ascii="Arial" w:hAnsi="Arial" w:cs="Arial"/>
        </w:rPr>
        <w:t xml:space="preserve">are intent on committing offences under the terrorism act have some awareness of the powers </w:t>
      </w:r>
      <w:r w:rsidR="00095ABA">
        <w:rPr>
          <w:rFonts w:ascii="Arial" w:hAnsi="Arial" w:cs="Arial"/>
        </w:rPr>
        <w:t>used by Counter Terrorism Police officers</w:t>
      </w:r>
      <w:r w:rsidR="00DF2A3E">
        <w:rPr>
          <w:rFonts w:ascii="Arial" w:hAnsi="Arial" w:cs="Arial"/>
        </w:rPr>
        <w:t xml:space="preserve"> given the strong indication by respondents that the legislation offers a deterrent effect</w:t>
      </w:r>
      <w:r w:rsidR="00FA1F8B">
        <w:rPr>
          <w:rFonts w:ascii="Arial" w:hAnsi="Arial" w:cs="Arial"/>
        </w:rPr>
        <w:t>.</w:t>
      </w:r>
      <w:r w:rsidR="009D5916">
        <w:rPr>
          <w:rFonts w:ascii="Arial" w:hAnsi="Arial" w:cs="Arial"/>
        </w:rPr>
        <w:t xml:space="preserve">  There is less confidence amongst respondents that Schedule 7 provides a deterrence effect over</w:t>
      </w:r>
      <w:r w:rsidR="00DA705D">
        <w:rPr>
          <w:rFonts w:ascii="Arial" w:hAnsi="Arial" w:cs="Arial"/>
        </w:rPr>
        <w:t xml:space="preserve"> that of the opportunity its use affords to detecting offences (69 percent versus</w:t>
      </w:r>
      <w:r w:rsidR="00147F25">
        <w:rPr>
          <w:rFonts w:ascii="Arial" w:hAnsi="Arial" w:cs="Arial"/>
        </w:rPr>
        <w:t xml:space="preserve"> 83 percent).  Qualitative research supports the confidence in both</w:t>
      </w:r>
      <w:r w:rsidR="007D5B29">
        <w:rPr>
          <w:rFonts w:ascii="Arial" w:hAnsi="Arial" w:cs="Arial"/>
        </w:rPr>
        <w:t>,</w:t>
      </w:r>
      <w:r w:rsidR="00147F25">
        <w:rPr>
          <w:rFonts w:ascii="Arial" w:hAnsi="Arial" w:cs="Arial"/>
        </w:rPr>
        <w:t xml:space="preserve"> with </w:t>
      </w:r>
      <w:r w:rsidR="0044005B">
        <w:rPr>
          <w:rFonts w:ascii="Arial" w:hAnsi="Arial" w:cs="Arial"/>
        </w:rPr>
        <w:t>Brookman</w:t>
      </w:r>
      <w:r w:rsidR="008B30CE">
        <w:rPr>
          <w:rFonts w:ascii="Arial" w:hAnsi="Arial" w:cs="Arial"/>
        </w:rPr>
        <w:t xml:space="preserve"> (2016) arguing that</w:t>
      </w:r>
      <w:r w:rsidR="004B72D0">
        <w:rPr>
          <w:rFonts w:ascii="Arial" w:hAnsi="Arial" w:cs="Arial"/>
        </w:rPr>
        <w:t xml:space="preserve"> in subjecting those who are detained to detailed examinations</w:t>
      </w:r>
      <w:r w:rsidR="005B6D15">
        <w:rPr>
          <w:rFonts w:ascii="Arial" w:hAnsi="Arial" w:cs="Arial"/>
        </w:rPr>
        <w:t xml:space="preserve"> which may include seizure of </w:t>
      </w:r>
      <w:r w:rsidR="007D7F45">
        <w:rPr>
          <w:rFonts w:ascii="Arial" w:hAnsi="Arial" w:cs="Arial"/>
        </w:rPr>
        <w:t>electronic devices creates hesitation within terrorist networks</w:t>
      </w:r>
      <w:r w:rsidR="009F3A33">
        <w:rPr>
          <w:rFonts w:ascii="Arial" w:hAnsi="Arial" w:cs="Arial"/>
        </w:rPr>
        <w:t xml:space="preserve">, thereby making it more difficult for them to operate and communicate freely </w:t>
      </w:r>
      <w:sdt>
        <w:sdtPr>
          <w:rPr>
            <w:rFonts w:ascii="Arial" w:hAnsi="Arial" w:cs="Arial"/>
          </w:rPr>
          <w:id w:val="1198965115"/>
          <w:citation/>
        </w:sdtPr>
        <w:sdtContent>
          <w:r w:rsidR="004D1D80">
            <w:rPr>
              <w:rFonts w:ascii="Arial" w:hAnsi="Arial" w:cs="Arial"/>
            </w:rPr>
            <w:fldChar w:fldCharType="begin"/>
          </w:r>
          <w:r w:rsidR="004D1D80">
            <w:rPr>
              <w:rFonts w:ascii="Arial" w:hAnsi="Arial" w:cs="Arial"/>
            </w:rPr>
            <w:instrText xml:space="preserve"> CITATION Bro16 \l 2057 </w:instrText>
          </w:r>
          <w:r w:rsidR="004D1D80">
            <w:rPr>
              <w:rFonts w:ascii="Arial" w:hAnsi="Arial" w:cs="Arial"/>
            </w:rPr>
            <w:fldChar w:fldCharType="separate"/>
          </w:r>
          <w:r w:rsidR="004D1D80" w:rsidRPr="004D1D80">
            <w:rPr>
              <w:rFonts w:ascii="Arial" w:hAnsi="Arial" w:cs="Arial"/>
              <w:noProof/>
            </w:rPr>
            <w:t>(Brookman, 2016)</w:t>
          </w:r>
          <w:r w:rsidR="004D1D80">
            <w:rPr>
              <w:rFonts w:ascii="Arial" w:hAnsi="Arial" w:cs="Arial"/>
            </w:rPr>
            <w:fldChar w:fldCharType="end"/>
          </w:r>
        </w:sdtContent>
      </w:sdt>
      <w:r w:rsidR="004D1D80">
        <w:rPr>
          <w:rFonts w:ascii="Arial" w:hAnsi="Arial" w:cs="Arial"/>
        </w:rPr>
        <w:t>.</w:t>
      </w:r>
      <w:r w:rsidR="000A4834">
        <w:rPr>
          <w:rFonts w:ascii="Arial" w:hAnsi="Arial" w:cs="Arial"/>
        </w:rPr>
        <w:t xml:space="preserve">  Whilst there is evidence of a deterrence effect, academic research is plentiful i</w:t>
      </w:r>
      <w:r w:rsidR="00D62B89">
        <w:rPr>
          <w:rFonts w:ascii="Arial" w:hAnsi="Arial" w:cs="Arial"/>
        </w:rPr>
        <w:t xml:space="preserve">n highlighting limitations and challenges, such as the sophistication of terrorist networks, the adaptability </w:t>
      </w:r>
      <w:r w:rsidR="004F5505">
        <w:rPr>
          <w:rFonts w:ascii="Arial" w:hAnsi="Arial" w:cs="Arial"/>
        </w:rPr>
        <w:t>of individuals involved in terrorism, and the potential for unintended consequences, such as increased resentment</w:t>
      </w:r>
      <w:r w:rsidR="003641DF">
        <w:rPr>
          <w:rFonts w:ascii="Arial" w:hAnsi="Arial" w:cs="Arial"/>
        </w:rPr>
        <w:t>; all of which need considering when discussing the effects of both deterrence and effectiveness in detection</w:t>
      </w:r>
      <w:sdt>
        <w:sdtPr>
          <w:rPr>
            <w:rFonts w:ascii="Arial" w:hAnsi="Arial" w:cs="Arial"/>
          </w:rPr>
          <w:id w:val="-1226369569"/>
          <w:citation/>
        </w:sdtPr>
        <w:sdtContent>
          <w:r w:rsidR="003641DF">
            <w:rPr>
              <w:rFonts w:ascii="Arial" w:hAnsi="Arial" w:cs="Arial"/>
            </w:rPr>
            <w:fldChar w:fldCharType="begin"/>
          </w:r>
          <w:r w:rsidR="003641DF">
            <w:rPr>
              <w:rFonts w:ascii="Arial" w:hAnsi="Arial" w:cs="Arial"/>
            </w:rPr>
            <w:instrText xml:space="preserve"> CITATION Cho18 \l 2057 </w:instrText>
          </w:r>
          <w:r w:rsidR="003641DF">
            <w:rPr>
              <w:rFonts w:ascii="Arial" w:hAnsi="Arial" w:cs="Arial"/>
            </w:rPr>
            <w:fldChar w:fldCharType="separate"/>
          </w:r>
          <w:r w:rsidR="003641DF">
            <w:rPr>
              <w:rFonts w:ascii="Arial" w:hAnsi="Arial" w:cs="Arial"/>
              <w:noProof/>
            </w:rPr>
            <w:t xml:space="preserve"> </w:t>
          </w:r>
          <w:r w:rsidR="003641DF" w:rsidRPr="003641DF">
            <w:rPr>
              <w:rFonts w:ascii="Arial" w:hAnsi="Arial" w:cs="Arial"/>
              <w:noProof/>
            </w:rPr>
            <w:t>(Choudhury, 2018)</w:t>
          </w:r>
          <w:r w:rsidR="003641DF">
            <w:rPr>
              <w:rFonts w:ascii="Arial" w:hAnsi="Arial" w:cs="Arial"/>
            </w:rPr>
            <w:fldChar w:fldCharType="end"/>
          </w:r>
        </w:sdtContent>
      </w:sdt>
      <w:r w:rsidR="003641DF">
        <w:rPr>
          <w:rFonts w:ascii="Arial" w:hAnsi="Arial" w:cs="Arial"/>
        </w:rPr>
        <w:t>.</w:t>
      </w:r>
    </w:p>
    <w:p w14:paraId="5FBB118F" w14:textId="77777777" w:rsidR="005C317B" w:rsidRDefault="005C317B" w:rsidP="00C31C93">
      <w:pPr>
        <w:jc w:val="both"/>
        <w:rPr>
          <w:rFonts w:ascii="Arial" w:hAnsi="Arial" w:cs="Arial"/>
        </w:rPr>
      </w:pPr>
    </w:p>
    <w:p w14:paraId="0644FC22" w14:textId="77777777" w:rsidR="005C317B" w:rsidRDefault="005C317B" w:rsidP="00C31C93">
      <w:pPr>
        <w:jc w:val="both"/>
        <w:rPr>
          <w:rFonts w:ascii="Arial" w:hAnsi="Arial" w:cs="Arial"/>
        </w:rPr>
      </w:pPr>
    </w:p>
    <w:p w14:paraId="72BBF488" w14:textId="0E40F5DE" w:rsidR="005C317B" w:rsidRPr="009F5184" w:rsidRDefault="005C317B" w:rsidP="00C31C93">
      <w:pPr>
        <w:jc w:val="both"/>
        <w:rPr>
          <w:rFonts w:ascii="Arial" w:hAnsi="Arial" w:cs="Arial"/>
          <w:b/>
          <w:bCs/>
        </w:rPr>
      </w:pPr>
      <w:r w:rsidRPr="009F5184">
        <w:rPr>
          <w:rFonts w:ascii="Arial" w:hAnsi="Arial" w:cs="Arial"/>
          <w:b/>
          <w:bCs/>
        </w:rPr>
        <w:lastRenderedPageBreak/>
        <w:t xml:space="preserve">Question 12 – In your opinion, can the exercise of Schedule 7 legislation lead to certain communities being targeted </w:t>
      </w:r>
      <w:r w:rsidR="009F5184" w:rsidRPr="009F5184">
        <w:rPr>
          <w:rFonts w:ascii="Arial" w:hAnsi="Arial" w:cs="Arial"/>
          <w:b/>
          <w:bCs/>
        </w:rPr>
        <w:t>disproportionately?</w:t>
      </w:r>
    </w:p>
    <w:p w14:paraId="6E08078F" w14:textId="77777777" w:rsidR="0076309F" w:rsidRDefault="004A054E" w:rsidP="0076309F">
      <w:pPr>
        <w:jc w:val="center"/>
        <w:rPr>
          <w:rFonts w:ascii="Arial" w:hAnsi="Arial" w:cs="Arial"/>
        </w:rPr>
      </w:pPr>
      <w:r>
        <w:rPr>
          <w:rFonts w:eastAsia="Times New Roman"/>
          <w:noProof/>
        </w:rPr>
        <w:drawing>
          <wp:inline distT="0" distB="0" distL="0" distR="0" wp14:anchorId="0C1DDCAE" wp14:editId="34F9DF4C">
            <wp:extent cx="2728434" cy="2889250"/>
            <wp:effectExtent l="0" t="0" r="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9" r:link="rId40" cstate="print">
                      <a:extLst>
                        <a:ext uri="{28A0092B-C50C-407E-A947-70E740481C1C}">
                          <a14:useLocalDpi xmlns:a14="http://schemas.microsoft.com/office/drawing/2010/main" val="0"/>
                        </a:ext>
                      </a:extLst>
                    </a:blip>
                    <a:srcRect/>
                    <a:stretch>
                      <a:fillRect/>
                    </a:stretch>
                  </pic:blipFill>
                  <pic:spPr bwMode="auto">
                    <a:xfrm>
                      <a:off x="0" y="0"/>
                      <a:ext cx="2738411" cy="2899815"/>
                    </a:xfrm>
                    <a:prstGeom prst="rect">
                      <a:avLst/>
                    </a:prstGeom>
                    <a:noFill/>
                    <a:ln>
                      <a:noFill/>
                    </a:ln>
                  </pic:spPr>
                </pic:pic>
              </a:graphicData>
            </a:graphic>
          </wp:inline>
        </w:drawing>
      </w:r>
    </w:p>
    <w:p w14:paraId="7741B97A" w14:textId="6B8BD219" w:rsidR="00D23394" w:rsidRPr="009F5184" w:rsidRDefault="00383FC3" w:rsidP="0076309F">
      <w:pPr>
        <w:rPr>
          <w:rFonts w:ascii="Arial" w:hAnsi="Arial" w:cs="Arial"/>
          <w:i/>
          <w:iCs/>
        </w:rPr>
      </w:pPr>
      <w:r w:rsidRPr="009F5184">
        <w:rPr>
          <w:rFonts w:ascii="Arial" w:hAnsi="Arial" w:cs="Arial"/>
          <w:b/>
          <w:bCs/>
          <w:i/>
          <w:iCs/>
        </w:rPr>
        <w:t>Figure 12</w:t>
      </w:r>
      <w:r w:rsidRPr="009F5184">
        <w:rPr>
          <w:rFonts w:ascii="Arial" w:hAnsi="Arial" w:cs="Arial"/>
          <w:i/>
          <w:iCs/>
        </w:rPr>
        <w:t xml:space="preserve"> – In your opinion, can the exercise of Schedule 7 legislation lead to certain communities being targeted disproportionately?</w:t>
      </w:r>
    </w:p>
    <w:p w14:paraId="63E320AC" w14:textId="2DC1AFEE" w:rsidR="00FA1F8B" w:rsidRDefault="002F5FF8" w:rsidP="00C31C93">
      <w:pPr>
        <w:jc w:val="both"/>
        <w:rPr>
          <w:rFonts w:ascii="Arial" w:hAnsi="Arial" w:cs="Arial"/>
        </w:rPr>
      </w:pPr>
      <w:r>
        <w:rPr>
          <w:rFonts w:ascii="Arial" w:hAnsi="Arial" w:cs="Arial"/>
        </w:rPr>
        <w:t xml:space="preserve">The majority of respondents (55 percent) did not believe that there </w:t>
      </w:r>
      <w:proofErr w:type="gramStart"/>
      <w:r>
        <w:rPr>
          <w:rFonts w:ascii="Arial" w:hAnsi="Arial" w:cs="Arial"/>
        </w:rPr>
        <w:t>we</w:t>
      </w:r>
      <w:r w:rsidR="00FA61B7">
        <w:rPr>
          <w:rFonts w:ascii="Arial" w:hAnsi="Arial" w:cs="Arial"/>
        </w:rPr>
        <w:t>re</w:t>
      </w:r>
      <w:proofErr w:type="gramEnd"/>
      <w:r w:rsidR="00FA61B7">
        <w:rPr>
          <w:rFonts w:ascii="Arial" w:hAnsi="Arial" w:cs="Arial"/>
        </w:rPr>
        <w:t xml:space="preserve"> any disproportionate use of Schedule 7</w:t>
      </w:r>
      <w:r w:rsidR="00A34105">
        <w:rPr>
          <w:rFonts w:ascii="Arial" w:hAnsi="Arial" w:cs="Arial"/>
        </w:rPr>
        <w:t xml:space="preserve"> within specific communities although clearly there were </w:t>
      </w:r>
      <w:r w:rsidR="0075386F">
        <w:rPr>
          <w:rFonts w:ascii="Arial" w:hAnsi="Arial" w:cs="Arial"/>
        </w:rPr>
        <w:t xml:space="preserve">some concerns around its </w:t>
      </w:r>
      <w:r w:rsidR="007B2558">
        <w:rPr>
          <w:rFonts w:ascii="Arial" w:hAnsi="Arial" w:cs="Arial"/>
        </w:rPr>
        <w:t>disproportionate</w:t>
      </w:r>
      <w:r w:rsidR="0075386F">
        <w:rPr>
          <w:rFonts w:ascii="Arial" w:hAnsi="Arial" w:cs="Arial"/>
        </w:rPr>
        <w:t xml:space="preserve"> use, </w:t>
      </w:r>
      <w:r w:rsidR="007B2558">
        <w:rPr>
          <w:rFonts w:ascii="Arial" w:hAnsi="Arial" w:cs="Arial"/>
        </w:rPr>
        <w:t xml:space="preserve">particularly amongst those officers with 10 or more </w:t>
      </w:r>
      <w:r w:rsidR="009F5184">
        <w:rPr>
          <w:rFonts w:ascii="Arial" w:hAnsi="Arial" w:cs="Arial"/>
        </w:rPr>
        <w:t>years’ service</w:t>
      </w:r>
      <w:r w:rsidR="009C47EA">
        <w:rPr>
          <w:rFonts w:ascii="Arial" w:hAnsi="Arial" w:cs="Arial"/>
        </w:rPr>
        <w:t xml:space="preserve">, with the majority answering ‘Yes’ or ‘Maybe’.  </w:t>
      </w:r>
      <w:r w:rsidR="005A0F84">
        <w:rPr>
          <w:rFonts w:ascii="Arial" w:hAnsi="Arial" w:cs="Arial"/>
        </w:rPr>
        <w:t xml:space="preserve"> The qualitative research findings </w:t>
      </w:r>
      <w:r w:rsidR="0050361B">
        <w:rPr>
          <w:rFonts w:ascii="Arial" w:hAnsi="Arial" w:cs="Arial"/>
        </w:rPr>
        <w:t xml:space="preserve">address concerns around </w:t>
      </w:r>
      <w:r w:rsidR="00E679C8">
        <w:rPr>
          <w:rFonts w:ascii="Arial" w:hAnsi="Arial" w:cs="Arial"/>
        </w:rPr>
        <w:t>balance between national security and human rights (Cormac, 2019)</w:t>
      </w:r>
      <w:r w:rsidR="001925C5">
        <w:rPr>
          <w:rFonts w:ascii="Arial" w:hAnsi="Arial" w:cs="Arial"/>
        </w:rPr>
        <w:t xml:space="preserve"> whilst also exploring the key points raised by Ghanea and Farrow (2017)</w:t>
      </w:r>
      <w:r w:rsidR="000C28F7">
        <w:rPr>
          <w:rFonts w:ascii="Arial" w:hAnsi="Arial" w:cs="Arial"/>
        </w:rPr>
        <w:t xml:space="preserve"> who employ case studies to </w:t>
      </w:r>
      <w:r w:rsidR="00885762">
        <w:rPr>
          <w:rFonts w:ascii="Arial" w:hAnsi="Arial" w:cs="Arial"/>
        </w:rPr>
        <w:t>evaluate</w:t>
      </w:r>
      <w:r w:rsidR="000C28F7">
        <w:rPr>
          <w:rFonts w:ascii="Arial" w:hAnsi="Arial" w:cs="Arial"/>
        </w:rPr>
        <w:t xml:space="preserve"> the effectiveness of Schedule 7 an </w:t>
      </w:r>
      <w:r w:rsidR="00885762">
        <w:rPr>
          <w:rFonts w:ascii="Arial" w:hAnsi="Arial" w:cs="Arial"/>
        </w:rPr>
        <w:t>i</w:t>
      </w:r>
      <w:r w:rsidR="000C28F7">
        <w:rPr>
          <w:rFonts w:ascii="Arial" w:hAnsi="Arial" w:cs="Arial"/>
        </w:rPr>
        <w:t xml:space="preserve">ts potential </w:t>
      </w:r>
      <w:r w:rsidR="006C7E15">
        <w:rPr>
          <w:rFonts w:ascii="Arial" w:hAnsi="Arial" w:cs="Arial"/>
        </w:rPr>
        <w:t xml:space="preserve">for negative </w:t>
      </w:r>
      <w:r w:rsidR="00885762">
        <w:rPr>
          <w:rFonts w:ascii="Arial" w:hAnsi="Arial" w:cs="Arial"/>
        </w:rPr>
        <w:t>implications</w:t>
      </w:r>
      <w:r w:rsidR="006C7E15">
        <w:rPr>
          <w:rFonts w:ascii="Arial" w:hAnsi="Arial" w:cs="Arial"/>
        </w:rPr>
        <w:t xml:space="preserve">, </w:t>
      </w:r>
      <w:r w:rsidR="00885762">
        <w:rPr>
          <w:rFonts w:ascii="Arial" w:hAnsi="Arial" w:cs="Arial"/>
        </w:rPr>
        <w:t>particularly</w:t>
      </w:r>
      <w:r w:rsidR="006C7E15">
        <w:rPr>
          <w:rFonts w:ascii="Arial" w:hAnsi="Arial" w:cs="Arial"/>
        </w:rPr>
        <w:t xml:space="preserve"> involving those who are visibly religious.</w:t>
      </w:r>
    </w:p>
    <w:p w14:paraId="16FB97D7" w14:textId="77777777" w:rsidR="00E87BA6" w:rsidRDefault="00E87BA6" w:rsidP="00C31C93">
      <w:pPr>
        <w:jc w:val="both"/>
        <w:rPr>
          <w:rFonts w:ascii="Arial" w:hAnsi="Arial" w:cs="Arial"/>
        </w:rPr>
      </w:pPr>
    </w:p>
    <w:p w14:paraId="1AD3775A" w14:textId="77777777" w:rsidR="00E87BA6" w:rsidRDefault="00E87BA6" w:rsidP="00C31C93">
      <w:pPr>
        <w:jc w:val="both"/>
        <w:rPr>
          <w:rFonts w:ascii="Arial" w:hAnsi="Arial" w:cs="Arial"/>
        </w:rPr>
      </w:pPr>
    </w:p>
    <w:p w14:paraId="50A5711E" w14:textId="77777777" w:rsidR="00E87BA6" w:rsidRDefault="00E87BA6" w:rsidP="00C31C93">
      <w:pPr>
        <w:jc w:val="both"/>
        <w:rPr>
          <w:rFonts w:ascii="Arial" w:hAnsi="Arial" w:cs="Arial"/>
        </w:rPr>
      </w:pPr>
    </w:p>
    <w:p w14:paraId="4B5CB85D" w14:textId="77777777" w:rsidR="00E87BA6" w:rsidRDefault="00E87BA6" w:rsidP="00C31C93">
      <w:pPr>
        <w:jc w:val="both"/>
        <w:rPr>
          <w:rFonts w:ascii="Arial" w:hAnsi="Arial" w:cs="Arial"/>
        </w:rPr>
      </w:pPr>
    </w:p>
    <w:p w14:paraId="54F2CD74" w14:textId="77777777" w:rsidR="00E87BA6" w:rsidRDefault="00E87BA6" w:rsidP="00C31C93">
      <w:pPr>
        <w:jc w:val="both"/>
        <w:rPr>
          <w:rFonts w:ascii="Arial" w:hAnsi="Arial" w:cs="Arial"/>
        </w:rPr>
      </w:pPr>
    </w:p>
    <w:p w14:paraId="58171C6D" w14:textId="77777777" w:rsidR="00E87BA6" w:rsidRDefault="00E87BA6" w:rsidP="00C31C93">
      <w:pPr>
        <w:jc w:val="both"/>
        <w:rPr>
          <w:rFonts w:ascii="Arial" w:hAnsi="Arial" w:cs="Arial"/>
        </w:rPr>
      </w:pPr>
    </w:p>
    <w:p w14:paraId="6726C480" w14:textId="77777777" w:rsidR="00E87BA6" w:rsidRDefault="00E87BA6" w:rsidP="00C31C93">
      <w:pPr>
        <w:jc w:val="both"/>
        <w:rPr>
          <w:rFonts w:ascii="Arial" w:hAnsi="Arial" w:cs="Arial"/>
        </w:rPr>
      </w:pPr>
    </w:p>
    <w:p w14:paraId="449B59AC" w14:textId="77777777" w:rsidR="00AB0568" w:rsidRDefault="00AB0568" w:rsidP="00C31C93">
      <w:pPr>
        <w:jc w:val="both"/>
        <w:rPr>
          <w:rFonts w:ascii="Arial" w:hAnsi="Arial" w:cs="Arial"/>
        </w:rPr>
      </w:pPr>
    </w:p>
    <w:p w14:paraId="401AE951" w14:textId="77777777" w:rsidR="009D3680" w:rsidRDefault="009D3680" w:rsidP="00AB0568">
      <w:pPr>
        <w:jc w:val="both"/>
        <w:rPr>
          <w:rFonts w:ascii="Arial" w:eastAsia="Calibri" w:hAnsi="Arial" w:cs="Arial"/>
        </w:rPr>
      </w:pPr>
    </w:p>
    <w:p w14:paraId="34012F50" w14:textId="77777777" w:rsidR="009D3680" w:rsidRDefault="009D3680" w:rsidP="00AB0568">
      <w:pPr>
        <w:jc w:val="both"/>
        <w:rPr>
          <w:rFonts w:ascii="Arial" w:eastAsia="Calibri" w:hAnsi="Arial" w:cs="Arial"/>
        </w:rPr>
      </w:pPr>
    </w:p>
    <w:p w14:paraId="2B5E0E01" w14:textId="77777777" w:rsidR="00AB0568" w:rsidRDefault="00AB0568" w:rsidP="00C31C93">
      <w:pPr>
        <w:jc w:val="both"/>
        <w:rPr>
          <w:rFonts w:ascii="Arial" w:hAnsi="Arial" w:cs="Arial"/>
        </w:rPr>
      </w:pPr>
    </w:p>
    <w:p w14:paraId="4A394EDE" w14:textId="77777777" w:rsidR="00AB0568" w:rsidRDefault="00AB0568" w:rsidP="00C31C93">
      <w:pPr>
        <w:jc w:val="both"/>
        <w:rPr>
          <w:rFonts w:ascii="Arial" w:hAnsi="Arial" w:cs="Arial"/>
        </w:rPr>
      </w:pPr>
    </w:p>
    <w:p w14:paraId="3EBDFFF3" w14:textId="77777777" w:rsidR="007E22E3" w:rsidRDefault="007E22E3" w:rsidP="00C31C93">
      <w:pPr>
        <w:jc w:val="both"/>
        <w:rPr>
          <w:rFonts w:ascii="Arial" w:hAnsi="Arial" w:cs="Arial"/>
        </w:rPr>
      </w:pPr>
    </w:p>
    <w:p w14:paraId="12857DD8" w14:textId="5FD1C6BE" w:rsidR="007E22E3" w:rsidRPr="006B1413" w:rsidRDefault="007E22E3" w:rsidP="0076309F">
      <w:pPr>
        <w:rPr>
          <w:rFonts w:ascii="Arial" w:hAnsi="Arial" w:cs="Arial"/>
          <w:b/>
          <w:bCs/>
          <w:u w:val="single"/>
        </w:rPr>
      </w:pPr>
      <w:r w:rsidRPr="006B1413">
        <w:rPr>
          <w:rFonts w:ascii="Arial" w:hAnsi="Arial" w:cs="Arial"/>
          <w:b/>
          <w:bCs/>
          <w:u w:val="single"/>
        </w:rPr>
        <w:lastRenderedPageBreak/>
        <w:t>Conclusion</w:t>
      </w:r>
      <w:r w:rsidR="006B1413" w:rsidRPr="006B1413">
        <w:rPr>
          <w:rFonts w:ascii="Arial" w:hAnsi="Arial" w:cs="Arial"/>
          <w:b/>
          <w:bCs/>
          <w:u w:val="single"/>
        </w:rPr>
        <w:t>.</w:t>
      </w:r>
    </w:p>
    <w:p w14:paraId="4C225424" w14:textId="77777777" w:rsidR="006501CE" w:rsidRDefault="006501CE" w:rsidP="006C36C8">
      <w:pPr>
        <w:rPr>
          <w:rFonts w:ascii="Arial" w:hAnsi="Arial" w:cs="Arial"/>
        </w:rPr>
      </w:pPr>
    </w:p>
    <w:p w14:paraId="4F133300" w14:textId="0DC7FC2F" w:rsidR="0077781A" w:rsidRPr="00393D69" w:rsidRDefault="001454AD" w:rsidP="006C36C8">
      <w:pPr>
        <w:rPr>
          <w:rFonts w:ascii="Arial" w:hAnsi="Arial" w:cs="Arial"/>
          <w:b/>
          <w:bCs/>
          <w:i/>
          <w:iCs/>
        </w:rPr>
      </w:pPr>
      <w:r w:rsidRPr="00393D69">
        <w:rPr>
          <w:rFonts w:ascii="Arial" w:hAnsi="Arial" w:cs="Arial"/>
          <w:b/>
          <w:bCs/>
          <w:i/>
          <w:iCs/>
        </w:rPr>
        <w:t>Research objectives – summary of findings and conclusions</w:t>
      </w:r>
    </w:p>
    <w:p w14:paraId="754855DD" w14:textId="77777777" w:rsidR="00F67A8C" w:rsidRDefault="00F67A8C" w:rsidP="006C36C8">
      <w:pPr>
        <w:rPr>
          <w:rFonts w:ascii="Arial" w:hAnsi="Arial" w:cs="Arial"/>
        </w:rPr>
      </w:pPr>
    </w:p>
    <w:p w14:paraId="57DD8B9F" w14:textId="505EE179" w:rsidR="00F67A8C" w:rsidRPr="00393D69" w:rsidRDefault="00F67A8C" w:rsidP="00393D69">
      <w:pPr>
        <w:pStyle w:val="ListParagraph"/>
        <w:numPr>
          <w:ilvl w:val="0"/>
          <w:numId w:val="11"/>
        </w:numPr>
        <w:rPr>
          <w:rFonts w:ascii="Arial" w:hAnsi="Arial" w:cs="Arial"/>
        </w:rPr>
      </w:pPr>
      <w:r w:rsidRPr="00393D69">
        <w:rPr>
          <w:rFonts w:ascii="Arial" w:hAnsi="Arial" w:cs="Arial"/>
        </w:rPr>
        <w:t>To critically evaluate the overall effectiveness of Schedule 7 Terrorism Act 2000 in keeping the UK safe.</w:t>
      </w:r>
    </w:p>
    <w:p w14:paraId="34DD960B" w14:textId="77777777" w:rsidR="006501CE" w:rsidRDefault="006501CE" w:rsidP="00393D69">
      <w:pPr>
        <w:rPr>
          <w:rFonts w:ascii="Arial" w:hAnsi="Arial" w:cs="Arial"/>
        </w:rPr>
      </w:pPr>
    </w:p>
    <w:p w14:paraId="08068942" w14:textId="5175F24F" w:rsidR="002C46C2" w:rsidRDefault="00350DBE" w:rsidP="00023E4E">
      <w:pPr>
        <w:jc w:val="both"/>
        <w:rPr>
          <w:rFonts w:ascii="Arial" w:hAnsi="Arial" w:cs="Arial"/>
        </w:rPr>
      </w:pPr>
      <w:r>
        <w:rPr>
          <w:rFonts w:ascii="Arial" w:hAnsi="Arial" w:cs="Arial"/>
        </w:rPr>
        <w:t xml:space="preserve">Schedule 7 </w:t>
      </w:r>
      <w:r w:rsidR="00CD444C">
        <w:rPr>
          <w:rFonts w:ascii="Arial" w:hAnsi="Arial" w:cs="Arial"/>
        </w:rPr>
        <w:t>has been successful in detecting and preventing terrorism related activities over many years since its inception</w:t>
      </w:r>
      <w:r w:rsidR="00057B5D">
        <w:rPr>
          <w:rFonts w:ascii="Arial" w:hAnsi="Arial" w:cs="Arial"/>
        </w:rPr>
        <w:t xml:space="preserve"> </w:t>
      </w:r>
      <w:r w:rsidR="005D78F5">
        <w:rPr>
          <w:rFonts w:ascii="Arial" w:hAnsi="Arial" w:cs="Arial"/>
        </w:rPr>
        <w:t>wh</w:t>
      </w:r>
      <w:r w:rsidR="00C07E4A">
        <w:rPr>
          <w:rFonts w:ascii="Arial" w:hAnsi="Arial" w:cs="Arial"/>
        </w:rPr>
        <w:t xml:space="preserve">ich is a view that this empirical study supports with </w:t>
      </w:r>
      <w:r w:rsidR="000F13DE">
        <w:rPr>
          <w:rFonts w:ascii="Arial" w:hAnsi="Arial" w:cs="Arial"/>
        </w:rPr>
        <w:t>twenty seven of twenty-nine of respondents believing that Schedule 7 legislation is effective at detecting terrorism</w:t>
      </w:r>
      <w:r w:rsidR="009E1ACB">
        <w:rPr>
          <w:rFonts w:ascii="Arial" w:hAnsi="Arial" w:cs="Arial"/>
        </w:rPr>
        <w:t xml:space="preserve">.  </w:t>
      </w:r>
      <w:r w:rsidR="007A2239">
        <w:rPr>
          <w:rFonts w:ascii="Arial" w:hAnsi="Arial" w:cs="Arial"/>
        </w:rPr>
        <w:t xml:space="preserve">The overall effectiveness of Schedule 7 </w:t>
      </w:r>
      <w:r w:rsidR="00BB6C8F">
        <w:rPr>
          <w:rFonts w:ascii="Arial" w:hAnsi="Arial" w:cs="Arial"/>
        </w:rPr>
        <w:t xml:space="preserve">has been subject to a debate since its inception.  </w:t>
      </w:r>
      <w:r w:rsidR="006B353E">
        <w:rPr>
          <w:rFonts w:ascii="Arial" w:hAnsi="Arial" w:cs="Arial"/>
        </w:rPr>
        <w:t xml:space="preserve">The use of Schedule 7 is multi-faceted and </w:t>
      </w:r>
      <w:r w:rsidR="0074666A">
        <w:rPr>
          <w:rFonts w:ascii="Arial" w:hAnsi="Arial" w:cs="Arial"/>
        </w:rPr>
        <w:t xml:space="preserve">whilst detection of offences is positive, </w:t>
      </w:r>
      <w:r w:rsidR="006F0DB1">
        <w:rPr>
          <w:rFonts w:ascii="Arial" w:hAnsi="Arial" w:cs="Arial"/>
        </w:rPr>
        <w:t xml:space="preserve">often it is the information obtained through interviews which can contribute to the broader intelligence picture and aid in identifying, </w:t>
      </w:r>
      <w:proofErr w:type="gramStart"/>
      <w:r w:rsidR="006F0DB1">
        <w:rPr>
          <w:rFonts w:ascii="Arial" w:hAnsi="Arial" w:cs="Arial"/>
        </w:rPr>
        <w:t>disrupting</w:t>
      </w:r>
      <w:proofErr w:type="gramEnd"/>
      <w:r w:rsidR="006F0DB1">
        <w:rPr>
          <w:rFonts w:ascii="Arial" w:hAnsi="Arial" w:cs="Arial"/>
        </w:rPr>
        <w:t xml:space="preserve"> and </w:t>
      </w:r>
      <w:r w:rsidR="007B6A10">
        <w:rPr>
          <w:rFonts w:ascii="Arial" w:hAnsi="Arial" w:cs="Arial"/>
        </w:rPr>
        <w:t>preventing potential threats.</w:t>
      </w:r>
      <w:r w:rsidR="004D014F">
        <w:rPr>
          <w:rFonts w:ascii="Arial" w:hAnsi="Arial" w:cs="Arial"/>
        </w:rPr>
        <w:t xml:space="preserve">  Conversely, concerns have been raised around the </w:t>
      </w:r>
      <w:r w:rsidR="00406E99">
        <w:rPr>
          <w:rFonts w:ascii="Arial" w:hAnsi="Arial" w:cs="Arial"/>
        </w:rPr>
        <w:t xml:space="preserve">reliability and admissibility of information gathered through Schedule 7 interviews as they are conducted without the presence of legal </w:t>
      </w:r>
      <w:r w:rsidR="00546636">
        <w:rPr>
          <w:rFonts w:ascii="Arial" w:hAnsi="Arial" w:cs="Arial"/>
        </w:rPr>
        <w:t xml:space="preserve">representation and </w:t>
      </w:r>
      <w:r w:rsidR="0016408C">
        <w:rPr>
          <w:rFonts w:ascii="Arial" w:hAnsi="Arial" w:cs="Arial"/>
        </w:rPr>
        <w:t xml:space="preserve">critics have argues that this can </w:t>
      </w:r>
      <w:r w:rsidR="00546636">
        <w:rPr>
          <w:rFonts w:ascii="Arial" w:hAnsi="Arial" w:cs="Arial"/>
        </w:rPr>
        <w:t>potentially lead to coerced or unreliable statement</w:t>
      </w:r>
      <w:r w:rsidR="00DF4E7F">
        <w:rPr>
          <w:rFonts w:ascii="Arial" w:hAnsi="Arial" w:cs="Arial"/>
        </w:rPr>
        <w:t>s</w:t>
      </w:r>
      <w:r w:rsidR="0016408C">
        <w:rPr>
          <w:rFonts w:ascii="Arial" w:hAnsi="Arial" w:cs="Arial"/>
        </w:rPr>
        <w:t>.</w:t>
      </w:r>
      <w:r w:rsidR="009D6DCD">
        <w:rPr>
          <w:rFonts w:ascii="Arial" w:hAnsi="Arial" w:cs="Arial"/>
        </w:rPr>
        <w:t xml:space="preserve">  This paper also sheds light on the adaptability of terrorist tactics which can minimise the effectiveness of Schedule 7 whereby terrorists become more sophisticated in their methods</w:t>
      </w:r>
      <w:r w:rsidR="000411DA">
        <w:rPr>
          <w:rFonts w:ascii="Arial" w:hAnsi="Arial" w:cs="Arial"/>
        </w:rPr>
        <w:t xml:space="preserve"> which requires constant review and updates to both legislation and training requirements </w:t>
      </w:r>
      <w:proofErr w:type="gramStart"/>
      <w:r w:rsidR="000411DA">
        <w:rPr>
          <w:rFonts w:ascii="Arial" w:hAnsi="Arial" w:cs="Arial"/>
        </w:rPr>
        <w:t>in order to</w:t>
      </w:r>
      <w:proofErr w:type="gramEnd"/>
      <w:r w:rsidR="000411DA">
        <w:rPr>
          <w:rFonts w:ascii="Arial" w:hAnsi="Arial" w:cs="Arial"/>
        </w:rPr>
        <w:t xml:space="preserve"> address emerging threats effectively.</w:t>
      </w:r>
    </w:p>
    <w:p w14:paraId="02A4022A" w14:textId="220CF41E" w:rsidR="00393D69" w:rsidRDefault="009E1ACB" w:rsidP="00023E4E">
      <w:pPr>
        <w:jc w:val="both"/>
        <w:rPr>
          <w:rFonts w:ascii="Arial" w:hAnsi="Arial" w:cs="Arial"/>
        </w:rPr>
      </w:pPr>
      <w:r>
        <w:rPr>
          <w:rFonts w:ascii="Arial" w:hAnsi="Arial" w:cs="Arial"/>
        </w:rPr>
        <w:t>However, it is essential to acknowledge that the effectiveness of Schedule 7 is difficult to measure precisely</w:t>
      </w:r>
      <w:r w:rsidR="000A40F0">
        <w:rPr>
          <w:rFonts w:ascii="Arial" w:hAnsi="Arial" w:cs="Arial"/>
        </w:rPr>
        <w:t xml:space="preserve"> given the difficulty in capturing any data around the preventative effects and the limitations </w:t>
      </w:r>
      <w:r w:rsidR="00CB485C">
        <w:rPr>
          <w:rFonts w:ascii="Arial" w:hAnsi="Arial" w:cs="Arial"/>
        </w:rPr>
        <w:t>on detailed analysis that can be published given operational security and classification reasons.</w:t>
      </w:r>
      <w:r w:rsidR="002C46C2">
        <w:rPr>
          <w:rFonts w:ascii="Arial" w:hAnsi="Arial" w:cs="Arial"/>
        </w:rPr>
        <w:t xml:space="preserve">   </w:t>
      </w:r>
    </w:p>
    <w:p w14:paraId="671A2BF4" w14:textId="77777777" w:rsidR="00393D69" w:rsidRPr="00393D69" w:rsidRDefault="00393D69" w:rsidP="00023E4E">
      <w:pPr>
        <w:jc w:val="both"/>
        <w:rPr>
          <w:rFonts w:ascii="Arial" w:hAnsi="Arial" w:cs="Arial"/>
        </w:rPr>
      </w:pPr>
    </w:p>
    <w:p w14:paraId="69423B49" w14:textId="4EC0427D" w:rsidR="00F67A8C" w:rsidRPr="0006334A" w:rsidRDefault="00F67A8C" w:rsidP="0006334A">
      <w:pPr>
        <w:pStyle w:val="ListParagraph"/>
        <w:numPr>
          <w:ilvl w:val="0"/>
          <w:numId w:val="11"/>
        </w:numPr>
        <w:rPr>
          <w:rFonts w:ascii="Arial" w:hAnsi="Arial" w:cs="Arial"/>
        </w:rPr>
      </w:pPr>
      <w:r w:rsidRPr="0006334A">
        <w:rPr>
          <w:rFonts w:ascii="Arial" w:hAnsi="Arial" w:cs="Arial"/>
        </w:rPr>
        <w:t xml:space="preserve">Assess the legal and ethical implications of Schedule 7 in terms of civil liberties, human </w:t>
      </w:r>
      <w:proofErr w:type="gramStart"/>
      <w:r w:rsidRPr="0006334A">
        <w:rPr>
          <w:rFonts w:ascii="Arial" w:hAnsi="Arial" w:cs="Arial"/>
        </w:rPr>
        <w:t>rights</w:t>
      </w:r>
      <w:proofErr w:type="gramEnd"/>
      <w:r w:rsidRPr="0006334A">
        <w:rPr>
          <w:rFonts w:ascii="Arial" w:hAnsi="Arial" w:cs="Arial"/>
        </w:rPr>
        <w:t xml:space="preserve"> and privacy concerns.</w:t>
      </w:r>
    </w:p>
    <w:p w14:paraId="195FF3CA" w14:textId="77777777" w:rsidR="006501CE" w:rsidRDefault="006501CE" w:rsidP="0006334A">
      <w:pPr>
        <w:rPr>
          <w:rFonts w:ascii="Arial" w:hAnsi="Arial" w:cs="Arial"/>
        </w:rPr>
      </w:pPr>
    </w:p>
    <w:p w14:paraId="6BF7EDBF" w14:textId="2CD1C397" w:rsidR="0006334A" w:rsidRDefault="00D86C2E" w:rsidP="00023E4E">
      <w:pPr>
        <w:jc w:val="both"/>
        <w:rPr>
          <w:rFonts w:ascii="Arial" w:hAnsi="Arial" w:cs="Arial"/>
        </w:rPr>
      </w:pPr>
      <w:r>
        <w:rPr>
          <w:rFonts w:ascii="Arial" w:hAnsi="Arial" w:cs="Arial"/>
        </w:rPr>
        <w:t xml:space="preserve">Whilst </w:t>
      </w:r>
      <w:proofErr w:type="gramStart"/>
      <w:r>
        <w:rPr>
          <w:rFonts w:ascii="Arial" w:hAnsi="Arial" w:cs="Arial"/>
        </w:rPr>
        <w:t>the majority of</w:t>
      </w:r>
      <w:proofErr w:type="gramEnd"/>
      <w:r>
        <w:rPr>
          <w:rFonts w:ascii="Arial" w:hAnsi="Arial" w:cs="Arial"/>
        </w:rPr>
        <w:t xml:space="preserve"> officers who took part in this study did not </w:t>
      </w:r>
      <w:r w:rsidR="003623FB">
        <w:rPr>
          <w:rFonts w:ascii="Arial" w:hAnsi="Arial" w:cs="Arial"/>
        </w:rPr>
        <w:t xml:space="preserve">perceive there to be any disproportionate impacts on communities or wider human rights, the qualitative research within this paper suggests that this is an area of concerns that requires constant </w:t>
      </w:r>
      <w:r w:rsidR="00225916">
        <w:rPr>
          <w:rFonts w:ascii="Arial" w:hAnsi="Arial" w:cs="Arial"/>
        </w:rPr>
        <w:t xml:space="preserve">review and awareness.  From a legal standpoint, concerns arise due to the </w:t>
      </w:r>
      <w:r w:rsidR="00EE2523">
        <w:rPr>
          <w:rFonts w:ascii="Arial" w:hAnsi="Arial" w:cs="Arial"/>
        </w:rPr>
        <w:t>potential</w:t>
      </w:r>
      <w:r w:rsidR="00225916">
        <w:rPr>
          <w:rFonts w:ascii="Arial" w:hAnsi="Arial" w:cs="Arial"/>
        </w:rPr>
        <w:t xml:space="preserve"> </w:t>
      </w:r>
      <w:r w:rsidR="00EE2523">
        <w:rPr>
          <w:rFonts w:ascii="Arial" w:hAnsi="Arial" w:cs="Arial"/>
        </w:rPr>
        <w:t>infringement</w:t>
      </w:r>
      <w:r w:rsidR="00225916">
        <w:rPr>
          <w:rFonts w:ascii="Arial" w:hAnsi="Arial" w:cs="Arial"/>
        </w:rPr>
        <w:t xml:space="preserve"> of </w:t>
      </w:r>
      <w:r w:rsidR="00E05BF3">
        <w:rPr>
          <w:rFonts w:ascii="Arial" w:hAnsi="Arial" w:cs="Arial"/>
        </w:rPr>
        <w:t>civil</w:t>
      </w:r>
      <w:r w:rsidR="00225916">
        <w:rPr>
          <w:rFonts w:ascii="Arial" w:hAnsi="Arial" w:cs="Arial"/>
        </w:rPr>
        <w:t xml:space="preserve"> liberties such as </w:t>
      </w:r>
      <w:r w:rsidR="00EE2523">
        <w:rPr>
          <w:rFonts w:ascii="Arial" w:hAnsi="Arial" w:cs="Arial"/>
        </w:rPr>
        <w:t xml:space="preserve">Freedom of Movement, and Right to a Free Trial, amongst others.  </w:t>
      </w:r>
      <w:r w:rsidR="00E05BF3">
        <w:rPr>
          <w:rFonts w:ascii="Arial" w:hAnsi="Arial" w:cs="Arial"/>
        </w:rPr>
        <w:t>The absence of reasonable suspicion as a prerequisite for stops and subsequent examinations raises questions about the proportionality of these powers and the potential for arbitrary or discriminatory practices.</w:t>
      </w:r>
      <w:r w:rsidR="00A51A8B">
        <w:rPr>
          <w:rFonts w:ascii="Arial" w:hAnsi="Arial" w:cs="Arial"/>
        </w:rPr>
        <w:t xml:space="preserve">  This includes the seizure of </w:t>
      </w:r>
      <w:r w:rsidR="009828FF">
        <w:rPr>
          <w:rFonts w:ascii="Arial" w:hAnsi="Arial" w:cs="Arial"/>
        </w:rPr>
        <w:t xml:space="preserve">sensitive personal information via electronic devices that critics argue has the potential for data profiling and </w:t>
      </w:r>
      <w:r w:rsidR="00C35F0C">
        <w:rPr>
          <w:rFonts w:ascii="Arial" w:hAnsi="Arial" w:cs="Arial"/>
        </w:rPr>
        <w:t>erosion of privacy rights.  Ethically, the use of Schedule 7 raises questions about the balance between national security and the interests of individual rights</w:t>
      </w:r>
      <w:r w:rsidR="00D3461D">
        <w:rPr>
          <w:rFonts w:ascii="Arial" w:hAnsi="Arial" w:cs="Arial"/>
        </w:rPr>
        <w:t xml:space="preserve"> with commentators expressing </w:t>
      </w:r>
      <w:r w:rsidR="00BF70ED">
        <w:rPr>
          <w:rFonts w:ascii="Arial" w:hAnsi="Arial" w:cs="Arial"/>
        </w:rPr>
        <w:t>how</w:t>
      </w:r>
      <w:r w:rsidR="002E00B8">
        <w:rPr>
          <w:rFonts w:ascii="Arial" w:hAnsi="Arial" w:cs="Arial"/>
        </w:rPr>
        <w:t xml:space="preserve"> </w:t>
      </w:r>
      <w:r w:rsidR="00D3461D">
        <w:rPr>
          <w:rFonts w:ascii="Arial" w:hAnsi="Arial" w:cs="Arial"/>
        </w:rPr>
        <w:t>i</w:t>
      </w:r>
      <w:r w:rsidR="002E00B8">
        <w:rPr>
          <w:rFonts w:ascii="Arial" w:hAnsi="Arial" w:cs="Arial"/>
        </w:rPr>
        <w:t xml:space="preserve">t is crucial to strike a balance between effective counter terrorism </w:t>
      </w:r>
      <w:r w:rsidR="00D3461D">
        <w:rPr>
          <w:rFonts w:ascii="Arial" w:hAnsi="Arial" w:cs="Arial"/>
        </w:rPr>
        <w:t>measures</w:t>
      </w:r>
      <w:r w:rsidR="002E00B8">
        <w:rPr>
          <w:rFonts w:ascii="Arial" w:hAnsi="Arial" w:cs="Arial"/>
        </w:rPr>
        <w:t xml:space="preserve"> and the </w:t>
      </w:r>
      <w:r w:rsidR="00D3461D">
        <w:rPr>
          <w:rFonts w:ascii="Arial" w:hAnsi="Arial" w:cs="Arial"/>
        </w:rPr>
        <w:t>protection</w:t>
      </w:r>
      <w:r w:rsidR="002E00B8">
        <w:rPr>
          <w:rFonts w:ascii="Arial" w:hAnsi="Arial" w:cs="Arial"/>
        </w:rPr>
        <w:t xml:space="preserve"> of civil liberties</w:t>
      </w:r>
      <w:r w:rsidR="00D3461D">
        <w:rPr>
          <w:rFonts w:ascii="Arial" w:hAnsi="Arial" w:cs="Arial"/>
        </w:rPr>
        <w:t>.</w:t>
      </w:r>
      <w:r w:rsidR="002343B7">
        <w:rPr>
          <w:rFonts w:ascii="Arial" w:hAnsi="Arial" w:cs="Arial"/>
        </w:rPr>
        <w:t xml:space="preserve">  In conclusion, Schedule 7 does present </w:t>
      </w:r>
      <w:r w:rsidR="00534694">
        <w:rPr>
          <w:rFonts w:ascii="Arial" w:hAnsi="Arial" w:cs="Arial"/>
        </w:rPr>
        <w:t xml:space="preserve">some legal and ethical implications in terms of civil liberties </w:t>
      </w:r>
      <w:r w:rsidR="00CE10ED">
        <w:rPr>
          <w:rFonts w:ascii="Arial" w:hAnsi="Arial" w:cs="Arial"/>
        </w:rPr>
        <w:t>and</w:t>
      </w:r>
      <w:r w:rsidR="00534694">
        <w:rPr>
          <w:rFonts w:ascii="Arial" w:hAnsi="Arial" w:cs="Arial"/>
        </w:rPr>
        <w:t xml:space="preserve"> balancing the needs for effective counter terrorism </w:t>
      </w:r>
      <w:r w:rsidR="00CE10ED">
        <w:rPr>
          <w:rFonts w:ascii="Arial" w:hAnsi="Arial" w:cs="Arial"/>
        </w:rPr>
        <w:t>measures with the protection of individuals rights and freedoms is crucial to ensure a just and democratic society.</w:t>
      </w:r>
    </w:p>
    <w:p w14:paraId="0B3C1848" w14:textId="77777777" w:rsidR="006501CE" w:rsidRPr="0006334A" w:rsidRDefault="006501CE" w:rsidP="00023E4E">
      <w:pPr>
        <w:jc w:val="both"/>
        <w:rPr>
          <w:rFonts w:ascii="Arial" w:hAnsi="Arial" w:cs="Arial"/>
        </w:rPr>
      </w:pPr>
    </w:p>
    <w:p w14:paraId="2CE94845" w14:textId="27D5B061" w:rsidR="00F67A8C" w:rsidRDefault="00F67A8C" w:rsidP="006501CE">
      <w:pPr>
        <w:pStyle w:val="ListParagraph"/>
        <w:numPr>
          <w:ilvl w:val="0"/>
          <w:numId w:val="11"/>
        </w:numPr>
        <w:rPr>
          <w:rFonts w:ascii="Arial" w:hAnsi="Arial" w:cs="Arial"/>
        </w:rPr>
      </w:pPr>
      <w:r w:rsidRPr="006501CE">
        <w:rPr>
          <w:rFonts w:ascii="Arial" w:hAnsi="Arial" w:cs="Arial"/>
        </w:rPr>
        <w:t>Examine the impact of Schedule 7 on the freedom of movement within the Common Travel Area (CTA) and its effectiveness in balancing security and individual rights and freedoms.</w:t>
      </w:r>
    </w:p>
    <w:p w14:paraId="7BE59AE7" w14:textId="77777777" w:rsidR="00023E4E" w:rsidRDefault="00023E4E" w:rsidP="00023E4E">
      <w:pPr>
        <w:pStyle w:val="ListParagraph"/>
        <w:ind w:left="1440"/>
        <w:rPr>
          <w:rFonts w:ascii="Arial" w:hAnsi="Arial" w:cs="Arial"/>
        </w:rPr>
      </w:pPr>
    </w:p>
    <w:p w14:paraId="50EFC11B" w14:textId="42A9E247" w:rsidR="00A51A8B" w:rsidRDefault="00987E93" w:rsidP="00023E4E">
      <w:pPr>
        <w:jc w:val="both"/>
        <w:rPr>
          <w:rFonts w:ascii="Arial" w:hAnsi="Arial" w:cs="Arial"/>
        </w:rPr>
      </w:pPr>
      <w:r>
        <w:rPr>
          <w:rFonts w:ascii="Arial" w:hAnsi="Arial" w:cs="Arial"/>
        </w:rPr>
        <w:t>The impact of Schedule 7 on the freedom of movement within the Common Travel Area</w:t>
      </w:r>
      <w:r w:rsidR="002318F5">
        <w:rPr>
          <w:rFonts w:ascii="Arial" w:hAnsi="Arial" w:cs="Arial"/>
        </w:rPr>
        <w:t xml:space="preserve"> and its effectiveness in balancing security and individual rights also extends to trust and cooperation </w:t>
      </w:r>
      <w:r w:rsidR="00AF0DBD">
        <w:rPr>
          <w:rFonts w:ascii="Arial" w:hAnsi="Arial" w:cs="Arial"/>
        </w:rPr>
        <w:t>between the UK and Ireland</w:t>
      </w:r>
      <w:r w:rsidR="00882D75">
        <w:rPr>
          <w:rFonts w:ascii="Arial" w:hAnsi="Arial" w:cs="Arial"/>
        </w:rPr>
        <w:t xml:space="preserve"> with proponents advocating for more </w:t>
      </w:r>
      <w:r w:rsidR="00FB6911">
        <w:rPr>
          <w:rFonts w:ascii="Arial" w:hAnsi="Arial" w:cs="Arial"/>
        </w:rPr>
        <w:t xml:space="preserve">joint operations between the countries and enhanced information sharing protocols.  There is a clear belief by </w:t>
      </w:r>
      <w:r w:rsidR="0080089C">
        <w:rPr>
          <w:rFonts w:ascii="Arial" w:hAnsi="Arial" w:cs="Arial"/>
        </w:rPr>
        <w:t xml:space="preserve">practitioners that the CTA presents significant risk in terms of the potential for unhindered movement between the UK and Ireland of potential terrorists.  Further investigation of this based on the qualitative information that has been provided by </w:t>
      </w:r>
      <w:r w:rsidR="00023E4E">
        <w:rPr>
          <w:rFonts w:ascii="Arial" w:hAnsi="Arial" w:cs="Arial"/>
        </w:rPr>
        <w:t>respondents</w:t>
      </w:r>
      <w:r w:rsidR="0080089C">
        <w:rPr>
          <w:rFonts w:ascii="Arial" w:hAnsi="Arial" w:cs="Arial"/>
        </w:rPr>
        <w:t xml:space="preserve"> has proved difficult due to operational sensitivities.  That said, there is an alternative view based on </w:t>
      </w:r>
      <w:r w:rsidR="00023E4E">
        <w:rPr>
          <w:rFonts w:ascii="Arial" w:hAnsi="Arial" w:cs="Arial"/>
        </w:rPr>
        <w:t>a lack of evidence to suggest an increase in crime or terrorist activity where there is free movement of people, as is the case in Schengen territories.</w:t>
      </w:r>
    </w:p>
    <w:p w14:paraId="51DC637C" w14:textId="77777777" w:rsidR="00023E4E" w:rsidRPr="00A51A8B" w:rsidRDefault="00023E4E" w:rsidP="00023E4E">
      <w:pPr>
        <w:jc w:val="both"/>
        <w:rPr>
          <w:rFonts w:ascii="Arial" w:hAnsi="Arial" w:cs="Arial"/>
        </w:rPr>
      </w:pPr>
    </w:p>
    <w:p w14:paraId="0C86565D" w14:textId="77777777" w:rsidR="00F67A8C" w:rsidRDefault="00F67A8C" w:rsidP="00F67A8C">
      <w:pPr>
        <w:ind w:left="720"/>
        <w:rPr>
          <w:rFonts w:ascii="Arial" w:hAnsi="Arial" w:cs="Arial"/>
        </w:rPr>
      </w:pPr>
      <w:r w:rsidRPr="00DE4CBE">
        <w:rPr>
          <w:rFonts w:ascii="Arial" w:hAnsi="Arial" w:cs="Arial"/>
        </w:rPr>
        <w:t>4.</w:t>
      </w:r>
      <w:r w:rsidRPr="00DE4CBE">
        <w:rPr>
          <w:rFonts w:ascii="Arial" w:hAnsi="Arial" w:cs="Arial"/>
        </w:rPr>
        <w:tab/>
        <w:t>Formulate opinions based on the findings of the analysis to enhance the effectiveness of the use of Schedule 7 at CTA Ports whilst ensuring the protection of civil liberties and human rights.</w:t>
      </w:r>
    </w:p>
    <w:p w14:paraId="5277FA61" w14:textId="5B4C96FA" w:rsidR="00F67A8C" w:rsidRDefault="00F67A8C" w:rsidP="006C36C8">
      <w:pPr>
        <w:rPr>
          <w:rFonts w:ascii="Arial" w:hAnsi="Arial" w:cs="Arial"/>
        </w:rPr>
      </w:pPr>
    </w:p>
    <w:p w14:paraId="1985EB8D" w14:textId="2A66517E" w:rsidR="002C3128" w:rsidRDefault="002C3128" w:rsidP="00AA575B">
      <w:pPr>
        <w:jc w:val="both"/>
        <w:rPr>
          <w:rFonts w:ascii="Arial" w:hAnsi="Arial" w:cs="Arial"/>
        </w:rPr>
      </w:pPr>
      <w:r>
        <w:rPr>
          <w:rFonts w:ascii="Arial" w:hAnsi="Arial" w:cs="Arial"/>
        </w:rPr>
        <w:t xml:space="preserve">The Common Travel Area </w:t>
      </w:r>
      <w:r w:rsidR="00AD64C4">
        <w:rPr>
          <w:rFonts w:ascii="Arial" w:hAnsi="Arial" w:cs="Arial"/>
        </w:rPr>
        <w:t xml:space="preserve">has been a mainstay between the United Kingdom and Ireland since the 1920’s.  Given that this predated the </w:t>
      </w:r>
      <w:r w:rsidR="006C796D">
        <w:rPr>
          <w:rFonts w:ascii="Arial" w:hAnsi="Arial" w:cs="Arial"/>
        </w:rPr>
        <w:t xml:space="preserve">creation of the European Union, the United </w:t>
      </w:r>
      <w:r w:rsidR="00440BF7">
        <w:rPr>
          <w:rFonts w:ascii="Arial" w:hAnsi="Arial" w:cs="Arial"/>
        </w:rPr>
        <w:t>Kingdom’s</w:t>
      </w:r>
      <w:r w:rsidR="006C796D">
        <w:rPr>
          <w:rFonts w:ascii="Arial" w:hAnsi="Arial" w:cs="Arial"/>
        </w:rPr>
        <w:t xml:space="preserve"> </w:t>
      </w:r>
      <w:r w:rsidR="00437B13">
        <w:rPr>
          <w:rFonts w:ascii="Arial" w:hAnsi="Arial" w:cs="Arial"/>
        </w:rPr>
        <w:t xml:space="preserve">admittance to the EU and then its subsequent departure, it is difficult to conclude that the CTA is forever harmed by the </w:t>
      </w:r>
      <w:r w:rsidR="001C16AD">
        <w:rPr>
          <w:rFonts w:ascii="Arial" w:hAnsi="Arial" w:cs="Arial"/>
        </w:rPr>
        <w:t xml:space="preserve">departure of the UK from the European Union.  That said, Brexit </w:t>
      </w:r>
      <w:r w:rsidR="00B07655">
        <w:rPr>
          <w:rFonts w:ascii="Arial" w:hAnsi="Arial" w:cs="Arial"/>
        </w:rPr>
        <w:t>clearly adds in a layer of additional complexity when seeking to understand improvements that can be made to the CTA</w:t>
      </w:r>
      <w:r w:rsidR="00C317F4">
        <w:rPr>
          <w:rFonts w:ascii="Arial" w:hAnsi="Arial" w:cs="Arial"/>
        </w:rPr>
        <w:t xml:space="preserve">.  Arguably, this is largely due to a breakdown of trust that occurred during prolonged negotiations with the EU and </w:t>
      </w:r>
      <w:r w:rsidR="00FE5212">
        <w:rPr>
          <w:rFonts w:ascii="Arial" w:hAnsi="Arial" w:cs="Arial"/>
        </w:rPr>
        <w:t>particularly</w:t>
      </w:r>
      <w:r w:rsidR="00C317F4">
        <w:rPr>
          <w:rFonts w:ascii="Arial" w:hAnsi="Arial" w:cs="Arial"/>
        </w:rPr>
        <w:t xml:space="preserve"> Ireland </w:t>
      </w:r>
      <w:r w:rsidR="00FE5212">
        <w:rPr>
          <w:rFonts w:ascii="Arial" w:hAnsi="Arial" w:cs="Arial"/>
        </w:rPr>
        <w:t xml:space="preserve">following the referendum result of 2016.  Further </w:t>
      </w:r>
      <w:r w:rsidR="006A1009">
        <w:rPr>
          <w:rFonts w:ascii="Arial" w:hAnsi="Arial" w:cs="Arial"/>
        </w:rPr>
        <w:t>complications</w:t>
      </w:r>
      <w:r w:rsidR="00FE5212">
        <w:rPr>
          <w:rFonts w:ascii="Arial" w:hAnsi="Arial" w:cs="Arial"/>
        </w:rPr>
        <w:t xml:space="preserve"> have arisen following the UK’s Rwanda policy which some critics argue has directly impacted upon the </w:t>
      </w:r>
      <w:r w:rsidR="006A1009">
        <w:rPr>
          <w:rFonts w:ascii="Arial" w:hAnsi="Arial" w:cs="Arial"/>
        </w:rPr>
        <w:t xml:space="preserve">increased prevalence of illegal migration </w:t>
      </w:r>
      <w:proofErr w:type="gramStart"/>
      <w:r w:rsidR="006A1009">
        <w:rPr>
          <w:rFonts w:ascii="Arial" w:hAnsi="Arial" w:cs="Arial"/>
        </w:rPr>
        <w:t>in to</w:t>
      </w:r>
      <w:proofErr w:type="gramEnd"/>
      <w:r w:rsidR="006A1009">
        <w:rPr>
          <w:rFonts w:ascii="Arial" w:hAnsi="Arial" w:cs="Arial"/>
        </w:rPr>
        <w:t xml:space="preserve"> Ireland.  These are issues that will continue to be at the forefront of politics</w:t>
      </w:r>
      <w:r w:rsidR="00AF4D36">
        <w:rPr>
          <w:rFonts w:ascii="Arial" w:hAnsi="Arial" w:cs="Arial"/>
        </w:rPr>
        <w:t xml:space="preserve"> and in the interim, officers will continue to exercise their powers under Schedule 7, in pursuit of keeping the UK safe</w:t>
      </w:r>
      <w:r w:rsidR="00113805">
        <w:rPr>
          <w:rFonts w:ascii="Arial" w:hAnsi="Arial" w:cs="Arial"/>
        </w:rPr>
        <w:t>.</w:t>
      </w:r>
    </w:p>
    <w:p w14:paraId="61121410" w14:textId="77777777" w:rsidR="00F67A8C" w:rsidRDefault="00F67A8C" w:rsidP="00773FE1">
      <w:pPr>
        <w:jc w:val="both"/>
        <w:rPr>
          <w:rFonts w:ascii="Arial" w:hAnsi="Arial" w:cs="Arial"/>
        </w:rPr>
      </w:pPr>
    </w:p>
    <w:p w14:paraId="72244FFA" w14:textId="6E1B259F" w:rsidR="00E56286" w:rsidRDefault="00E56286" w:rsidP="00773FE1">
      <w:pPr>
        <w:jc w:val="both"/>
        <w:rPr>
          <w:rFonts w:ascii="Arial" w:hAnsi="Arial" w:cs="Arial"/>
        </w:rPr>
      </w:pPr>
      <w:r>
        <w:rPr>
          <w:rFonts w:ascii="Arial" w:hAnsi="Arial" w:cs="Arial"/>
        </w:rPr>
        <w:t xml:space="preserve">In considering recommendations the author is mindful of </w:t>
      </w:r>
      <w:r w:rsidR="00531F50">
        <w:rPr>
          <w:rFonts w:ascii="Arial" w:hAnsi="Arial" w:cs="Arial"/>
        </w:rPr>
        <w:t xml:space="preserve">the changing dynamics at the </w:t>
      </w:r>
      <w:r w:rsidR="00773FE1">
        <w:rPr>
          <w:rFonts w:ascii="Arial" w:hAnsi="Arial" w:cs="Arial"/>
        </w:rPr>
        <w:t>b</w:t>
      </w:r>
      <w:r w:rsidR="00531F50">
        <w:rPr>
          <w:rFonts w:ascii="Arial" w:hAnsi="Arial" w:cs="Arial"/>
        </w:rPr>
        <w:t xml:space="preserve">order, with illegal migration being hotly debated and </w:t>
      </w:r>
      <w:r w:rsidR="00DB380A">
        <w:rPr>
          <w:rFonts w:ascii="Arial" w:hAnsi="Arial" w:cs="Arial"/>
        </w:rPr>
        <w:t>maintaining front and centre of daily news.  Likewise, the war on drugs</w:t>
      </w:r>
      <w:r w:rsidR="00112C02">
        <w:rPr>
          <w:rFonts w:ascii="Arial" w:hAnsi="Arial" w:cs="Arial"/>
        </w:rPr>
        <w:t xml:space="preserve"> which began decades ago and shows no signs of abating.  The border remains integral to keeping </w:t>
      </w:r>
      <w:proofErr w:type="gramStart"/>
      <w:r w:rsidR="00112C02">
        <w:rPr>
          <w:rFonts w:ascii="Arial" w:hAnsi="Arial" w:cs="Arial"/>
        </w:rPr>
        <w:t>all of</w:t>
      </w:r>
      <w:proofErr w:type="gramEnd"/>
      <w:r w:rsidR="00112C02">
        <w:rPr>
          <w:rFonts w:ascii="Arial" w:hAnsi="Arial" w:cs="Arial"/>
        </w:rPr>
        <w:t xml:space="preserve"> the citizens of the UK safe </w:t>
      </w:r>
      <w:r w:rsidR="008D4B7D">
        <w:rPr>
          <w:rFonts w:ascii="Arial" w:hAnsi="Arial" w:cs="Arial"/>
        </w:rPr>
        <w:t xml:space="preserve">whether that is through the prevention and detection of terrorism, the pursuit of gangs who </w:t>
      </w:r>
      <w:r w:rsidR="00137A17">
        <w:rPr>
          <w:rFonts w:ascii="Arial" w:hAnsi="Arial" w:cs="Arial"/>
        </w:rPr>
        <w:t>commit organised immigration crime or the more traditional craft of importin</w:t>
      </w:r>
      <w:r w:rsidR="009D3E4C">
        <w:rPr>
          <w:rFonts w:ascii="Arial" w:hAnsi="Arial" w:cs="Arial"/>
        </w:rPr>
        <w:t>g</w:t>
      </w:r>
      <w:r w:rsidR="00137A17">
        <w:rPr>
          <w:rFonts w:ascii="Arial" w:hAnsi="Arial" w:cs="Arial"/>
        </w:rPr>
        <w:t xml:space="preserve"> large amounts of controlled substances.  The answer to </w:t>
      </w:r>
      <w:r w:rsidR="00626AC4">
        <w:rPr>
          <w:rFonts w:ascii="Arial" w:hAnsi="Arial" w:cs="Arial"/>
        </w:rPr>
        <w:t xml:space="preserve">combating all three of these involves keeping our borders secure and that mixed economy at the border </w:t>
      </w:r>
      <w:r w:rsidR="00846DAE">
        <w:rPr>
          <w:rFonts w:ascii="Arial" w:hAnsi="Arial" w:cs="Arial"/>
        </w:rPr>
        <w:t xml:space="preserve">should be </w:t>
      </w:r>
      <w:r w:rsidR="00773FE1">
        <w:rPr>
          <w:rFonts w:ascii="Arial" w:hAnsi="Arial" w:cs="Arial"/>
        </w:rPr>
        <w:t>acknowledged</w:t>
      </w:r>
      <w:r w:rsidR="00846DAE">
        <w:rPr>
          <w:rFonts w:ascii="Arial" w:hAnsi="Arial" w:cs="Arial"/>
        </w:rPr>
        <w:t xml:space="preserve"> and a </w:t>
      </w:r>
      <w:r w:rsidR="009D3E4C">
        <w:rPr>
          <w:rFonts w:ascii="Arial" w:hAnsi="Arial" w:cs="Arial"/>
        </w:rPr>
        <w:t>joined-up</w:t>
      </w:r>
      <w:r w:rsidR="00846DAE">
        <w:rPr>
          <w:rFonts w:ascii="Arial" w:hAnsi="Arial" w:cs="Arial"/>
        </w:rPr>
        <w:t xml:space="preserve"> approach by government in aligning relevant law enforcement bodies to </w:t>
      </w:r>
      <w:r w:rsidR="00773FE1">
        <w:rPr>
          <w:rFonts w:ascii="Arial" w:hAnsi="Arial" w:cs="Arial"/>
        </w:rPr>
        <w:t>combat it.</w:t>
      </w:r>
    </w:p>
    <w:p w14:paraId="046D94F3" w14:textId="77777777" w:rsidR="000A0EE3" w:rsidRDefault="000A0EE3" w:rsidP="00773FE1">
      <w:pPr>
        <w:jc w:val="both"/>
        <w:rPr>
          <w:rFonts w:ascii="Arial" w:hAnsi="Arial" w:cs="Arial"/>
        </w:rPr>
      </w:pPr>
    </w:p>
    <w:p w14:paraId="14BEA237" w14:textId="44BEABD7" w:rsidR="000A0EE3" w:rsidRDefault="000A0EE3" w:rsidP="00773FE1">
      <w:pPr>
        <w:jc w:val="both"/>
        <w:rPr>
          <w:rFonts w:ascii="Arial" w:hAnsi="Arial" w:cs="Arial"/>
        </w:rPr>
      </w:pPr>
      <w:r w:rsidRPr="000A0EE3">
        <w:rPr>
          <w:rFonts w:ascii="Arial" w:hAnsi="Arial" w:cs="Arial"/>
        </w:rPr>
        <w:t xml:space="preserve">Irrespective of whether the recommendations for potential </w:t>
      </w:r>
      <w:r w:rsidR="00F9139E">
        <w:rPr>
          <w:rFonts w:ascii="Arial" w:hAnsi="Arial" w:cs="Arial"/>
        </w:rPr>
        <w:t>collaboration at the border is fulfilled</w:t>
      </w:r>
      <w:r w:rsidRPr="000A0EE3">
        <w:rPr>
          <w:rFonts w:ascii="Arial" w:hAnsi="Arial" w:cs="Arial"/>
        </w:rPr>
        <w:t xml:space="preserve">, the author hopes that the research into </w:t>
      </w:r>
      <w:r w:rsidR="00F9139E">
        <w:rPr>
          <w:rFonts w:ascii="Arial" w:hAnsi="Arial" w:cs="Arial"/>
        </w:rPr>
        <w:t xml:space="preserve">the activities of counter terrorism </w:t>
      </w:r>
      <w:proofErr w:type="gramStart"/>
      <w:r w:rsidR="003B2D33">
        <w:rPr>
          <w:rFonts w:ascii="Arial" w:hAnsi="Arial" w:cs="Arial"/>
        </w:rPr>
        <w:t>officers’</w:t>
      </w:r>
      <w:proofErr w:type="gramEnd"/>
      <w:r w:rsidR="00F9139E">
        <w:rPr>
          <w:rFonts w:ascii="Arial" w:hAnsi="Arial" w:cs="Arial"/>
        </w:rPr>
        <w:t xml:space="preserve"> at </w:t>
      </w:r>
      <w:r w:rsidR="00F9139E">
        <w:rPr>
          <w:rFonts w:ascii="Arial" w:hAnsi="Arial" w:cs="Arial"/>
        </w:rPr>
        <w:lastRenderedPageBreak/>
        <w:t>the border</w:t>
      </w:r>
      <w:r w:rsidRPr="000A0EE3">
        <w:rPr>
          <w:rFonts w:ascii="Arial" w:hAnsi="Arial" w:cs="Arial"/>
        </w:rPr>
        <w:t xml:space="preserve"> is continued. Their role is essential in keeping the communities of the United Kingdom safe from terrorism</w:t>
      </w:r>
      <w:r w:rsidR="003B2D33">
        <w:rPr>
          <w:rFonts w:ascii="Arial" w:hAnsi="Arial" w:cs="Arial"/>
        </w:rPr>
        <w:t>.</w:t>
      </w:r>
    </w:p>
    <w:p w14:paraId="590C35AB" w14:textId="0DE93710" w:rsidR="00D82EE2" w:rsidRDefault="00D82EE2" w:rsidP="006C36C8">
      <w:pPr>
        <w:rPr>
          <w:rFonts w:ascii="Arial" w:hAnsi="Arial" w:cs="Arial"/>
        </w:rPr>
      </w:pPr>
    </w:p>
    <w:p w14:paraId="25B3F632" w14:textId="77777777" w:rsidR="0077781A" w:rsidRDefault="0077781A" w:rsidP="006C36C8">
      <w:pPr>
        <w:rPr>
          <w:rFonts w:ascii="Arial" w:hAnsi="Arial" w:cs="Arial"/>
        </w:rPr>
      </w:pPr>
    </w:p>
    <w:p w14:paraId="73660455" w14:textId="77777777" w:rsidR="0077781A" w:rsidRDefault="0077781A" w:rsidP="006C36C8">
      <w:pPr>
        <w:rPr>
          <w:rFonts w:ascii="Arial" w:hAnsi="Arial" w:cs="Arial"/>
        </w:rPr>
      </w:pPr>
    </w:p>
    <w:p w14:paraId="2A54691B" w14:textId="77777777" w:rsidR="0077781A" w:rsidRDefault="0077781A" w:rsidP="006C36C8">
      <w:pPr>
        <w:rPr>
          <w:rFonts w:ascii="Arial" w:hAnsi="Arial" w:cs="Arial"/>
        </w:rPr>
      </w:pPr>
    </w:p>
    <w:p w14:paraId="55380950" w14:textId="77777777" w:rsidR="0077781A" w:rsidRDefault="0077781A" w:rsidP="006C36C8">
      <w:pPr>
        <w:rPr>
          <w:rFonts w:ascii="Arial" w:hAnsi="Arial" w:cs="Arial"/>
        </w:rPr>
      </w:pPr>
    </w:p>
    <w:p w14:paraId="263490A1" w14:textId="77777777" w:rsidR="001B4303" w:rsidRDefault="001B4303" w:rsidP="006C36C8">
      <w:pPr>
        <w:rPr>
          <w:rFonts w:ascii="Arial" w:hAnsi="Arial" w:cs="Arial"/>
        </w:rPr>
      </w:pPr>
    </w:p>
    <w:p w14:paraId="38A829B6" w14:textId="77777777" w:rsidR="00883F63" w:rsidRDefault="00883F63" w:rsidP="006C36C8">
      <w:pPr>
        <w:rPr>
          <w:rFonts w:ascii="Arial" w:hAnsi="Arial" w:cs="Arial"/>
        </w:rPr>
      </w:pPr>
    </w:p>
    <w:p w14:paraId="2855698A" w14:textId="77777777" w:rsidR="00883F63" w:rsidRDefault="00883F63" w:rsidP="006C36C8">
      <w:pPr>
        <w:rPr>
          <w:rFonts w:ascii="Arial" w:hAnsi="Arial" w:cs="Arial"/>
        </w:rPr>
      </w:pPr>
    </w:p>
    <w:p w14:paraId="7BC31A64" w14:textId="77777777" w:rsidR="00883F63" w:rsidRDefault="00883F63" w:rsidP="006C36C8">
      <w:pPr>
        <w:rPr>
          <w:rFonts w:ascii="Arial" w:hAnsi="Arial" w:cs="Arial"/>
        </w:rPr>
      </w:pPr>
    </w:p>
    <w:p w14:paraId="385A260D" w14:textId="77777777" w:rsidR="00883F63" w:rsidRDefault="00883F63" w:rsidP="006C36C8">
      <w:pPr>
        <w:rPr>
          <w:rFonts w:ascii="Arial" w:hAnsi="Arial" w:cs="Arial"/>
        </w:rPr>
      </w:pPr>
    </w:p>
    <w:p w14:paraId="46479303" w14:textId="77777777" w:rsidR="00883F63" w:rsidRDefault="00883F63" w:rsidP="006C36C8">
      <w:pPr>
        <w:rPr>
          <w:rFonts w:ascii="Arial" w:hAnsi="Arial" w:cs="Arial"/>
        </w:rPr>
      </w:pPr>
    </w:p>
    <w:p w14:paraId="1D9025E8" w14:textId="77777777" w:rsidR="00883F63" w:rsidRDefault="00883F63" w:rsidP="006C36C8">
      <w:pPr>
        <w:rPr>
          <w:rFonts w:ascii="Arial" w:hAnsi="Arial" w:cs="Arial"/>
        </w:rPr>
      </w:pPr>
    </w:p>
    <w:p w14:paraId="47A67D13" w14:textId="77777777" w:rsidR="00883F63" w:rsidRDefault="00883F63" w:rsidP="006C36C8">
      <w:pPr>
        <w:rPr>
          <w:rFonts w:ascii="Arial" w:hAnsi="Arial" w:cs="Arial"/>
        </w:rPr>
      </w:pPr>
    </w:p>
    <w:p w14:paraId="32A36133" w14:textId="77777777" w:rsidR="00883F63" w:rsidRDefault="00883F63" w:rsidP="006C36C8">
      <w:pPr>
        <w:rPr>
          <w:rFonts w:ascii="Arial" w:hAnsi="Arial" w:cs="Arial"/>
        </w:rPr>
      </w:pPr>
    </w:p>
    <w:p w14:paraId="37A70A8D" w14:textId="77777777" w:rsidR="00883F63" w:rsidRDefault="00883F63" w:rsidP="006C36C8">
      <w:pPr>
        <w:rPr>
          <w:rFonts w:ascii="Arial" w:hAnsi="Arial" w:cs="Arial"/>
        </w:rPr>
      </w:pPr>
    </w:p>
    <w:p w14:paraId="7BF30354" w14:textId="77777777" w:rsidR="00883F63" w:rsidRDefault="00883F63" w:rsidP="006C36C8">
      <w:pPr>
        <w:rPr>
          <w:rFonts w:ascii="Arial" w:hAnsi="Arial" w:cs="Arial"/>
        </w:rPr>
      </w:pPr>
    </w:p>
    <w:p w14:paraId="3401E887" w14:textId="77777777" w:rsidR="00883F63" w:rsidRDefault="00883F63" w:rsidP="006C36C8">
      <w:pPr>
        <w:rPr>
          <w:rFonts w:ascii="Arial" w:hAnsi="Arial" w:cs="Arial"/>
        </w:rPr>
      </w:pPr>
    </w:p>
    <w:p w14:paraId="33FDC6C4" w14:textId="77777777" w:rsidR="00883F63" w:rsidRDefault="00883F63" w:rsidP="006C36C8">
      <w:pPr>
        <w:rPr>
          <w:rFonts w:ascii="Arial" w:hAnsi="Arial" w:cs="Arial"/>
        </w:rPr>
      </w:pPr>
    </w:p>
    <w:p w14:paraId="25F8FAC8" w14:textId="77777777" w:rsidR="00883F63" w:rsidRDefault="00883F63" w:rsidP="006C36C8">
      <w:pPr>
        <w:rPr>
          <w:rFonts w:ascii="Arial" w:hAnsi="Arial" w:cs="Arial"/>
        </w:rPr>
      </w:pPr>
    </w:p>
    <w:p w14:paraId="78A9B32E" w14:textId="77777777" w:rsidR="00883F63" w:rsidRDefault="00883F63" w:rsidP="006C36C8">
      <w:pPr>
        <w:rPr>
          <w:rFonts w:ascii="Arial" w:hAnsi="Arial" w:cs="Arial"/>
        </w:rPr>
      </w:pPr>
    </w:p>
    <w:p w14:paraId="78D71F7A" w14:textId="77777777" w:rsidR="00883F63" w:rsidRDefault="00883F63" w:rsidP="006C36C8">
      <w:pPr>
        <w:rPr>
          <w:rFonts w:ascii="Arial" w:hAnsi="Arial" w:cs="Arial"/>
        </w:rPr>
      </w:pPr>
    </w:p>
    <w:p w14:paraId="6EE6FAC4" w14:textId="77777777" w:rsidR="00883F63" w:rsidRDefault="00883F63" w:rsidP="006C36C8">
      <w:pPr>
        <w:rPr>
          <w:rFonts w:ascii="Arial" w:hAnsi="Arial" w:cs="Arial"/>
        </w:rPr>
      </w:pPr>
    </w:p>
    <w:p w14:paraId="604B59C6" w14:textId="77777777" w:rsidR="00883F63" w:rsidRDefault="00883F63" w:rsidP="006C36C8">
      <w:pPr>
        <w:rPr>
          <w:rFonts w:ascii="Arial" w:hAnsi="Arial" w:cs="Arial"/>
        </w:rPr>
      </w:pPr>
    </w:p>
    <w:p w14:paraId="6CD6A21F" w14:textId="77777777" w:rsidR="00883F63" w:rsidRDefault="00883F63" w:rsidP="006C36C8">
      <w:pPr>
        <w:rPr>
          <w:rFonts w:ascii="Arial" w:hAnsi="Arial" w:cs="Arial"/>
        </w:rPr>
      </w:pPr>
    </w:p>
    <w:p w14:paraId="579AA499" w14:textId="77777777" w:rsidR="00883F63" w:rsidRDefault="00883F63" w:rsidP="006C36C8">
      <w:pPr>
        <w:rPr>
          <w:rFonts w:ascii="Arial" w:hAnsi="Arial" w:cs="Arial"/>
        </w:rPr>
      </w:pPr>
    </w:p>
    <w:p w14:paraId="198094B4" w14:textId="77777777" w:rsidR="00883F63" w:rsidRDefault="00883F63" w:rsidP="006C36C8">
      <w:pPr>
        <w:rPr>
          <w:rFonts w:ascii="Arial" w:hAnsi="Arial" w:cs="Arial"/>
        </w:rPr>
      </w:pPr>
    </w:p>
    <w:p w14:paraId="3F235A9C" w14:textId="77777777" w:rsidR="00883F63" w:rsidRDefault="00883F63" w:rsidP="006C36C8">
      <w:pPr>
        <w:rPr>
          <w:rFonts w:ascii="Arial" w:hAnsi="Arial" w:cs="Arial"/>
        </w:rPr>
      </w:pPr>
    </w:p>
    <w:p w14:paraId="6BE0DF9D" w14:textId="77777777" w:rsidR="00440BF7" w:rsidRDefault="00440BF7" w:rsidP="006C36C8">
      <w:pPr>
        <w:rPr>
          <w:rFonts w:ascii="Arial" w:hAnsi="Arial" w:cs="Arial"/>
          <w:b/>
          <w:bCs/>
          <w:u w:val="single"/>
        </w:rPr>
      </w:pPr>
    </w:p>
    <w:p w14:paraId="7AA5CE5A" w14:textId="77777777" w:rsidR="00440BF7" w:rsidRDefault="00440BF7" w:rsidP="006C36C8">
      <w:pPr>
        <w:rPr>
          <w:rFonts w:ascii="Arial" w:hAnsi="Arial" w:cs="Arial"/>
          <w:b/>
          <w:bCs/>
          <w:u w:val="single"/>
        </w:rPr>
      </w:pPr>
    </w:p>
    <w:p w14:paraId="491C37A5" w14:textId="77777777" w:rsidR="00440BF7" w:rsidRDefault="00440BF7" w:rsidP="006C36C8">
      <w:pPr>
        <w:rPr>
          <w:rFonts w:ascii="Arial" w:hAnsi="Arial" w:cs="Arial"/>
          <w:b/>
          <w:bCs/>
          <w:u w:val="single"/>
        </w:rPr>
      </w:pPr>
    </w:p>
    <w:p w14:paraId="4FCD072F" w14:textId="77777777" w:rsidR="00440BF7" w:rsidRDefault="00440BF7" w:rsidP="006C36C8">
      <w:pPr>
        <w:rPr>
          <w:rFonts w:ascii="Arial" w:hAnsi="Arial" w:cs="Arial"/>
          <w:b/>
          <w:bCs/>
          <w:u w:val="single"/>
        </w:rPr>
      </w:pPr>
    </w:p>
    <w:p w14:paraId="2841C479" w14:textId="5A8F8ACF" w:rsidR="00883F63" w:rsidRPr="00883F63" w:rsidRDefault="00883F63" w:rsidP="006C36C8">
      <w:pPr>
        <w:rPr>
          <w:rFonts w:ascii="Arial" w:hAnsi="Arial" w:cs="Arial"/>
          <w:b/>
          <w:bCs/>
          <w:u w:val="single"/>
        </w:rPr>
      </w:pPr>
      <w:r w:rsidRPr="00883F63">
        <w:rPr>
          <w:rFonts w:ascii="Arial" w:hAnsi="Arial" w:cs="Arial"/>
          <w:b/>
          <w:bCs/>
          <w:u w:val="single"/>
        </w:rPr>
        <w:lastRenderedPageBreak/>
        <w:t>Reference List.</w:t>
      </w:r>
    </w:p>
    <w:sdt>
      <w:sdtPr>
        <w:rPr>
          <w:rFonts w:asciiTheme="minorHAnsi" w:eastAsiaTheme="minorHAnsi" w:hAnsiTheme="minorHAnsi" w:cstheme="minorBidi"/>
          <w:color w:val="auto"/>
          <w:sz w:val="22"/>
          <w:szCs w:val="22"/>
          <w:lang w:val="en-GB"/>
        </w:rPr>
        <w:id w:val="-1989161159"/>
        <w:docPartObj>
          <w:docPartGallery w:val="Bibliographies"/>
          <w:docPartUnique/>
        </w:docPartObj>
      </w:sdtPr>
      <w:sdtContent>
        <w:p w14:paraId="0DC262F5" w14:textId="281A12A9" w:rsidR="00491910" w:rsidRDefault="00491910">
          <w:pPr>
            <w:pStyle w:val="Heading1"/>
          </w:pPr>
        </w:p>
        <w:sdt>
          <w:sdtPr>
            <w:id w:val="-573587230"/>
            <w:bibliography/>
          </w:sdtPr>
          <w:sdtContent>
            <w:p w14:paraId="1EF6754F" w14:textId="77777777" w:rsidR="00491910" w:rsidRDefault="00491910" w:rsidP="00491910">
              <w:pPr>
                <w:pStyle w:val="Bibliography"/>
                <w:rPr>
                  <w:noProof/>
                  <w:sz w:val="24"/>
                  <w:szCs w:val="24"/>
                  <w:lang w:val="en-US"/>
                </w:rPr>
              </w:pPr>
              <w:r>
                <w:fldChar w:fldCharType="begin"/>
              </w:r>
              <w:r>
                <w:instrText xml:space="preserve"> BIBLIOGRAPHY </w:instrText>
              </w:r>
              <w:r>
                <w:fldChar w:fldCharType="separate"/>
              </w:r>
              <w:r>
                <w:rPr>
                  <w:noProof/>
                  <w:lang w:val="en-US"/>
                </w:rPr>
                <w:t xml:space="preserve">Altrichter, H. F. A. P. P. &amp;. S. B., 1983. </w:t>
              </w:r>
              <w:r>
                <w:rPr>
                  <w:i/>
                  <w:iCs/>
                  <w:noProof/>
                  <w:lang w:val="en-US"/>
                </w:rPr>
                <w:t xml:space="preserve">Teachers investigate their work: An introduction to the methods of actions research. </w:t>
              </w:r>
              <w:r>
                <w:rPr>
                  <w:noProof/>
                  <w:lang w:val="en-US"/>
                </w:rPr>
                <w:t>1 ed. London: Routledge.</w:t>
              </w:r>
            </w:p>
            <w:p w14:paraId="6FFF0F4B" w14:textId="77777777" w:rsidR="00491910" w:rsidRDefault="00491910" w:rsidP="00491910">
              <w:pPr>
                <w:pStyle w:val="Bibliography"/>
                <w:rPr>
                  <w:noProof/>
                  <w:lang w:val="en-US"/>
                </w:rPr>
              </w:pPr>
              <w:r>
                <w:rPr>
                  <w:noProof/>
                  <w:lang w:val="en-US"/>
                </w:rPr>
                <w:t xml:space="preserve">Babbie, E., 2016. </w:t>
              </w:r>
              <w:r>
                <w:rPr>
                  <w:i/>
                  <w:iCs/>
                  <w:noProof/>
                  <w:lang w:val="en-US"/>
                </w:rPr>
                <w:t xml:space="preserve">The practice of social research. </w:t>
              </w:r>
              <w:r>
                <w:rPr>
                  <w:noProof/>
                  <w:lang w:val="en-US"/>
                </w:rPr>
                <w:t>14 ed. Belmont: Cengage Learning.</w:t>
              </w:r>
            </w:p>
            <w:p w14:paraId="26FAA7E9" w14:textId="77777777" w:rsidR="00491910" w:rsidRDefault="00491910" w:rsidP="00491910">
              <w:pPr>
                <w:pStyle w:val="Bibliography"/>
                <w:rPr>
                  <w:noProof/>
                  <w:lang w:val="en-US"/>
                </w:rPr>
              </w:pPr>
              <w:r>
                <w:rPr>
                  <w:noProof/>
                  <w:lang w:val="en-US"/>
                </w:rPr>
                <w:t xml:space="preserve">Babbie, E., 2017. </w:t>
              </w:r>
              <w:r>
                <w:rPr>
                  <w:i/>
                  <w:iCs/>
                  <w:noProof/>
                  <w:lang w:val="en-US"/>
                </w:rPr>
                <w:t xml:space="preserve">The basics of social research. </w:t>
              </w:r>
              <w:r>
                <w:rPr>
                  <w:noProof/>
                  <w:lang w:val="en-US"/>
                </w:rPr>
                <w:t>7 ed. California: Cengage Learning.</w:t>
              </w:r>
            </w:p>
            <w:p w14:paraId="79084C44" w14:textId="77777777" w:rsidR="00491910" w:rsidRDefault="00491910" w:rsidP="00491910">
              <w:pPr>
                <w:pStyle w:val="Bibliography"/>
                <w:rPr>
                  <w:noProof/>
                  <w:lang w:val="en-US"/>
                </w:rPr>
              </w:pPr>
              <w:r>
                <w:rPr>
                  <w:noProof/>
                  <w:lang w:val="en-US"/>
                </w:rPr>
                <w:t xml:space="preserve">Baldaccini, A., 2012. The Common Travel Area and The European Union: A Legal Perspective on Managing External Borders. </w:t>
              </w:r>
              <w:r>
                <w:rPr>
                  <w:i/>
                  <w:iCs/>
                  <w:noProof/>
                  <w:lang w:val="en-US"/>
                </w:rPr>
                <w:t xml:space="preserve">European Journal of Migration and Law, </w:t>
              </w:r>
              <w:r>
                <w:rPr>
                  <w:noProof/>
                  <w:lang w:val="en-US"/>
                </w:rPr>
                <w:t>14(1), pp. 67-91.</w:t>
              </w:r>
            </w:p>
            <w:p w14:paraId="4E62B680" w14:textId="77777777" w:rsidR="00491910" w:rsidRDefault="00491910" w:rsidP="00491910">
              <w:pPr>
                <w:pStyle w:val="Bibliography"/>
                <w:rPr>
                  <w:noProof/>
                  <w:lang w:val="en-US"/>
                </w:rPr>
              </w:pPr>
              <w:r>
                <w:rPr>
                  <w:noProof/>
                  <w:lang w:val="en-US"/>
                </w:rPr>
                <w:t xml:space="preserve">Beauchamp T, C. J., 2019. Principles of Biomedical Ethics: Marking its Foortieth Anniversary. </w:t>
              </w:r>
              <w:r>
                <w:rPr>
                  <w:i/>
                  <w:iCs/>
                  <w:noProof/>
                  <w:lang w:val="en-US"/>
                </w:rPr>
                <w:t xml:space="preserve">The American Journal of Bioethics, </w:t>
              </w:r>
              <w:r>
                <w:rPr>
                  <w:noProof/>
                  <w:lang w:val="en-US"/>
                </w:rPr>
                <w:t>19(11), pp. 9-12.</w:t>
              </w:r>
            </w:p>
            <w:p w14:paraId="3C00389F" w14:textId="77777777" w:rsidR="00491910" w:rsidRDefault="00491910" w:rsidP="00491910">
              <w:pPr>
                <w:pStyle w:val="Bibliography"/>
                <w:rPr>
                  <w:noProof/>
                  <w:lang w:val="en-US"/>
                </w:rPr>
              </w:pPr>
              <w:r>
                <w:rPr>
                  <w:noProof/>
                  <w:lang w:val="en-US"/>
                </w:rPr>
                <w:t xml:space="preserve">Biggam, 2021. </w:t>
              </w:r>
              <w:r>
                <w:rPr>
                  <w:i/>
                  <w:iCs/>
                  <w:noProof/>
                  <w:lang w:val="en-US"/>
                </w:rPr>
                <w:t xml:space="preserve">Succeeding with your Masters Dissertatoin. </w:t>
              </w:r>
              <w:r>
                <w:rPr>
                  <w:noProof/>
                  <w:lang w:val="en-US"/>
                </w:rPr>
                <w:t>5 ed. London: OUP.</w:t>
              </w:r>
            </w:p>
            <w:p w14:paraId="6F8909B8" w14:textId="77777777" w:rsidR="00491910" w:rsidRDefault="00491910" w:rsidP="00491910">
              <w:pPr>
                <w:pStyle w:val="Bibliography"/>
                <w:rPr>
                  <w:noProof/>
                  <w:lang w:val="en-US"/>
                </w:rPr>
              </w:pPr>
              <w:r>
                <w:rPr>
                  <w:noProof/>
                  <w:lang w:val="en-US"/>
                </w:rPr>
                <w:t xml:space="preserve">Booth, W., 2016. </w:t>
              </w:r>
              <w:r>
                <w:rPr>
                  <w:i/>
                  <w:iCs/>
                  <w:noProof/>
                  <w:lang w:val="en-US"/>
                </w:rPr>
                <w:t xml:space="preserve">The Craft of research. </w:t>
              </w:r>
              <w:r>
                <w:rPr>
                  <w:noProof/>
                  <w:lang w:val="en-US"/>
                </w:rPr>
                <w:t>3 ed. Chicago: University of Chicago Press.</w:t>
              </w:r>
            </w:p>
            <w:p w14:paraId="7746CF80" w14:textId="77777777" w:rsidR="00491910" w:rsidRDefault="00491910" w:rsidP="00491910">
              <w:pPr>
                <w:pStyle w:val="Bibliography"/>
                <w:rPr>
                  <w:noProof/>
                  <w:lang w:val="en-US"/>
                </w:rPr>
              </w:pPr>
              <w:r>
                <w:rPr>
                  <w:noProof/>
                  <w:lang w:val="en-US"/>
                </w:rPr>
                <w:t xml:space="preserve">Bowyer-Bower, T. &amp;. J. F., 2019. Schedule 7 of the Terrorism Act 2000: An instrument of ethnic and religious bias?. </w:t>
              </w:r>
              <w:r>
                <w:rPr>
                  <w:i/>
                  <w:iCs/>
                  <w:noProof/>
                  <w:lang w:val="en-US"/>
                </w:rPr>
                <w:t xml:space="preserve">The British Journal of Criminology, </w:t>
              </w:r>
              <w:r>
                <w:rPr>
                  <w:noProof/>
                  <w:lang w:val="en-US"/>
                </w:rPr>
                <w:t>5(59), pp. 1097-1117.</w:t>
              </w:r>
            </w:p>
            <w:p w14:paraId="729364D9" w14:textId="77777777" w:rsidR="00491910" w:rsidRDefault="00491910" w:rsidP="00491910">
              <w:pPr>
                <w:pStyle w:val="Bibliography"/>
                <w:rPr>
                  <w:noProof/>
                  <w:lang w:val="en-US"/>
                </w:rPr>
              </w:pPr>
              <w:r>
                <w:rPr>
                  <w:noProof/>
                  <w:lang w:val="en-US"/>
                </w:rPr>
                <w:t xml:space="preserve">Brace, 2022. </w:t>
              </w:r>
              <w:r>
                <w:rPr>
                  <w:i/>
                  <w:iCs/>
                  <w:noProof/>
                  <w:lang w:val="en-US"/>
                </w:rPr>
                <w:t xml:space="preserve">Questionnaire Design: How to Plan, Structure, and Write Survey Material for Effective Market Research. </w:t>
              </w:r>
              <w:r>
                <w:rPr>
                  <w:noProof/>
                  <w:lang w:val="en-US"/>
                </w:rPr>
                <w:t>5 ed. London: Kogan page Limited.</w:t>
              </w:r>
            </w:p>
            <w:p w14:paraId="1B90C2B5" w14:textId="77777777" w:rsidR="00491910" w:rsidRDefault="00491910" w:rsidP="00491910">
              <w:pPr>
                <w:pStyle w:val="Bibliography"/>
                <w:rPr>
                  <w:noProof/>
                  <w:lang w:val="en-US"/>
                </w:rPr>
              </w:pPr>
              <w:r>
                <w:rPr>
                  <w:noProof/>
                  <w:lang w:val="en-US"/>
                </w:rPr>
                <w:t xml:space="preserve">Braun, V. &amp;. C. V., 2006. Using thematic analysis in psychology. </w:t>
              </w:r>
              <w:r>
                <w:rPr>
                  <w:i/>
                  <w:iCs/>
                  <w:noProof/>
                  <w:lang w:val="en-US"/>
                </w:rPr>
                <w:t xml:space="preserve">Qualitative Research in Psychology, </w:t>
              </w:r>
              <w:r>
                <w:rPr>
                  <w:noProof/>
                  <w:lang w:val="en-US"/>
                </w:rPr>
                <w:t>2(3), pp. 77-101.</w:t>
              </w:r>
            </w:p>
            <w:p w14:paraId="1B8A668F" w14:textId="77777777" w:rsidR="00491910" w:rsidRDefault="00491910" w:rsidP="00491910">
              <w:pPr>
                <w:pStyle w:val="Bibliography"/>
                <w:rPr>
                  <w:noProof/>
                  <w:lang w:val="en-US"/>
                </w:rPr>
              </w:pPr>
              <w:r>
                <w:rPr>
                  <w:noProof/>
                  <w:lang w:val="en-US"/>
                </w:rPr>
                <w:t xml:space="preserve">Briggerman, E. &amp;. S. A., 2020. Countering Terrorism in the UK: The Evolution of Prevent and Schedule 7 of the Terrorism Act 2000. </w:t>
              </w:r>
              <w:r>
                <w:rPr>
                  <w:i/>
                  <w:iCs/>
                  <w:noProof/>
                  <w:lang w:val="en-US"/>
                </w:rPr>
                <w:t xml:space="preserve">Perspectives on Terrorism, </w:t>
              </w:r>
              <w:r>
                <w:rPr>
                  <w:noProof/>
                  <w:lang w:val="en-US"/>
                </w:rPr>
                <w:t>14(6), pp. 122-141.</w:t>
              </w:r>
            </w:p>
            <w:p w14:paraId="278D3665" w14:textId="77777777" w:rsidR="00491910" w:rsidRDefault="00491910" w:rsidP="00491910">
              <w:pPr>
                <w:pStyle w:val="Bibliography"/>
                <w:rPr>
                  <w:noProof/>
                  <w:lang w:val="en-US"/>
                </w:rPr>
              </w:pPr>
              <w:r>
                <w:rPr>
                  <w:noProof/>
                  <w:lang w:val="en-US"/>
                </w:rPr>
                <w:t xml:space="preserve">Brookman, F. &amp;. P. H., 2016. Terrorism Act 2000, Schedule 7 and the control order regime: Reconciling security and liberty in the age of uncertainty. </w:t>
              </w:r>
              <w:r>
                <w:rPr>
                  <w:i/>
                  <w:iCs/>
                  <w:noProof/>
                  <w:lang w:val="en-US"/>
                </w:rPr>
                <w:t xml:space="preserve">The British Journal of Criminology, </w:t>
              </w:r>
              <w:r>
                <w:rPr>
                  <w:noProof/>
                  <w:lang w:val="en-US"/>
                </w:rPr>
                <w:t>56(4), pp. 682-700.</w:t>
              </w:r>
            </w:p>
            <w:p w14:paraId="6F6C8E3D" w14:textId="77777777" w:rsidR="00491910" w:rsidRDefault="00491910" w:rsidP="00491910">
              <w:pPr>
                <w:pStyle w:val="Bibliography"/>
                <w:rPr>
                  <w:noProof/>
                  <w:lang w:val="en-US"/>
                </w:rPr>
              </w:pPr>
              <w:r>
                <w:rPr>
                  <w:noProof/>
                  <w:lang w:val="en-US"/>
                </w:rPr>
                <w:t xml:space="preserve">Bryman, A., 2016. </w:t>
              </w:r>
              <w:r>
                <w:rPr>
                  <w:i/>
                  <w:iCs/>
                  <w:noProof/>
                  <w:lang w:val="en-US"/>
                </w:rPr>
                <w:t xml:space="preserve">Socail Research Methods. </w:t>
              </w:r>
              <w:r>
                <w:rPr>
                  <w:noProof/>
                  <w:lang w:val="en-US"/>
                </w:rPr>
                <w:t>5 ed. Oxford: Oxford University Press.</w:t>
              </w:r>
            </w:p>
            <w:p w14:paraId="3299BA4A" w14:textId="77777777" w:rsidR="00491910" w:rsidRDefault="00491910" w:rsidP="00491910">
              <w:pPr>
                <w:pStyle w:val="Bibliography"/>
                <w:rPr>
                  <w:noProof/>
                  <w:lang w:val="en-US"/>
                </w:rPr>
              </w:pPr>
              <w:r>
                <w:rPr>
                  <w:noProof/>
                  <w:lang w:val="en-US"/>
                </w:rPr>
                <w:t xml:space="preserve">Bryman, A., 2016. </w:t>
              </w:r>
              <w:r>
                <w:rPr>
                  <w:i/>
                  <w:iCs/>
                  <w:noProof/>
                  <w:lang w:val="en-US"/>
                </w:rPr>
                <w:t xml:space="preserve">Social Research Methods. </w:t>
              </w:r>
              <w:r>
                <w:rPr>
                  <w:noProof/>
                  <w:lang w:val="en-US"/>
                </w:rPr>
                <w:t>5 ed. Oxford: Oxford University Press.</w:t>
              </w:r>
            </w:p>
            <w:p w14:paraId="4E8C73BC" w14:textId="77777777" w:rsidR="00491910" w:rsidRDefault="00491910" w:rsidP="00491910">
              <w:pPr>
                <w:pStyle w:val="Bibliography"/>
                <w:rPr>
                  <w:noProof/>
                  <w:lang w:val="en-US"/>
                </w:rPr>
              </w:pPr>
              <w:r>
                <w:rPr>
                  <w:noProof/>
                  <w:lang w:val="en-US"/>
                </w:rPr>
                <w:t xml:space="preserve">Burke, 2020. </w:t>
              </w:r>
              <w:r>
                <w:rPr>
                  <w:i/>
                  <w:iCs/>
                  <w:noProof/>
                  <w:lang w:val="en-US"/>
                </w:rPr>
                <w:t xml:space="preserve">Securing the Common Travel Area in 2021. </w:t>
              </w:r>
              <w:r>
                <w:rPr>
                  <w:noProof/>
                  <w:lang w:val="en-US"/>
                </w:rPr>
                <w:t xml:space="preserve">[Online] </w:t>
              </w:r>
              <w:r>
                <w:rPr>
                  <w:noProof/>
                  <w:lang w:val="en-US"/>
                </w:rPr>
                <w:br/>
                <w:t xml:space="preserve">Available at: </w:t>
              </w:r>
              <w:r>
                <w:rPr>
                  <w:noProof/>
                  <w:u w:val="single"/>
                  <w:lang w:val="en-US"/>
                </w:rPr>
                <w:t>https://www.azureforum.org/securing-the-common-travel-area-in-2021/</w:t>
              </w:r>
              <w:r>
                <w:rPr>
                  <w:noProof/>
                  <w:lang w:val="en-US"/>
                </w:rPr>
                <w:br/>
                <w:t>[Accessed 30 May 2024].</w:t>
              </w:r>
            </w:p>
            <w:p w14:paraId="7D40DEBE" w14:textId="77777777" w:rsidR="00491910" w:rsidRDefault="00491910" w:rsidP="00491910">
              <w:pPr>
                <w:pStyle w:val="Bibliography"/>
                <w:rPr>
                  <w:noProof/>
                  <w:lang w:val="en-US"/>
                </w:rPr>
              </w:pPr>
              <w:r>
                <w:rPr>
                  <w:noProof/>
                  <w:lang w:val="en-US"/>
                </w:rPr>
                <w:t xml:space="preserve">Byrne, D., 2016. </w:t>
              </w:r>
              <w:r>
                <w:rPr>
                  <w:i/>
                  <w:iCs/>
                  <w:noProof/>
                  <w:lang w:val="en-US"/>
                </w:rPr>
                <w:t xml:space="preserve">Social Research Methods. </w:t>
              </w:r>
              <w:r>
                <w:rPr>
                  <w:noProof/>
                  <w:lang w:val="en-US"/>
                </w:rPr>
                <w:t>3 ed. Oxford: Oxford University Press.</w:t>
              </w:r>
            </w:p>
            <w:p w14:paraId="3CAE0AFF" w14:textId="77777777" w:rsidR="00491910" w:rsidRDefault="00491910" w:rsidP="00491910">
              <w:pPr>
                <w:pStyle w:val="Bibliography"/>
                <w:rPr>
                  <w:noProof/>
                  <w:lang w:val="en-US"/>
                </w:rPr>
              </w:pPr>
              <w:r>
                <w:rPr>
                  <w:noProof/>
                  <w:lang w:val="en-US"/>
                </w:rPr>
                <w:t xml:space="preserve">Caless, B. &amp;. T. J., 2016. Cross Border Crime in the Common Travel Area: An Analysis of Offences, Perceptions, and Policing.. </w:t>
              </w:r>
              <w:r>
                <w:rPr>
                  <w:i/>
                  <w:iCs/>
                  <w:noProof/>
                  <w:lang w:val="en-US"/>
                </w:rPr>
                <w:t xml:space="preserve">A Joural of Policy and Practice, </w:t>
              </w:r>
              <w:r>
                <w:rPr>
                  <w:noProof/>
                  <w:lang w:val="en-US"/>
                </w:rPr>
                <w:t>10(3), pp. 239-251.</w:t>
              </w:r>
            </w:p>
            <w:p w14:paraId="7BE8A8BB" w14:textId="77777777" w:rsidR="00491910" w:rsidRDefault="00491910" w:rsidP="00491910">
              <w:pPr>
                <w:pStyle w:val="Bibliography"/>
                <w:rPr>
                  <w:noProof/>
                  <w:lang w:val="en-US"/>
                </w:rPr>
              </w:pPr>
              <w:r>
                <w:rPr>
                  <w:noProof/>
                  <w:lang w:val="en-US"/>
                </w:rPr>
                <w:t xml:space="preserve">Carrapico, H. &amp;. N. A., 2020. Counter-terrorism cooperation between the EU and the UK after Brexit: State of the art and future challenges. </w:t>
              </w:r>
              <w:r>
                <w:rPr>
                  <w:i/>
                  <w:iCs/>
                  <w:noProof/>
                  <w:lang w:val="en-US"/>
                </w:rPr>
                <w:t xml:space="preserve">Perspectives on Terrorism, </w:t>
              </w:r>
              <w:r>
                <w:rPr>
                  <w:noProof/>
                  <w:lang w:val="en-US"/>
                </w:rPr>
                <w:t>14(2), pp. 2-20.</w:t>
              </w:r>
            </w:p>
            <w:p w14:paraId="279E14CE" w14:textId="77777777" w:rsidR="00491910" w:rsidRDefault="00491910" w:rsidP="00491910">
              <w:pPr>
                <w:pStyle w:val="Bibliography"/>
                <w:rPr>
                  <w:noProof/>
                  <w:lang w:val="en-US"/>
                </w:rPr>
              </w:pPr>
              <w:r>
                <w:rPr>
                  <w:noProof/>
                  <w:lang w:val="en-US"/>
                </w:rPr>
                <w:t xml:space="preserve">Choudhury, T. &amp;. F. H., 2018. Schedule 7 of the Terrorism Act 2000: A human rights analysis. </w:t>
              </w:r>
              <w:r>
                <w:rPr>
                  <w:i/>
                  <w:iCs/>
                  <w:noProof/>
                  <w:lang w:val="en-US"/>
                </w:rPr>
                <w:t xml:space="preserve">Legal Studies, </w:t>
              </w:r>
              <w:r>
                <w:rPr>
                  <w:noProof/>
                  <w:lang w:val="en-US"/>
                </w:rPr>
                <w:t>38(4), pp. 658-682.</w:t>
              </w:r>
            </w:p>
            <w:p w14:paraId="7690FAE0" w14:textId="77777777" w:rsidR="00491910" w:rsidRDefault="00491910" w:rsidP="00491910">
              <w:pPr>
                <w:pStyle w:val="Bibliography"/>
                <w:rPr>
                  <w:noProof/>
                  <w:lang w:val="en-US"/>
                </w:rPr>
              </w:pPr>
              <w:r>
                <w:rPr>
                  <w:noProof/>
                  <w:lang w:val="en-US"/>
                </w:rPr>
                <w:lastRenderedPageBreak/>
                <w:t xml:space="preserve">Conway, M. &amp;. M. L., 2018. A threat-driven security analysis of the common travel area post Brexit. </w:t>
              </w:r>
              <w:r>
                <w:rPr>
                  <w:i/>
                  <w:iCs/>
                  <w:noProof/>
                  <w:lang w:val="en-US"/>
                </w:rPr>
                <w:t xml:space="preserve">Irish Studies in International Affairs, </w:t>
              </w:r>
              <w:r>
                <w:rPr>
                  <w:noProof/>
                  <w:lang w:val="en-US"/>
                </w:rPr>
                <w:t>29(1), pp. 11-28.</w:t>
              </w:r>
            </w:p>
            <w:p w14:paraId="32F54DA0" w14:textId="77777777" w:rsidR="00491910" w:rsidRDefault="00491910" w:rsidP="00491910">
              <w:pPr>
                <w:pStyle w:val="Bibliography"/>
                <w:rPr>
                  <w:noProof/>
                  <w:lang w:val="en-US"/>
                </w:rPr>
              </w:pPr>
              <w:r>
                <w:rPr>
                  <w:noProof/>
                  <w:lang w:val="en-US"/>
                </w:rPr>
                <w:t xml:space="preserve">Cooper, H., 2016. </w:t>
              </w:r>
              <w:r>
                <w:rPr>
                  <w:i/>
                  <w:iCs/>
                  <w:noProof/>
                  <w:lang w:val="en-US"/>
                </w:rPr>
                <w:t xml:space="preserve">Research synthesis and meta-analysis: A step by step approach. </w:t>
              </w:r>
              <w:r>
                <w:rPr>
                  <w:noProof/>
                  <w:lang w:val="en-US"/>
                </w:rPr>
                <w:t>5 ed. London : Sage.</w:t>
              </w:r>
            </w:p>
            <w:p w14:paraId="07AFBC7C" w14:textId="77777777" w:rsidR="00491910" w:rsidRDefault="00491910" w:rsidP="00491910">
              <w:pPr>
                <w:pStyle w:val="Bibliography"/>
                <w:rPr>
                  <w:noProof/>
                  <w:lang w:val="en-US"/>
                </w:rPr>
              </w:pPr>
              <w:r>
                <w:rPr>
                  <w:noProof/>
                  <w:lang w:val="en-US"/>
                </w:rPr>
                <w:t xml:space="preserve">Cormac, R. &amp;. B. V., 2019. Schedule 7 and pre-charge detention: A critical analysis of the UK's counter terrorism powers. </w:t>
              </w:r>
              <w:r>
                <w:rPr>
                  <w:i/>
                  <w:iCs/>
                  <w:noProof/>
                  <w:lang w:val="en-US"/>
                </w:rPr>
                <w:t xml:space="preserve">Criticla Studies on Terrorism , </w:t>
              </w:r>
              <w:r>
                <w:rPr>
                  <w:noProof/>
                  <w:lang w:val="en-US"/>
                </w:rPr>
                <w:t>3(12), pp. 396-418.</w:t>
              </w:r>
            </w:p>
            <w:p w14:paraId="7BDE8DDA" w14:textId="77777777" w:rsidR="00491910" w:rsidRDefault="00491910" w:rsidP="00491910">
              <w:pPr>
                <w:pStyle w:val="Bibliography"/>
                <w:rPr>
                  <w:noProof/>
                  <w:lang w:val="en-US"/>
                </w:rPr>
              </w:pPr>
              <w:r>
                <w:rPr>
                  <w:noProof/>
                  <w:lang w:val="en-US"/>
                </w:rPr>
                <w:t xml:space="preserve">Counter Terrorism Policing, 2023. </w:t>
              </w:r>
              <w:r>
                <w:rPr>
                  <w:i/>
                  <w:iCs/>
                  <w:noProof/>
                  <w:lang w:val="en-US"/>
                </w:rPr>
                <w:t xml:space="preserve">Schedule 7. </w:t>
              </w:r>
              <w:r>
                <w:rPr>
                  <w:noProof/>
                  <w:lang w:val="en-US"/>
                </w:rPr>
                <w:t xml:space="preserve">[Online] </w:t>
              </w:r>
              <w:r>
                <w:rPr>
                  <w:noProof/>
                  <w:lang w:val="en-US"/>
                </w:rPr>
                <w:br/>
                <w:t xml:space="preserve">Available at: </w:t>
              </w:r>
              <w:r>
                <w:rPr>
                  <w:noProof/>
                  <w:u w:val="single"/>
                  <w:lang w:val="en-US"/>
                </w:rPr>
                <w:t>https://www.counterterrorism.police.uk/what-we-do/protect/schedule-7/</w:t>
              </w:r>
              <w:r>
                <w:rPr>
                  <w:noProof/>
                  <w:lang w:val="en-US"/>
                </w:rPr>
                <w:br/>
                <w:t>[Accessed 30 May 2024].</w:t>
              </w:r>
            </w:p>
            <w:p w14:paraId="23F4D5DD" w14:textId="77777777" w:rsidR="00491910" w:rsidRDefault="00491910" w:rsidP="00491910">
              <w:pPr>
                <w:pStyle w:val="Bibliography"/>
                <w:rPr>
                  <w:noProof/>
                  <w:lang w:val="en-US"/>
                </w:rPr>
              </w:pPr>
              <w:r>
                <w:rPr>
                  <w:noProof/>
                  <w:lang w:val="en-US"/>
                </w:rPr>
                <w:t xml:space="preserve">Crenshaw, M., 2011. </w:t>
              </w:r>
              <w:r>
                <w:rPr>
                  <w:i/>
                  <w:iCs/>
                  <w:noProof/>
                  <w:lang w:val="en-US"/>
                </w:rPr>
                <w:t xml:space="preserve">Explaining terrorism: causes, processes and consequences. </w:t>
              </w:r>
              <w:r>
                <w:rPr>
                  <w:noProof/>
                  <w:lang w:val="en-US"/>
                </w:rPr>
                <w:t>1 ed. Oxford: Routledge.</w:t>
              </w:r>
            </w:p>
            <w:p w14:paraId="02BD47E5" w14:textId="77777777" w:rsidR="00491910" w:rsidRDefault="00491910" w:rsidP="00491910">
              <w:pPr>
                <w:pStyle w:val="Bibliography"/>
                <w:rPr>
                  <w:noProof/>
                  <w:lang w:val="en-US"/>
                </w:rPr>
              </w:pPr>
              <w:r>
                <w:rPr>
                  <w:noProof/>
                  <w:lang w:val="en-US"/>
                </w:rPr>
                <w:t xml:space="preserve">Creswell, J. &amp;. C. D., 2009. </w:t>
              </w:r>
              <w:r>
                <w:rPr>
                  <w:i/>
                  <w:iCs/>
                  <w:noProof/>
                  <w:lang w:val="en-US"/>
                </w:rPr>
                <w:t xml:space="preserve">Research Design: Qualitattive, Quantitative and Mixed Methods Approaches. </w:t>
              </w:r>
              <w:r>
                <w:rPr>
                  <w:noProof/>
                  <w:lang w:val="en-US"/>
                </w:rPr>
                <w:t>1 ed. London: SAGE.</w:t>
              </w:r>
            </w:p>
            <w:p w14:paraId="327BD00B" w14:textId="77777777" w:rsidR="00491910" w:rsidRDefault="00491910" w:rsidP="00491910">
              <w:pPr>
                <w:pStyle w:val="Bibliography"/>
                <w:rPr>
                  <w:noProof/>
                  <w:lang w:val="en-US"/>
                </w:rPr>
              </w:pPr>
              <w:r>
                <w:rPr>
                  <w:noProof/>
                  <w:lang w:val="en-US"/>
                </w:rPr>
                <w:t xml:space="preserve">Creswell, J. &amp;. P. C. V., 2017. </w:t>
              </w:r>
              <w:r>
                <w:rPr>
                  <w:i/>
                  <w:iCs/>
                  <w:noProof/>
                  <w:lang w:val="en-US"/>
                </w:rPr>
                <w:t xml:space="preserve">Designing and conducting mixed methods research. </w:t>
              </w:r>
              <w:r>
                <w:rPr>
                  <w:noProof/>
                  <w:lang w:val="en-US"/>
                </w:rPr>
                <w:t>3 ed. London: Sage.</w:t>
              </w:r>
            </w:p>
            <w:p w14:paraId="52E90426" w14:textId="77777777" w:rsidR="00491910" w:rsidRDefault="00491910" w:rsidP="00491910">
              <w:pPr>
                <w:pStyle w:val="Bibliography"/>
                <w:rPr>
                  <w:noProof/>
                  <w:lang w:val="en-US"/>
                </w:rPr>
              </w:pPr>
              <w:r>
                <w:rPr>
                  <w:noProof/>
                  <w:lang w:val="en-US"/>
                </w:rPr>
                <w:t xml:space="preserve">Creswell, J., 2007. </w:t>
              </w:r>
              <w:r>
                <w:rPr>
                  <w:i/>
                  <w:iCs/>
                  <w:noProof/>
                  <w:lang w:val="en-US"/>
                </w:rPr>
                <w:t xml:space="preserve">Qualitative Inquiry and Research Design: Choosing Among Five Approaches. </w:t>
              </w:r>
              <w:r>
                <w:rPr>
                  <w:noProof/>
                  <w:lang w:val="en-US"/>
                </w:rPr>
                <w:t>1 ed. London: SAGE.</w:t>
              </w:r>
            </w:p>
            <w:p w14:paraId="50510197" w14:textId="77777777" w:rsidR="00491910" w:rsidRDefault="00491910" w:rsidP="00491910">
              <w:pPr>
                <w:pStyle w:val="Bibliography"/>
                <w:rPr>
                  <w:noProof/>
                  <w:lang w:val="en-US"/>
                </w:rPr>
              </w:pPr>
              <w:r>
                <w:rPr>
                  <w:noProof/>
                  <w:lang w:val="en-US"/>
                </w:rPr>
                <w:t xml:space="preserve">de Mars, M., 2020. With or Without EU? The Common Travel Area after Brexit. </w:t>
              </w:r>
              <w:r>
                <w:rPr>
                  <w:i/>
                  <w:iCs/>
                  <w:noProof/>
                  <w:lang w:val="en-US"/>
                </w:rPr>
                <w:t xml:space="preserve">German law Journal, </w:t>
              </w:r>
              <w:r>
                <w:rPr>
                  <w:noProof/>
                  <w:lang w:val="en-US"/>
                </w:rPr>
                <w:t>21(5), pp. 815-837.</w:t>
              </w:r>
            </w:p>
            <w:p w14:paraId="4EB6EB40" w14:textId="77777777" w:rsidR="00491910" w:rsidRDefault="00491910" w:rsidP="00491910">
              <w:pPr>
                <w:pStyle w:val="Bibliography"/>
                <w:rPr>
                  <w:noProof/>
                  <w:lang w:val="en-US"/>
                </w:rPr>
              </w:pPr>
              <w:r>
                <w:rPr>
                  <w:noProof/>
                  <w:lang w:val="en-US"/>
                </w:rPr>
                <w:t xml:space="preserve">Denzin, N. &amp;. L. Y., 2011. </w:t>
              </w:r>
              <w:r>
                <w:rPr>
                  <w:i/>
                  <w:iCs/>
                  <w:noProof/>
                  <w:lang w:val="en-US"/>
                </w:rPr>
                <w:t xml:space="preserve">The Sage handbook of qualitative research. </w:t>
              </w:r>
              <w:r>
                <w:rPr>
                  <w:noProof/>
                  <w:lang w:val="en-US"/>
                </w:rPr>
                <w:t>4 ed. London: SAGE.</w:t>
              </w:r>
            </w:p>
            <w:p w14:paraId="5A6BD795" w14:textId="77777777" w:rsidR="00491910" w:rsidRDefault="00491910" w:rsidP="00491910">
              <w:pPr>
                <w:pStyle w:val="Bibliography"/>
                <w:rPr>
                  <w:noProof/>
                  <w:lang w:val="en-US"/>
                </w:rPr>
              </w:pPr>
              <w:r>
                <w:rPr>
                  <w:noProof/>
                  <w:lang w:val="en-US"/>
                </w:rPr>
                <w:t xml:space="preserve">Fenwick, H. &amp;. M. D., 2011. Schedule 7 of the Terrorism Act 2000: A case study in human rights exceptionalism?. </w:t>
              </w:r>
              <w:r>
                <w:rPr>
                  <w:i/>
                  <w:iCs/>
                  <w:noProof/>
                  <w:lang w:val="en-US"/>
                </w:rPr>
                <w:t xml:space="preserve">Human Rights Law Review, </w:t>
              </w:r>
              <w:r>
                <w:rPr>
                  <w:noProof/>
                  <w:lang w:val="en-US"/>
                </w:rPr>
                <w:t>11(3), pp. 495-527.</w:t>
              </w:r>
            </w:p>
            <w:p w14:paraId="763A4717" w14:textId="77777777" w:rsidR="00491910" w:rsidRDefault="00491910" w:rsidP="00491910">
              <w:pPr>
                <w:pStyle w:val="Bibliography"/>
                <w:rPr>
                  <w:noProof/>
                  <w:lang w:val="en-US"/>
                </w:rPr>
              </w:pPr>
              <w:r>
                <w:rPr>
                  <w:noProof/>
                  <w:lang w:val="en-US"/>
                </w:rPr>
                <w:t xml:space="preserve">Fink, A., 2016. </w:t>
              </w:r>
              <w:r>
                <w:rPr>
                  <w:i/>
                  <w:iCs/>
                  <w:noProof/>
                  <w:lang w:val="en-US"/>
                </w:rPr>
                <w:t xml:space="preserve">How to conduct surveys: A step by step guide. </w:t>
              </w:r>
              <w:r>
                <w:rPr>
                  <w:noProof/>
                  <w:lang w:val="en-US"/>
                </w:rPr>
                <w:t>6 ed. London: Sage.</w:t>
              </w:r>
            </w:p>
            <w:p w14:paraId="34C64700" w14:textId="77777777" w:rsidR="00491910" w:rsidRDefault="00491910" w:rsidP="00491910">
              <w:pPr>
                <w:pStyle w:val="Bibliography"/>
                <w:rPr>
                  <w:noProof/>
                  <w:lang w:val="en-US"/>
                </w:rPr>
              </w:pPr>
              <w:r>
                <w:rPr>
                  <w:noProof/>
                  <w:lang w:val="en-US"/>
                </w:rPr>
                <w:t xml:space="preserve">Fisher, R. &amp;. G. S., 2016. Counter-terrorism and human rights in the UK: The implications of the Terrorism Act 2000. </w:t>
              </w:r>
              <w:r>
                <w:rPr>
                  <w:i/>
                  <w:iCs/>
                  <w:noProof/>
                  <w:lang w:val="en-US"/>
                </w:rPr>
                <w:t xml:space="preserve">International Journal of Human Rights, </w:t>
              </w:r>
              <w:r>
                <w:rPr>
                  <w:noProof/>
                  <w:lang w:val="en-US"/>
                </w:rPr>
                <w:t>20(5), pp. 677-694.</w:t>
              </w:r>
            </w:p>
            <w:p w14:paraId="359E9867" w14:textId="77777777" w:rsidR="00491910" w:rsidRDefault="00491910" w:rsidP="00491910">
              <w:pPr>
                <w:pStyle w:val="Bibliography"/>
                <w:rPr>
                  <w:noProof/>
                  <w:lang w:val="en-US"/>
                </w:rPr>
              </w:pPr>
              <w:r>
                <w:rPr>
                  <w:noProof/>
                  <w:lang w:val="en-US"/>
                </w:rPr>
                <w:t xml:space="preserve">Forrester, P. N. L., 2019. Do immigrants import terrorism. </w:t>
              </w:r>
              <w:r>
                <w:rPr>
                  <w:i/>
                  <w:iCs/>
                  <w:noProof/>
                  <w:lang w:val="en-US"/>
                </w:rPr>
                <w:t xml:space="preserve">Journal of Economic Behaviour &amp; Organization, </w:t>
              </w:r>
              <w:r>
                <w:rPr>
                  <w:noProof/>
                  <w:lang w:val="en-US"/>
                </w:rPr>
                <w:t>Volume 166, pp. 529-543.</w:t>
              </w:r>
            </w:p>
            <w:p w14:paraId="2049733F" w14:textId="77777777" w:rsidR="00491910" w:rsidRDefault="00491910" w:rsidP="00491910">
              <w:pPr>
                <w:pStyle w:val="Bibliography"/>
                <w:rPr>
                  <w:noProof/>
                  <w:lang w:val="en-US"/>
                </w:rPr>
              </w:pPr>
              <w:r>
                <w:rPr>
                  <w:noProof/>
                  <w:lang w:val="en-US"/>
                </w:rPr>
                <w:t xml:space="preserve">Forst, B., 2009. </w:t>
              </w:r>
              <w:r>
                <w:rPr>
                  <w:i/>
                  <w:iCs/>
                  <w:noProof/>
                  <w:lang w:val="en-US"/>
                </w:rPr>
                <w:t xml:space="preserve">Terrorism, Crime and Public Policy. </w:t>
              </w:r>
              <w:r>
                <w:rPr>
                  <w:noProof/>
                  <w:lang w:val="en-US"/>
                </w:rPr>
                <w:t>1 ed. Cambridge: Cambridge University Press.</w:t>
              </w:r>
            </w:p>
            <w:p w14:paraId="3CD70AD5" w14:textId="77777777" w:rsidR="00491910" w:rsidRDefault="00491910" w:rsidP="00491910">
              <w:pPr>
                <w:pStyle w:val="Bibliography"/>
                <w:rPr>
                  <w:noProof/>
                  <w:lang w:val="en-US"/>
                </w:rPr>
              </w:pPr>
              <w:r>
                <w:rPr>
                  <w:noProof/>
                  <w:lang w:val="en-US"/>
                </w:rPr>
                <w:t xml:space="preserve">Fortna, 2015. Do Terrorists Win? Rebels Use of Terrorism and Civil War Outcomes. </w:t>
              </w:r>
              <w:r>
                <w:rPr>
                  <w:i/>
                  <w:iCs/>
                  <w:noProof/>
                  <w:lang w:val="en-US"/>
                </w:rPr>
                <w:t xml:space="preserve">International Organization, </w:t>
              </w:r>
              <w:r>
                <w:rPr>
                  <w:noProof/>
                  <w:lang w:val="en-US"/>
                </w:rPr>
                <w:t>69(3), pp. 519-556.</w:t>
              </w:r>
            </w:p>
            <w:p w14:paraId="20C76A24" w14:textId="77777777" w:rsidR="00491910" w:rsidRDefault="00491910" w:rsidP="00491910">
              <w:pPr>
                <w:pStyle w:val="Bibliography"/>
                <w:rPr>
                  <w:noProof/>
                  <w:lang w:val="en-US"/>
                </w:rPr>
              </w:pPr>
              <w:r>
                <w:rPr>
                  <w:noProof/>
                  <w:lang w:val="en-US"/>
                </w:rPr>
                <w:t xml:space="preserve">Fowler Jr, F., 2013. </w:t>
              </w:r>
              <w:r>
                <w:rPr>
                  <w:i/>
                  <w:iCs/>
                  <w:noProof/>
                  <w:lang w:val="en-US"/>
                </w:rPr>
                <w:t xml:space="preserve">Survey Research Methods. </w:t>
              </w:r>
              <w:r>
                <w:rPr>
                  <w:noProof/>
                  <w:lang w:val="en-US"/>
                </w:rPr>
                <w:t>5 ed. London: Sage.</w:t>
              </w:r>
            </w:p>
            <w:p w14:paraId="1D3FBBF9" w14:textId="77777777" w:rsidR="00491910" w:rsidRDefault="00491910" w:rsidP="00491910">
              <w:pPr>
                <w:pStyle w:val="Bibliography"/>
                <w:rPr>
                  <w:noProof/>
                  <w:lang w:val="en-US"/>
                </w:rPr>
              </w:pPr>
              <w:r>
                <w:rPr>
                  <w:noProof/>
                  <w:lang w:val="en-US"/>
                </w:rPr>
                <w:t xml:space="preserve">Geary, R., 2019. Brexit, Ireland, and the Common Travel Area: Challenges and Opportunities. </w:t>
              </w:r>
              <w:r>
                <w:rPr>
                  <w:i/>
                  <w:iCs/>
                  <w:noProof/>
                  <w:lang w:val="en-US"/>
                </w:rPr>
                <w:t xml:space="preserve">Administration, </w:t>
              </w:r>
              <w:r>
                <w:rPr>
                  <w:noProof/>
                  <w:lang w:val="en-US"/>
                </w:rPr>
                <w:t>67(3), pp. 9-28.</w:t>
              </w:r>
            </w:p>
            <w:p w14:paraId="311B1194" w14:textId="77777777" w:rsidR="00491910" w:rsidRDefault="00491910" w:rsidP="00491910">
              <w:pPr>
                <w:pStyle w:val="Bibliography"/>
                <w:rPr>
                  <w:noProof/>
                  <w:lang w:val="en-US"/>
                </w:rPr>
              </w:pPr>
              <w:r>
                <w:rPr>
                  <w:noProof/>
                  <w:lang w:val="en-US"/>
                </w:rPr>
                <w:t xml:space="preserve">Ghanea, N. &amp;. F. A., 2017. Schedule 7 of the Terrorism Act 2000. </w:t>
              </w:r>
              <w:r>
                <w:rPr>
                  <w:i/>
                  <w:iCs/>
                  <w:noProof/>
                  <w:lang w:val="en-US"/>
                </w:rPr>
                <w:t xml:space="preserve">Religion and Human Rights, </w:t>
              </w:r>
              <w:r>
                <w:rPr>
                  <w:noProof/>
                  <w:lang w:val="en-US"/>
                </w:rPr>
                <w:t>12(1), pp. 1-20.</w:t>
              </w:r>
            </w:p>
            <w:p w14:paraId="767E3799" w14:textId="77777777" w:rsidR="00491910" w:rsidRDefault="00491910" w:rsidP="00491910">
              <w:pPr>
                <w:pStyle w:val="Bibliography"/>
                <w:rPr>
                  <w:noProof/>
                  <w:lang w:val="en-US"/>
                </w:rPr>
              </w:pPr>
              <w:r>
                <w:rPr>
                  <w:noProof/>
                  <w:lang w:val="en-US"/>
                </w:rPr>
                <w:t xml:space="preserve">Gill, P. &amp;. S. A., 2017. The impact of the UK's Schedule 7 of the Terrorism Act 2000 on the Muslim community in Britain: A review. </w:t>
              </w:r>
              <w:r>
                <w:rPr>
                  <w:i/>
                  <w:iCs/>
                  <w:noProof/>
                  <w:lang w:val="en-US"/>
                </w:rPr>
                <w:t xml:space="preserve">Behavioural Sciences of Terrorism and Political Aggression, </w:t>
              </w:r>
              <w:r>
                <w:rPr>
                  <w:noProof/>
                  <w:lang w:val="en-US"/>
                </w:rPr>
                <w:t>9(1), pp. 3-27.</w:t>
              </w:r>
            </w:p>
            <w:p w14:paraId="6327EACE" w14:textId="77777777" w:rsidR="00491910" w:rsidRDefault="00491910" w:rsidP="00491910">
              <w:pPr>
                <w:pStyle w:val="Bibliography"/>
                <w:rPr>
                  <w:noProof/>
                  <w:lang w:val="en-US"/>
                </w:rPr>
              </w:pPr>
              <w:r>
                <w:rPr>
                  <w:noProof/>
                  <w:lang w:val="en-US"/>
                </w:rPr>
                <w:lastRenderedPageBreak/>
                <w:t xml:space="preserve">Glasner, B. &amp;. S. A., 2018. The discovery of grounded theory: Strategies for qualitative research. In: M. &amp;. J. D. Ciesielska, ed. </w:t>
              </w:r>
              <w:r>
                <w:rPr>
                  <w:i/>
                  <w:iCs/>
                  <w:noProof/>
                  <w:lang w:val="en-US"/>
                </w:rPr>
                <w:t xml:space="preserve">Qualitative Methodologies in Organisation Studies. </w:t>
              </w:r>
              <w:r>
                <w:rPr>
                  <w:noProof/>
                  <w:lang w:val="en-US"/>
                </w:rPr>
                <w:t>Cham: Macmillan, pp. 27-28.</w:t>
              </w:r>
            </w:p>
            <w:p w14:paraId="0D67D55A" w14:textId="77777777" w:rsidR="00491910" w:rsidRDefault="00491910" w:rsidP="00491910">
              <w:pPr>
                <w:pStyle w:val="Bibliography"/>
                <w:rPr>
                  <w:noProof/>
                  <w:lang w:val="en-US"/>
                </w:rPr>
              </w:pPr>
              <w:r>
                <w:rPr>
                  <w:noProof/>
                  <w:lang w:val="en-US"/>
                </w:rPr>
                <w:t xml:space="preserve">Goddard, W. &amp;. M. S., 2007. </w:t>
              </w:r>
              <w:r>
                <w:rPr>
                  <w:i/>
                  <w:iCs/>
                  <w:noProof/>
                  <w:lang w:val="en-US"/>
                </w:rPr>
                <w:t xml:space="preserve">Research Methodology: An introduction. </w:t>
              </w:r>
              <w:r>
                <w:rPr>
                  <w:noProof/>
                  <w:lang w:val="en-US"/>
                </w:rPr>
                <w:t>5 ed. Lansdowne: Juta.</w:t>
              </w:r>
            </w:p>
            <w:p w14:paraId="6370A27A" w14:textId="77777777" w:rsidR="00491910" w:rsidRDefault="00491910" w:rsidP="00491910">
              <w:pPr>
                <w:pStyle w:val="Bibliography"/>
                <w:rPr>
                  <w:noProof/>
                  <w:lang w:val="en-US"/>
                </w:rPr>
              </w:pPr>
              <w:r>
                <w:rPr>
                  <w:noProof/>
                  <w:lang w:val="en-US"/>
                </w:rPr>
                <w:t xml:space="preserve">Greenbaum, T., 1998. </w:t>
              </w:r>
              <w:r>
                <w:rPr>
                  <w:i/>
                  <w:iCs/>
                  <w:noProof/>
                  <w:lang w:val="en-US"/>
                </w:rPr>
                <w:t xml:space="preserve">The practical handbook and guide to focus group research. </w:t>
              </w:r>
              <w:r>
                <w:rPr>
                  <w:noProof/>
                  <w:lang w:val="en-US"/>
                </w:rPr>
                <w:t>2 ed. London: Sage.</w:t>
              </w:r>
            </w:p>
            <w:p w14:paraId="731618C7" w14:textId="77777777" w:rsidR="00491910" w:rsidRDefault="00491910" w:rsidP="00491910">
              <w:pPr>
                <w:pStyle w:val="Bibliography"/>
                <w:rPr>
                  <w:noProof/>
                  <w:lang w:val="en-US"/>
                </w:rPr>
              </w:pPr>
              <w:r>
                <w:rPr>
                  <w:noProof/>
                  <w:lang w:val="en-US"/>
                </w:rPr>
                <w:t xml:space="preserve">Guild, E. &amp;. C. S., 2014. The Common Travel Area between Ireland and the UK: Maintaining a border-free zone while combating irregular migration.. </w:t>
              </w:r>
              <w:r>
                <w:rPr>
                  <w:i/>
                  <w:iCs/>
                  <w:noProof/>
                  <w:lang w:val="en-US"/>
                </w:rPr>
                <w:t xml:space="preserve">International Journal of Migration and Border Studies, </w:t>
              </w:r>
              <w:r>
                <w:rPr>
                  <w:noProof/>
                  <w:lang w:val="en-US"/>
                </w:rPr>
                <w:t>1(1), pp. 4-21.</w:t>
              </w:r>
            </w:p>
            <w:p w14:paraId="31C1912A" w14:textId="77777777" w:rsidR="00491910" w:rsidRDefault="00491910" w:rsidP="00491910">
              <w:pPr>
                <w:pStyle w:val="Bibliography"/>
                <w:rPr>
                  <w:noProof/>
                  <w:lang w:val="en-US"/>
                </w:rPr>
              </w:pPr>
              <w:r>
                <w:rPr>
                  <w:noProof/>
                  <w:lang w:val="en-US"/>
                </w:rPr>
                <w:t xml:space="preserve">Hart, C., 2018. </w:t>
              </w:r>
              <w:r>
                <w:rPr>
                  <w:i/>
                  <w:iCs/>
                  <w:noProof/>
                  <w:lang w:val="en-US"/>
                </w:rPr>
                <w:t xml:space="preserve">Doing a literature review: Releasing the social science imagination. </w:t>
              </w:r>
              <w:r>
                <w:rPr>
                  <w:noProof/>
                  <w:lang w:val="en-US"/>
                </w:rPr>
                <w:t>2 ed. London: SAGE.</w:t>
              </w:r>
            </w:p>
            <w:p w14:paraId="69EAD04C" w14:textId="77777777" w:rsidR="00491910" w:rsidRDefault="00491910" w:rsidP="00491910">
              <w:pPr>
                <w:pStyle w:val="Bibliography"/>
                <w:rPr>
                  <w:noProof/>
                  <w:lang w:val="en-US"/>
                </w:rPr>
              </w:pPr>
              <w:r>
                <w:rPr>
                  <w:noProof/>
                  <w:lang w:val="en-US"/>
                </w:rPr>
                <w:t xml:space="preserve">Hillyard, P. &amp;. P. C., 2015. Counter-Terrorism, citizenship and the erosion of civil liberties: The case of the UK. </w:t>
              </w:r>
              <w:r>
                <w:rPr>
                  <w:i/>
                  <w:iCs/>
                  <w:noProof/>
                  <w:lang w:val="en-US"/>
                </w:rPr>
                <w:t xml:space="preserve">Critical Social Policy, </w:t>
              </w:r>
              <w:r>
                <w:rPr>
                  <w:noProof/>
                  <w:lang w:val="en-US"/>
                </w:rPr>
                <w:t>4(25), pp. 447-463.</w:t>
              </w:r>
            </w:p>
            <w:p w14:paraId="7045DDDB" w14:textId="77777777" w:rsidR="00491910" w:rsidRDefault="00491910" w:rsidP="00491910">
              <w:pPr>
                <w:pStyle w:val="Bibliography"/>
                <w:rPr>
                  <w:noProof/>
                  <w:lang w:val="en-US"/>
                </w:rPr>
              </w:pPr>
              <w:r>
                <w:rPr>
                  <w:noProof/>
                  <w:lang w:val="en-US"/>
                </w:rPr>
                <w:t xml:space="preserve">HM Government, 2023. </w:t>
              </w:r>
              <w:r>
                <w:rPr>
                  <w:i/>
                  <w:iCs/>
                  <w:noProof/>
                  <w:lang w:val="en-US"/>
                </w:rPr>
                <w:t xml:space="preserve">CONTEST The United Kingdom's Strategy for Countering Terrorism.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https://assets.publishing.service.gov.uk/government/uploads/system/uploads/attachment_data/file/1186413/CONTEST_2023_English_updated.pdf</w:t>
              </w:r>
              <w:r>
                <w:rPr>
                  <w:noProof/>
                  <w:lang w:val="en-US"/>
                </w:rPr>
                <w:br/>
                <w:t>[Accessed 30th May 2024].</w:t>
              </w:r>
            </w:p>
            <w:p w14:paraId="435D0A20" w14:textId="77777777" w:rsidR="00491910" w:rsidRDefault="00491910" w:rsidP="00491910">
              <w:pPr>
                <w:pStyle w:val="Bibliography"/>
                <w:rPr>
                  <w:noProof/>
                  <w:lang w:val="en-US"/>
                </w:rPr>
              </w:pPr>
              <w:r>
                <w:rPr>
                  <w:noProof/>
                  <w:lang w:val="en-US"/>
                </w:rPr>
                <w:t xml:space="preserve">Home Office, 2023a.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www.gov.uk/government/statistics/operation-of-police-powers-under-the-terrorism-act-2000-quarterly-update-to-june-2023/</w:t>
              </w:r>
              <w:r>
                <w:rPr>
                  <w:noProof/>
                  <w:lang w:val="en-US"/>
                </w:rPr>
                <w:br/>
                <w:t>[Accessed 12 May 2024].</w:t>
              </w:r>
            </w:p>
            <w:p w14:paraId="635A594C" w14:textId="77777777" w:rsidR="00491910" w:rsidRDefault="00491910" w:rsidP="00491910">
              <w:pPr>
                <w:pStyle w:val="Bibliography"/>
                <w:rPr>
                  <w:noProof/>
                  <w:lang w:val="en-US"/>
                </w:rPr>
              </w:pPr>
              <w:r>
                <w:rPr>
                  <w:noProof/>
                  <w:lang w:val="en-US"/>
                </w:rPr>
                <w:t xml:space="preserve">Home Office, 2023. </w:t>
              </w:r>
              <w:r>
                <w:rPr>
                  <w:i/>
                  <w:iCs/>
                  <w:noProof/>
                  <w:lang w:val="en-US"/>
                </w:rPr>
                <w:t xml:space="preserve">Suitability: Admissibility to the Common Travel Area or other countries, </w:t>
              </w:r>
              <w:r>
                <w:rPr>
                  <w:noProof/>
                  <w:lang w:val="en-US"/>
                </w:rPr>
                <w:t>s.l.: s.n.</w:t>
              </w:r>
            </w:p>
            <w:p w14:paraId="1C209320" w14:textId="77777777" w:rsidR="00491910" w:rsidRDefault="00491910" w:rsidP="00491910">
              <w:pPr>
                <w:pStyle w:val="Bibliography"/>
                <w:rPr>
                  <w:noProof/>
                  <w:lang w:val="en-US"/>
                </w:rPr>
              </w:pPr>
              <w:r>
                <w:rPr>
                  <w:noProof/>
                  <w:lang w:val="en-US"/>
                </w:rPr>
                <w:t xml:space="preserve">John, I., 2017. The legality of 'suspicionless' Stop and Search Powers under the European Convention on Human Rights. </w:t>
              </w:r>
              <w:r>
                <w:rPr>
                  <w:i/>
                  <w:iCs/>
                  <w:noProof/>
                  <w:lang w:val="en-US"/>
                </w:rPr>
                <w:t xml:space="preserve">Human Rights Law Review, </w:t>
              </w:r>
              <w:r>
                <w:rPr>
                  <w:noProof/>
                  <w:lang w:val="en-US"/>
                </w:rPr>
                <w:t>17(3), pp. 523-544.</w:t>
              </w:r>
            </w:p>
            <w:p w14:paraId="28B8F649" w14:textId="77777777" w:rsidR="00491910" w:rsidRDefault="00491910" w:rsidP="00491910">
              <w:pPr>
                <w:pStyle w:val="Bibliography"/>
                <w:rPr>
                  <w:noProof/>
                  <w:lang w:val="en-US"/>
                </w:rPr>
              </w:pPr>
              <w:r>
                <w:rPr>
                  <w:noProof/>
                  <w:lang w:val="en-US"/>
                </w:rPr>
                <w:t xml:space="preserve">Johnson, R. &amp;. O. A., 2004. Mixed Methods Research: A Research Paradigm Whose Time Has Come. </w:t>
              </w:r>
              <w:r>
                <w:rPr>
                  <w:i/>
                  <w:iCs/>
                  <w:noProof/>
                  <w:lang w:val="en-US"/>
                </w:rPr>
                <w:t xml:space="preserve">Educational Researcher, </w:t>
              </w:r>
              <w:r>
                <w:rPr>
                  <w:noProof/>
                  <w:lang w:val="en-US"/>
                </w:rPr>
                <w:t>33(7), pp. 14-26.</w:t>
              </w:r>
            </w:p>
            <w:p w14:paraId="5ACD292E" w14:textId="77777777" w:rsidR="00491910" w:rsidRDefault="00491910" w:rsidP="00491910">
              <w:pPr>
                <w:pStyle w:val="Bibliography"/>
                <w:rPr>
                  <w:noProof/>
                  <w:lang w:val="en-US"/>
                </w:rPr>
              </w:pPr>
              <w:r>
                <w:rPr>
                  <w:noProof/>
                  <w:lang w:val="en-US"/>
                </w:rPr>
                <w:t xml:space="preserve">Kemmis, S. &amp;. M. R., 2005. Participatory action and research: Communicative action and the public sphere. In: D. &amp;. Lincoln, ed. </w:t>
              </w:r>
              <w:r>
                <w:rPr>
                  <w:i/>
                  <w:iCs/>
                  <w:noProof/>
                  <w:lang w:val="en-US"/>
                </w:rPr>
                <w:t xml:space="preserve">The Sage Handbook of Qualitative Research. </w:t>
              </w:r>
              <w:r>
                <w:rPr>
                  <w:noProof/>
                  <w:lang w:val="en-US"/>
                </w:rPr>
                <w:t>London: Sage, pp. 559-604.</w:t>
              </w:r>
            </w:p>
            <w:p w14:paraId="0BB1C1AD" w14:textId="77777777" w:rsidR="00491910" w:rsidRDefault="00491910" w:rsidP="00491910">
              <w:pPr>
                <w:pStyle w:val="Bibliography"/>
                <w:rPr>
                  <w:noProof/>
                  <w:lang w:val="en-US"/>
                </w:rPr>
              </w:pPr>
              <w:r>
                <w:rPr>
                  <w:noProof/>
                  <w:lang w:val="en-US"/>
                </w:rPr>
                <w:t xml:space="preserve">Krippendorff, K., 2019. </w:t>
              </w:r>
              <w:r>
                <w:rPr>
                  <w:i/>
                  <w:iCs/>
                  <w:noProof/>
                  <w:lang w:val="en-US"/>
                </w:rPr>
                <w:t xml:space="preserve">Content analysis: An introduction to it's methodology. </w:t>
              </w:r>
              <w:r>
                <w:rPr>
                  <w:noProof/>
                  <w:lang w:val="en-US"/>
                </w:rPr>
                <w:t>4 ed. London: Sage.</w:t>
              </w:r>
            </w:p>
            <w:p w14:paraId="3D5FB5E8" w14:textId="77777777" w:rsidR="00491910" w:rsidRDefault="00491910" w:rsidP="00491910">
              <w:pPr>
                <w:pStyle w:val="Bibliography"/>
                <w:rPr>
                  <w:noProof/>
                  <w:lang w:val="en-US"/>
                </w:rPr>
              </w:pPr>
              <w:r>
                <w:rPr>
                  <w:noProof/>
                  <w:lang w:val="en-US"/>
                </w:rPr>
                <w:t xml:space="preserve">Lakshman, S. B., 2000. Quantitative vs Qualitative Research Methods. </w:t>
              </w:r>
              <w:r>
                <w:rPr>
                  <w:i/>
                  <w:iCs/>
                  <w:noProof/>
                  <w:lang w:val="en-US"/>
                </w:rPr>
                <w:t xml:space="preserve">Indian Journal of Paediatrics, </w:t>
              </w:r>
              <w:r>
                <w:rPr>
                  <w:noProof/>
                  <w:lang w:val="en-US"/>
                </w:rPr>
                <w:t>Volume 67, pp. 369-377.</w:t>
              </w:r>
            </w:p>
            <w:p w14:paraId="1BD257A1" w14:textId="77777777" w:rsidR="00491910" w:rsidRDefault="00491910" w:rsidP="00491910">
              <w:pPr>
                <w:pStyle w:val="Bibliography"/>
                <w:rPr>
                  <w:noProof/>
                  <w:lang w:val="en-US"/>
                </w:rPr>
              </w:pPr>
              <w:r>
                <w:rPr>
                  <w:noProof/>
                  <w:lang w:val="en-US"/>
                </w:rPr>
                <w:t xml:space="preserve">Law, 2016. </w:t>
              </w:r>
              <w:r>
                <w:rPr>
                  <w:i/>
                  <w:iCs/>
                  <w:noProof/>
                  <w:lang w:val="en-US"/>
                </w:rPr>
                <w:t xml:space="preserve">Terrorism: A History. </w:t>
              </w:r>
              <w:r>
                <w:rPr>
                  <w:noProof/>
                  <w:lang w:val="en-US"/>
                </w:rPr>
                <w:t>1 ed. Cambridge: Polity Press.</w:t>
              </w:r>
            </w:p>
            <w:p w14:paraId="6F7886DD" w14:textId="77777777" w:rsidR="00491910" w:rsidRDefault="00491910" w:rsidP="00491910">
              <w:pPr>
                <w:pStyle w:val="Bibliography"/>
                <w:rPr>
                  <w:noProof/>
                  <w:lang w:val="en-US"/>
                </w:rPr>
              </w:pPr>
              <w:r>
                <w:rPr>
                  <w:noProof/>
                  <w:lang w:val="en-US"/>
                </w:rPr>
                <w:t xml:space="preserve">Lianos, M. &amp;. D.-S. S., 2018. The right to privacy and the fight against terrorism: The UK legislative framework and the ECHR's case law. </w:t>
              </w:r>
              <w:r>
                <w:rPr>
                  <w:i/>
                  <w:iCs/>
                  <w:noProof/>
                  <w:lang w:val="en-US"/>
                </w:rPr>
                <w:t xml:space="preserve">European Human Rights Law Review, </w:t>
              </w:r>
              <w:r>
                <w:rPr>
                  <w:noProof/>
                  <w:lang w:val="en-US"/>
                </w:rPr>
                <w:t>Volume 1, pp. 12-24.</w:t>
              </w:r>
            </w:p>
            <w:p w14:paraId="7DDAC225" w14:textId="77777777" w:rsidR="00491910" w:rsidRDefault="00491910" w:rsidP="00491910">
              <w:pPr>
                <w:pStyle w:val="Bibliography"/>
                <w:rPr>
                  <w:noProof/>
                  <w:lang w:val="en-US"/>
                </w:rPr>
              </w:pPr>
              <w:r>
                <w:rPr>
                  <w:noProof/>
                  <w:lang w:val="en-US"/>
                </w:rPr>
                <w:t xml:space="preserve">Loader, I., 2007. The cultural lives of security and rights. In: B. L. L. Goold, ed. </w:t>
              </w:r>
              <w:r>
                <w:rPr>
                  <w:i/>
                  <w:iCs/>
                  <w:noProof/>
                  <w:lang w:val="en-US"/>
                </w:rPr>
                <w:t xml:space="preserve">Security and Human Rights. </w:t>
              </w:r>
              <w:r>
                <w:rPr>
                  <w:noProof/>
                  <w:lang w:val="en-US"/>
                </w:rPr>
                <w:t>Oxford: Hart Publishing.</w:t>
              </w:r>
            </w:p>
            <w:p w14:paraId="4C56FB01" w14:textId="77777777" w:rsidR="00491910" w:rsidRDefault="00491910" w:rsidP="00491910">
              <w:pPr>
                <w:pStyle w:val="Bibliography"/>
                <w:rPr>
                  <w:noProof/>
                  <w:lang w:val="en-US"/>
                </w:rPr>
              </w:pPr>
              <w:r>
                <w:rPr>
                  <w:noProof/>
                  <w:lang w:val="en-US"/>
                </w:rPr>
                <w:t xml:space="preserve">Loughlin, J. &amp;. S. J., 2020. The constitutional implications of Brexit for Northern Ireland. </w:t>
              </w:r>
              <w:r>
                <w:rPr>
                  <w:i/>
                  <w:iCs/>
                  <w:noProof/>
                  <w:lang w:val="en-US"/>
                </w:rPr>
                <w:t xml:space="preserve">Modern Law Review, </w:t>
              </w:r>
              <w:r>
                <w:rPr>
                  <w:noProof/>
                  <w:lang w:val="en-US"/>
                </w:rPr>
                <w:t>83(5), pp. 826-857.</w:t>
              </w:r>
            </w:p>
            <w:p w14:paraId="3FE82F0E" w14:textId="77777777" w:rsidR="00491910" w:rsidRDefault="00491910" w:rsidP="00491910">
              <w:pPr>
                <w:pStyle w:val="Bibliography"/>
                <w:rPr>
                  <w:noProof/>
                  <w:lang w:val="en-US"/>
                </w:rPr>
              </w:pPr>
              <w:r>
                <w:rPr>
                  <w:noProof/>
                  <w:lang w:val="en-US"/>
                </w:rPr>
                <w:lastRenderedPageBreak/>
                <w:t xml:space="preserve">Maxwell, J., 2012. </w:t>
              </w:r>
              <w:r>
                <w:rPr>
                  <w:i/>
                  <w:iCs/>
                  <w:noProof/>
                  <w:lang w:val="en-US"/>
                </w:rPr>
                <w:t xml:space="preserve">Qualitative Research Design: An Interactive Approach. </w:t>
              </w:r>
              <w:r>
                <w:rPr>
                  <w:noProof/>
                  <w:lang w:val="en-US"/>
                </w:rPr>
                <w:t>3 ed. Oxford: Sage.</w:t>
              </w:r>
            </w:p>
            <w:p w14:paraId="4961EFD2" w14:textId="77777777" w:rsidR="00491910" w:rsidRDefault="00491910" w:rsidP="00491910">
              <w:pPr>
                <w:pStyle w:val="Bibliography"/>
                <w:rPr>
                  <w:noProof/>
                  <w:lang w:val="en-US"/>
                </w:rPr>
              </w:pPr>
              <w:r>
                <w:rPr>
                  <w:noProof/>
                  <w:lang w:val="en-US"/>
                </w:rPr>
                <w:t xml:space="preserve">McNiff, J. &amp;. W. J., 2011. </w:t>
              </w:r>
              <w:r>
                <w:rPr>
                  <w:i/>
                  <w:iCs/>
                  <w:noProof/>
                  <w:lang w:val="en-US"/>
                </w:rPr>
                <w:t xml:space="preserve">All you need to know about action research. </w:t>
              </w:r>
              <w:r>
                <w:rPr>
                  <w:noProof/>
                  <w:lang w:val="en-US"/>
                </w:rPr>
                <w:t>2 ed. London: Sage.</w:t>
              </w:r>
            </w:p>
            <w:p w14:paraId="4D3A2CEC" w14:textId="77777777" w:rsidR="00491910" w:rsidRDefault="00491910" w:rsidP="00491910">
              <w:pPr>
                <w:pStyle w:val="Bibliography"/>
                <w:rPr>
                  <w:noProof/>
                  <w:lang w:val="en-US"/>
                </w:rPr>
              </w:pPr>
              <w:r>
                <w:rPr>
                  <w:noProof/>
                  <w:lang w:val="en-US"/>
                </w:rPr>
                <w:t xml:space="preserve">Merriam, S., 2009. </w:t>
              </w:r>
              <w:r>
                <w:rPr>
                  <w:i/>
                  <w:iCs/>
                  <w:noProof/>
                  <w:lang w:val="en-US"/>
                </w:rPr>
                <w:t xml:space="preserve">Qualitative Research: A Guide to Design and Implementation. </w:t>
              </w:r>
              <w:r>
                <w:rPr>
                  <w:noProof/>
                  <w:lang w:val="en-US"/>
                </w:rPr>
                <w:t>2 ed. San Fransisco: Jossey-Bass.</w:t>
              </w:r>
            </w:p>
            <w:p w14:paraId="4BDA2736" w14:textId="77777777" w:rsidR="00491910" w:rsidRDefault="00491910" w:rsidP="00491910">
              <w:pPr>
                <w:pStyle w:val="Bibliography"/>
                <w:rPr>
                  <w:noProof/>
                  <w:lang w:val="en-US"/>
                </w:rPr>
              </w:pPr>
              <w:r>
                <w:rPr>
                  <w:noProof/>
                  <w:lang w:val="en-US"/>
                </w:rPr>
                <w:t xml:space="preserve">Nascimbene, B., 2016. The Common Travel Area and the Management of External Borders. </w:t>
              </w:r>
              <w:r>
                <w:rPr>
                  <w:i/>
                  <w:iCs/>
                  <w:noProof/>
                  <w:lang w:val="en-US"/>
                </w:rPr>
                <w:t xml:space="preserve">European Papers, </w:t>
              </w:r>
              <w:r>
                <w:rPr>
                  <w:noProof/>
                  <w:lang w:val="en-US"/>
                </w:rPr>
                <w:t>1(2), pp. 553-572.</w:t>
              </w:r>
            </w:p>
            <w:p w14:paraId="0B1F156B" w14:textId="77777777" w:rsidR="00491910" w:rsidRDefault="00491910" w:rsidP="00491910">
              <w:pPr>
                <w:pStyle w:val="Bibliography"/>
                <w:rPr>
                  <w:noProof/>
                  <w:lang w:val="en-US"/>
                </w:rPr>
              </w:pPr>
              <w:r>
                <w:rPr>
                  <w:noProof/>
                  <w:lang w:val="en-US"/>
                </w:rPr>
                <w:t xml:space="preserve">Neuman, W., 2013. </w:t>
              </w:r>
              <w:r>
                <w:rPr>
                  <w:i/>
                  <w:iCs/>
                  <w:noProof/>
                  <w:lang w:val="en-US"/>
                </w:rPr>
                <w:t xml:space="preserve">Social research Methods: Qualitative and Quantitative Approaches. </w:t>
              </w:r>
              <w:r>
                <w:rPr>
                  <w:noProof/>
                  <w:lang w:val="en-US"/>
                </w:rPr>
                <w:t>7 ed. London: Pearson.</w:t>
              </w:r>
            </w:p>
            <w:p w14:paraId="42855255" w14:textId="77777777" w:rsidR="00491910" w:rsidRDefault="00491910" w:rsidP="00491910">
              <w:pPr>
                <w:pStyle w:val="Bibliography"/>
                <w:rPr>
                  <w:noProof/>
                  <w:lang w:val="en-US"/>
                </w:rPr>
              </w:pPr>
              <w:r>
                <w:rPr>
                  <w:noProof/>
                  <w:lang w:val="en-US"/>
                </w:rPr>
                <w:t xml:space="preserve">O'Donoghue, 2019. Terrorism and the common travel area: an Irish perspective. </w:t>
              </w:r>
              <w:r>
                <w:rPr>
                  <w:i/>
                  <w:iCs/>
                  <w:noProof/>
                  <w:lang w:val="en-US"/>
                </w:rPr>
                <w:t xml:space="preserve">irish Studies in International Affairs, </w:t>
              </w:r>
              <w:r>
                <w:rPr>
                  <w:noProof/>
                  <w:lang w:val="en-US"/>
                </w:rPr>
                <w:t>30(1), pp. 33-38.</w:t>
              </w:r>
            </w:p>
            <w:p w14:paraId="0FB46405" w14:textId="77777777" w:rsidR="00491910" w:rsidRDefault="00491910" w:rsidP="00491910">
              <w:pPr>
                <w:pStyle w:val="Bibliography"/>
                <w:rPr>
                  <w:noProof/>
                  <w:lang w:val="en-US"/>
                </w:rPr>
              </w:pPr>
              <w:r>
                <w:rPr>
                  <w:noProof/>
                  <w:lang w:val="en-US"/>
                </w:rPr>
                <w:t xml:space="preserve">Parker, 2019. </w:t>
              </w:r>
              <w:r>
                <w:rPr>
                  <w:i/>
                  <w:iCs/>
                  <w:noProof/>
                  <w:lang w:val="en-US"/>
                </w:rPr>
                <w:t xml:space="preserve">Avoiding the Terrorist Trap: Why Respect for Human Rights is the Key to Defeating Terrorism. </w:t>
              </w:r>
              <w:r>
                <w:rPr>
                  <w:noProof/>
                  <w:lang w:val="en-US"/>
                </w:rPr>
                <w:t>London: World Scientific Europe.</w:t>
              </w:r>
            </w:p>
            <w:p w14:paraId="166DBED4" w14:textId="77777777" w:rsidR="00491910" w:rsidRDefault="00491910" w:rsidP="00491910">
              <w:pPr>
                <w:pStyle w:val="Bibliography"/>
                <w:rPr>
                  <w:noProof/>
                  <w:lang w:val="en-US"/>
                </w:rPr>
              </w:pPr>
              <w:r>
                <w:rPr>
                  <w:noProof/>
                  <w:lang w:val="en-US"/>
                </w:rPr>
                <w:t xml:space="preserve">Peers, S., 2002. The anti-terrorism Crime and Security Act 2001: A grim balance between liberty and security. </w:t>
              </w:r>
              <w:r>
                <w:rPr>
                  <w:i/>
                  <w:iCs/>
                  <w:noProof/>
                  <w:lang w:val="en-US"/>
                </w:rPr>
                <w:t xml:space="preserve">European Human Rights Law Review, </w:t>
              </w:r>
              <w:r>
                <w:rPr>
                  <w:noProof/>
                  <w:lang w:val="en-US"/>
                </w:rPr>
                <w:t>pp. 582-596.</w:t>
              </w:r>
            </w:p>
            <w:p w14:paraId="0B3E8889" w14:textId="77777777" w:rsidR="00491910" w:rsidRDefault="00491910" w:rsidP="00491910">
              <w:pPr>
                <w:pStyle w:val="Bibliography"/>
                <w:rPr>
                  <w:noProof/>
                  <w:lang w:val="en-US"/>
                </w:rPr>
              </w:pPr>
              <w:r>
                <w:rPr>
                  <w:noProof/>
                  <w:lang w:val="en-US"/>
                </w:rPr>
                <w:t xml:space="preserve">Ramraj, H. R. W., 2011. </w:t>
              </w:r>
              <w:r>
                <w:rPr>
                  <w:i/>
                  <w:iCs/>
                  <w:noProof/>
                  <w:lang w:val="en-US"/>
                </w:rPr>
                <w:t xml:space="preserve">Gloabal anti-terrorism law and policy. </w:t>
              </w:r>
              <w:r>
                <w:rPr>
                  <w:noProof/>
                  <w:lang w:val="en-US"/>
                </w:rPr>
                <w:t>2 ed. Cambridge: CUP.</w:t>
              </w:r>
            </w:p>
            <w:p w14:paraId="7908A81D" w14:textId="77777777" w:rsidR="00491910" w:rsidRDefault="00491910" w:rsidP="00491910">
              <w:pPr>
                <w:pStyle w:val="Bibliography"/>
                <w:rPr>
                  <w:noProof/>
                  <w:lang w:val="en-US"/>
                </w:rPr>
              </w:pPr>
              <w:r>
                <w:rPr>
                  <w:noProof/>
                  <w:lang w:val="en-US"/>
                </w:rPr>
                <w:t xml:space="preserve">Reason, P. &amp;. B. H., 2008. </w:t>
              </w:r>
              <w:r>
                <w:rPr>
                  <w:i/>
                  <w:iCs/>
                  <w:noProof/>
                  <w:lang w:val="en-US"/>
                </w:rPr>
                <w:t xml:space="preserve">Handbook of action research: Participative inquiry and practice. </w:t>
              </w:r>
              <w:r>
                <w:rPr>
                  <w:noProof/>
                  <w:lang w:val="en-US"/>
                </w:rPr>
                <w:t>2 ed. London: Sage.</w:t>
              </w:r>
            </w:p>
            <w:p w14:paraId="5C265127" w14:textId="77777777" w:rsidR="00491910" w:rsidRDefault="00491910" w:rsidP="00491910">
              <w:pPr>
                <w:pStyle w:val="Bibliography"/>
                <w:rPr>
                  <w:noProof/>
                  <w:lang w:val="en-US"/>
                </w:rPr>
              </w:pPr>
              <w:r>
                <w:rPr>
                  <w:noProof/>
                  <w:lang w:val="en-US"/>
                </w:rPr>
                <w:t xml:space="preserve">Resnik, 2015. </w:t>
              </w:r>
              <w:r>
                <w:rPr>
                  <w:i/>
                  <w:iCs/>
                  <w:noProof/>
                  <w:lang w:val="en-US"/>
                </w:rPr>
                <w:t xml:space="preserve">What is Ethics in research &amp; Why is it Important. </w:t>
              </w:r>
              <w:r>
                <w:rPr>
                  <w:noProof/>
                  <w:lang w:val="en-US"/>
                </w:rPr>
                <w:t xml:space="preserve">[Online] </w:t>
              </w:r>
              <w:r>
                <w:rPr>
                  <w:noProof/>
                  <w:lang w:val="en-US"/>
                </w:rPr>
                <w:br/>
                <w:t xml:space="preserve">Available at: </w:t>
              </w:r>
              <w:r>
                <w:rPr>
                  <w:noProof/>
                  <w:u w:val="single"/>
                  <w:lang w:val="en-US"/>
                </w:rPr>
                <w:t>https://www.niehs.nih.gov/research/resources/bioethics/whatis/</w:t>
              </w:r>
              <w:r>
                <w:rPr>
                  <w:noProof/>
                  <w:lang w:val="en-US"/>
                </w:rPr>
                <w:br/>
                <w:t>[Accessed 2nd June 2024].</w:t>
              </w:r>
            </w:p>
            <w:p w14:paraId="45041F4F" w14:textId="77777777" w:rsidR="00491910" w:rsidRDefault="00491910" w:rsidP="00491910">
              <w:pPr>
                <w:pStyle w:val="Bibliography"/>
                <w:rPr>
                  <w:noProof/>
                  <w:lang w:val="en-US"/>
                </w:rPr>
              </w:pPr>
              <w:r>
                <w:rPr>
                  <w:noProof/>
                  <w:lang w:val="en-US"/>
                </w:rPr>
                <w:t xml:space="preserve">Reuters, 2024. </w:t>
              </w:r>
              <w:r>
                <w:rPr>
                  <w:i/>
                  <w:iCs/>
                  <w:noProof/>
                  <w:lang w:val="en-US"/>
                </w:rPr>
                <w:t xml:space="preserve">Ireland says UK's Rwanda policy drives migrants over it's border. </w:t>
              </w:r>
              <w:r>
                <w:rPr>
                  <w:noProof/>
                  <w:lang w:val="en-US"/>
                </w:rPr>
                <w:t xml:space="preserve">[Online] </w:t>
              </w:r>
              <w:r>
                <w:rPr>
                  <w:noProof/>
                  <w:lang w:val="en-US"/>
                </w:rPr>
                <w:br/>
                <w:t xml:space="preserve">Available at: </w:t>
              </w:r>
              <w:r>
                <w:rPr>
                  <w:noProof/>
                  <w:u w:val="single"/>
                  <w:lang w:val="en-US"/>
                </w:rPr>
                <w:t>https://www.reuters.com/world/ireland-says-uks-rwanda-policy-drives-migrants-over-its-border-2024-04-26</w:t>
              </w:r>
              <w:r>
                <w:rPr>
                  <w:noProof/>
                  <w:lang w:val="en-US"/>
                </w:rPr>
                <w:br/>
                <w:t>[Accessed 10 June 2024].</w:t>
              </w:r>
            </w:p>
            <w:p w14:paraId="4A31E0E1" w14:textId="77777777" w:rsidR="00491910" w:rsidRDefault="00491910" w:rsidP="00491910">
              <w:pPr>
                <w:pStyle w:val="Bibliography"/>
                <w:rPr>
                  <w:noProof/>
                  <w:lang w:val="en-US"/>
                </w:rPr>
              </w:pPr>
              <w:r>
                <w:rPr>
                  <w:noProof/>
                  <w:lang w:val="en-US"/>
                </w:rPr>
                <w:t xml:space="preserve">Riessman, C., 2008. </w:t>
              </w:r>
              <w:r>
                <w:rPr>
                  <w:i/>
                  <w:iCs/>
                  <w:noProof/>
                  <w:lang w:val="en-US"/>
                </w:rPr>
                <w:t xml:space="preserve">Narrative methods for the human sciences. </w:t>
              </w:r>
              <w:r>
                <w:rPr>
                  <w:noProof/>
                  <w:lang w:val="en-US"/>
                </w:rPr>
                <w:t>1 ed. London: Sage.</w:t>
              </w:r>
            </w:p>
            <w:p w14:paraId="768D0701" w14:textId="77777777" w:rsidR="00491910" w:rsidRDefault="00491910" w:rsidP="00491910">
              <w:pPr>
                <w:pStyle w:val="Bibliography"/>
                <w:rPr>
                  <w:noProof/>
                  <w:lang w:val="en-US"/>
                </w:rPr>
              </w:pPr>
              <w:r>
                <w:rPr>
                  <w:noProof/>
                  <w:lang w:val="en-US"/>
                </w:rPr>
                <w:t xml:space="preserve">Rindfleisch, M. G. M., 2008. Cross Sectional versus Longitudinal Survey Research: Concepts, findings and guidelines. </w:t>
              </w:r>
              <w:r>
                <w:rPr>
                  <w:i/>
                  <w:iCs/>
                  <w:noProof/>
                  <w:lang w:val="en-US"/>
                </w:rPr>
                <w:t xml:space="preserve">Journal of Marketing Research, </w:t>
              </w:r>
              <w:r>
                <w:rPr>
                  <w:noProof/>
                  <w:lang w:val="en-US"/>
                </w:rPr>
                <w:t>45(3), pp. 261-279.</w:t>
              </w:r>
            </w:p>
            <w:p w14:paraId="1B52A774" w14:textId="77777777" w:rsidR="00491910" w:rsidRDefault="00491910" w:rsidP="00491910">
              <w:pPr>
                <w:pStyle w:val="Bibliography"/>
                <w:rPr>
                  <w:noProof/>
                  <w:lang w:val="en-US"/>
                </w:rPr>
              </w:pPr>
              <w:r>
                <w:rPr>
                  <w:noProof/>
                  <w:lang w:val="en-US"/>
                </w:rPr>
                <w:t xml:space="preserve">Saunders, M. L. P. T. A., 2007. </w:t>
              </w:r>
              <w:r>
                <w:rPr>
                  <w:i/>
                  <w:iCs/>
                  <w:noProof/>
                  <w:lang w:val="en-US"/>
                </w:rPr>
                <w:t xml:space="preserve">Research Methods for Business Students. </w:t>
              </w:r>
              <w:r>
                <w:rPr>
                  <w:noProof/>
                  <w:lang w:val="en-US"/>
                </w:rPr>
                <w:t>4 ed. Harlow: Pearson Education.</w:t>
              </w:r>
            </w:p>
            <w:p w14:paraId="4CEECACE" w14:textId="77777777" w:rsidR="00491910" w:rsidRDefault="00491910" w:rsidP="00491910">
              <w:pPr>
                <w:pStyle w:val="Bibliography"/>
                <w:rPr>
                  <w:noProof/>
                  <w:lang w:val="en-US"/>
                </w:rPr>
              </w:pPr>
              <w:r>
                <w:rPr>
                  <w:noProof/>
                  <w:lang w:val="en-US"/>
                </w:rPr>
                <w:t xml:space="preserve">Shelley, L., 2005. Terrorism and Organised Crime: Lessons from History. </w:t>
              </w:r>
              <w:r>
                <w:rPr>
                  <w:i/>
                  <w:iCs/>
                  <w:noProof/>
                  <w:lang w:val="en-US"/>
                </w:rPr>
                <w:t xml:space="preserve">Studies in Conflict and Terrorism, </w:t>
              </w:r>
              <w:r>
                <w:rPr>
                  <w:noProof/>
                  <w:lang w:val="en-US"/>
                </w:rPr>
                <w:t>28(2), pp. 95-110.</w:t>
              </w:r>
            </w:p>
            <w:p w14:paraId="7FE72D7A" w14:textId="77777777" w:rsidR="00491910" w:rsidRDefault="00491910" w:rsidP="00491910">
              <w:pPr>
                <w:pStyle w:val="Bibliography"/>
                <w:rPr>
                  <w:noProof/>
                  <w:lang w:val="en-US"/>
                </w:rPr>
              </w:pPr>
              <w:r>
                <w:rPr>
                  <w:noProof/>
                  <w:lang w:val="en-US"/>
                </w:rPr>
                <w:t xml:space="preserve">Silke, A., 2017. Terrorism and the limitations of law enforcement. In: R. English, ed. </w:t>
              </w:r>
              <w:r>
                <w:rPr>
                  <w:i/>
                  <w:iCs/>
                  <w:noProof/>
                  <w:lang w:val="en-US"/>
                </w:rPr>
                <w:t xml:space="preserve">Research Handbook on International Law and Terrorism. </w:t>
              </w:r>
              <w:r>
                <w:rPr>
                  <w:noProof/>
                  <w:lang w:val="en-US"/>
                </w:rPr>
                <w:t>Camberley: Edward Elgar Publishing, pp. 64-80.</w:t>
              </w:r>
            </w:p>
            <w:p w14:paraId="62C8B00F" w14:textId="77777777" w:rsidR="00491910" w:rsidRDefault="00491910" w:rsidP="00491910">
              <w:pPr>
                <w:pStyle w:val="Bibliography"/>
                <w:rPr>
                  <w:noProof/>
                  <w:lang w:val="en-US"/>
                </w:rPr>
              </w:pPr>
              <w:r>
                <w:rPr>
                  <w:noProof/>
                  <w:lang w:val="en-US"/>
                </w:rPr>
                <w:t xml:space="preserve">Silke, A., 2018. The Global Terrorism Database: Accomplishements and Challenges. </w:t>
              </w:r>
              <w:r>
                <w:rPr>
                  <w:i/>
                  <w:iCs/>
                  <w:noProof/>
                  <w:lang w:val="en-US"/>
                </w:rPr>
                <w:t xml:space="preserve">Studies in Conflict and Terrorism, </w:t>
              </w:r>
              <w:r>
                <w:rPr>
                  <w:noProof/>
                  <w:lang w:val="en-US"/>
                </w:rPr>
                <w:t>41(4), pp. 305-322.</w:t>
              </w:r>
            </w:p>
            <w:p w14:paraId="48170A56" w14:textId="77777777" w:rsidR="00491910" w:rsidRDefault="00491910" w:rsidP="00491910">
              <w:pPr>
                <w:pStyle w:val="Bibliography"/>
                <w:rPr>
                  <w:noProof/>
                  <w:lang w:val="en-US"/>
                </w:rPr>
              </w:pPr>
              <w:r>
                <w:rPr>
                  <w:noProof/>
                  <w:lang w:val="en-US"/>
                </w:rPr>
                <w:t xml:space="preserve">Smith, D., 2003. Five Principles for Research Ethics. </w:t>
              </w:r>
              <w:r>
                <w:rPr>
                  <w:i/>
                  <w:iCs/>
                  <w:noProof/>
                  <w:lang w:val="en-US"/>
                </w:rPr>
                <w:t xml:space="preserve">American Psychology Association, </w:t>
              </w:r>
              <w:r>
                <w:rPr>
                  <w:noProof/>
                  <w:lang w:val="en-US"/>
                </w:rPr>
                <w:t>34(1), p. 56.</w:t>
              </w:r>
            </w:p>
            <w:p w14:paraId="36F46BBF" w14:textId="77777777" w:rsidR="00491910" w:rsidRDefault="00491910" w:rsidP="00491910">
              <w:pPr>
                <w:pStyle w:val="Bibliography"/>
                <w:rPr>
                  <w:noProof/>
                  <w:lang w:val="en-US"/>
                </w:rPr>
              </w:pPr>
              <w:r>
                <w:rPr>
                  <w:noProof/>
                  <w:lang w:val="en-US"/>
                </w:rPr>
                <w:lastRenderedPageBreak/>
                <w:t xml:space="preserve">Smith, R., 2018. The legal basis for the Common Travel Area. </w:t>
              </w:r>
              <w:r>
                <w:rPr>
                  <w:i/>
                  <w:iCs/>
                  <w:noProof/>
                  <w:lang w:val="en-US"/>
                </w:rPr>
                <w:t xml:space="preserve">Irish Studies in International Affairs, </w:t>
              </w:r>
              <w:r>
                <w:rPr>
                  <w:noProof/>
                  <w:lang w:val="en-US"/>
                </w:rPr>
                <w:t>29(2), pp. 109-123.</w:t>
              </w:r>
            </w:p>
            <w:p w14:paraId="59D64472" w14:textId="77777777" w:rsidR="00491910" w:rsidRDefault="00491910" w:rsidP="00491910">
              <w:pPr>
                <w:pStyle w:val="Bibliography"/>
                <w:rPr>
                  <w:noProof/>
                  <w:lang w:val="en-US"/>
                </w:rPr>
              </w:pPr>
              <w:r>
                <w:rPr>
                  <w:noProof/>
                  <w:lang w:val="en-US"/>
                </w:rPr>
                <w:t xml:space="preserve">Sottiaux, 2011. </w:t>
              </w:r>
              <w:r>
                <w:rPr>
                  <w:i/>
                  <w:iCs/>
                  <w:noProof/>
                  <w:lang w:val="en-US"/>
                </w:rPr>
                <w:t xml:space="preserve">Terrorism and the Limitations of Rights. </w:t>
              </w:r>
              <w:r>
                <w:rPr>
                  <w:noProof/>
                  <w:lang w:val="en-US"/>
                </w:rPr>
                <w:t>1 ed. Oxford: Hart Publishing .</w:t>
              </w:r>
            </w:p>
            <w:p w14:paraId="0C0C9CE3" w14:textId="77777777" w:rsidR="00491910" w:rsidRDefault="00491910" w:rsidP="00491910">
              <w:pPr>
                <w:pStyle w:val="Bibliography"/>
                <w:rPr>
                  <w:noProof/>
                  <w:lang w:val="en-US"/>
                </w:rPr>
              </w:pPr>
              <w:r>
                <w:rPr>
                  <w:noProof/>
                  <w:lang w:val="en-US"/>
                </w:rPr>
                <w:t xml:space="preserve">Stake, R., 1995. </w:t>
              </w:r>
              <w:r>
                <w:rPr>
                  <w:i/>
                  <w:iCs/>
                  <w:noProof/>
                  <w:lang w:val="en-US"/>
                </w:rPr>
                <w:t xml:space="preserve">The art of case study research. </w:t>
              </w:r>
              <w:r>
                <w:rPr>
                  <w:noProof/>
                  <w:lang w:val="en-US"/>
                </w:rPr>
                <w:t>1 ed. London: Sage.</w:t>
              </w:r>
            </w:p>
            <w:p w14:paraId="5AEB7147" w14:textId="77777777" w:rsidR="00491910" w:rsidRDefault="00491910" w:rsidP="00491910">
              <w:pPr>
                <w:pStyle w:val="Bibliography"/>
                <w:rPr>
                  <w:noProof/>
                  <w:lang w:val="en-US"/>
                </w:rPr>
              </w:pPr>
              <w:r>
                <w:rPr>
                  <w:noProof/>
                  <w:lang w:val="en-US"/>
                </w:rPr>
                <w:t xml:space="preserve">Stark, S., 2016. Suspcion-less minds: Anti Terrorism Powers at Ports and Borders. </w:t>
              </w:r>
              <w:r>
                <w:rPr>
                  <w:i/>
                  <w:iCs/>
                  <w:noProof/>
                  <w:lang w:val="en-US"/>
                </w:rPr>
                <w:t xml:space="preserve">The Cambridge Law Journal, </w:t>
              </w:r>
              <w:r>
                <w:rPr>
                  <w:noProof/>
                  <w:lang w:val="en-US"/>
                </w:rPr>
                <w:t>75(1), pp. 8-11.</w:t>
              </w:r>
            </w:p>
            <w:p w14:paraId="15658F35" w14:textId="77777777" w:rsidR="00491910" w:rsidRDefault="00491910" w:rsidP="00491910">
              <w:pPr>
                <w:pStyle w:val="Bibliography"/>
                <w:rPr>
                  <w:noProof/>
                  <w:lang w:val="en-US"/>
                </w:rPr>
              </w:pPr>
              <w:r>
                <w:rPr>
                  <w:noProof/>
                  <w:lang w:val="en-US"/>
                </w:rPr>
                <w:t xml:space="preserve">Stopwatch, 2014. </w:t>
              </w:r>
              <w:r>
                <w:rPr>
                  <w:i/>
                  <w:iCs/>
                  <w:noProof/>
                  <w:lang w:val="en-US"/>
                </w:rPr>
                <w:t xml:space="preserve">Stopwatch. </w:t>
              </w:r>
              <w:r>
                <w:rPr>
                  <w:noProof/>
                  <w:lang w:val="en-US"/>
                </w:rPr>
                <w:t xml:space="preserve">[Online] </w:t>
              </w:r>
              <w:r>
                <w:rPr>
                  <w:noProof/>
                  <w:lang w:val="en-US"/>
                </w:rPr>
                <w:br/>
                <w:t xml:space="preserve">Available at: </w:t>
              </w:r>
              <w:r>
                <w:rPr>
                  <w:noProof/>
                  <w:u w:val="single"/>
                  <w:lang w:val="en-US"/>
                </w:rPr>
                <w:t>https://www.statewatch.org/media/documents/news/2015/aug/uk-schedule-7-stopwatch-factsheet.pdf</w:t>
              </w:r>
              <w:r>
                <w:rPr>
                  <w:noProof/>
                  <w:lang w:val="en-US"/>
                </w:rPr>
                <w:br/>
                <w:t>[Accessed 30 May 2024].</w:t>
              </w:r>
            </w:p>
            <w:p w14:paraId="743392A2" w14:textId="77777777" w:rsidR="00491910" w:rsidRDefault="00491910" w:rsidP="00491910">
              <w:pPr>
                <w:pStyle w:val="Bibliography"/>
                <w:rPr>
                  <w:noProof/>
                  <w:lang w:val="en-US"/>
                </w:rPr>
              </w:pPr>
              <w:r>
                <w:rPr>
                  <w:noProof/>
                  <w:lang w:val="en-US"/>
                </w:rPr>
                <w:t xml:space="preserve">Stringer, E., 2014. </w:t>
              </w:r>
              <w:r>
                <w:rPr>
                  <w:i/>
                  <w:iCs/>
                  <w:noProof/>
                  <w:lang w:val="en-US"/>
                </w:rPr>
                <w:t xml:space="preserve">Action Research a handbook for practioners. </w:t>
              </w:r>
              <w:r>
                <w:rPr>
                  <w:noProof/>
                  <w:lang w:val="en-US"/>
                </w:rPr>
                <w:t>4 ed. London: Sage.</w:t>
              </w:r>
            </w:p>
            <w:p w14:paraId="798D3B65" w14:textId="77777777" w:rsidR="00491910" w:rsidRDefault="00491910" w:rsidP="00491910">
              <w:pPr>
                <w:pStyle w:val="Bibliography"/>
                <w:rPr>
                  <w:noProof/>
                  <w:lang w:val="en-US"/>
                </w:rPr>
              </w:pPr>
              <w:r>
                <w:rPr>
                  <w:noProof/>
                  <w:lang w:val="en-US"/>
                </w:rPr>
                <w:t xml:space="preserve">Tacik, P., 2017. The Effectiveness of Schedule 7 of the Terrorism Act 2000: An analysis of Arrests, Stops, and Searches. </w:t>
              </w:r>
              <w:r>
                <w:rPr>
                  <w:i/>
                  <w:iCs/>
                  <w:noProof/>
                  <w:lang w:val="en-US"/>
                </w:rPr>
                <w:t xml:space="preserve">Terrorism and Political Violence, </w:t>
              </w:r>
              <w:r>
                <w:rPr>
                  <w:noProof/>
                  <w:lang w:val="en-US"/>
                </w:rPr>
                <w:t>29(6), pp. 1083-1101.</w:t>
              </w:r>
            </w:p>
            <w:p w14:paraId="3A2C9D49" w14:textId="77777777" w:rsidR="00491910" w:rsidRDefault="00491910" w:rsidP="00491910">
              <w:pPr>
                <w:pStyle w:val="Bibliography"/>
                <w:rPr>
                  <w:noProof/>
                  <w:lang w:val="en-US"/>
                </w:rPr>
              </w:pPr>
              <w:r>
                <w:rPr>
                  <w:noProof/>
                  <w:lang w:val="en-US"/>
                </w:rPr>
                <w:t xml:space="preserve">Tashakkori, A. &amp;. T. C., 2010. </w:t>
              </w:r>
              <w:r>
                <w:rPr>
                  <w:i/>
                  <w:iCs/>
                  <w:noProof/>
                  <w:lang w:val="en-US"/>
                </w:rPr>
                <w:t xml:space="preserve">Sage handbook of mixed methods in social &amp; behavioural research. </w:t>
              </w:r>
              <w:r>
                <w:rPr>
                  <w:noProof/>
                  <w:lang w:val="en-US"/>
                </w:rPr>
                <w:t>2 ed. London: Sage.</w:t>
              </w:r>
            </w:p>
            <w:p w14:paraId="5C9ABC47" w14:textId="77777777" w:rsidR="00491910" w:rsidRDefault="00491910" w:rsidP="00491910">
              <w:pPr>
                <w:pStyle w:val="Bibliography"/>
                <w:rPr>
                  <w:noProof/>
                  <w:lang w:val="en-US"/>
                </w:rPr>
              </w:pPr>
              <w:r>
                <w:rPr>
                  <w:noProof/>
                  <w:lang w:val="en-US"/>
                </w:rPr>
                <w:t xml:space="preserve">Terrorism Act, 2000. </w:t>
              </w:r>
              <w:r>
                <w:rPr>
                  <w:i/>
                  <w:iCs/>
                  <w:noProof/>
                  <w:lang w:val="en-US"/>
                </w:rPr>
                <w:t xml:space="preserve">Terrorism Act. </w:t>
              </w:r>
              <w:r>
                <w:rPr>
                  <w:noProof/>
                  <w:lang w:val="en-US"/>
                </w:rPr>
                <w:t xml:space="preserve">[Online] </w:t>
              </w:r>
              <w:r>
                <w:rPr>
                  <w:noProof/>
                  <w:lang w:val="en-US"/>
                </w:rPr>
                <w:br/>
                <w:t xml:space="preserve">Available at: </w:t>
              </w:r>
              <w:r>
                <w:rPr>
                  <w:noProof/>
                  <w:u w:val="single"/>
                  <w:lang w:val="en-US"/>
                </w:rPr>
                <w:t>https://www.legislation.gov.uk/ukpga/2000/11/section/1</w:t>
              </w:r>
              <w:r>
                <w:rPr>
                  <w:noProof/>
                  <w:lang w:val="en-US"/>
                </w:rPr>
                <w:br/>
                <w:t>[Accessed 30 May 2024].</w:t>
              </w:r>
            </w:p>
            <w:p w14:paraId="3735E9ED" w14:textId="77777777" w:rsidR="00491910" w:rsidRDefault="00491910" w:rsidP="00491910">
              <w:pPr>
                <w:pStyle w:val="Bibliography"/>
                <w:rPr>
                  <w:noProof/>
                  <w:lang w:val="en-US"/>
                </w:rPr>
              </w:pPr>
              <w:r>
                <w:rPr>
                  <w:noProof/>
                  <w:lang w:val="en-US"/>
                </w:rPr>
                <w:t xml:space="preserve">Winter, R., 1987. </w:t>
              </w:r>
              <w:r>
                <w:rPr>
                  <w:i/>
                  <w:iCs/>
                  <w:noProof/>
                  <w:lang w:val="en-US"/>
                </w:rPr>
                <w:t xml:space="preserve">Action research and the nature of social inquiry: Professional innovation and educational reform. </w:t>
              </w:r>
              <w:r>
                <w:rPr>
                  <w:noProof/>
                  <w:lang w:val="en-US"/>
                </w:rPr>
                <w:t>1 ed. Avebury: Avebury.</w:t>
              </w:r>
            </w:p>
            <w:p w14:paraId="2A5C05C9" w14:textId="77777777" w:rsidR="00491910" w:rsidRDefault="00491910" w:rsidP="00491910">
              <w:pPr>
                <w:pStyle w:val="Bibliography"/>
                <w:rPr>
                  <w:noProof/>
                  <w:lang w:val="en-US"/>
                </w:rPr>
              </w:pPr>
              <w:r>
                <w:rPr>
                  <w:noProof/>
                  <w:lang w:val="en-US"/>
                </w:rPr>
                <w:t xml:space="preserve">Woude, M., 2009. Policing multiple jurisdictions: An international comparison of police cooperation in border regions. </w:t>
              </w:r>
              <w:r>
                <w:rPr>
                  <w:i/>
                  <w:iCs/>
                  <w:noProof/>
                  <w:lang w:val="en-US"/>
                </w:rPr>
                <w:t xml:space="preserve">European Journal of Criminology, </w:t>
              </w:r>
              <w:r>
                <w:rPr>
                  <w:noProof/>
                  <w:lang w:val="en-US"/>
                </w:rPr>
                <w:t>6(6), pp. 535-552.</w:t>
              </w:r>
            </w:p>
            <w:p w14:paraId="2756BDF2" w14:textId="77777777" w:rsidR="00491910" w:rsidRDefault="00491910" w:rsidP="00491910">
              <w:pPr>
                <w:pStyle w:val="Bibliography"/>
                <w:rPr>
                  <w:noProof/>
                  <w:lang w:val="en-US"/>
                </w:rPr>
              </w:pPr>
              <w:r>
                <w:rPr>
                  <w:noProof/>
                  <w:lang w:val="en-US"/>
                </w:rPr>
                <w:t xml:space="preserve">Wragg, 2019. Schedule 7 of the Terrorism Act 2000: Assessing the Balance between Counter-Terrorism Powers and Individual Rights. </w:t>
              </w:r>
              <w:r>
                <w:rPr>
                  <w:i/>
                  <w:iCs/>
                  <w:noProof/>
                  <w:lang w:val="en-US"/>
                </w:rPr>
                <w:t xml:space="preserve">European Human Rights Law Review, </w:t>
              </w:r>
              <w:r>
                <w:rPr>
                  <w:noProof/>
                  <w:lang w:val="en-US"/>
                </w:rPr>
                <w:t>Volume 4, pp. 403-419.</w:t>
              </w:r>
            </w:p>
            <w:p w14:paraId="45C1C328" w14:textId="77777777" w:rsidR="00491910" w:rsidRDefault="00491910" w:rsidP="00491910">
              <w:pPr>
                <w:pStyle w:val="Bibliography"/>
                <w:rPr>
                  <w:noProof/>
                  <w:lang w:val="en-US"/>
                </w:rPr>
              </w:pPr>
              <w:r>
                <w:rPr>
                  <w:noProof/>
                  <w:lang w:val="en-US"/>
                </w:rPr>
                <w:t xml:space="preserve">Yin, R., 2018. </w:t>
              </w:r>
              <w:r>
                <w:rPr>
                  <w:i/>
                  <w:iCs/>
                  <w:noProof/>
                  <w:lang w:val="en-US"/>
                </w:rPr>
                <w:t xml:space="preserve">Case study research and applications: Design and methods. </w:t>
              </w:r>
              <w:r>
                <w:rPr>
                  <w:noProof/>
                  <w:lang w:val="en-US"/>
                </w:rPr>
                <w:t>6 ed. London: Sage.</w:t>
              </w:r>
            </w:p>
            <w:p w14:paraId="755B151C" w14:textId="5500DBA3" w:rsidR="00491910" w:rsidRDefault="00491910" w:rsidP="00491910">
              <w:r>
                <w:rPr>
                  <w:b/>
                  <w:bCs/>
                  <w:noProof/>
                </w:rPr>
                <w:fldChar w:fldCharType="end"/>
              </w:r>
            </w:p>
          </w:sdtContent>
        </w:sdt>
      </w:sdtContent>
    </w:sdt>
    <w:p w14:paraId="2B344869" w14:textId="77777777" w:rsidR="00883F63" w:rsidRDefault="00883F63" w:rsidP="006C36C8">
      <w:pPr>
        <w:rPr>
          <w:rFonts w:ascii="Arial" w:hAnsi="Arial" w:cs="Arial"/>
        </w:rPr>
      </w:pPr>
    </w:p>
    <w:p w14:paraId="6FA52131" w14:textId="77777777" w:rsidR="00883F63" w:rsidRDefault="00883F63" w:rsidP="006C36C8">
      <w:pPr>
        <w:rPr>
          <w:rFonts w:ascii="Arial" w:hAnsi="Arial" w:cs="Arial"/>
        </w:rPr>
      </w:pPr>
    </w:p>
    <w:p w14:paraId="55A5470E" w14:textId="77777777" w:rsidR="001D4CF4" w:rsidRDefault="001D4CF4" w:rsidP="006C36C8">
      <w:pPr>
        <w:rPr>
          <w:rFonts w:ascii="Arial" w:hAnsi="Arial" w:cs="Arial"/>
        </w:rPr>
      </w:pPr>
    </w:p>
    <w:p w14:paraId="687453D5" w14:textId="77777777" w:rsidR="001D4CF4" w:rsidRDefault="001D4CF4" w:rsidP="006C36C8">
      <w:pPr>
        <w:rPr>
          <w:rFonts w:ascii="Arial" w:hAnsi="Arial" w:cs="Arial"/>
        </w:rPr>
      </w:pPr>
    </w:p>
    <w:p w14:paraId="73101C8B" w14:textId="77777777" w:rsidR="001D4CF4" w:rsidRDefault="001D4CF4" w:rsidP="006C36C8">
      <w:pPr>
        <w:rPr>
          <w:rFonts w:ascii="Arial" w:hAnsi="Arial" w:cs="Arial"/>
        </w:rPr>
      </w:pPr>
    </w:p>
    <w:p w14:paraId="1D219A6E" w14:textId="77777777" w:rsidR="001D4CF4" w:rsidRDefault="001D4CF4" w:rsidP="006C36C8">
      <w:pPr>
        <w:rPr>
          <w:rFonts w:ascii="Arial" w:hAnsi="Arial" w:cs="Arial"/>
        </w:rPr>
      </w:pPr>
    </w:p>
    <w:p w14:paraId="61159135" w14:textId="77777777" w:rsidR="001D4CF4" w:rsidRDefault="001D4CF4" w:rsidP="006C36C8">
      <w:pPr>
        <w:rPr>
          <w:rFonts w:ascii="Arial" w:hAnsi="Arial" w:cs="Arial"/>
        </w:rPr>
      </w:pPr>
    </w:p>
    <w:p w14:paraId="5E73CE9A" w14:textId="77777777" w:rsidR="001D4CF4" w:rsidRDefault="001D4CF4" w:rsidP="006C36C8">
      <w:pPr>
        <w:rPr>
          <w:rFonts w:ascii="Arial" w:hAnsi="Arial" w:cs="Arial"/>
        </w:rPr>
      </w:pPr>
    </w:p>
    <w:p w14:paraId="69065610" w14:textId="77777777" w:rsidR="001D4CF4" w:rsidRPr="00C12CBA" w:rsidRDefault="001D4CF4" w:rsidP="006C36C8">
      <w:pPr>
        <w:rPr>
          <w:rFonts w:ascii="Arial" w:hAnsi="Arial" w:cs="Arial"/>
        </w:rPr>
      </w:pPr>
    </w:p>
    <w:sectPr w:rsidR="001D4CF4" w:rsidRPr="00C12CBA">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9DDDE" w14:textId="77777777" w:rsidR="00B40AE0" w:rsidRDefault="00B40AE0" w:rsidP="00D91B02">
      <w:pPr>
        <w:spacing w:after="0" w:line="240" w:lineRule="auto"/>
      </w:pPr>
      <w:r>
        <w:separator/>
      </w:r>
    </w:p>
  </w:endnote>
  <w:endnote w:type="continuationSeparator" w:id="0">
    <w:p w14:paraId="22331201" w14:textId="77777777" w:rsidR="00B40AE0" w:rsidRDefault="00B40AE0" w:rsidP="00D91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14843"/>
      <w:docPartObj>
        <w:docPartGallery w:val="Page Numbers (Bottom of Page)"/>
        <w:docPartUnique/>
      </w:docPartObj>
    </w:sdtPr>
    <w:sdtEndPr>
      <w:rPr>
        <w:noProof/>
      </w:rPr>
    </w:sdtEndPr>
    <w:sdtContent>
      <w:p w14:paraId="11A19F3E" w14:textId="63F9EDB3" w:rsidR="00D91B02" w:rsidRDefault="00D91B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9116F" w14:textId="77777777" w:rsidR="00D91B02" w:rsidRDefault="00D91B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99215" w14:textId="77777777" w:rsidR="00B40AE0" w:rsidRDefault="00B40AE0" w:rsidP="00D91B02">
      <w:pPr>
        <w:spacing w:after="0" w:line="240" w:lineRule="auto"/>
      </w:pPr>
      <w:r>
        <w:separator/>
      </w:r>
    </w:p>
  </w:footnote>
  <w:footnote w:type="continuationSeparator" w:id="0">
    <w:p w14:paraId="34A70F5A" w14:textId="77777777" w:rsidR="00B40AE0" w:rsidRDefault="00B40AE0" w:rsidP="00D91B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73627"/>
    <w:multiLevelType w:val="hybridMultilevel"/>
    <w:tmpl w:val="3BDA7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E641E"/>
    <w:multiLevelType w:val="hybridMultilevel"/>
    <w:tmpl w:val="05364A0A"/>
    <w:lvl w:ilvl="0" w:tplc="C6CC2F9E">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AD9396D"/>
    <w:multiLevelType w:val="hybridMultilevel"/>
    <w:tmpl w:val="41CCBFF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824DA2"/>
    <w:multiLevelType w:val="multilevel"/>
    <w:tmpl w:val="E2EC1A5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290069"/>
    <w:multiLevelType w:val="multilevel"/>
    <w:tmpl w:val="E2EC1A5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48D6127"/>
    <w:multiLevelType w:val="hybridMultilevel"/>
    <w:tmpl w:val="4E72C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DE11AC"/>
    <w:multiLevelType w:val="hybridMultilevel"/>
    <w:tmpl w:val="67909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E67A9F"/>
    <w:multiLevelType w:val="hybridMultilevel"/>
    <w:tmpl w:val="C3089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1462B2"/>
    <w:multiLevelType w:val="hybridMultilevel"/>
    <w:tmpl w:val="B7446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616CA6"/>
    <w:multiLevelType w:val="multilevel"/>
    <w:tmpl w:val="E2EC1A5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4B22B46"/>
    <w:multiLevelType w:val="hybridMultilevel"/>
    <w:tmpl w:val="94226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1554605">
    <w:abstractNumId w:val="9"/>
  </w:num>
  <w:num w:numId="2" w16cid:durableId="1904875446">
    <w:abstractNumId w:val="4"/>
  </w:num>
  <w:num w:numId="3" w16cid:durableId="1191257310">
    <w:abstractNumId w:val="3"/>
  </w:num>
  <w:num w:numId="4" w16cid:durableId="1359895291">
    <w:abstractNumId w:val="5"/>
  </w:num>
  <w:num w:numId="5" w16cid:durableId="555120370">
    <w:abstractNumId w:val="7"/>
  </w:num>
  <w:num w:numId="6" w16cid:durableId="520360272">
    <w:abstractNumId w:val="8"/>
  </w:num>
  <w:num w:numId="7" w16cid:durableId="1182627165">
    <w:abstractNumId w:val="0"/>
  </w:num>
  <w:num w:numId="8" w16cid:durableId="1057751176">
    <w:abstractNumId w:val="10"/>
  </w:num>
  <w:num w:numId="9" w16cid:durableId="1247298682">
    <w:abstractNumId w:val="2"/>
  </w:num>
  <w:num w:numId="10" w16cid:durableId="2123455485">
    <w:abstractNumId w:val="6"/>
  </w:num>
  <w:num w:numId="11" w16cid:durableId="1762407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312"/>
    <w:rsid w:val="00000056"/>
    <w:rsid w:val="000008C5"/>
    <w:rsid w:val="000030BC"/>
    <w:rsid w:val="000032CA"/>
    <w:rsid w:val="0000577A"/>
    <w:rsid w:val="0001011B"/>
    <w:rsid w:val="0001031A"/>
    <w:rsid w:val="00011A46"/>
    <w:rsid w:val="0001405E"/>
    <w:rsid w:val="000144F6"/>
    <w:rsid w:val="0001519C"/>
    <w:rsid w:val="00015278"/>
    <w:rsid w:val="00016C8F"/>
    <w:rsid w:val="00017809"/>
    <w:rsid w:val="00017F80"/>
    <w:rsid w:val="000214A4"/>
    <w:rsid w:val="00022229"/>
    <w:rsid w:val="00023A54"/>
    <w:rsid w:val="00023E4E"/>
    <w:rsid w:val="00025D3D"/>
    <w:rsid w:val="00027B2B"/>
    <w:rsid w:val="00027BE6"/>
    <w:rsid w:val="000313B5"/>
    <w:rsid w:val="000313B7"/>
    <w:rsid w:val="00035193"/>
    <w:rsid w:val="00040E4B"/>
    <w:rsid w:val="000411DA"/>
    <w:rsid w:val="000414BF"/>
    <w:rsid w:val="00041610"/>
    <w:rsid w:val="00041AF1"/>
    <w:rsid w:val="000420C7"/>
    <w:rsid w:val="00043ACC"/>
    <w:rsid w:val="00044C63"/>
    <w:rsid w:val="00045D19"/>
    <w:rsid w:val="00046C4A"/>
    <w:rsid w:val="00050F14"/>
    <w:rsid w:val="00051986"/>
    <w:rsid w:val="00057882"/>
    <w:rsid w:val="00057B5D"/>
    <w:rsid w:val="00060AED"/>
    <w:rsid w:val="00061187"/>
    <w:rsid w:val="000630E3"/>
    <w:rsid w:val="0006334A"/>
    <w:rsid w:val="00063BE7"/>
    <w:rsid w:val="00064CD0"/>
    <w:rsid w:val="000670CF"/>
    <w:rsid w:val="00067933"/>
    <w:rsid w:val="00067FDE"/>
    <w:rsid w:val="00073385"/>
    <w:rsid w:val="00073A93"/>
    <w:rsid w:val="00073E44"/>
    <w:rsid w:val="000742F3"/>
    <w:rsid w:val="00076C9F"/>
    <w:rsid w:val="00077EF9"/>
    <w:rsid w:val="00080827"/>
    <w:rsid w:val="0008198D"/>
    <w:rsid w:val="00082663"/>
    <w:rsid w:val="00083EBB"/>
    <w:rsid w:val="00086094"/>
    <w:rsid w:val="00086FB0"/>
    <w:rsid w:val="000877B7"/>
    <w:rsid w:val="00090131"/>
    <w:rsid w:val="0009151E"/>
    <w:rsid w:val="00093160"/>
    <w:rsid w:val="000954FF"/>
    <w:rsid w:val="00095ABA"/>
    <w:rsid w:val="00095DFF"/>
    <w:rsid w:val="00096ADA"/>
    <w:rsid w:val="00096FB1"/>
    <w:rsid w:val="000A0EE3"/>
    <w:rsid w:val="000A1625"/>
    <w:rsid w:val="000A1EED"/>
    <w:rsid w:val="000A2957"/>
    <w:rsid w:val="000A2C7A"/>
    <w:rsid w:val="000A2F3C"/>
    <w:rsid w:val="000A3E0A"/>
    <w:rsid w:val="000A3F8B"/>
    <w:rsid w:val="000A40F0"/>
    <w:rsid w:val="000A4102"/>
    <w:rsid w:val="000A4834"/>
    <w:rsid w:val="000A6966"/>
    <w:rsid w:val="000A6A85"/>
    <w:rsid w:val="000B06AA"/>
    <w:rsid w:val="000B1824"/>
    <w:rsid w:val="000B6FB8"/>
    <w:rsid w:val="000B725C"/>
    <w:rsid w:val="000C0475"/>
    <w:rsid w:val="000C28F7"/>
    <w:rsid w:val="000C3589"/>
    <w:rsid w:val="000C3D79"/>
    <w:rsid w:val="000C5094"/>
    <w:rsid w:val="000C5BDD"/>
    <w:rsid w:val="000C66FC"/>
    <w:rsid w:val="000D024B"/>
    <w:rsid w:val="000D1608"/>
    <w:rsid w:val="000D3F3F"/>
    <w:rsid w:val="000D6255"/>
    <w:rsid w:val="000D739F"/>
    <w:rsid w:val="000E07FC"/>
    <w:rsid w:val="000E153D"/>
    <w:rsid w:val="000E54BF"/>
    <w:rsid w:val="000E650D"/>
    <w:rsid w:val="000E6C96"/>
    <w:rsid w:val="000F02F4"/>
    <w:rsid w:val="000F0B70"/>
    <w:rsid w:val="000F13DE"/>
    <w:rsid w:val="000F1B4A"/>
    <w:rsid w:val="000F3C4E"/>
    <w:rsid w:val="000F6821"/>
    <w:rsid w:val="000F6C07"/>
    <w:rsid w:val="000F785B"/>
    <w:rsid w:val="00100010"/>
    <w:rsid w:val="00101365"/>
    <w:rsid w:val="001042EF"/>
    <w:rsid w:val="00104582"/>
    <w:rsid w:val="00110A3E"/>
    <w:rsid w:val="001113F9"/>
    <w:rsid w:val="001123F6"/>
    <w:rsid w:val="00112C02"/>
    <w:rsid w:val="00113805"/>
    <w:rsid w:val="00114651"/>
    <w:rsid w:val="001149C5"/>
    <w:rsid w:val="00114CA9"/>
    <w:rsid w:val="0011586B"/>
    <w:rsid w:val="001162E1"/>
    <w:rsid w:val="00117D4C"/>
    <w:rsid w:val="00120B25"/>
    <w:rsid w:val="00120B71"/>
    <w:rsid w:val="00120BED"/>
    <w:rsid w:val="00122ADC"/>
    <w:rsid w:val="00122D9D"/>
    <w:rsid w:val="00125160"/>
    <w:rsid w:val="00125EC5"/>
    <w:rsid w:val="0012694C"/>
    <w:rsid w:val="0013038A"/>
    <w:rsid w:val="00131806"/>
    <w:rsid w:val="00134050"/>
    <w:rsid w:val="00134D88"/>
    <w:rsid w:val="001362FC"/>
    <w:rsid w:val="001367E0"/>
    <w:rsid w:val="00137A17"/>
    <w:rsid w:val="001426AB"/>
    <w:rsid w:val="00142F0D"/>
    <w:rsid w:val="00143245"/>
    <w:rsid w:val="001454AD"/>
    <w:rsid w:val="0014609B"/>
    <w:rsid w:val="001478C7"/>
    <w:rsid w:val="0014793D"/>
    <w:rsid w:val="00147F25"/>
    <w:rsid w:val="0015059F"/>
    <w:rsid w:val="00150A97"/>
    <w:rsid w:val="00150C60"/>
    <w:rsid w:val="001552B0"/>
    <w:rsid w:val="0015550E"/>
    <w:rsid w:val="0015758D"/>
    <w:rsid w:val="00160656"/>
    <w:rsid w:val="00162D31"/>
    <w:rsid w:val="001633D3"/>
    <w:rsid w:val="001637BF"/>
    <w:rsid w:val="0016408C"/>
    <w:rsid w:val="0016510B"/>
    <w:rsid w:val="00167FED"/>
    <w:rsid w:val="00170138"/>
    <w:rsid w:val="00170EF7"/>
    <w:rsid w:val="001730CE"/>
    <w:rsid w:val="00176A72"/>
    <w:rsid w:val="00180461"/>
    <w:rsid w:val="00180FAA"/>
    <w:rsid w:val="00183668"/>
    <w:rsid w:val="0018370C"/>
    <w:rsid w:val="00184FBD"/>
    <w:rsid w:val="00185363"/>
    <w:rsid w:val="00186DE0"/>
    <w:rsid w:val="00190888"/>
    <w:rsid w:val="00190BED"/>
    <w:rsid w:val="001925C5"/>
    <w:rsid w:val="001942CA"/>
    <w:rsid w:val="001942D5"/>
    <w:rsid w:val="0019470C"/>
    <w:rsid w:val="00195019"/>
    <w:rsid w:val="00196EBC"/>
    <w:rsid w:val="00197793"/>
    <w:rsid w:val="00197AE6"/>
    <w:rsid w:val="00197F42"/>
    <w:rsid w:val="001A49DB"/>
    <w:rsid w:val="001A5EBB"/>
    <w:rsid w:val="001B0680"/>
    <w:rsid w:val="001B24CA"/>
    <w:rsid w:val="001B257D"/>
    <w:rsid w:val="001B2C54"/>
    <w:rsid w:val="001B4303"/>
    <w:rsid w:val="001B4F06"/>
    <w:rsid w:val="001B6CA9"/>
    <w:rsid w:val="001B6DC4"/>
    <w:rsid w:val="001B6DD6"/>
    <w:rsid w:val="001B7EB7"/>
    <w:rsid w:val="001C16AD"/>
    <w:rsid w:val="001C1B48"/>
    <w:rsid w:val="001C1DBA"/>
    <w:rsid w:val="001C2E3C"/>
    <w:rsid w:val="001C32AE"/>
    <w:rsid w:val="001C3CAF"/>
    <w:rsid w:val="001D0318"/>
    <w:rsid w:val="001D4141"/>
    <w:rsid w:val="001D4AC7"/>
    <w:rsid w:val="001D4CF4"/>
    <w:rsid w:val="001D51BD"/>
    <w:rsid w:val="001E0E35"/>
    <w:rsid w:val="001E33AD"/>
    <w:rsid w:val="001F0113"/>
    <w:rsid w:val="001F1655"/>
    <w:rsid w:val="001F3125"/>
    <w:rsid w:val="001F6930"/>
    <w:rsid w:val="002013B4"/>
    <w:rsid w:val="002036E8"/>
    <w:rsid w:val="00203FE6"/>
    <w:rsid w:val="00204006"/>
    <w:rsid w:val="002061E4"/>
    <w:rsid w:val="002106CF"/>
    <w:rsid w:val="0021211D"/>
    <w:rsid w:val="0021475A"/>
    <w:rsid w:val="002153B1"/>
    <w:rsid w:val="0021696C"/>
    <w:rsid w:val="00216C76"/>
    <w:rsid w:val="00220D44"/>
    <w:rsid w:val="00221239"/>
    <w:rsid w:val="00224F5E"/>
    <w:rsid w:val="00225916"/>
    <w:rsid w:val="00226AFB"/>
    <w:rsid w:val="002309B8"/>
    <w:rsid w:val="00231043"/>
    <w:rsid w:val="00231120"/>
    <w:rsid w:val="002318F5"/>
    <w:rsid w:val="00233BAE"/>
    <w:rsid w:val="00233F45"/>
    <w:rsid w:val="002343B7"/>
    <w:rsid w:val="00242AD2"/>
    <w:rsid w:val="002435F6"/>
    <w:rsid w:val="002446A1"/>
    <w:rsid w:val="00247680"/>
    <w:rsid w:val="002477AC"/>
    <w:rsid w:val="0024782F"/>
    <w:rsid w:val="002506A4"/>
    <w:rsid w:val="002511E4"/>
    <w:rsid w:val="00251EB5"/>
    <w:rsid w:val="002536E9"/>
    <w:rsid w:val="00254B77"/>
    <w:rsid w:val="002558A5"/>
    <w:rsid w:val="00255AFC"/>
    <w:rsid w:val="00260078"/>
    <w:rsid w:val="00261168"/>
    <w:rsid w:val="0026181E"/>
    <w:rsid w:val="00262F76"/>
    <w:rsid w:val="00265427"/>
    <w:rsid w:val="002718CE"/>
    <w:rsid w:val="00271D90"/>
    <w:rsid w:val="0027614E"/>
    <w:rsid w:val="00280282"/>
    <w:rsid w:val="00280991"/>
    <w:rsid w:val="00284921"/>
    <w:rsid w:val="002857AB"/>
    <w:rsid w:val="002872A1"/>
    <w:rsid w:val="00290CD2"/>
    <w:rsid w:val="0029119A"/>
    <w:rsid w:val="00294394"/>
    <w:rsid w:val="0029488E"/>
    <w:rsid w:val="00295AAE"/>
    <w:rsid w:val="00295D7B"/>
    <w:rsid w:val="00297D2F"/>
    <w:rsid w:val="002A1E22"/>
    <w:rsid w:val="002A4355"/>
    <w:rsid w:val="002A5919"/>
    <w:rsid w:val="002A6833"/>
    <w:rsid w:val="002A6AF3"/>
    <w:rsid w:val="002A7CA5"/>
    <w:rsid w:val="002B2EB0"/>
    <w:rsid w:val="002C04C0"/>
    <w:rsid w:val="002C2B44"/>
    <w:rsid w:val="002C30DE"/>
    <w:rsid w:val="002C3128"/>
    <w:rsid w:val="002C46C2"/>
    <w:rsid w:val="002C537B"/>
    <w:rsid w:val="002C7FEC"/>
    <w:rsid w:val="002D0C86"/>
    <w:rsid w:val="002D1A2C"/>
    <w:rsid w:val="002D409F"/>
    <w:rsid w:val="002D4EA0"/>
    <w:rsid w:val="002E00B8"/>
    <w:rsid w:val="002E1FB6"/>
    <w:rsid w:val="002E388F"/>
    <w:rsid w:val="002E5EB3"/>
    <w:rsid w:val="002E5FF7"/>
    <w:rsid w:val="002F14DA"/>
    <w:rsid w:val="002F4246"/>
    <w:rsid w:val="002F5FF8"/>
    <w:rsid w:val="002F6A2D"/>
    <w:rsid w:val="00300D2A"/>
    <w:rsid w:val="00303934"/>
    <w:rsid w:val="0030483D"/>
    <w:rsid w:val="00304B7A"/>
    <w:rsid w:val="00310E7D"/>
    <w:rsid w:val="0031708A"/>
    <w:rsid w:val="0032125C"/>
    <w:rsid w:val="00321533"/>
    <w:rsid w:val="00323ADF"/>
    <w:rsid w:val="0032520F"/>
    <w:rsid w:val="003257DC"/>
    <w:rsid w:val="003328F2"/>
    <w:rsid w:val="00332DEC"/>
    <w:rsid w:val="0033614A"/>
    <w:rsid w:val="00336198"/>
    <w:rsid w:val="00336CDA"/>
    <w:rsid w:val="00336E7B"/>
    <w:rsid w:val="0034029A"/>
    <w:rsid w:val="00343B9D"/>
    <w:rsid w:val="00345383"/>
    <w:rsid w:val="0034542F"/>
    <w:rsid w:val="00346522"/>
    <w:rsid w:val="00347FDB"/>
    <w:rsid w:val="003500DD"/>
    <w:rsid w:val="003509AD"/>
    <w:rsid w:val="00350DBE"/>
    <w:rsid w:val="0035203D"/>
    <w:rsid w:val="003528B1"/>
    <w:rsid w:val="003533C6"/>
    <w:rsid w:val="00354179"/>
    <w:rsid w:val="00354515"/>
    <w:rsid w:val="00355878"/>
    <w:rsid w:val="00355A0E"/>
    <w:rsid w:val="00357543"/>
    <w:rsid w:val="003623FB"/>
    <w:rsid w:val="00364082"/>
    <w:rsid w:val="003641DF"/>
    <w:rsid w:val="00367590"/>
    <w:rsid w:val="003704A9"/>
    <w:rsid w:val="00370581"/>
    <w:rsid w:val="00370CE9"/>
    <w:rsid w:val="00370DDD"/>
    <w:rsid w:val="0037457C"/>
    <w:rsid w:val="00375417"/>
    <w:rsid w:val="00376208"/>
    <w:rsid w:val="0037773E"/>
    <w:rsid w:val="00377D84"/>
    <w:rsid w:val="00383FC3"/>
    <w:rsid w:val="00384E91"/>
    <w:rsid w:val="0038641F"/>
    <w:rsid w:val="003864AE"/>
    <w:rsid w:val="003865CC"/>
    <w:rsid w:val="0039043D"/>
    <w:rsid w:val="003909BB"/>
    <w:rsid w:val="00391A02"/>
    <w:rsid w:val="00393D69"/>
    <w:rsid w:val="00395024"/>
    <w:rsid w:val="003A1020"/>
    <w:rsid w:val="003A6699"/>
    <w:rsid w:val="003B2D33"/>
    <w:rsid w:val="003B36B2"/>
    <w:rsid w:val="003B3728"/>
    <w:rsid w:val="003B4296"/>
    <w:rsid w:val="003B6B8D"/>
    <w:rsid w:val="003C030D"/>
    <w:rsid w:val="003C031C"/>
    <w:rsid w:val="003C1BA0"/>
    <w:rsid w:val="003C22ED"/>
    <w:rsid w:val="003C23BA"/>
    <w:rsid w:val="003C3E0A"/>
    <w:rsid w:val="003C41E9"/>
    <w:rsid w:val="003C4785"/>
    <w:rsid w:val="003C5859"/>
    <w:rsid w:val="003C5B1D"/>
    <w:rsid w:val="003C6508"/>
    <w:rsid w:val="003C6906"/>
    <w:rsid w:val="003D2F6D"/>
    <w:rsid w:val="003D383A"/>
    <w:rsid w:val="003D3A1D"/>
    <w:rsid w:val="003E2913"/>
    <w:rsid w:val="003E2FDF"/>
    <w:rsid w:val="003E3D3C"/>
    <w:rsid w:val="003E3F10"/>
    <w:rsid w:val="003E50C0"/>
    <w:rsid w:val="003F0610"/>
    <w:rsid w:val="003F4037"/>
    <w:rsid w:val="003F6D8B"/>
    <w:rsid w:val="00400696"/>
    <w:rsid w:val="0040081F"/>
    <w:rsid w:val="00402F7F"/>
    <w:rsid w:val="00403687"/>
    <w:rsid w:val="004045F8"/>
    <w:rsid w:val="00405EA9"/>
    <w:rsid w:val="00406E99"/>
    <w:rsid w:val="004070E2"/>
    <w:rsid w:val="004106FF"/>
    <w:rsid w:val="0041213C"/>
    <w:rsid w:val="004163F5"/>
    <w:rsid w:val="00416C5F"/>
    <w:rsid w:val="004177FD"/>
    <w:rsid w:val="00423232"/>
    <w:rsid w:val="00423BD4"/>
    <w:rsid w:val="00425494"/>
    <w:rsid w:val="004261C5"/>
    <w:rsid w:val="00426860"/>
    <w:rsid w:val="00426FE6"/>
    <w:rsid w:val="0042702F"/>
    <w:rsid w:val="00427141"/>
    <w:rsid w:val="00427483"/>
    <w:rsid w:val="00427B8F"/>
    <w:rsid w:val="00430D95"/>
    <w:rsid w:val="00432862"/>
    <w:rsid w:val="00432C75"/>
    <w:rsid w:val="00434464"/>
    <w:rsid w:val="0043495B"/>
    <w:rsid w:val="0043589F"/>
    <w:rsid w:val="0043644B"/>
    <w:rsid w:val="00436846"/>
    <w:rsid w:val="0043771F"/>
    <w:rsid w:val="00437B13"/>
    <w:rsid w:val="0044005B"/>
    <w:rsid w:val="00440BF7"/>
    <w:rsid w:val="00441988"/>
    <w:rsid w:val="00441C2A"/>
    <w:rsid w:val="0044498B"/>
    <w:rsid w:val="00446E87"/>
    <w:rsid w:val="0045076E"/>
    <w:rsid w:val="00450827"/>
    <w:rsid w:val="0045787C"/>
    <w:rsid w:val="0046227A"/>
    <w:rsid w:val="004651D1"/>
    <w:rsid w:val="00465856"/>
    <w:rsid w:val="00465FAF"/>
    <w:rsid w:val="00467895"/>
    <w:rsid w:val="00471D8B"/>
    <w:rsid w:val="00474466"/>
    <w:rsid w:val="004747EC"/>
    <w:rsid w:val="00475152"/>
    <w:rsid w:val="004802AE"/>
    <w:rsid w:val="0048327E"/>
    <w:rsid w:val="00483729"/>
    <w:rsid w:val="00485EA9"/>
    <w:rsid w:val="00486700"/>
    <w:rsid w:val="0048790C"/>
    <w:rsid w:val="00491910"/>
    <w:rsid w:val="00492ADD"/>
    <w:rsid w:val="00492D06"/>
    <w:rsid w:val="004930D5"/>
    <w:rsid w:val="00493E90"/>
    <w:rsid w:val="00494F61"/>
    <w:rsid w:val="00496002"/>
    <w:rsid w:val="004965DB"/>
    <w:rsid w:val="00497937"/>
    <w:rsid w:val="004A054E"/>
    <w:rsid w:val="004A360D"/>
    <w:rsid w:val="004A4289"/>
    <w:rsid w:val="004A5755"/>
    <w:rsid w:val="004A6233"/>
    <w:rsid w:val="004A6274"/>
    <w:rsid w:val="004A6746"/>
    <w:rsid w:val="004B00D7"/>
    <w:rsid w:val="004B5C0D"/>
    <w:rsid w:val="004B626C"/>
    <w:rsid w:val="004B70D5"/>
    <w:rsid w:val="004B72D0"/>
    <w:rsid w:val="004B7F15"/>
    <w:rsid w:val="004C294A"/>
    <w:rsid w:val="004C2E52"/>
    <w:rsid w:val="004C335E"/>
    <w:rsid w:val="004C44DE"/>
    <w:rsid w:val="004D014F"/>
    <w:rsid w:val="004D1BC9"/>
    <w:rsid w:val="004D1D80"/>
    <w:rsid w:val="004D2172"/>
    <w:rsid w:val="004D235B"/>
    <w:rsid w:val="004D390C"/>
    <w:rsid w:val="004D3BE2"/>
    <w:rsid w:val="004D55A5"/>
    <w:rsid w:val="004D5681"/>
    <w:rsid w:val="004D7802"/>
    <w:rsid w:val="004D7A2B"/>
    <w:rsid w:val="004D7A6B"/>
    <w:rsid w:val="004E02A3"/>
    <w:rsid w:val="004E1C12"/>
    <w:rsid w:val="004E3245"/>
    <w:rsid w:val="004E34C4"/>
    <w:rsid w:val="004E3F48"/>
    <w:rsid w:val="004E5943"/>
    <w:rsid w:val="004E5E23"/>
    <w:rsid w:val="004E6C5B"/>
    <w:rsid w:val="004F113C"/>
    <w:rsid w:val="004F2A18"/>
    <w:rsid w:val="004F4AD4"/>
    <w:rsid w:val="004F5505"/>
    <w:rsid w:val="0050206F"/>
    <w:rsid w:val="00502E0C"/>
    <w:rsid w:val="0050361B"/>
    <w:rsid w:val="00503866"/>
    <w:rsid w:val="00503E36"/>
    <w:rsid w:val="005046E0"/>
    <w:rsid w:val="00504D61"/>
    <w:rsid w:val="00504F13"/>
    <w:rsid w:val="00505003"/>
    <w:rsid w:val="00506C83"/>
    <w:rsid w:val="005076DA"/>
    <w:rsid w:val="00507990"/>
    <w:rsid w:val="00507D8A"/>
    <w:rsid w:val="0051186C"/>
    <w:rsid w:val="00513998"/>
    <w:rsid w:val="00514F97"/>
    <w:rsid w:val="00515308"/>
    <w:rsid w:val="005165C5"/>
    <w:rsid w:val="0051669C"/>
    <w:rsid w:val="00520110"/>
    <w:rsid w:val="005212C0"/>
    <w:rsid w:val="005217D9"/>
    <w:rsid w:val="005236AD"/>
    <w:rsid w:val="005252A1"/>
    <w:rsid w:val="005257AE"/>
    <w:rsid w:val="00526A5B"/>
    <w:rsid w:val="0053057E"/>
    <w:rsid w:val="00530C15"/>
    <w:rsid w:val="00530CAA"/>
    <w:rsid w:val="00531F50"/>
    <w:rsid w:val="005337B9"/>
    <w:rsid w:val="00534694"/>
    <w:rsid w:val="0053579F"/>
    <w:rsid w:val="00540390"/>
    <w:rsid w:val="00541C72"/>
    <w:rsid w:val="00542AAC"/>
    <w:rsid w:val="00545038"/>
    <w:rsid w:val="00546636"/>
    <w:rsid w:val="00551AC3"/>
    <w:rsid w:val="00552275"/>
    <w:rsid w:val="00552984"/>
    <w:rsid w:val="00552FE3"/>
    <w:rsid w:val="0055327E"/>
    <w:rsid w:val="005533E0"/>
    <w:rsid w:val="005536BB"/>
    <w:rsid w:val="0055373C"/>
    <w:rsid w:val="00556F2B"/>
    <w:rsid w:val="00564356"/>
    <w:rsid w:val="00564A12"/>
    <w:rsid w:val="005666F8"/>
    <w:rsid w:val="00567187"/>
    <w:rsid w:val="00571008"/>
    <w:rsid w:val="00572BD3"/>
    <w:rsid w:val="00574738"/>
    <w:rsid w:val="00575703"/>
    <w:rsid w:val="00575A79"/>
    <w:rsid w:val="00580B86"/>
    <w:rsid w:val="00580DA4"/>
    <w:rsid w:val="00580F1B"/>
    <w:rsid w:val="005817B9"/>
    <w:rsid w:val="005823BE"/>
    <w:rsid w:val="00586116"/>
    <w:rsid w:val="00586981"/>
    <w:rsid w:val="00586B83"/>
    <w:rsid w:val="00587617"/>
    <w:rsid w:val="00592366"/>
    <w:rsid w:val="0059279A"/>
    <w:rsid w:val="005929CE"/>
    <w:rsid w:val="00592E48"/>
    <w:rsid w:val="00593CE1"/>
    <w:rsid w:val="005951E4"/>
    <w:rsid w:val="005A0F84"/>
    <w:rsid w:val="005A1494"/>
    <w:rsid w:val="005A2917"/>
    <w:rsid w:val="005A391C"/>
    <w:rsid w:val="005A42D3"/>
    <w:rsid w:val="005A5CF8"/>
    <w:rsid w:val="005A78F8"/>
    <w:rsid w:val="005B100F"/>
    <w:rsid w:val="005B6D15"/>
    <w:rsid w:val="005B6E38"/>
    <w:rsid w:val="005C317B"/>
    <w:rsid w:val="005C53F5"/>
    <w:rsid w:val="005C724E"/>
    <w:rsid w:val="005C7F1B"/>
    <w:rsid w:val="005D0ADE"/>
    <w:rsid w:val="005D2700"/>
    <w:rsid w:val="005D34E0"/>
    <w:rsid w:val="005D397E"/>
    <w:rsid w:val="005D3E17"/>
    <w:rsid w:val="005D5BAC"/>
    <w:rsid w:val="005D78F5"/>
    <w:rsid w:val="005E44EF"/>
    <w:rsid w:val="005F1009"/>
    <w:rsid w:val="005F2638"/>
    <w:rsid w:val="005F2AEC"/>
    <w:rsid w:val="005F59FA"/>
    <w:rsid w:val="005F76D2"/>
    <w:rsid w:val="00601483"/>
    <w:rsid w:val="00604DA4"/>
    <w:rsid w:val="006061C3"/>
    <w:rsid w:val="00606E04"/>
    <w:rsid w:val="00607806"/>
    <w:rsid w:val="006124A3"/>
    <w:rsid w:val="006134C0"/>
    <w:rsid w:val="0062348C"/>
    <w:rsid w:val="00625A6E"/>
    <w:rsid w:val="00625AF9"/>
    <w:rsid w:val="00625BF1"/>
    <w:rsid w:val="00626AC4"/>
    <w:rsid w:val="00627C97"/>
    <w:rsid w:val="00634686"/>
    <w:rsid w:val="006353DC"/>
    <w:rsid w:val="00636E68"/>
    <w:rsid w:val="00637213"/>
    <w:rsid w:val="00641B5A"/>
    <w:rsid w:val="00642D7A"/>
    <w:rsid w:val="00642F81"/>
    <w:rsid w:val="00643069"/>
    <w:rsid w:val="00643392"/>
    <w:rsid w:val="006501CE"/>
    <w:rsid w:val="00650A61"/>
    <w:rsid w:val="00652638"/>
    <w:rsid w:val="00656266"/>
    <w:rsid w:val="00657A49"/>
    <w:rsid w:val="00657AAA"/>
    <w:rsid w:val="00664081"/>
    <w:rsid w:val="00665F0D"/>
    <w:rsid w:val="00665F75"/>
    <w:rsid w:val="00666023"/>
    <w:rsid w:val="006671FB"/>
    <w:rsid w:val="00667494"/>
    <w:rsid w:val="0067094F"/>
    <w:rsid w:val="00672F18"/>
    <w:rsid w:val="0067453A"/>
    <w:rsid w:val="00674842"/>
    <w:rsid w:val="00674C03"/>
    <w:rsid w:val="00675E5E"/>
    <w:rsid w:val="006814B4"/>
    <w:rsid w:val="00684473"/>
    <w:rsid w:val="00684811"/>
    <w:rsid w:val="006868E5"/>
    <w:rsid w:val="00686D08"/>
    <w:rsid w:val="00690B96"/>
    <w:rsid w:val="006930FB"/>
    <w:rsid w:val="006931BA"/>
    <w:rsid w:val="00696788"/>
    <w:rsid w:val="00697D0B"/>
    <w:rsid w:val="00697F65"/>
    <w:rsid w:val="006A0883"/>
    <w:rsid w:val="006A0DE4"/>
    <w:rsid w:val="006A1009"/>
    <w:rsid w:val="006A21EE"/>
    <w:rsid w:val="006A30A1"/>
    <w:rsid w:val="006A3D40"/>
    <w:rsid w:val="006A7436"/>
    <w:rsid w:val="006B1413"/>
    <w:rsid w:val="006B353E"/>
    <w:rsid w:val="006B4905"/>
    <w:rsid w:val="006B60CE"/>
    <w:rsid w:val="006B658A"/>
    <w:rsid w:val="006B6906"/>
    <w:rsid w:val="006B764E"/>
    <w:rsid w:val="006C0424"/>
    <w:rsid w:val="006C184A"/>
    <w:rsid w:val="006C2B64"/>
    <w:rsid w:val="006C2FB3"/>
    <w:rsid w:val="006C2FE8"/>
    <w:rsid w:val="006C36C8"/>
    <w:rsid w:val="006C42E9"/>
    <w:rsid w:val="006C43B7"/>
    <w:rsid w:val="006C4593"/>
    <w:rsid w:val="006C590C"/>
    <w:rsid w:val="006C796D"/>
    <w:rsid w:val="006C7E15"/>
    <w:rsid w:val="006D13FF"/>
    <w:rsid w:val="006D154A"/>
    <w:rsid w:val="006D4569"/>
    <w:rsid w:val="006D50B9"/>
    <w:rsid w:val="006D66E4"/>
    <w:rsid w:val="006D68A9"/>
    <w:rsid w:val="006D724B"/>
    <w:rsid w:val="006D7C21"/>
    <w:rsid w:val="006E0842"/>
    <w:rsid w:val="006E0F09"/>
    <w:rsid w:val="006E5DB1"/>
    <w:rsid w:val="006F0DB1"/>
    <w:rsid w:val="006F254A"/>
    <w:rsid w:val="006F369E"/>
    <w:rsid w:val="006F3C98"/>
    <w:rsid w:val="006F58FD"/>
    <w:rsid w:val="006F7E98"/>
    <w:rsid w:val="00701418"/>
    <w:rsid w:val="007019B1"/>
    <w:rsid w:val="00703621"/>
    <w:rsid w:val="00703ACB"/>
    <w:rsid w:val="00704CFD"/>
    <w:rsid w:val="00705280"/>
    <w:rsid w:val="00707CA6"/>
    <w:rsid w:val="007133AE"/>
    <w:rsid w:val="007141A3"/>
    <w:rsid w:val="0071630A"/>
    <w:rsid w:val="00716AC7"/>
    <w:rsid w:val="0071706C"/>
    <w:rsid w:val="0071754F"/>
    <w:rsid w:val="00720FD1"/>
    <w:rsid w:val="00723CB4"/>
    <w:rsid w:val="00723F79"/>
    <w:rsid w:val="007278BA"/>
    <w:rsid w:val="00731136"/>
    <w:rsid w:val="0073652F"/>
    <w:rsid w:val="007401E2"/>
    <w:rsid w:val="00742E44"/>
    <w:rsid w:val="00743057"/>
    <w:rsid w:val="007463DF"/>
    <w:rsid w:val="0074666A"/>
    <w:rsid w:val="00746C53"/>
    <w:rsid w:val="00747A0F"/>
    <w:rsid w:val="00750CAE"/>
    <w:rsid w:val="0075110E"/>
    <w:rsid w:val="00753405"/>
    <w:rsid w:val="0075386F"/>
    <w:rsid w:val="00754818"/>
    <w:rsid w:val="007551FF"/>
    <w:rsid w:val="00757F3E"/>
    <w:rsid w:val="007611E0"/>
    <w:rsid w:val="007626A4"/>
    <w:rsid w:val="00762990"/>
    <w:rsid w:val="0076309F"/>
    <w:rsid w:val="007679A4"/>
    <w:rsid w:val="00770FBB"/>
    <w:rsid w:val="00772B5C"/>
    <w:rsid w:val="0077337B"/>
    <w:rsid w:val="00773F87"/>
    <w:rsid w:val="00773FE1"/>
    <w:rsid w:val="00775CE0"/>
    <w:rsid w:val="007766F8"/>
    <w:rsid w:val="0077781A"/>
    <w:rsid w:val="0078191E"/>
    <w:rsid w:val="00783FE2"/>
    <w:rsid w:val="00784F92"/>
    <w:rsid w:val="007862A8"/>
    <w:rsid w:val="00790386"/>
    <w:rsid w:val="00790E62"/>
    <w:rsid w:val="00791D78"/>
    <w:rsid w:val="00792A75"/>
    <w:rsid w:val="00792F92"/>
    <w:rsid w:val="007938E4"/>
    <w:rsid w:val="007938FA"/>
    <w:rsid w:val="007945E5"/>
    <w:rsid w:val="007955C0"/>
    <w:rsid w:val="007A0BD3"/>
    <w:rsid w:val="007A1508"/>
    <w:rsid w:val="007A1F12"/>
    <w:rsid w:val="007A21F1"/>
    <w:rsid w:val="007A2239"/>
    <w:rsid w:val="007A22A6"/>
    <w:rsid w:val="007A5B4A"/>
    <w:rsid w:val="007A61B0"/>
    <w:rsid w:val="007A688F"/>
    <w:rsid w:val="007A6D38"/>
    <w:rsid w:val="007B111F"/>
    <w:rsid w:val="007B14FC"/>
    <w:rsid w:val="007B1E90"/>
    <w:rsid w:val="007B2558"/>
    <w:rsid w:val="007B4B0C"/>
    <w:rsid w:val="007B4BA1"/>
    <w:rsid w:val="007B528B"/>
    <w:rsid w:val="007B6A10"/>
    <w:rsid w:val="007C12FC"/>
    <w:rsid w:val="007C4A62"/>
    <w:rsid w:val="007C66AD"/>
    <w:rsid w:val="007D0008"/>
    <w:rsid w:val="007D03B0"/>
    <w:rsid w:val="007D1AAB"/>
    <w:rsid w:val="007D246E"/>
    <w:rsid w:val="007D3C93"/>
    <w:rsid w:val="007D3CEC"/>
    <w:rsid w:val="007D3F85"/>
    <w:rsid w:val="007D4118"/>
    <w:rsid w:val="007D4C7D"/>
    <w:rsid w:val="007D5B29"/>
    <w:rsid w:val="007D7F45"/>
    <w:rsid w:val="007E0D46"/>
    <w:rsid w:val="007E22E3"/>
    <w:rsid w:val="007E252F"/>
    <w:rsid w:val="007E31CC"/>
    <w:rsid w:val="007E572E"/>
    <w:rsid w:val="007F48A0"/>
    <w:rsid w:val="007F5B25"/>
    <w:rsid w:val="007F5D97"/>
    <w:rsid w:val="007F69EE"/>
    <w:rsid w:val="007F7993"/>
    <w:rsid w:val="00800669"/>
    <w:rsid w:val="0080089C"/>
    <w:rsid w:val="00807698"/>
    <w:rsid w:val="008126AD"/>
    <w:rsid w:val="00815AE0"/>
    <w:rsid w:val="008179F3"/>
    <w:rsid w:val="00824250"/>
    <w:rsid w:val="008245CB"/>
    <w:rsid w:val="008264F0"/>
    <w:rsid w:val="0083034A"/>
    <w:rsid w:val="00831ADC"/>
    <w:rsid w:val="00831E25"/>
    <w:rsid w:val="0083349F"/>
    <w:rsid w:val="008349A2"/>
    <w:rsid w:val="0083512A"/>
    <w:rsid w:val="00835CF4"/>
    <w:rsid w:val="00836165"/>
    <w:rsid w:val="00841DF0"/>
    <w:rsid w:val="008440A2"/>
    <w:rsid w:val="00844341"/>
    <w:rsid w:val="00844D9D"/>
    <w:rsid w:val="00845570"/>
    <w:rsid w:val="00845C7C"/>
    <w:rsid w:val="008467D8"/>
    <w:rsid w:val="008469D1"/>
    <w:rsid w:val="00846DAE"/>
    <w:rsid w:val="00850A82"/>
    <w:rsid w:val="00851273"/>
    <w:rsid w:val="00851FCD"/>
    <w:rsid w:val="00854334"/>
    <w:rsid w:val="00856276"/>
    <w:rsid w:val="0085629A"/>
    <w:rsid w:val="00856B25"/>
    <w:rsid w:val="00856DAE"/>
    <w:rsid w:val="00857F10"/>
    <w:rsid w:val="008613AE"/>
    <w:rsid w:val="00862BD6"/>
    <w:rsid w:val="00862EEB"/>
    <w:rsid w:val="008635D5"/>
    <w:rsid w:val="00870E7D"/>
    <w:rsid w:val="00872536"/>
    <w:rsid w:val="008730A7"/>
    <w:rsid w:val="00873984"/>
    <w:rsid w:val="008741F4"/>
    <w:rsid w:val="0087451E"/>
    <w:rsid w:val="00874C2E"/>
    <w:rsid w:val="008765C1"/>
    <w:rsid w:val="00876A53"/>
    <w:rsid w:val="00882D75"/>
    <w:rsid w:val="008835C7"/>
    <w:rsid w:val="00883F63"/>
    <w:rsid w:val="008847B9"/>
    <w:rsid w:val="00885762"/>
    <w:rsid w:val="00887CCC"/>
    <w:rsid w:val="0089439E"/>
    <w:rsid w:val="008962BB"/>
    <w:rsid w:val="00896985"/>
    <w:rsid w:val="008A046B"/>
    <w:rsid w:val="008A1067"/>
    <w:rsid w:val="008A2272"/>
    <w:rsid w:val="008A229E"/>
    <w:rsid w:val="008A2BD3"/>
    <w:rsid w:val="008A3AB3"/>
    <w:rsid w:val="008A4C1D"/>
    <w:rsid w:val="008A5405"/>
    <w:rsid w:val="008A5E42"/>
    <w:rsid w:val="008A5F15"/>
    <w:rsid w:val="008A6266"/>
    <w:rsid w:val="008A7AF4"/>
    <w:rsid w:val="008A7DB4"/>
    <w:rsid w:val="008B30CE"/>
    <w:rsid w:val="008B3757"/>
    <w:rsid w:val="008B6A7F"/>
    <w:rsid w:val="008C0823"/>
    <w:rsid w:val="008C1C91"/>
    <w:rsid w:val="008C36BC"/>
    <w:rsid w:val="008C3DCB"/>
    <w:rsid w:val="008C545C"/>
    <w:rsid w:val="008C5A3F"/>
    <w:rsid w:val="008C6668"/>
    <w:rsid w:val="008C7F04"/>
    <w:rsid w:val="008D194C"/>
    <w:rsid w:val="008D2231"/>
    <w:rsid w:val="008D3923"/>
    <w:rsid w:val="008D3EC8"/>
    <w:rsid w:val="008D41B6"/>
    <w:rsid w:val="008D4B7D"/>
    <w:rsid w:val="008D56A1"/>
    <w:rsid w:val="008D62D8"/>
    <w:rsid w:val="008D78DB"/>
    <w:rsid w:val="008E191C"/>
    <w:rsid w:val="008E6D31"/>
    <w:rsid w:val="008F01E2"/>
    <w:rsid w:val="008F1497"/>
    <w:rsid w:val="008F3334"/>
    <w:rsid w:val="008F3D44"/>
    <w:rsid w:val="008F6340"/>
    <w:rsid w:val="008F6778"/>
    <w:rsid w:val="00900A3D"/>
    <w:rsid w:val="009018C8"/>
    <w:rsid w:val="00905C05"/>
    <w:rsid w:val="00905FD4"/>
    <w:rsid w:val="0090665B"/>
    <w:rsid w:val="00906F65"/>
    <w:rsid w:val="009102B8"/>
    <w:rsid w:val="0091100E"/>
    <w:rsid w:val="00913308"/>
    <w:rsid w:val="00913418"/>
    <w:rsid w:val="009145B9"/>
    <w:rsid w:val="0091558A"/>
    <w:rsid w:val="00916089"/>
    <w:rsid w:val="0091679C"/>
    <w:rsid w:val="0091727F"/>
    <w:rsid w:val="0091790C"/>
    <w:rsid w:val="00920B07"/>
    <w:rsid w:val="00921447"/>
    <w:rsid w:val="00925EF8"/>
    <w:rsid w:val="00925F11"/>
    <w:rsid w:val="00926493"/>
    <w:rsid w:val="009321A4"/>
    <w:rsid w:val="00933BF3"/>
    <w:rsid w:val="00934F30"/>
    <w:rsid w:val="00942DD8"/>
    <w:rsid w:val="009436F2"/>
    <w:rsid w:val="00943717"/>
    <w:rsid w:val="00946492"/>
    <w:rsid w:val="00947B25"/>
    <w:rsid w:val="00947E08"/>
    <w:rsid w:val="00953ACE"/>
    <w:rsid w:val="009554CE"/>
    <w:rsid w:val="00956202"/>
    <w:rsid w:val="00963521"/>
    <w:rsid w:val="00963849"/>
    <w:rsid w:val="00965BEB"/>
    <w:rsid w:val="00966E09"/>
    <w:rsid w:val="0096796A"/>
    <w:rsid w:val="009711C1"/>
    <w:rsid w:val="00971909"/>
    <w:rsid w:val="009729E5"/>
    <w:rsid w:val="009744DF"/>
    <w:rsid w:val="00975F3C"/>
    <w:rsid w:val="00980451"/>
    <w:rsid w:val="009828FF"/>
    <w:rsid w:val="00982D68"/>
    <w:rsid w:val="00983A89"/>
    <w:rsid w:val="00983E37"/>
    <w:rsid w:val="00987E93"/>
    <w:rsid w:val="00987F86"/>
    <w:rsid w:val="00990A07"/>
    <w:rsid w:val="00995985"/>
    <w:rsid w:val="0099600E"/>
    <w:rsid w:val="009A047C"/>
    <w:rsid w:val="009A052F"/>
    <w:rsid w:val="009A2220"/>
    <w:rsid w:val="009A3054"/>
    <w:rsid w:val="009A5540"/>
    <w:rsid w:val="009A7707"/>
    <w:rsid w:val="009B174D"/>
    <w:rsid w:val="009B2F9D"/>
    <w:rsid w:val="009B3A81"/>
    <w:rsid w:val="009B43AE"/>
    <w:rsid w:val="009B65CA"/>
    <w:rsid w:val="009B6F58"/>
    <w:rsid w:val="009B7359"/>
    <w:rsid w:val="009C0E33"/>
    <w:rsid w:val="009C47EA"/>
    <w:rsid w:val="009C48CE"/>
    <w:rsid w:val="009C7C65"/>
    <w:rsid w:val="009D1ACB"/>
    <w:rsid w:val="009D2CC2"/>
    <w:rsid w:val="009D3474"/>
    <w:rsid w:val="009D3680"/>
    <w:rsid w:val="009D3E4C"/>
    <w:rsid w:val="009D4875"/>
    <w:rsid w:val="009D5224"/>
    <w:rsid w:val="009D5916"/>
    <w:rsid w:val="009D6B28"/>
    <w:rsid w:val="009D6DCD"/>
    <w:rsid w:val="009D7AA7"/>
    <w:rsid w:val="009D7C3F"/>
    <w:rsid w:val="009E02E4"/>
    <w:rsid w:val="009E12BA"/>
    <w:rsid w:val="009E1ACB"/>
    <w:rsid w:val="009E242B"/>
    <w:rsid w:val="009E2A3E"/>
    <w:rsid w:val="009E41D1"/>
    <w:rsid w:val="009E4335"/>
    <w:rsid w:val="009E6C30"/>
    <w:rsid w:val="009F1FCA"/>
    <w:rsid w:val="009F2795"/>
    <w:rsid w:val="009F3A33"/>
    <w:rsid w:val="009F3E2F"/>
    <w:rsid w:val="009F5184"/>
    <w:rsid w:val="009F5731"/>
    <w:rsid w:val="009F71B8"/>
    <w:rsid w:val="009F7328"/>
    <w:rsid w:val="00A019DF"/>
    <w:rsid w:val="00A031A6"/>
    <w:rsid w:val="00A05C88"/>
    <w:rsid w:val="00A12D36"/>
    <w:rsid w:val="00A13273"/>
    <w:rsid w:val="00A22472"/>
    <w:rsid w:val="00A233D3"/>
    <w:rsid w:val="00A24976"/>
    <w:rsid w:val="00A30582"/>
    <w:rsid w:val="00A31AB9"/>
    <w:rsid w:val="00A333FC"/>
    <w:rsid w:val="00A33700"/>
    <w:rsid w:val="00A34105"/>
    <w:rsid w:val="00A34A37"/>
    <w:rsid w:val="00A35949"/>
    <w:rsid w:val="00A410B9"/>
    <w:rsid w:val="00A4187C"/>
    <w:rsid w:val="00A433DF"/>
    <w:rsid w:val="00A43448"/>
    <w:rsid w:val="00A43FDB"/>
    <w:rsid w:val="00A440A5"/>
    <w:rsid w:val="00A45FD5"/>
    <w:rsid w:val="00A46ED0"/>
    <w:rsid w:val="00A50155"/>
    <w:rsid w:val="00A50BCE"/>
    <w:rsid w:val="00A517A6"/>
    <w:rsid w:val="00A51A8B"/>
    <w:rsid w:val="00A51C28"/>
    <w:rsid w:val="00A52D4F"/>
    <w:rsid w:val="00A5327A"/>
    <w:rsid w:val="00A54A96"/>
    <w:rsid w:val="00A559C4"/>
    <w:rsid w:val="00A55D37"/>
    <w:rsid w:val="00A569A5"/>
    <w:rsid w:val="00A57038"/>
    <w:rsid w:val="00A62B49"/>
    <w:rsid w:val="00A6423B"/>
    <w:rsid w:val="00A64A74"/>
    <w:rsid w:val="00A64A75"/>
    <w:rsid w:val="00A64E3A"/>
    <w:rsid w:val="00A65237"/>
    <w:rsid w:val="00A67278"/>
    <w:rsid w:val="00A716CB"/>
    <w:rsid w:val="00A75E5E"/>
    <w:rsid w:val="00A76185"/>
    <w:rsid w:val="00A76312"/>
    <w:rsid w:val="00A8100D"/>
    <w:rsid w:val="00A81C2F"/>
    <w:rsid w:val="00A821D7"/>
    <w:rsid w:val="00A83CF4"/>
    <w:rsid w:val="00A847C1"/>
    <w:rsid w:val="00A8496E"/>
    <w:rsid w:val="00A85422"/>
    <w:rsid w:val="00A856EF"/>
    <w:rsid w:val="00A8573E"/>
    <w:rsid w:val="00A86489"/>
    <w:rsid w:val="00A87B77"/>
    <w:rsid w:val="00A90E42"/>
    <w:rsid w:val="00A92DA9"/>
    <w:rsid w:val="00A95687"/>
    <w:rsid w:val="00A969B2"/>
    <w:rsid w:val="00A9773A"/>
    <w:rsid w:val="00AA0971"/>
    <w:rsid w:val="00AA0E36"/>
    <w:rsid w:val="00AA1BA4"/>
    <w:rsid w:val="00AA34B2"/>
    <w:rsid w:val="00AA575B"/>
    <w:rsid w:val="00AA5A30"/>
    <w:rsid w:val="00AA635F"/>
    <w:rsid w:val="00AA7D14"/>
    <w:rsid w:val="00AB0568"/>
    <w:rsid w:val="00AB2ABB"/>
    <w:rsid w:val="00AB2F6D"/>
    <w:rsid w:val="00AB582E"/>
    <w:rsid w:val="00AB6401"/>
    <w:rsid w:val="00AC115C"/>
    <w:rsid w:val="00AC1423"/>
    <w:rsid w:val="00AC17E2"/>
    <w:rsid w:val="00AC1905"/>
    <w:rsid w:val="00AC2162"/>
    <w:rsid w:val="00AC27B0"/>
    <w:rsid w:val="00AC432F"/>
    <w:rsid w:val="00AC5151"/>
    <w:rsid w:val="00AC7C12"/>
    <w:rsid w:val="00AC7F2E"/>
    <w:rsid w:val="00AD0868"/>
    <w:rsid w:val="00AD2780"/>
    <w:rsid w:val="00AD3D16"/>
    <w:rsid w:val="00AD3FA9"/>
    <w:rsid w:val="00AD45EE"/>
    <w:rsid w:val="00AD6372"/>
    <w:rsid w:val="00AD64C4"/>
    <w:rsid w:val="00AD770E"/>
    <w:rsid w:val="00AE2E04"/>
    <w:rsid w:val="00AE572E"/>
    <w:rsid w:val="00AE5BC4"/>
    <w:rsid w:val="00AF05E2"/>
    <w:rsid w:val="00AF09F7"/>
    <w:rsid w:val="00AF0DBD"/>
    <w:rsid w:val="00AF136F"/>
    <w:rsid w:val="00AF138B"/>
    <w:rsid w:val="00AF1771"/>
    <w:rsid w:val="00AF4D36"/>
    <w:rsid w:val="00AF539E"/>
    <w:rsid w:val="00AF71D0"/>
    <w:rsid w:val="00B02ABB"/>
    <w:rsid w:val="00B03515"/>
    <w:rsid w:val="00B036FC"/>
    <w:rsid w:val="00B03C3A"/>
    <w:rsid w:val="00B06856"/>
    <w:rsid w:val="00B07222"/>
    <w:rsid w:val="00B07655"/>
    <w:rsid w:val="00B10213"/>
    <w:rsid w:val="00B12031"/>
    <w:rsid w:val="00B12549"/>
    <w:rsid w:val="00B16CDC"/>
    <w:rsid w:val="00B170D1"/>
    <w:rsid w:val="00B2039F"/>
    <w:rsid w:val="00B20C9D"/>
    <w:rsid w:val="00B24BB4"/>
    <w:rsid w:val="00B24D28"/>
    <w:rsid w:val="00B2522C"/>
    <w:rsid w:val="00B26AA9"/>
    <w:rsid w:val="00B27DEF"/>
    <w:rsid w:val="00B31422"/>
    <w:rsid w:val="00B3360A"/>
    <w:rsid w:val="00B34BA6"/>
    <w:rsid w:val="00B40AE0"/>
    <w:rsid w:val="00B43C4B"/>
    <w:rsid w:val="00B43CD6"/>
    <w:rsid w:val="00B4401E"/>
    <w:rsid w:val="00B45282"/>
    <w:rsid w:val="00B5050F"/>
    <w:rsid w:val="00B50BDF"/>
    <w:rsid w:val="00B50DF1"/>
    <w:rsid w:val="00B5218E"/>
    <w:rsid w:val="00B534D8"/>
    <w:rsid w:val="00B5492B"/>
    <w:rsid w:val="00B54AF7"/>
    <w:rsid w:val="00B55E4F"/>
    <w:rsid w:val="00B55EBD"/>
    <w:rsid w:val="00B560C6"/>
    <w:rsid w:val="00B6041C"/>
    <w:rsid w:val="00B61989"/>
    <w:rsid w:val="00B63A27"/>
    <w:rsid w:val="00B63E0F"/>
    <w:rsid w:val="00B64044"/>
    <w:rsid w:val="00B64142"/>
    <w:rsid w:val="00B65D8C"/>
    <w:rsid w:val="00B67763"/>
    <w:rsid w:val="00B70329"/>
    <w:rsid w:val="00B70793"/>
    <w:rsid w:val="00B7086A"/>
    <w:rsid w:val="00B72AAC"/>
    <w:rsid w:val="00B736A7"/>
    <w:rsid w:val="00B74D47"/>
    <w:rsid w:val="00B76006"/>
    <w:rsid w:val="00B7736F"/>
    <w:rsid w:val="00B81EA4"/>
    <w:rsid w:val="00B85006"/>
    <w:rsid w:val="00B870DF"/>
    <w:rsid w:val="00B900EE"/>
    <w:rsid w:val="00B93236"/>
    <w:rsid w:val="00B95E50"/>
    <w:rsid w:val="00B96E93"/>
    <w:rsid w:val="00BA04AD"/>
    <w:rsid w:val="00BA08F7"/>
    <w:rsid w:val="00BA500D"/>
    <w:rsid w:val="00BA57AD"/>
    <w:rsid w:val="00BA6478"/>
    <w:rsid w:val="00BA6942"/>
    <w:rsid w:val="00BA6EEA"/>
    <w:rsid w:val="00BB02F6"/>
    <w:rsid w:val="00BB0F03"/>
    <w:rsid w:val="00BB3DD7"/>
    <w:rsid w:val="00BB3E01"/>
    <w:rsid w:val="00BB44DC"/>
    <w:rsid w:val="00BB4DB2"/>
    <w:rsid w:val="00BB6174"/>
    <w:rsid w:val="00BB643F"/>
    <w:rsid w:val="00BB6C8F"/>
    <w:rsid w:val="00BB7A15"/>
    <w:rsid w:val="00BC16E7"/>
    <w:rsid w:val="00BC223F"/>
    <w:rsid w:val="00BC41A6"/>
    <w:rsid w:val="00BC4C8F"/>
    <w:rsid w:val="00BC54D3"/>
    <w:rsid w:val="00BC653C"/>
    <w:rsid w:val="00BD0792"/>
    <w:rsid w:val="00BD08E3"/>
    <w:rsid w:val="00BD31A2"/>
    <w:rsid w:val="00BD3EA6"/>
    <w:rsid w:val="00BD7B38"/>
    <w:rsid w:val="00BE0EC9"/>
    <w:rsid w:val="00BE14BA"/>
    <w:rsid w:val="00BE168E"/>
    <w:rsid w:val="00BE2409"/>
    <w:rsid w:val="00BE251D"/>
    <w:rsid w:val="00BE272B"/>
    <w:rsid w:val="00BE4A26"/>
    <w:rsid w:val="00BE65D1"/>
    <w:rsid w:val="00BE6980"/>
    <w:rsid w:val="00BF1816"/>
    <w:rsid w:val="00BF4E80"/>
    <w:rsid w:val="00BF70ED"/>
    <w:rsid w:val="00BF7FBD"/>
    <w:rsid w:val="00C000F2"/>
    <w:rsid w:val="00C007E1"/>
    <w:rsid w:val="00C0640D"/>
    <w:rsid w:val="00C06F79"/>
    <w:rsid w:val="00C07E4A"/>
    <w:rsid w:val="00C10E29"/>
    <w:rsid w:val="00C12CBA"/>
    <w:rsid w:val="00C14762"/>
    <w:rsid w:val="00C16242"/>
    <w:rsid w:val="00C16AFE"/>
    <w:rsid w:val="00C17B04"/>
    <w:rsid w:val="00C22D90"/>
    <w:rsid w:val="00C23033"/>
    <w:rsid w:val="00C27EB5"/>
    <w:rsid w:val="00C317F4"/>
    <w:rsid w:val="00C31C93"/>
    <w:rsid w:val="00C322D3"/>
    <w:rsid w:val="00C32E16"/>
    <w:rsid w:val="00C340B2"/>
    <w:rsid w:val="00C35F0C"/>
    <w:rsid w:val="00C37340"/>
    <w:rsid w:val="00C37B5C"/>
    <w:rsid w:val="00C41946"/>
    <w:rsid w:val="00C42508"/>
    <w:rsid w:val="00C44D05"/>
    <w:rsid w:val="00C45F50"/>
    <w:rsid w:val="00C4663C"/>
    <w:rsid w:val="00C5013B"/>
    <w:rsid w:val="00C55E6C"/>
    <w:rsid w:val="00C601E2"/>
    <w:rsid w:val="00C61033"/>
    <w:rsid w:val="00C63157"/>
    <w:rsid w:val="00C65C49"/>
    <w:rsid w:val="00C7113C"/>
    <w:rsid w:val="00C715CA"/>
    <w:rsid w:val="00C71817"/>
    <w:rsid w:val="00C71CBB"/>
    <w:rsid w:val="00C7368C"/>
    <w:rsid w:val="00C75498"/>
    <w:rsid w:val="00C767BA"/>
    <w:rsid w:val="00C7743A"/>
    <w:rsid w:val="00C77C56"/>
    <w:rsid w:val="00C77E81"/>
    <w:rsid w:val="00C83EB9"/>
    <w:rsid w:val="00C85887"/>
    <w:rsid w:val="00C8684E"/>
    <w:rsid w:val="00C900B3"/>
    <w:rsid w:val="00C91462"/>
    <w:rsid w:val="00C94055"/>
    <w:rsid w:val="00C9438A"/>
    <w:rsid w:val="00C969CD"/>
    <w:rsid w:val="00C97EBA"/>
    <w:rsid w:val="00CA1987"/>
    <w:rsid w:val="00CA2C2E"/>
    <w:rsid w:val="00CA6303"/>
    <w:rsid w:val="00CA683D"/>
    <w:rsid w:val="00CA7195"/>
    <w:rsid w:val="00CA7427"/>
    <w:rsid w:val="00CA7E05"/>
    <w:rsid w:val="00CB0741"/>
    <w:rsid w:val="00CB1695"/>
    <w:rsid w:val="00CB1BDC"/>
    <w:rsid w:val="00CB1E4B"/>
    <w:rsid w:val="00CB2B88"/>
    <w:rsid w:val="00CB3A10"/>
    <w:rsid w:val="00CB485C"/>
    <w:rsid w:val="00CB56A2"/>
    <w:rsid w:val="00CB59E1"/>
    <w:rsid w:val="00CB5E32"/>
    <w:rsid w:val="00CB76AF"/>
    <w:rsid w:val="00CC0048"/>
    <w:rsid w:val="00CC0760"/>
    <w:rsid w:val="00CC0E6F"/>
    <w:rsid w:val="00CC1AD3"/>
    <w:rsid w:val="00CC3755"/>
    <w:rsid w:val="00CC3DAD"/>
    <w:rsid w:val="00CD0D82"/>
    <w:rsid w:val="00CD3822"/>
    <w:rsid w:val="00CD3D9D"/>
    <w:rsid w:val="00CD444C"/>
    <w:rsid w:val="00CD56BE"/>
    <w:rsid w:val="00CE0202"/>
    <w:rsid w:val="00CE10ED"/>
    <w:rsid w:val="00CE14EE"/>
    <w:rsid w:val="00CE2674"/>
    <w:rsid w:val="00CE4E54"/>
    <w:rsid w:val="00CF798F"/>
    <w:rsid w:val="00D006D4"/>
    <w:rsid w:val="00D00C00"/>
    <w:rsid w:val="00D032A5"/>
    <w:rsid w:val="00D04859"/>
    <w:rsid w:val="00D06D30"/>
    <w:rsid w:val="00D109B3"/>
    <w:rsid w:val="00D11675"/>
    <w:rsid w:val="00D122D1"/>
    <w:rsid w:val="00D15D27"/>
    <w:rsid w:val="00D161E3"/>
    <w:rsid w:val="00D16CA2"/>
    <w:rsid w:val="00D20D6A"/>
    <w:rsid w:val="00D22DE3"/>
    <w:rsid w:val="00D23394"/>
    <w:rsid w:val="00D239EB"/>
    <w:rsid w:val="00D26343"/>
    <w:rsid w:val="00D30A79"/>
    <w:rsid w:val="00D31B52"/>
    <w:rsid w:val="00D32EC7"/>
    <w:rsid w:val="00D3461D"/>
    <w:rsid w:val="00D3589A"/>
    <w:rsid w:val="00D4183A"/>
    <w:rsid w:val="00D42CA1"/>
    <w:rsid w:val="00D45F56"/>
    <w:rsid w:val="00D471DD"/>
    <w:rsid w:val="00D506E6"/>
    <w:rsid w:val="00D50D26"/>
    <w:rsid w:val="00D52DCA"/>
    <w:rsid w:val="00D534D6"/>
    <w:rsid w:val="00D6055A"/>
    <w:rsid w:val="00D60BC9"/>
    <w:rsid w:val="00D62B89"/>
    <w:rsid w:val="00D642D3"/>
    <w:rsid w:val="00D64EBC"/>
    <w:rsid w:val="00D65A9D"/>
    <w:rsid w:val="00D66A87"/>
    <w:rsid w:val="00D70812"/>
    <w:rsid w:val="00D718C3"/>
    <w:rsid w:val="00D72543"/>
    <w:rsid w:val="00D739F5"/>
    <w:rsid w:val="00D74C91"/>
    <w:rsid w:val="00D75BAA"/>
    <w:rsid w:val="00D764A5"/>
    <w:rsid w:val="00D77437"/>
    <w:rsid w:val="00D82EE2"/>
    <w:rsid w:val="00D8438A"/>
    <w:rsid w:val="00D86C2E"/>
    <w:rsid w:val="00D86F09"/>
    <w:rsid w:val="00D91B02"/>
    <w:rsid w:val="00D93BD8"/>
    <w:rsid w:val="00D954BF"/>
    <w:rsid w:val="00D95D16"/>
    <w:rsid w:val="00D96BEA"/>
    <w:rsid w:val="00D971A3"/>
    <w:rsid w:val="00DA1FCD"/>
    <w:rsid w:val="00DA3A75"/>
    <w:rsid w:val="00DA4617"/>
    <w:rsid w:val="00DA4930"/>
    <w:rsid w:val="00DA4C88"/>
    <w:rsid w:val="00DA705D"/>
    <w:rsid w:val="00DB09EC"/>
    <w:rsid w:val="00DB380A"/>
    <w:rsid w:val="00DB3F4B"/>
    <w:rsid w:val="00DC0B52"/>
    <w:rsid w:val="00DC3369"/>
    <w:rsid w:val="00DC35E8"/>
    <w:rsid w:val="00DC3F34"/>
    <w:rsid w:val="00DC4FCC"/>
    <w:rsid w:val="00DC58E4"/>
    <w:rsid w:val="00DC5A3A"/>
    <w:rsid w:val="00DC5F34"/>
    <w:rsid w:val="00DC662B"/>
    <w:rsid w:val="00DC7E6D"/>
    <w:rsid w:val="00DD1E50"/>
    <w:rsid w:val="00DD4845"/>
    <w:rsid w:val="00DE2C3F"/>
    <w:rsid w:val="00DE3CBD"/>
    <w:rsid w:val="00DE4499"/>
    <w:rsid w:val="00DE4A99"/>
    <w:rsid w:val="00DE4C6B"/>
    <w:rsid w:val="00DE4CBE"/>
    <w:rsid w:val="00DE6AE3"/>
    <w:rsid w:val="00DF2A3E"/>
    <w:rsid w:val="00DF3916"/>
    <w:rsid w:val="00DF3FBC"/>
    <w:rsid w:val="00DF4E7F"/>
    <w:rsid w:val="00DF5464"/>
    <w:rsid w:val="00DF5A35"/>
    <w:rsid w:val="00E012D6"/>
    <w:rsid w:val="00E033B7"/>
    <w:rsid w:val="00E03575"/>
    <w:rsid w:val="00E053DC"/>
    <w:rsid w:val="00E05BF3"/>
    <w:rsid w:val="00E0713A"/>
    <w:rsid w:val="00E0781B"/>
    <w:rsid w:val="00E111FA"/>
    <w:rsid w:val="00E12A7E"/>
    <w:rsid w:val="00E21FD9"/>
    <w:rsid w:val="00E220D3"/>
    <w:rsid w:val="00E2242A"/>
    <w:rsid w:val="00E2359D"/>
    <w:rsid w:val="00E23607"/>
    <w:rsid w:val="00E24AFA"/>
    <w:rsid w:val="00E26C07"/>
    <w:rsid w:val="00E31093"/>
    <w:rsid w:val="00E31166"/>
    <w:rsid w:val="00E31335"/>
    <w:rsid w:val="00E31FA9"/>
    <w:rsid w:val="00E358DB"/>
    <w:rsid w:val="00E35C14"/>
    <w:rsid w:val="00E375F9"/>
    <w:rsid w:val="00E42863"/>
    <w:rsid w:val="00E429D3"/>
    <w:rsid w:val="00E43012"/>
    <w:rsid w:val="00E44818"/>
    <w:rsid w:val="00E44B93"/>
    <w:rsid w:val="00E4693E"/>
    <w:rsid w:val="00E470DE"/>
    <w:rsid w:val="00E5473E"/>
    <w:rsid w:val="00E56286"/>
    <w:rsid w:val="00E61E3F"/>
    <w:rsid w:val="00E623E1"/>
    <w:rsid w:val="00E63E07"/>
    <w:rsid w:val="00E640E6"/>
    <w:rsid w:val="00E6585A"/>
    <w:rsid w:val="00E6674C"/>
    <w:rsid w:val="00E66AD6"/>
    <w:rsid w:val="00E67079"/>
    <w:rsid w:val="00E679C8"/>
    <w:rsid w:val="00E72852"/>
    <w:rsid w:val="00E73D26"/>
    <w:rsid w:val="00E74148"/>
    <w:rsid w:val="00E74700"/>
    <w:rsid w:val="00E766E2"/>
    <w:rsid w:val="00E76C06"/>
    <w:rsid w:val="00E77620"/>
    <w:rsid w:val="00E7792A"/>
    <w:rsid w:val="00E81329"/>
    <w:rsid w:val="00E84B16"/>
    <w:rsid w:val="00E87BA6"/>
    <w:rsid w:val="00E923EB"/>
    <w:rsid w:val="00E956DB"/>
    <w:rsid w:val="00EA0011"/>
    <w:rsid w:val="00EA0CEE"/>
    <w:rsid w:val="00EA21EC"/>
    <w:rsid w:val="00EA38F8"/>
    <w:rsid w:val="00EA57F5"/>
    <w:rsid w:val="00EA5B19"/>
    <w:rsid w:val="00EA5B1C"/>
    <w:rsid w:val="00EA6A12"/>
    <w:rsid w:val="00EB1B34"/>
    <w:rsid w:val="00EB39E1"/>
    <w:rsid w:val="00EB586D"/>
    <w:rsid w:val="00EB78E9"/>
    <w:rsid w:val="00EC0A62"/>
    <w:rsid w:val="00EC3104"/>
    <w:rsid w:val="00EC379C"/>
    <w:rsid w:val="00EC608D"/>
    <w:rsid w:val="00ED0122"/>
    <w:rsid w:val="00ED2A61"/>
    <w:rsid w:val="00ED6DAE"/>
    <w:rsid w:val="00EE2523"/>
    <w:rsid w:val="00EE4742"/>
    <w:rsid w:val="00EE4E4E"/>
    <w:rsid w:val="00EE5ED6"/>
    <w:rsid w:val="00EF0C6D"/>
    <w:rsid w:val="00EF6655"/>
    <w:rsid w:val="00F00FF1"/>
    <w:rsid w:val="00F05B19"/>
    <w:rsid w:val="00F076EA"/>
    <w:rsid w:val="00F07F92"/>
    <w:rsid w:val="00F07FB7"/>
    <w:rsid w:val="00F1116D"/>
    <w:rsid w:val="00F112DA"/>
    <w:rsid w:val="00F1176D"/>
    <w:rsid w:val="00F13389"/>
    <w:rsid w:val="00F159C6"/>
    <w:rsid w:val="00F15D9D"/>
    <w:rsid w:val="00F21079"/>
    <w:rsid w:val="00F22C76"/>
    <w:rsid w:val="00F279B5"/>
    <w:rsid w:val="00F27F1E"/>
    <w:rsid w:val="00F31783"/>
    <w:rsid w:val="00F32E7F"/>
    <w:rsid w:val="00F335E5"/>
    <w:rsid w:val="00F413C9"/>
    <w:rsid w:val="00F47DFD"/>
    <w:rsid w:val="00F514DB"/>
    <w:rsid w:val="00F53242"/>
    <w:rsid w:val="00F5351E"/>
    <w:rsid w:val="00F536FF"/>
    <w:rsid w:val="00F53A11"/>
    <w:rsid w:val="00F54D1C"/>
    <w:rsid w:val="00F575B3"/>
    <w:rsid w:val="00F5768A"/>
    <w:rsid w:val="00F62DA5"/>
    <w:rsid w:val="00F630B4"/>
    <w:rsid w:val="00F63339"/>
    <w:rsid w:val="00F66B3C"/>
    <w:rsid w:val="00F67670"/>
    <w:rsid w:val="00F6792A"/>
    <w:rsid w:val="00F67A8C"/>
    <w:rsid w:val="00F704F7"/>
    <w:rsid w:val="00F71E77"/>
    <w:rsid w:val="00F72D3E"/>
    <w:rsid w:val="00F72FB7"/>
    <w:rsid w:val="00F740C4"/>
    <w:rsid w:val="00F741CD"/>
    <w:rsid w:val="00F8266D"/>
    <w:rsid w:val="00F844CA"/>
    <w:rsid w:val="00F85A59"/>
    <w:rsid w:val="00F85A80"/>
    <w:rsid w:val="00F85D85"/>
    <w:rsid w:val="00F85F0E"/>
    <w:rsid w:val="00F90361"/>
    <w:rsid w:val="00F9139E"/>
    <w:rsid w:val="00F91B0C"/>
    <w:rsid w:val="00F92F96"/>
    <w:rsid w:val="00F92FA8"/>
    <w:rsid w:val="00F94AA1"/>
    <w:rsid w:val="00FA1350"/>
    <w:rsid w:val="00FA1E36"/>
    <w:rsid w:val="00FA1F8B"/>
    <w:rsid w:val="00FA256C"/>
    <w:rsid w:val="00FA444E"/>
    <w:rsid w:val="00FA590A"/>
    <w:rsid w:val="00FA61B7"/>
    <w:rsid w:val="00FB0900"/>
    <w:rsid w:val="00FB2DFE"/>
    <w:rsid w:val="00FB44C5"/>
    <w:rsid w:val="00FB4627"/>
    <w:rsid w:val="00FB4BBC"/>
    <w:rsid w:val="00FB4D8D"/>
    <w:rsid w:val="00FB6911"/>
    <w:rsid w:val="00FB6C87"/>
    <w:rsid w:val="00FB7F01"/>
    <w:rsid w:val="00FC20F6"/>
    <w:rsid w:val="00FC3BC1"/>
    <w:rsid w:val="00FC6ED2"/>
    <w:rsid w:val="00FD078A"/>
    <w:rsid w:val="00FD2B2C"/>
    <w:rsid w:val="00FD5A0D"/>
    <w:rsid w:val="00FD6C15"/>
    <w:rsid w:val="00FE216B"/>
    <w:rsid w:val="00FE5212"/>
    <w:rsid w:val="00FE5B21"/>
    <w:rsid w:val="00FE76B0"/>
    <w:rsid w:val="00FE7888"/>
    <w:rsid w:val="00FE7DC4"/>
    <w:rsid w:val="00FF0B2D"/>
    <w:rsid w:val="00FF187D"/>
    <w:rsid w:val="00FF1895"/>
    <w:rsid w:val="00FF2472"/>
    <w:rsid w:val="00FF2C02"/>
    <w:rsid w:val="00FF344A"/>
    <w:rsid w:val="00FF3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045AA"/>
  <w15:chartTrackingRefBased/>
  <w15:docId w15:val="{67E210DD-B3CE-4E73-BC2E-1E15C87D9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F96"/>
  </w:style>
  <w:style w:type="paragraph" w:styleId="Heading1">
    <w:name w:val="heading 1"/>
    <w:basedOn w:val="Normal"/>
    <w:next w:val="Normal"/>
    <w:link w:val="Heading1Char"/>
    <w:uiPriority w:val="9"/>
    <w:qFormat/>
    <w:rsid w:val="0008266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76312"/>
  </w:style>
  <w:style w:type="character" w:customStyle="1" w:styleId="eop">
    <w:name w:val="eop"/>
    <w:basedOn w:val="DefaultParagraphFont"/>
    <w:rsid w:val="00A76312"/>
  </w:style>
  <w:style w:type="paragraph" w:styleId="ListParagraph">
    <w:name w:val="List Paragraph"/>
    <w:basedOn w:val="Normal"/>
    <w:uiPriority w:val="34"/>
    <w:qFormat/>
    <w:rsid w:val="00A76312"/>
    <w:pPr>
      <w:ind w:left="720"/>
      <w:contextualSpacing/>
    </w:pPr>
  </w:style>
  <w:style w:type="paragraph" w:styleId="Header">
    <w:name w:val="header"/>
    <w:basedOn w:val="Normal"/>
    <w:link w:val="HeaderChar"/>
    <w:uiPriority w:val="99"/>
    <w:unhideWhenUsed/>
    <w:rsid w:val="00D91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B02"/>
  </w:style>
  <w:style w:type="paragraph" w:styleId="Footer">
    <w:name w:val="footer"/>
    <w:basedOn w:val="Normal"/>
    <w:link w:val="FooterChar"/>
    <w:uiPriority w:val="99"/>
    <w:unhideWhenUsed/>
    <w:rsid w:val="00D91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B02"/>
  </w:style>
  <w:style w:type="character" w:customStyle="1" w:styleId="Heading1Char">
    <w:name w:val="Heading 1 Char"/>
    <w:basedOn w:val="DefaultParagraphFont"/>
    <w:link w:val="Heading1"/>
    <w:uiPriority w:val="9"/>
    <w:rsid w:val="000826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82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8368">
      <w:bodyDiv w:val="1"/>
      <w:marLeft w:val="0"/>
      <w:marRight w:val="0"/>
      <w:marTop w:val="0"/>
      <w:marBottom w:val="0"/>
      <w:divBdr>
        <w:top w:val="none" w:sz="0" w:space="0" w:color="auto"/>
        <w:left w:val="none" w:sz="0" w:space="0" w:color="auto"/>
        <w:bottom w:val="none" w:sz="0" w:space="0" w:color="auto"/>
        <w:right w:val="none" w:sz="0" w:space="0" w:color="auto"/>
      </w:divBdr>
    </w:div>
    <w:div w:id="10763328">
      <w:bodyDiv w:val="1"/>
      <w:marLeft w:val="0"/>
      <w:marRight w:val="0"/>
      <w:marTop w:val="0"/>
      <w:marBottom w:val="0"/>
      <w:divBdr>
        <w:top w:val="none" w:sz="0" w:space="0" w:color="auto"/>
        <w:left w:val="none" w:sz="0" w:space="0" w:color="auto"/>
        <w:bottom w:val="none" w:sz="0" w:space="0" w:color="auto"/>
        <w:right w:val="none" w:sz="0" w:space="0" w:color="auto"/>
      </w:divBdr>
    </w:div>
    <w:div w:id="15205701">
      <w:bodyDiv w:val="1"/>
      <w:marLeft w:val="0"/>
      <w:marRight w:val="0"/>
      <w:marTop w:val="0"/>
      <w:marBottom w:val="0"/>
      <w:divBdr>
        <w:top w:val="none" w:sz="0" w:space="0" w:color="auto"/>
        <w:left w:val="none" w:sz="0" w:space="0" w:color="auto"/>
        <w:bottom w:val="none" w:sz="0" w:space="0" w:color="auto"/>
        <w:right w:val="none" w:sz="0" w:space="0" w:color="auto"/>
      </w:divBdr>
    </w:div>
    <w:div w:id="30767935">
      <w:bodyDiv w:val="1"/>
      <w:marLeft w:val="0"/>
      <w:marRight w:val="0"/>
      <w:marTop w:val="0"/>
      <w:marBottom w:val="0"/>
      <w:divBdr>
        <w:top w:val="none" w:sz="0" w:space="0" w:color="auto"/>
        <w:left w:val="none" w:sz="0" w:space="0" w:color="auto"/>
        <w:bottom w:val="none" w:sz="0" w:space="0" w:color="auto"/>
        <w:right w:val="none" w:sz="0" w:space="0" w:color="auto"/>
      </w:divBdr>
    </w:div>
    <w:div w:id="34281441">
      <w:bodyDiv w:val="1"/>
      <w:marLeft w:val="0"/>
      <w:marRight w:val="0"/>
      <w:marTop w:val="0"/>
      <w:marBottom w:val="0"/>
      <w:divBdr>
        <w:top w:val="none" w:sz="0" w:space="0" w:color="auto"/>
        <w:left w:val="none" w:sz="0" w:space="0" w:color="auto"/>
        <w:bottom w:val="none" w:sz="0" w:space="0" w:color="auto"/>
        <w:right w:val="none" w:sz="0" w:space="0" w:color="auto"/>
      </w:divBdr>
    </w:div>
    <w:div w:id="35786648">
      <w:bodyDiv w:val="1"/>
      <w:marLeft w:val="0"/>
      <w:marRight w:val="0"/>
      <w:marTop w:val="0"/>
      <w:marBottom w:val="0"/>
      <w:divBdr>
        <w:top w:val="none" w:sz="0" w:space="0" w:color="auto"/>
        <w:left w:val="none" w:sz="0" w:space="0" w:color="auto"/>
        <w:bottom w:val="none" w:sz="0" w:space="0" w:color="auto"/>
        <w:right w:val="none" w:sz="0" w:space="0" w:color="auto"/>
      </w:divBdr>
    </w:div>
    <w:div w:id="37753447">
      <w:bodyDiv w:val="1"/>
      <w:marLeft w:val="0"/>
      <w:marRight w:val="0"/>
      <w:marTop w:val="0"/>
      <w:marBottom w:val="0"/>
      <w:divBdr>
        <w:top w:val="none" w:sz="0" w:space="0" w:color="auto"/>
        <w:left w:val="none" w:sz="0" w:space="0" w:color="auto"/>
        <w:bottom w:val="none" w:sz="0" w:space="0" w:color="auto"/>
        <w:right w:val="none" w:sz="0" w:space="0" w:color="auto"/>
      </w:divBdr>
    </w:div>
    <w:div w:id="39480211">
      <w:bodyDiv w:val="1"/>
      <w:marLeft w:val="0"/>
      <w:marRight w:val="0"/>
      <w:marTop w:val="0"/>
      <w:marBottom w:val="0"/>
      <w:divBdr>
        <w:top w:val="none" w:sz="0" w:space="0" w:color="auto"/>
        <w:left w:val="none" w:sz="0" w:space="0" w:color="auto"/>
        <w:bottom w:val="none" w:sz="0" w:space="0" w:color="auto"/>
        <w:right w:val="none" w:sz="0" w:space="0" w:color="auto"/>
      </w:divBdr>
    </w:div>
    <w:div w:id="42599718">
      <w:bodyDiv w:val="1"/>
      <w:marLeft w:val="0"/>
      <w:marRight w:val="0"/>
      <w:marTop w:val="0"/>
      <w:marBottom w:val="0"/>
      <w:divBdr>
        <w:top w:val="none" w:sz="0" w:space="0" w:color="auto"/>
        <w:left w:val="none" w:sz="0" w:space="0" w:color="auto"/>
        <w:bottom w:val="none" w:sz="0" w:space="0" w:color="auto"/>
        <w:right w:val="none" w:sz="0" w:space="0" w:color="auto"/>
      </w:divBdr>
    </w:div>
    <w:div w:id="45615272">
      <w:bodyDiv w:val="1"/>
      <w:marLeft w:val="0"/>
      <w:marRight w:val="0"/>
      <w:marTop w:val="0"/>
      <w:marBottom w:val="0"/>
      <w:divBdr>
        <w:top w:val="none" w:sz="0" w:space="0" w:color="auto"/>
        <w:left w:val="none" w:sz="0" w:space="0" w:color="auto"/>
        <w:bottom w:val="none" w:sz="0" w:space="0" w:color="auto"/>
        <w:right w:val="none" w:sz="0" w:space="0" w:color="auto"/>
      </w:divBdr>
    </w:div>
    <w:div w:id="63531293">
      <w:bodyDiv w:val="1"/>
      <w:marLeft w:val="0"/>
      <w:marRight w:val="0"/>
      <w:marTop w:val="0"/>
      <w:marBottom w:val="0"/>
      <w:divBdr>
        <w:top w:val="none" w:sz="0" w:space="0" w:color="auto"/>
        <w:left w:val="none" w:sz="0" w:space="0" w:color="auto"/>
        <w:bottom w:val="none" w:sz="0" w:space="0" w:color="auto"/>
        <w:right w:val="none" w:sz="0" w:space="0" w:color="auto"/>
      </w:divBdr>
    </w:div>
    <w:div w:id="95367290">
      <w:bodyDiv w:val="1"/>
      <w:marLeft w:val="0"/>
      <w:marRight w:val="0"/>
      <w:marTop w:val="0"/>
      <w:marBottom w:val="0"/>
      <w:divBdr>
        <w:top w:val="none" w:sz="0" w:space="0" w:color="auto"/>
        <w:left w:val="none" w:sz="0" w:space="0" w:color="auto"/>
        <w:bottom w:val="none" w:sz="0" w:space="0" w:color="auto"/>
        <w:right w:val="none" w:sz="0" w:space="0" w:color="auto"/>
      </w:divBdr>
    </w:div>
    <w:div w:id="100494176">
      <w:bodyDiv w:val="1"/>
      <w:marLeft w:val="0"/>
      <w:marRight w:val="0"/>
      <w:marTop w:val="0"/>
      <w:marBottom w:val="0"/>
      <w:divBdr>
        <w:top w:val="none" w:sz="0" w:space="0" w:color="auto"/>
        <w:left w:val="none" w:sz="0" w:space="0" w:color="auto"/>
        <w:bottom w:val="none" w:sz="0" w:space="0" w:color="auto"/>
        <w:right w:val="none" w:sz="0" w:space="0" w:color="auto"/>
      </w:divBdr>
    </w:div>
    <w:div w:id="108201675">
      <w:bodyDiv w:val="1"/>
      <w:marLeft w:val="0"/>
      <w:marRight w:val="0"/>
      <w:marTop w:val="0"/>
      <w:marBottom w:val="0"/>
      <w:divBdr>
        <w:top w:val="none" w:sz="0" w:space="0" w:color="auto"/>
        <w:left w:val="none" w:sz="0" w:space="0" w:color="auto"/>
        <w:bottom w:val="none" w:sz="0" w:space="0" w:color="auto"/>
        <w:right w:val="none" w:sz="0" w:space="0" w:color="auto"/>
      </w:divBdr>
    </w:div>
    <w:div w:id="117067693">
      <w:bodyDiv w:val="1"/>
      <w:marLeft w:val="0"/>
      <w:marRight w:val="0"/>
      <w:marTop w:val="0"/>
      <w:marBottom w:val="0"/>
      <w:divBdr>
        <w:top w:val="none" w:sz="0" w:space="0" w:color="auto"/>
        <w:left w:val="none" w:sz="0" w:space="0" w:color="auto"/>
        <w:bottom w:val="none" w:sz="0" w:space="0" w:color="auto"/>
        <w:right w:val="none" w:sz="0" w:space="0" w:color="auto"/>
      </w:divBdr>
    </w:div>
    <w:div w:id="121702212">
      <w:bodyDiv w:val="1"/>
      <w:marLeft w:val="0"/>
      <w:marRight w:val="0"/>
      <w:marTop w:val="0"/>
      <w:marBottom w:val="0"/>
      <w:divBdr>
        <w:top w:val="none" w:sz="0" w:space="0" w:color="auto"/>
        <w:left w:val="none" w:sz="0" w:space="0" w:color="auto"/>
        <w:bottom w:val="none" w:sz="0" w:space="0" w:color="auto"/>
        <w:right w:val="none" w:sz="0" w:space="0" w:color="auto"/>
      </w:divBdr>
    </w:div>
    <w:div w:id="129440191">
      <w:bodyDiv w:val="1"/>
      <w:marLeft w:val="0"/>
      <w:marRight w:val="0"/>
      <w:marTop w:val="0"/>
      <w:marBottom w:val="0"/>
      <w:divBdr>
        <w:top w:val="none" w:sz="0" w:space="0" w:color="auto"/>
        <w:left w:val="none" w:sz="0" w:space="0" w:color="auto"/>
        <w:bottom w:val="none" w:sz="0" w:space="0" w:color="auto"/>
        <w:right w:val="none" w:sz="0" w:space="0" w:color="auto"/>
      </w:divBdr>
    </w:div>
    <w:div w:id="136145202">
      <w:bodyDiv w:val="1"/>
      <w:marLeft w:val="0"/>
      <w:marRight w:val="0"/>
      <w:marTop w:val="0"/>
      <w:marBottom w:val="0"/>
      <w:divBdr>
        <w:top w:val="none" w:sz="0" w:space="0" w:color="auto"/>
        <w:left w:val="none" w:sz="0" w:space="0" w:color="auto"/>
        <w:bottom w:val="none" w:sz="0" w:space="0" w:color="auto"/>
        <w:right w:val="none" w:sz="0" w:space="0" w:color="auto"/>
      </w:divBdr>
    </w:div>
    <w:div w:id="146286646">
      <w:bodyDiv w:val="1"/>
      <w:marLeft w:val="0"/>
      <w:marRight w:val="0"/>
      <w:marTop w:val="0"/>
      <w:marBottom w:val="0"/>
      <w:divBdr>
        <w:top w:val="none" w:sz="0" w:space="0" w:color="auto"/>
        <w:left w:val="none" w:sz="0" w:space="0" w:color="auto"/>
        <w:bottom w:val="none" w:sz="0" w:space="0" w:color="auto"/>
        <w:right w:val="none" w:sz="0" w:space="0" w:color="auto"/>
      </w:divBdr>
    </w:div>
    <w:div w:id="153690157">
      <w:bodyDiv w:val="1"/>
      <w:marLeft w:val="0"/>
      <w:marRight w:val="0"/>
      <w:marTop w:val="0"/>
      <w:marBottom w:val="0"/>
      <w:divBdr>
        <w:top w:val="none" w:sz="0" w:space="0" w:color="auto"/>
        <w:left w:val="none" w:sz="0" w:space="0" w:color="auto"/>
        <w:bottom w:val="none" w:sz="0" w:space="0" w:color="auto"/>
        <w:right w:val="none" w:sz="0" w:space="0" w:color="auto"/>
      </w:divBdr>
    </w:div>
    <w:div w:id="157696503">
      <w:bodyDiv w:val="1"/>
      <w:marLeft w:val="0"/>
      <w:marRight w:val="0"/>
      <w:marTop w:val="0"/>
      <w:marBottom w:val="0"/>
      <w:divBdr>
        <w:top w:val="none" w:sz="0" w:space="0" w:color="auto"/>
        <w:left w:val="none" w:sz="0" w:space="0" w:color="auto"/>
        <w:bottom w:val="none" w:sz="0" w:space="0" w:color="auto"/>
        <w:right w:val="none" w:sz="0" w:space="0" w:color="auto"/>
      </w:divBdr>
    </w:div>
    <w:div w:id="165704978">
      <w:bodyDiv w:val="1"/>
      <w:marLeft w:val="0"/>
      <w:marRight w:val="0"/>
      <w:marTop w:val="0"/>
      <w:marBottom w:val="0"/>
      <w:divBdr>
        <w:top w:val="none" w:sz="0" w:space="0" w:color="auto"/>
        <w:left w:val="none" w:sz="0" w:space="0" w:color="auto"/>
        <w:bottom w:val="none" w:sz="0" w:space="0" w:color="auto"/>
        <w:right w:val="none" w:sz="0" w:space="0" w:color="auto"/>
      </w:divBdr>
    </w:div>
    <w:div w:id="171189612">
      <w:bodyDiv w:val="1"/>
      <w:marLeft w:val="0"/>
      <w:marRight w:val="0"/>
      <w:marTop w:val="0"/>
      <w:marBottom w:val="0"/>
      <w:divBdr>
        <w:top w:val="none" w:sz="0" w:space="0" w:color="auto"/>
        <w:left w:val="none" w:sz="0" w:space="0" w:color="auto"/>
        <w:bottom w:val="none" w:sz="0" w:space="0" w:color="auto"/>
        <w:right w:val="none" w:sz="0" w:space="0" w:color="auto"/>
      </w:divBdr>
    </w:div>
    <w:div w:id="192305124">
      <w:bodyDiv w:val="1"/>
      <w:marLeft w:val="0"/>
      <w:marRight w:val="0"/>
      <w:marTop w:val="0"/>
      <w:marBottom w:val="0"/>
      <w:divBdr>
        <w:top w:val="none" w:sz="0" w:space="0" w:color="auto"/>
        <w:left w:val="none" w:sz="0" w:space="0" w:color="auto"/>
        <w:bottom w:val="none" w:sz="0" w:space="0" w:color="auto"/>
        <w:right w:val="none" w:sz="0" w:space="0" w:color="auto"/>
      </w:divBdr>
    </w:div>
    <w:div w:id="194853587">
      <w:bodyDiv w:val="1"/>
      <w:marLeft w:val="0"/>
      <w:marRight w:val="0"/>
      <w:marTop w:val="0"/>
      <w:marBottom w:val="0"/>
      <w:divBdr>
        <w:top w:val="none" w:sz="0" w:space="0" w:color="auto"/>
        <w:left w:val="none" w:sz="0" w:space="0" w:color="auto"/>
        <w:bottom w:val="none" w:sz="0" w:space="0" w:color="auto"/>
        <w:right w:val="none" w:sz="0" w:space="0" w:color="auto"/>
      </w:divBdr>
    </w:div>
    <w:div w:id="258561865">
      <w:bodyDiv w:val="1"/>
      <w:marLeft w:val="0"/>
      <w:marRight w:val="0"/>
      <w:marTop w:val="0"/>
      <w:marBottom w:val="0"/>
      <w:divBdr>
        <w:top w:val="none" w:sz="0" w:space="0" w:color="auto"/>
        <w:left w:val="none" w:sz="0" w:space="0" w:color="auto"/>
        <w:bottom w:val="none" w:sz="0" w:space="0" w:color="auto"/>
        <w:right w:val="none" w:sz="0" w:space="0" w:color="auto"/>
      </w:divBdr>
    </w:div>
    <w:div w:id="269514392">
      <w:bodyDiv w:val="1"/>
      <w:marLeft w:val="0"/>
      <w:marRight w:val="0"/>
      <w:marTop w:val="0"/>
      <w:marBottom w:val="0"/>
      <w:divBdr>
        <w:top w:val="none" w:sz="0" w:space="0" w:color="auto"/>
        <w:left w:val="none" w:sz="0" w:space="0" w:color="auto"/>
        <w:bottom w:val="none" w:sz="0" w:space="0" w:color="auto"/>
        <w:right w:val="none" w:sz="0" w:space="0" w:color="auto"/>
      </w:divBdr>
    </w:div>
    <w:div w:id="271136835">
      <w:bodyDiv w:val="1"/>
      <w:marLeft w:val="0"/>
      <w:marRight w:val="0"/>
      <w:marTop w:val="0"/>
      <w:marBottom w:val="0"/>
      <w:divBdr>
        <w:top w:val="none" w:sz="0" w:space="0" w:color="auto"/>
        <w:left w:val="none" w:sz="0" w:space="0" w:color="auto"/>
        <w:bottom w:val="none" w:sz="0" w:space="0" w:color="auto"/>
        <w:right w:val="none" w:sz="0" w:space="0" w:color="auto"/>
      </w:divBdr>
    </w:div>
    <w:div w:id="275452122">
      <w:bodyDiv w:val="1"/>
      <w:marLeft w:val="0"/>
      <w:marRight w:val="0"/>
      <w:marTop w:val="0"/>
      <w:marBottom w:val="0"/>
      <w:divBdr>
        <w:top w:val="none" w:sz="0" w:space="0" w:color="auto"/>
        <w:left w:val="none" w:sz="0" w:space="0" w:color="auto"/>
        <w:bottom w:val="none" w:sz="0" w:space="0" w:color="auto"/>
        <w:right w:val="none" w:sz="0" w:space="0" w:color="auto"/>
      </w:divBdr>
    </w:div>
    <w:div w:id="304699607">
      <w:bodyDiv w:val="1"/>
      <w:marLeft w:val="0"/>
      <w:marRight w:val="0"/>
      <w:marTop w:val="0"/>
      <w:marBottom w:val="0"/>
      <w:divBdr>
        <w:top w:val="none" w:sz="0" w:space="0" w:color="auto"/>
        <w:left w:val="none" w:sz="0" w:space="0" w:color="auto"/>
        <w:bottom w:val="none" w:sz="0" w:space="0" w:color="auto"/>
        <w:right w:val="none" w:sz="0" w:space="0" w:color="auto"/>
      </w:divBdr>
    </w:div>
    <w:div w:id="309023652">
      <w:bodyDiv w:val="1"/>
      <w:marLeft w:val="0"/>
      <w:marRight w:val="0"/>
      <w:marTop w:val="0"/>
      <w:marBottom w:val="0"/>
      <w:divBdr>
        <w:top w:val="none" w:sz="0" w:space="0" w:color="auto"/>
        <w:left w:val="none" w:sz="0" w:space="0" w:color="auto"/>
        <w:bottom w:val="none" w:sz="0" w:space="0" w:color="auto"/>
        <w:right w:val="none" w:sz="0" w:space="0" w:color="auto"/>
      </w:divBdr>
    </w:div>
    <w:div w:id="320501695">
      <w:bodyDiv w:val="1"/>
      <w:marLeft w:val="0"/>
      <w:marRight w:val="0"/>
      <w:marTop w:val="0"/>
      <w:marBottom w:val="0"/>
      <w:divBdr>
        <w:top w:val="none" w:sz="0" w:space="0" w:color="auto"/>
        <w:left w:val="none" w:sz="0" w:space="0" w:color="auto"/>
        <w:bottom w:val="none" w:sz="0" w:space="0" w:color="auto"/>
        <w:right w:val="none" w:sz="0" w:space="0" w:color="auto"/>
      </w:divBdr>
    </w:div>
    <w:div w:id="325399076">
      <w:bodyDiv w:val="1"/>
      <w:marLeft w:val="0"/>
      <w:marRight w:val="0"/>
      <w:marTop w:val="0"/>
      <w:marBottom w:val="0"/>
      <w:divBdr>
        <w:top w:val="none" w:sz="0" w:space="0" w:color="auto"/>
        <w:left w:val="none" w:sz="0" w:space="0" w:color="auto"/>
        <w:bottom w:val="none" w:sz="0" w:space="0" w:color="auto"/>
        <w:right w:val="none" w:sz="0" w:space="0" w:color="auto"/>
      </w:divBdr>
    </w:div>
    <w:div w:id="326908895">
      <w:bodyDiv w:val="1"/>
      <w:marLeft w:val="0"/>
      <w:marRight w:val="0"/>
      <w:marTop w:val="0"/>
      <w:marBottom w:val="0"/>
      <w:divBdr>
        <w:top w:val="none" w:sz="0" w:space="0" w:color="auto"/>
        <w:left w:val="none" w:sz="0" w:space="0" w:color="auto"/>
        <w:bottom w:val="none" w:sz="0" w:space="0" w:color="auto"/>
        <w:right w:val="none" w:sz="0" w:space="0" w:color="auto"/>
      </w:divBdr>
    </w:div>
    <w:div w:id="335117674">
      <w:bodyDiv w:val="1"/>
      <w:marLeft w:val="0"/>
      <w:marRight w:val="0"/>
      <w:marTop w:val="0"/>
      <w:marBottom w:val="0"/>
      <w:divBdr>
        <w:top w:val="none" w:sz="0" w:space="0" w:color="auto"/>
        <w:left w:val="none" w:sz="0" w:space="0" w:color="auto"/>
        <w:bottom w:val="none" w:sz="0" w:space="0" w:color="auto"/>
        <w:right w:val="none" w:sz="0" w:space="0" w:color="auto"/>
      </w:divBdr>
    </w:div>
    <w:div w:id="336423773">
      <w:bodyDiv w:val="1"/>
      <w:marLeft w:val="0"/>
      <w:marRight w:val="0"/>
      <w:marTop w:val="0"/>
      <w:marBottom w:val="0"/>
      <w:divBdr>
        <w:top w:val="none" w:sz="0" w:space="0" w:color="auto"/>
        <w:left w:val="none" w:sz="0" w:space="0" w:color="auto"/>
        <w:bottom w:val="none" w:sz="0" w:space="0" w:color="auto"/>
        <w:right w:val="none" w:sz="0" w:space="0" w:color="auto"/>
      </w:divBdr>
    </w:div>
    <w:div w:id="349989251">
      <w:bodyDiv w:val="1"/>
      <w:marLeft w:val="0"/>
      <w:marRight w:val="0"/>
      <w:marTop w:val="0"/>
      <w:marBottom w:val="0"/>
      <w:divBdr>
        <w:top w:val="none" w:sz="0" w:space="0" w:color="auto"/>
        <w:left w:val="none" w:sz="0" w:space="0" w:color="auto"/>
        <w:bottom w:val="none" w:sz="0" w:space="0" w:color="auto"/>
        <w:right w:val="none" w:sz="0" w:space="0" w:color="auto"/>
      </w:divBdr>
    </w:div>
    <w:div w:id="351801842">
      <w:bodyDiv w:val="1"/>
      <w:marLeft w:val="0"/>
      <w:marRight w:val="0"/>
      <w:marTop w:val="0"/>
      <w:marBottom w:val="0"/>
      <w:divBdr>
        <w:top w:val="none" w:sz="0" w:space="0" w:color="auto"/>
        <w:left w:val="none" w:sz="0" w:space="0" w:color="auto"/>
        <w:bottom w:val="none" w:sz="0" w:space="0" w:color="auto"/>
        <w:right w:val="none" w:sz="0" w:space="0" w:color="auto"/>
      </w:divBdr>
    </w:div>
    <w:div w:id="386420815">
      <w:bodyDiv w:val="1"/>
      <w:marLeft w:val="0"/>
      <w:marRight w:val="0"/>
      <w:marTop w:val="0"/>
      <w:marBottom w:val="0"/>
      <w:divBdr>
        <w:top w:val="none" w:sz="0" w:space="0" w:color="auto"/>
        <w:left w:val="none" w:sz="0" w:space="0" w:color="auto"/>
        <w:bottom w:val="none" w:sz="0" w:space="0" w:color="auto"/>
        <w:right w:val="none" w:sz="0" w:space="0" w:color="auto"/>
      </w:divBdr>
    </w:div>
    <w:div w:id="390815538">
      <w:bodyDiv w:val="1"/>
      <w:marLeft w:val="0"/>
      <w:marRight w:val="0"/>
      <w:marTop w:val="0"/>
      <w:marBottom w:val="0"/>
      <w:divBdr>
        <w:top w:val="none" w:sz="0" w:space="0" w:color="auto"/>
        <w:left w:val="none" w:sz="0" w:space="0" w:color="auto"/>
        <w:bottom w:val="none" w:sz="0" w:space="0" w:color="auto"/>
        <w:right w:val="none" w:sz="0" w:space="0" w:color="auto"/>
      </w:divBdr>
    </w:div>
    <w:div w:id="406460171">
      <w:bodyDiv w:val="1"/>
      <w:marLeft w:val="0"/>
      <w:marRight w:val="0"/>
      <w:marTop w:val="0"/>
      <w:marBottom w:val="0"/>
      <w:divBdr>
        <w:top w:val="none" w:sz="0" w:space="0" w:color="auto"/>
        <w:left w:val="none" w:sz="0" w:space="0" w:color="auto"/>
        <w:bottom w:val="none" w:sz="0" w:space="0" w:color="auto"/>
        <w:right w:val="none" w:sz="0" w:space="0" w:color="auto"/>
      </w:divBdr>
    </w:div>
    <w:div w:id="411660022">
      <w:bodyDiv w:val="1"/>
      <w:marLeft w:val="0"/>
      <w:marRight w:val="0"/>
      <w:marTop w:val="0"/>
      <w:marBottom w:val="0"/>
      <w:divBdr>
        <w:top w:val="none" w:sz="0" w:space="0" w:color="auto"/>
        <w:left w:val="none" w:sz="0" w:space="0" w:color="auto"/>
        <w:bottom w:val="none" w:sz="0" w:space="0" w:color="auto"/>
        <w:right w:val="none" w:sz="0" w:space="0" w:color="auto"/>
      </w:divBdr>
    </w:div>
    <w:div w:id="446393460">
      <w:bodyDiv w:val="1"/>
      <w:marLeft w:val="0"/>
      <w:marRight w:val="0"/>
      <w:marTop w:val="0"/>
      <w:marBottom w:val="0"/>
      <w:divBdr>
        <w:top w:val="none" w:sz="0" w:space="0" w:color="auto"/>
        <w:left w:val="none" w:sz="0" w:space="0" w:color="auto"/>
        <w:bottom w:val="none" w:sz="0" w:space="0" w:color="auto"/>
        <w:right w:val="none" w:sz="0" w:space="0" w:color="auto"/>
      </w:divBdr>
    </w:div>
    <w:div w:id="473836077">
      <w:bodyDiv w:val="1"/>
      <w:marLeft w:val="0"/>
      <w:marRight w:val="0"/>
      <w:marTop w:val="0"/>
      <w:marBottom w:val="0"/>
      <w:divBdr>
        <w:top w:val="none" w:sz="0" w:space="0" w:color="auto"/>
        <w:left w:val="none" w:sz="0" w:space="0" w:color="auto"/>
        <w:bottom w:val="none" w:sz="0" w:space="0" w:color="auto"/>
        <w:right w:val="none" w:sz="0" w:space="0" w:color="auto"/>
      </w:divBdr>
    </w:div>
    <w:div w:id="505631617">
      <w:bodyDiv w:val="1"/>
      <w:marLeft w:val="0"/>
      <w:marRight w:val="0"/>
      <w:marTop w:val="0"/>
      <w:marBottom w:val="0"/>
      <w:divBdr>
        <w:top w:val="none" w:sz="0" w:space="0" w:color="auto"/>
        <w:left w:val="none" w:sz="0" w:space="0" w:color="auto"/>
        <w:bottom w:val="none" w:sz="0" w:space="0" w:color="auto"/>
        <w:right w:val="none" w:sz="0" w:space="0" w:color="auto"/>
      </w:divBdr>
    </w:div>
    <w:div w:id="528953032">
      <w:bodyDiv w:val="1"/>
      <w:marLeft w:val="0"/>
      <w:marRight w:val="0"/>
      <w:marTop w:val="0"/>
      <w:marBottom w:val="0"/>
      <w:divBdr>
        <w:top w:val="none" w:sz="0" w:space="0" w:color="auto"/>
        <w:left w:val="none" w:sz="0" w:space="0" w:color="auto"/>
        <w:bottom w:val="none" w:sz="0" w:space="0" w:color="auto"/>
        <w:right w:val="none" w:sz="0" w:space="0" w:color="auto"/>
      </w:divBdr>
    </w:div>
    <w:div w:id="530844828">
      <w:bodyDiv w:val="1"/>
      <w:marLeft w:val="0"/>
      <w:marRight w:val="0"/>
      <w:marTop w:val="0"/>
      <w:marBottom w:val="0"/>
      <w:divBdr>
        <w:top w:val="none" w:sz="0" w:space="0" w:color="auto"/>
        <w:left w:val="none" w:sz="0" w:space="0" w:color="auto"/>
        <w:bottom w:val="none" w:sz="0" w:space="0" w:color="auto"/>
        <w:right w:val="none" w:sz="0" w:space="0" w:color="auto"/>
      </w:divBdr>
    </w:div>
    <w:div w:id="560286395">
      <w:bodyDiv w:val="1"/>
      <w:marLeft w:val="0"/>
      <w:marRight w:val="0"/>
      <w:marTop w:val="0"/>
      <w:marBottom w:val="0"/>
      <w:divBdr>
        <w:top w:val="none" w:sz="0" w:space="0" w:color="auto"/>
        <w:left w:val="none" w:sz="0" w:space="0" w:color="auto"/>
        <w:bottom w:val="none" w:sz="0" w:space="0" w:color="auto"/>
        <w:right w:val="none" w:sz="0" w:space="0" w:color="auto"/>
      </w:divBdr>
    </w:div>
    <w:div w:id="564098643">
      <w:bodyDiv w:val="1"/>
      <w:marLeft w:val="0"/>
      <w:marRight w:val="0"/>
      <w:marTop w:val="0"/>
      <w:marBottom w:val="0"/>
      <w:divBdr>
        <w:top w:val="none" w:sz="0" w:space="0" w:color="auto"/>
        <w:left w:val="none" w:sz="0" w:space="0" w:color="auto"/>
        <w:bottom w:val="none" w:sz="0" w:space="0" w:color="auto"/>
        <w:right w:val="none" w:sz="0" w:space="0" w:color="auto"/>
      </w:divBdr>
    </w:div>
    <w:div w:id="566303429">
      <w:bodyDiv w:val="1"/>
      <w:marLeft w:val="0"/>
      <w:marRight w:val="0"/>
      <w:marTop w:val="0"/>
      <w:marBottom w:val="0"/>
      <w:divBdr>
        <w:top w:val="none" w:sz="0" w:space="0" w:color="auto"/>
        <w:left w:val="none" w:sz="0" w:space="0" w:color="auto"/>
        <w:bottom w:val="none" w:sz="0" w:space="0" w:color="auto"/>
        <w:right w:val="none" w:sz="0" w:space="0" w:color="auto"/>
      </w:divBdr>
    </w:div>
    <w:div w:id="576013209">
      <w:bodyDiv w:val="1"/>
      <w:marLeft w:val="0"/>
      <w:marRight w:val="0"/>
      <w:marTop w:val="0"/>
      <w:marBottom w:val="0"/>
      <w:divBdr>
        <w:top w:val="none" w:sz="0" w:space="0" w:color="auto"/>
        <w:left w:val="none" w:sz="0" w:space="0" w:color="auto"/>
        <w:bottom w:val="none" w:sz="0" w:space="0" w:color="auto"/>
        <w:right w:val="none" w:sz="0" w:space="0" w:color="auto"/>
      </w:divBdr>
    </w:div>
    <w:div w:id="603147536">
      <w:bodyDiv w:val="1"/>
      <w:marLeft w:val="0"/>
      <w:marRight w:val="0"/>
      <w:marTop w:val="0"/>
      <w:marBottom w:val="0"/>
      <w:divBdr>
        <w:top w:val="none" w:sz="0" w:space="0" w:color="auto"/>
        <w:left w:val="none" w:sz="0" w:space="0" w:color="auto"/>
        <w:bottom w:val="none" w:sz="0" w:space="0" w:color="auto"/>
        <w:right w:val="none" w:sz="0" w:space="0" w:color="auto"/>
      </w:divBdr>
    </w:div>
    <w:div w:id="616180509">
      <w:bodyDiv w:val="1"/>
      <w:marLeft w:val="0"/>
      <w:marRight w:val="0"/>
      <w:marTop w:val="0"/>
      <w:marBottom w:val="0"/>
      <w:divBdr>
        <w:top w:val="none" w:sz="0" w:space="0" w:color="auto"/>
        <w:left w:val="none" w:sz="0" w:space="0" w:color="auto"/>
        <w:bottom w:val="none" w:sz="0" w:space="0" w:color="auto"/>
        <w:right w:val="none" w:sz="0" w:space="0" w:color="auto"/>
      </w:divBdr>
    </w:div>
    <w:div w:id="633947726">
      <w:bodyDiv w:val="1"/>
      <w:marLeft w:val="0"/>
      <w:marRight w:val="0"/>
      <w:marTop w:val="0"/>
      <w:marBottom w:val="0"/>
      <w:divBdr>
        <w:top w:val="none" w:sz="0" w:space="0" w:color="auto"/>
        <w:left w:val="none" w:sz="0" w:space="0" w:color="auto"/>
        <w:bottom w:val="none" w:sz="0" w:space="0" w:color="auto"/>
        <w:right w:val="none" w:sz="0" w:space="0" w:color="auto"/>
      </w:divBdr>
    </w:div>
    <w:div w:id="639725295">
      <w:bodyDiv w:val="1"/>
      <w:marLeft w:val="0"/>
      <w:marRight w:val="0"/>
      <w:marTop w:val="0"/>
      <w:marBottom w:val="0"/>
      <w:divBdr>
        <w:top w:val="none" w:sz="0" w:space="0" w:color="auto"/>
        <w:left w:val="none" w:sz="0" w:space="0" w:color="auto"/>
        <w:bottom w:val="none" w:sz="0" w:space="0" w:color="auto"/>
        <w:right w:val="none" w:sz="0" w:space="0" w:color="auto"/>
      </w:divBdr>
    </w:div>
    <w:div w:id="645547828">
      <w:bodyDiv w:val="1"/>
      <w:marLeft w:val="0"/>
      <w:marRight w:val="0"/>
      <w:marTop w:val="0"/>
      <w:marBottom w:val="0"/>
      <w:divBdr>
        <w:top w:val="none" w:sz="0" w:space="0" w:color="auto"/>
        <w:left w:val="none" w:sz="0" w:space="0" w:color="auto"/>
        <w:bottom w:val="none" w:sz="0" w:space="0" w:color="auto"/>
        <w:right w:val="none" w:sz="0" w:space="0" w:color="auto"/>
      </w:divBdr>
    </w:div>
    <w:div w:id="652682416">
      <w:bodyDiv w:val="1"/>
      <w:marLeft w:val="0"/>
      <w:marRight w:val="0"/>
      <w:marTop w:val="0"/>
      <w:marBottom w:val="0"/>
      <w:divBdr>
        <w:top w:val="none" w:sz="0" w:space="0" w:color="auto"/>
        <w:left w:val="none" w:sz="0" w:space="0" w:color="auto"/>
        <w:bottom w:val="none" w:sz="0" w:space="0" w:color="auto"/>
        <w:right w:val="none" w:sz="0" w:space="0" w:color="auto"/>
      </w:divBdr>
    </w:div>
    <w:div w:id="657197528">
      <w:bodyDiv w:val="1"/>
      <w:marLeft w:val="0"/>
      <w:marRight w:val="0"/>
      <w:marTop w:val="0"/>
      <w:marBottom w:val="0"/>
      <w:divBdr>
        <w:top w:val="none" w:sz="0" w:space="0" w:color="auto"/>
        <w:left w:val="none" w:sz="0" w:space="0" w:color="auto"/>
        <w:bottom w:val="none" w:sz="0" w:space="0" w:color="auto"/>
        <w:right w:val="none" w:sz="0" w:space="0" w:color="auto"/>
      </w:divBdr>
    </w:div>
    <w:div w:id="685014902">
      <w:bodyDiv w:val="1"/>
      <w:marLeft w:val="0"/>
      <w:marRight w:val="0"/>
      <w:marTop w:val="0"/>
      <w:marBottom w:val="0"/>
      <w:divBdr>
        <w:top w:val="none" w:sz="0" w:space="0" w:color="auto"/>
        <w:left w:val="none" w:sz="0" w:space="0" w:color="auto"/>
        <w:bottom w:val="none" w:sz="0" w:space="0" w:color="auto"/>
        <w:right w:val="none" w:sz="0" w:space="0" w:color="auto"/>
      </w:divBdr>
    </w:div>
    <w:div w:id="695271871">
      <w:bodyDiv w:val="1"/>
      <w:marLeft w:val="0"/>
      <w:marRight w:val="0"/>
      <w:marTop w:val="0"/>
      <w:marBottom w:val="0"/>
      <w:divBdr>
        <w:top w:val="none" w:sz="0" w:space="0" w:color="auto"/>
        <w:left w:val="none" w:sz="0" w:space="0" w:color="auto"/>
        <w:bottom w:val="none" w:sz="0" w:space="0" w:color="auto"/>
        <w:right w:val="none" w:sz="0" w:space="0" w:color="auto"/>
      </w:divBdr>
    </w:div>
    <w:div w:id="710301392">
      <w:bodyDiv w:val="1"/>
      <w:marLeft w:val="0"/>
      <w:marRight w:val="0"/>
      <w:marTop w:val="0"/>
      <w:marBottom w:val="0"/>
      <w:divBdr>
        <w:top w:val="none" w:sz="0" w:space="0" w:color="auto"/>
        <w:left w:val="none" w:sz="0" w:space="0" w:color="auto"/>
        <w:bottom w:val="none" w:sz="0" w:space="0" w:color="auto"/>
        <w:right w:val="none" w:sz="0" w:space="0" w:color="auto"/>
      </w:divBdr>
    </w:div>
    <w:div w:id="730469950">
      <w:bodyDiv w:val="1"/>
      <w:marLeft w:val="0"/>
      <w:marRight w:val="0"/>
      <w:marTop w:val="0"/>
      <w:marBottom w:val="0"/>
      <w:divBdr>
        <w:top w:val="none" w:sz="0" w:space="0" w:color="auto"/>
        <w:left w:val="none" w:sz="0" w:space="0" w:color="auto"/>
        <w:bottom w:val="none" w:sz="0" w:space="0" w:color="auto"/>
        <w:right w:val="none" w:sz="0" w:space="0" w:color="auto"/>
      </w:divBdr>
    </w:div>
    <w:div w:id="739248666">
      <w:bodyDiv w:val="1"/>
      <w:marLeft w:val="0"/>
      <w:marRight w:val="0"/>
      <w:marTop w:val="0"/>
      <w:marBottom w:val="0"/>
      <w:divBdr>
        <w:top w:val="none" w:sz="0" w:space="0" w:color="auto"/>
        <w:left w:val="none" w:sz="0" w:space="0" w:color="auto"/>
        <w:bottom w:val="none" w:sz="0" w:space="0" w:color="auto"/>
        <w:right w:val="none" w:sz="0" w:space="0" w:color="auto"/>
      </w:divBdr>
    </w:div>
    <w:div w:id="747532460">
      <w:bodyDiv w:val="1"/>
      <w:marLeft w:val="0"/>
      <w:marRight w:val="0"/>
      <w:marTop w:val="0"/>
      <w:marBottom w:val="0"/>
      <w:divBdr>
        <w:top w:val="none" w:sz="0" w:space="0" w:color="auto"/>
        <w:left w:val="none" w:sz="0" w:space="0" w:color="auto"/>
        <w:bottom w:val="none" w:sz="0" w:space="0" w:color="auto"/>
        <w:right w:val="none" w:sz="0" w:space="0" w:color="auto"/>
      </w:divBdr>
    </w:div>
    <w:div w:id="752624673">
      <w:bodyDiv w:val="1"/>
      <w:marLeft w:val="0"/>
      <w:marRight w:val="0"/>
      <w:marTop w:val="0"/>
      <w:marBottom w:val="0"/>
      <w:divBdr>
        <w:top w:val="none" w:sz="0" w:space="0" w:color="auto"/>
        <w:left w:val="none" w:sz="0" w:space="0" w:color="auto"/>
        <w:bottom w:val="none" w:sz="0" w:space="0" w:color="auto"/>
        <w:right w:val="none" w:sz="0" w:space="0" w:color="auto"/>
      </w:divBdr>
    </w:div>
    <w:div w:id="756906261">
      <w:bodyDiv w:val="1"/>
      <w:marLeft w:val="0"/>
      <w:marRight w:val="0"/>
      <w:marTop w:val="0"/>
      <w:marBottom w:val="0"/>
      <w:divBdr>
        <w:top w:val="none" w:sz="0" w:space="0" w:color="auto"/>
        <w:left w:val="none" w:sz="0" w:space="0" w:color="auto"/>
        <w:bottom w:val="none" w:sz="0" w:space="0" w:color="auto"/>
        <w:right w:val="none" w:sz="0" w:space="0" w:color="auto"/>
      </w:divBdr>
    </w:div>
    <w:div w:id="778527221">
      <w:bodyDiv w:val="1"/>
      <w:marLeft w:val="0"/>
      <w:marRight w:val="0"/>
      <w:marTop w:val="0"/>
      <w:marBottom w:val="0"/>
      <w:divBdr>
        <w:top w:val="none" w:sz="0" w:space="0" w:color="auto"/>
        <w:left w:val="none" w:sz="0" w:space="0" w:color="auto"/>
        <w:bottom w:val="none" w:sz="0" w:space="0" w:color="auto"/>
        <w:right w:val="none" w:sz="0" w:space="0" w:color="auto"/>
      </w:divBdr>
    </w:div>
    <w:div w:id="780878857">
      <w:bodyDiv w:val="1"/>
      <w:marLeft w:val="0"/>
      <w:marRight w:val="0"/>
      <w:marTop w:val="0"/>
      <w:marBottom w:val="0"/>
      <w:divBdr>
        <w:top w:val="none" w:sz="0" w:space="0" w:color="auto"/>
        <w:left w:val="none" w:sz="0" w:space="0" w:color="auto"/>
        <w:bottom w:val="none" w:sz="0" w:space="0" w:color="auto"/>
        <w:right w:val="none" w:sz="0" w:space="0" w:color="auto"/>
      </w:divBdr>
    </w:div>
    <w:div w:id="789401225">
      <w:bodyDiv w:val="1"/>
      <w:marLeft w:val="0"/>
      <w:marRight w:val="0"/>
      <w:marTop w:val="0"/>
      <w:marBottom w:val="0"/>
      <w:divBdr>
        <w:top w:val="none" w:sz="0" w:space="0" w:color="auto"/>
        <w:left w:val="none" w:sz="0" w:space="0" w:color="auto"/>
        <w:bottom w:val="none" w:sz="0" w:space="0" w:color="auto"/>
        <w:right w:val="none" w:sz="0" w:space="0" w:color="auto"/>
      </w:divBdr>
    </w:div>
    <w:div w:id="805584990">
      <w:bodyDiv w:val="1"/>
      <w:marLeft w:val="0"/>
      <w:marRight w:val="0"/>
      <w:marTop w:val="0"/>
      <w:marBottom w:val="0"/>
      <w:divBdr>
        <w:top w:val="none" w:sz="0" w:space="0" w:color="auto"/>
        <w:left w:val="none" w:sz="0" w:space="0" w:color="auto"/>
        <w:bottom w:val="none" w:sz="0" w:space="0" w:color="auto"/>
        <w:right w:val="none" w:sz="0" w:space="0" w:color="auto"/>
      </w:divBdr>
    </w:div>
    <w:div w:id="806163017">
      <w:bodyDiv w:val="1"/>
      <w:marLeft w:val="0"/>
      <w:marRight w:val="0"/>
      <w:marTop w:val="0"/>
      <w:marBottom w:val="0"/>
      <w:divBdr>
        <w:top w:val="none" w:sz="0" w:space="0" w:color="auto"/>
        <w:left w:val="none" w:sz="0" w:space="0" w:color="auto"/>
        <w:bottom w:val="none" w:sz="0" w:space="0" w:color="auto"/>
        <w:right w:val="none" w:sz="0" w:space="0" w:color="auto"/>
      </w:divBdr>
    </w:div>
    <w:div w:id="807405309">
      <w:bodyDiv w:val="1"/>
      <w:marLeft w:val="0"/>
      <w:marRight w:val="0"/>
      <w:marTop w:val="0"/>
      <w:marBottom w:val="0"/>
      <w:divBdr>
        <w:top w:val="none" w:sz="0" w:space="0" w:color="auto"/>
        <w:left w:val="none" w:sz="0" w:space="0" w:color="auto"/>
        <w:bottom w:val="none" w:sz="0" w:space="0" w:color="auto"/>
        <w:right w:val="none" w:sz="0" w:space="0" w:color="auto"/>
      </w:divBdr>
    </w:div>
    <w:div w:id="814755498">
      <w:bodyDiv w:val="1"/>
      <w:marLeft w:val="0"/>
      <w:marRight w:val="0"/>
      <w:marTop w:val="0"/>
      <w:marBottom w:val="0"/>
      <w:divBdr>
        <w:top w:val="none" w:sz="0" w:space="0" w:color="auto"/>
        <w:left w:val="none" w:sz="0" w:space="0" w:color="auto"/>
        <w:bottom w:val="none" w:sz="0" w:space="0" w:color="auto"/>
        <w:right w:val="none" w:sz="0" w:space="0" w:color="auto"/>
      </w:divBdr>
    </w:div>
    <w:div w:id="824246835">
      <w:bodyDiv w:val="1"/>
      <w:marLeft w:val="0"/>
      <w:marRight w:val="0"/>
      <w:marTop w:val="0"/>
      <w:marBottom w:val="0"/>
      <w:divBdr>
        <w:top w:val="none" w:sz="0" w:space="0" w:color="auto"/>
        <w:left w:val="none" w:sz="0" w:space="0" w:color="auto"/>
        <w:bottom w:val="none" w:sz="0" w:space="0" w:color="auto"/>
        <w:right w:val="none" w:sz="0" w:space="0" w:color="auto"/>
      </w:divBdr>
    </w:div>
    <w:div w:id="856695319">
      <w:bodyDiv w:val="1"/>
      <w:marLeft w:val="0"/>
      <w:marRight w:val="0"/>
      <w:marTop w:val="0"/>
      <w:marBottom w:val="0"/>
      <w:divBdr>
        <w:top w:val="none" w:sz="0" w:space="0" w:color="auto"/>
        <w:left w:val="none" w:sz="0" w:space="0" w:color="auto"/>
        <w:bottom w:val="none" w:sz="0" w:space="0" w:color="auto"/>
        <w:right w:val="none" w:sz="0" w:space="0" w:color="auto"/>
      </w:divBdr>
    </w:div>
    <w:div w:id="856846556">
      <w:bodyDiv w:val="1"/>
      <w:marLeft w:val="0"/>
      <w:marRight w:val="0"/>
      <w:marTop w:val="0"/>
      <w:marBottom w:val="0"/>
      <w:divBdr>
        <w:top w:val="none" w:sz="0" w:space="0" w:color="auto"/>
        <w:left w:val="none" w:sz="0" w:space="0" w:color="auto"/>
        <w:bottom w:val="none" w:sz="0" w:space="0" w:color="auto"/>
        <w:right w:val="none" w:sz="0" w:space="0" w:color="auto"/>
      </w:divBdr>
    </w:div>
    <w:div w:id="863635769">
      <w:bodyDiv w:val="1"/>
      <w:marLeft w:val="0"/>
      <w:marRight w:val="0"/>
      <w:marTop w:val="0"/>
      <w:marBottom w:val="0"/>
      <w:divBdr>
        <w:top w:val="none" w:sz="0" w:space="0" w:color="auto"/>
        <w:left w:val="none" w:sz="0" w:space="0" w:color="auto"/>
        <w:bottom w:val="none" w:sz="0" w:space="0" w:color="auto"/>
        <w:right w:val="none" w:sz="0" w:space="0" w:color="auto"/>
      </w:divBdr>
    </w:div>
    <w:div w:id="893736053">
      <w:bodyDiv w:val="1"/>
      <w:marLeft w:val="0"/>
      <w:marRight w:val="0"/>
      <w:marTop w:val="0"/>
      <w:marBottom w:val="0"/>
      <w:divBdr>
        <w:top w:val="none" w:sz="0" w:space="0" w:color="auto"/>
        <w:left w:val="none" w:sz="0" w:space="0" w:color="auto"/>
        <w:bottom w:val="none" w:sz="0" w:space="0" w:color="auto"/>
        <w:right w:val="none" w:sz="0" w:space="0" w:color="auto"/>
      </w:divBdr>
    </w:div>
    <w:div w:id="928200506">
      <w:bodyDiv w:val="1"/>
      <w:marLeft w:val="0"/>
      <w:marRight w:val="0"/>
      <w:marTop w:val="0"/>
      <w:marBottom w:val="0"/>
      <w:divBdr>
        <w:top w:val="none" w:sz="0" w:space="0" w:color="auto"/>
        <w:left w:val="none" w:sz="0" w:space="0" w:color="auto"/>
        <w:bottom w:val="none" w:sz="0" w:space="0" w:color="auto"/>
        <w:right w:val="none" w:sz="0" w:space="0" w:color="auto"/>
      </w:divBdr>
    </w:div>
    <w:div w:id="936672012">
      <w:bodyDiv w:val="1"/>
      <w:marLeft w:val="0"/>
      <w:marRight w:val="0"/>
      <w:marTop w:val="0"/>
      <w:marBottom w:val="0"/>
      <w:divBdr>
        <w:top w:val="none" w:sz="0" w:space="0" w:color="auto"/>
        <w:left w:val="none" w:sz="0" w:space="0" w:color="auto"/>
        <w:bottom w:val="none" w:sz="0" w:space="0" w:color="auto"/>
        <w:right w:val="none" w:sz="0" w:space="0" w:color="auto"/>
      </w:divBdr>
    </w:div>
    <w:div w:id="937375474">
      <w:bodyDiv w:val="1"/>
      <w:marLeft w:val="0"/>
      <w:marRight w:val="0"/>
      <w:marTop w:val="0"/>
      <w:marBottom w:val="0"/>
      <w:divBdr>
        <w:top w:val="none" w:sz="0" w:space="0" w:color="auto"/>
        <w:left w:val="none" w:sz="0" w:space="0" w:color="auto"/>
        <w:bottom w:val="none" w:sz="0" w:space="0" w:color="auto"/>
        <w:right w:val="none" w:sz="0" w:space="0" w:color="auto"/>
      </w:divBdr>
    </w:div>
    <w:div w:id="937559388">
      <w:bodyDiv w:val="1"/>
      <w:marLeft w:val="0"/>
      <w:marRight w:val="0"/>
      <w:marTop w:val="0"/>
      <w:marBottom w:val="0"/>
      <w:divBdr>
        <w:top w:val="none" w:sz="0" w:space="0" w:color="auto"/>
        <w:left w:val="none" w:sz="0" w:space="0" w:color="auto"/>
        <w:bottom w:val="none" w:sz="0" w:space="0" w:color="auto"/>
        <w:right w:val="none" w:sz="0" w:space="0" w:color="auto"/>
      </w:divBdr>
    </w:div>
    <w:div w:id="952663742">
      <w:bodyDiv w:val="1"/>
      <w:marLeft w:val="0"/>
      <w:marRight w:val="0"/>
      <w:marTop w:val="0"/>
      <w:marBottom w:val="0"/>
      <w:divBdr>
        <w:top w:val="none" w:sz="0" w:space="0" w:color="auto"/>
        <w:left w:val="none" w:sz="0" w:space="0" w:color="auto"/>
        <w:bottom w:val="none" w:sz="0" w:space="0" w:color="auto"/>
        <w:right w:val="none" w:sz="0" w:space="0" w:color="auto"/>
      </w:divBdr>
    </w:div>
    <w:div w:id="957104417">
      <w:bodyDiv w:val="1"/>
      <w:marLeft w:val="0"/>
      <w:marRight w:val="0"/>
      <w:marTop w:val="0"/>
      <w:marBottom w:val="0"/>
      <w:divBdr>
        <w:top w:val="none" w:sz="0" w:space="0" w:color="auto"/>
        <w:left w:val="none" w:sz="0" w:space="0" w:color="auto"/>
        <w:bottom w:val="none" w:sz="0" w:space="0" w:color="auto"/>
        <w:right w:val="none" w:sz="0" w:space="0" w:color="auto"/>
      </w:divBdr>
    </w:div>
    <w:div w:id="959729312">
      <w:bodyDiv w:val="1"/>
      <w:marLeft w:val="0"/>
      <w:marRight w:val="0"/>
      <w:marTop w:val="0"/>
      <w:marBottom w:val="0"/>
      <w:divBdr>
        <w:top w:val="none" w:sz="0" w:space="0" w:color="auto"/>
        <w:left w:val="none" w:sz="0" w:space="0" w:color="auto"/>
        <w:bottom w:val="none" w:sz="0" w:space="0" w:color="auto"/>
        <w:right w:val="none" w:sz="0" w:space="0" w:color="auto"/>
      </w:divBdr>
    </w:div>
    <w:div w:id="963386630">
      <w:bodyDiv w:val="1"/>
      <w:marLeft w:val="0"/>
      <w:marRight w:val="0"/>
      <w:marTop w:val="0"/>
      <w:marBottom w:val="0"/>
      <w:divBdr>
        <w:top w:val="none" w:sz="0" w:space="0" w:color="auto"/>
        <w:left w:val="none" w:sz="0" w:space="0" w:color="auto"/>
        <w:bottom w:val="none" w:sz="0" w:space="0" w:color="auto"/>
        <w:right w:val="none" w:sz="0" w:space="0" w:color="auto"/>
      </w:divBdr>
    </w:div>
    <w:div w:id="964385043">
      <w:bodyDiv w:val="1"/>
      <w:marLeft w:val="0"/>
      <w:marRight w:val="0"/>
      <w:marTop w:val="0"/>
      <w:marBottom w:val="0"/>
      <w:divBdr>
        <w:top w:val="none" w:sz="0" w:space="0" w:color="auto"/>
        <w:left w:val="none" w:sz="0" w:space="0" w:color="auto"/>
        <w:bottom w:val="none" w:sz="0" w:space="0" w:color="auto"/>
        <w:right w:val="none" w:sz="0" w:space="0" w:color="auto"/>
      </w:divBdr>
    </w:div>
    <w:div w:id="965963959">
      <w:bodyDiv w:val="1"/>
      <w:marLeft w:val="0"/>
      <w:marRight w:val="0"/>
      <w:marTop w:val="0"/>
      <w:marBottom w:val="0"/>
      <w:divBdr>
        <w:top w:val="none" w:sz="0" w:space="0" w:color="auto"/>
        <w:left w:val="none" w:sz="0" w:space="0" w:color="auto"/>
        <w:bottom w:val="none" w:sz="0" w:space="0" w:color="auto"/>
        <w:right w:val="none" w:sz="0" w:space="0" w:color="auto"/>
      </w:divBdr>
    </w:div>
    <w:div w:id="988171966">
      <w:bodyDiv w:val="1"/>
      <w:marLeft w:val="0"/>
      <w:marRight w:val="0"/>
      <w:marTop w:val="0"/>
      <w:marBottom w:val="0"/>
      <w:divBdr>
        <w:top w:val="none" w:sz="0" w:space="0" w:color="auto"/>
        <w:left w:val="none" w:sz="0" w:space="0" w:color="auto"/>
        <w:bottom w:val="none" w:sz="0" w:space="0" w:color="auto"/>
        <w:right w:val="none" w:sz="0" w:space="0" w:color="auto"/>
      </w:divBdr>
    </w:div>
    <w:div w:id="997341965">
      <w:bodyDiv w:val="1"/>
      <w:marLeft w:val="0"/>
      <w:marRight w:val="0"/>
      <w:marTop w:val="0"/>
      <w:marBottom w:val="0"/>
      <w:divBdr>
        <w:top w:val="none" w:sz="0" w:space="0" w:color="auto"/>
        <w:left w:val="none" w:sz="0" w:space="0" w:color="auto"/>
        <w:bottom w:val="none" w:sz="0" w:space="0" w:color="auto"/>
        <w:right w:val="none" w:sz="0" w:space="0" w:color="auto"/>
      </w:divBdr>
    </w:div>
    <w:div w:id="1030305290">
      <w:bodyDiv w:val="1"/>
      <w:marLeft w:val="0"/>
      <w:marRight w:val="0"/>
      <w:marTop w:val="0"/>
      <w:marBottom w:val="0"/>
      <w:divBdr>
        <w:top w:val="none" w:sz="0" w:space="0" w:color="auto"/>
        <w:left w:val="none" w:sz="0" w:space="0" w:color="auto"/>
        <w:bottom w:val="none" w:sz="0" w:space="0" w:color="auto"/>
        <w:right w:val="none" w:sz="0" w:space="0" w:color="auto"/>
      </w:divBdr>
    </w:div>
    <w:div w:id="1036924758">
      <w:bodyDiv w:val="1"/>
      <w:marLeft w:val="0"/>
      <w:marRight w:val="0"/>
      <w:marTop w:val="0"/>
      <w:marBottom w:val="0"/>
      <w:divBdr>
        <w:top w:val="none" w:sz="0" w:space="0" w:color="auto"/>
        <w:left w:val="none" w:sz="0" w:space="0" w:color="auto"/>
        <w:bottom w:val="none" w:sz="0" w:space="0" w:color="auto"/>
        <w:right w:val="none" w:sz="0" w:space="0" w:color="auto"/>
      </w:divBdr>
    </w:div>
    <w:div w:id="1076588930">
      <w:bodyDiv w:val="1"/>
      <w:marLeft w:val="0"/>
      <w:marRight w:val="0"/>
      <w:marTop w:val="0"/>
      <w:marBottom w:val="0"/>
      <w:divBdr>
        <w:top w:val="none" w:sz="0" w:space="0" w:color="auto"/>
        <w:left w:val="none" w:sz="0" w:space="0" w:color="auto"/>
        <w:bottom w:val="none" w:sz="0" w:space="0" w:color="auto"/>
        <w:right w:val="none" w:sz="0" w:space="0" w:color="auto"/>
      </w:divBdr>
    </w:div>
    <w:div w:id="1076634765">
      <w:bodyDiv w:val="1"/>
      <w:marLeft w:val="0"/>
      <w:marRight w:val="0"/>
      <w:marTop w:val="0"/>
      <w:marBottom w:val="0"/>
      <w:divBdr>
        <w:top w:val="none" w:sz="0" w:space="0" w:color="auto"/>
        <w:left w:val="none" w:sz="0" w:space="0" w:color="auto"/>
        <w:bottom w:val="none" w:sz="0" w:space="0" w:color="auto"/>
        <w:right w:val="none" w:sz="0" w:space="0" w:color="auto"/>
      </w:divBdr>
    </w:div>
    <w:div w:id="1080441660">
      <w:bodyDiv w:val="1"/>
      <w:marLeft w:val="0"/>
      <w:marRight w:val="0"/>
      <w:marTop w:val="0"/>
      <w:marBottom w:val="0"/>
      <w:divBdr>
        <w:top w:val="none" w:sz="0" w:space="0" w:color="auto"/>
        <w:left w:val="none" w:sz="0" w:space="0" w:color="auto"/>
        <w:bottom w:val="none" w:sz="0" w:space="0" w:color="auto"/>
        <w:right w:val="none" w:sz="0" w:space="0" w:color="auto"/>
      </w:divBdr>
    </w:div>
    <w:div w:id="1080830950">
      <w:bodyDiv w:val="1"/>
      <w:marLeft w:val="0"/>
      <w:marRight w:val="0"/>
      <w:marTop w:val="0"/>
      <w:marBottom w:val="0"/>
      <w:divBdr>
        <w:top w:val="none" w:sz="0" w:space="0" w:color="auto"/>
        <w:left w:val="none" w:sz="0" w:space="0" w:color="auto"/>
        <w:bottom w:val="none" w:sz="0" w:space="0" w:color="auto"/>
        <w:right w:val="none" w:sz="0" w:space="0" w:color="auto"/>
      </w:divBdr>
    </w:div>
    <w:div w:id="1087844819">
      <w:bodyDiv w:val="1"/>
      <w:marLeft w:val="0"/>
      <w:marRight w:val="0"/>
      <w:marTop w:val="0"/>
      <w:marBottom w:val="0"/>
      <w:divBdr>
        <w:top w:val="none" w:sz="0" w:space="0" w:color="auto"/>
        <w:left w:val="none" w:sz="0" w:space="0" w:color="auto"/>
        <w:bottom w:val="none" w:sz="0" w:space="0" w:color="auto"/>
        <w:right w:val="none" w:sz="0" w:space="0" w:color="auto"/>
      </w:divBdr>
    </w:div>
    <w:div w:id="1092317609">
      <w:bodyDiv w:val="1"/>
      <w:marLeft w:val="0"/>
      <w:marRight w:val="0"/>
      <w:marTop w:val="0"/>
      <w:marBottom w:val="0"/>
      <w:divBdr>
        <w:top w:val="none" w:sz="0" w:space="0" w:color="auto"/>
        <w:left w:val="none" w:sz="0" w:space="0" w:color="auto"/>
        <w:bottom w:val="none" w:sz="0" w:space="0" w:color="auto"/>
        <w:right w:val="none" w:sz="0" w:space="0" w:color="auto"/>
      </w:divBdr>
    </w:div>
    <w:div w:id="1104885549">
      <w:bodyDiv w:val="1"/>
      <w:marLeft w:val="0"/>
      <w:marRight w:val="0"/>
      <w:marTop w:val="0"/>
      <w:marBottom w:val="0"/>
      <w:divBdr>
        <w:top w:val="none" w:sz="0" w:space="0" w:color="auto"/>
        <w:left w:val="none" w:sz="0" w:space="0" w:color="auto"/>
        <w:bottom w:val="none" w:sz="0" w:space="0" w:color="auto"/>
        <w:right w:val="none" w:sz="0" w:space="0" w:color="auto"/>
      </w:divBdr>
    </w:div>
    <w:div w:id="1106121025">
      <w:bodyDiv w:val="1"/>
      <w:marLeft w:val="0"/>
      <w:marRight w:val="0"/>
      <w:marTop w:val="0"/>
      <w:marBottom w:val="0"/>
      <w:divBdr>
        <w:top w:val="none" w:sz="0" w:space="0" w:color="auto"/>
        <w:left w:val="none" w:sz="0" w:space="0" w:color="auto"/>
        <w:bottom w:val="none" w:sz="0" w:space="0" w:color="auto"/>
        <w:right w:val="none" w:sz="0" w:space="0" w:color="auto"/>
      </w:divBdr>
    </w:div>
    <w:div w:id="1122765553">
      <w:bodyDiv w:val="1"/>
      <w:marLeft w:val="0"/>
      <w:marRight w:val="0"/>
      <w:marTop w:val="0"/>
      <w:marBottom w:val="0"/>
      <w:divBdr>
        <w:top w:val="none" w:sz="0" w:space="0" w:color="auto"/>
        <w:left w:val="none" w:sz="0" w:space="0" w:color="auto"/>
        <w:bottom w:val="none" w:sz="0" w:space="0" w:color="auto"/>
        <w:right w:val="none" w:sz="0" w:space="0" w:color="auto"/>
      </w:divBdr>
    </w:div>
    <w:div w:id="1171488485">
      <w:bodyDiv w:val="1"/>
      <w:marLeft w:val="0"/>
      <w:marRight w:val="0"/>
      <w:marTop w:val="0"/>
      <w:marBottom w:val="0"/>
      <w:divBdr>
        <w:top w:val="none" w:sz="0" w:space="0" w:color="auto"/>
        <w:left w:val="none" w:sz="0" w:space="0" w:color="auto"/>
        <w:bottom w:val="none" w:sz="0" w:space="0" w:color="auto"/>
        <w:right w:val="none" w:sz="0" w:space="0" w:color="auto"/>
      </w:divBdr>
    </w:div>
    <w:div w:id="1197541121">
      <w:bodyDiv w:val="1"/>
      <w:marLeft w:val="0"/>
      <w:marRight w:val="0"/>
      <w:marTop w:val="0"/>
      <w:marBottom w:val="0"/>
      <w:divBdr>
        <w:top w:val="none" w:sz="0" w:space="0" w:color="auto"/>
        <w:left w:val="none" w:sz="0" w:space="0" w:color="auto"/>
        <w:bottom w:val="none" w:sz="0" w:space="0" w:color="auto"/>
        <w:right w:val="none" w:sz="0" w:space="0" w:color="auto"/>
      </w:divBdr>
    </w:div>
    <w:div w:id="1200357889">
      <w:bodyDiv w:val="1"/>
      <w:marLeft w:val="0"/>
      <w:marRight w:val="0"/>
      <w:marTop w:val="0"/>
      <w:marBottom w:val="0"/>
      <w:divBdr>
        <w:top w:val="none" w:sz="0" w:space="0" w:color="auto"/>
        <w:left w:val="none" w:sz="0" w:space="0" w:color="auto"/>
        <w:bottom w:val="none" w:sz="0" w:space="0" w:color="auto"/>
        <w:right w:val="none" w:sz="0" w:space="0" w:color="auto"/>
      </w:divBdr>
    </w:div>
    <w:div w:id="1224951143">
      <w:bodyDiv w:val="1"/>
      <w:marLeft w:val="0"/>
      <w:marRight w:val="0"/>
      <w:marTop w:val="0"/>
      <w:marBottom w:val="0"/>
      <w:divBdr>
        <w:top w:val="none" w:sz="0" w:space="0" w:color="auto"/>
        <w:left w:val="none" w:sz="0" w:space="0" w:color="auto"/>
        <w:bottom w:val="none" w:sz="0" w:space="0" w:color="auto"/>
        <w:right w:val="none" w:sz="0" w:space="0" w:color="auto"/>
      </w:divBdr>
    </w:div>
    <w:div w:id="1231385228">
      <w:bodyDiv w:val="1"/>
      <w:marLeft w:val="0"/>
      <w:marRight w:val="0"/>
      <w:marTop w:val="0"/>
      <w:marBottom w:val="0"/>
      <w:divBdr>
        <w:top w:val="none" w:sz="0" w:space="0" w:color="auto"/>
        <w:left w:val="none" w:sz="0" w:space="0" w:color="auto"/>
        <w:bottom w:val="none" w:sz="0" w:space="0" w:color="auto"/>
        <w:right w:val="none" w:sz="0" w:space="0" w:color="auto"/>
      </w:divBdr>
    </w:div>
    <w:div w:id="1239246097">
      <w:bodyDiv w:val="1"/>
      <w:marLeft w:val="0"/>
      <w:marRight w:val="0"/>
      <w:marTop w:val="0"/>
      <w:marBottom w:val="0"/>
      <w:divBdr>
        <w:top w:val="none" w:sz="0" w:space="0" w:color="auto"/>
        <w:left w:val="none" w:sz="0" w:space="0" w:color="auto"/>
        <w:bottom w:val="none" w:sz="0" w:space="0" w:color="auto"/>
        <w:right w:val="none" w:sz="0" w:space="0" w:color="auto"/>
      </w:divBdr>
    </w:div>
    <w:div w:id="1251769464">
      <w:bodyDiv w:val="1"/>
      <w:marLeft w:val="0"/>
      <w:marRight w:val="0"/>
      <w:marTop w:val="0"/>
      <w:marBottom w:val="0"/>
      <w:divBdr>
        <w:top w:val="none" w:sz="0" w:space="0" w:color="auto"/>
        <w:left w:val="none" w:sz="0" w:space="0" w:color="auto"/>
        <w:bottom w:val="none" w:sz="0" w:space="0" w:color="auto"/>
        <w:right w:val="none" w:sz="0" w:space="0" w:color="auto"/>
      </w:divBdr>
    </w:div>
    <w:div w:id="1256131804">
      <w:bodyDiv w:val="1"/>
      <w:marLeft w:val="0"/>
      <w:marRight w:val="0"/>
      <w:marTop w:val="0"/>
      <w:marBottom w:val="0"/>
      <w:divBdr>
        <w:top w:val="none" w:sz="0" w:space="0" w:color="auto"/>
        <w:left w:val="none" w:sz="0" w:space="0" w:color="auto"/>
        <w:bottom w:val="none" w:sz="0" w:space="0" w:color="auto"/>
        <w:right w:val="none" w:sz="0" w:space="0" w:color="auto"/>
      </w:divBdr>
    </w:div>
    <w:div w:id="1299991392">
      <w:bodyDiv w:val="1"/>
      <w:marLeft w:val="0"/>
      <w:marRight w:val="0"/>
      <w:marTop w:val="0"/>
      <w:marBottom w:val="0"/>
      <w:divBdr>
        <w:top w:val="none" w:sz="0" w:space="0" w:color="auto"/>
        <w:left w:val="none" w:sz="0" w:space="0" w:color="auto"/>
        <w:bottom w:val="none" w:sz="0" w:space="0" w:color="auto"/>
        <w:right w:val="none" w:sz="0" w:space="0" w:color="auto"/>
      </w:divBdr>
    </w:div>
    <w:div w:id="1300646815">
      <w:bodyDiv w:val="1"/>
      <w:marLeft w:val="0"/>
      <w:marRight w:val="0"/>
      <w:marTop w:val="0"/>
      <w:marBottom w:val="0"/>
      <w:divBdr>
        <w:top w:val="none" w:sz="0" w:space="0" w:color="auto"/>
        <w:left w:val="none" w:sz="0" w:space="0" w:color="auto"/>
        <w:bottom w:val="none" w:sz="0" w:space="0" w:color="auto"/>
        <w:right w:val="none" w:sz="0" w:space="0" w:color="auto"/>
      </w:divBdr>
    </w:div>
    <w:div w:id="1313951968">
      <w:bodyDiv w:val="1"/>
      <w:marLeft w:val="0"/>
      <w:marRight w:val="0"/>
      <w:marTop w:val="0"/>
      <w:marBottom w:val="0"/>
      <w:divBdr>
        <w:top w:val="none" w:sz="0" w:space="0" w:color="auto"/>
        <w:left w:val="none" w:sz="0" w:space="0" w:color="auto"/>
        <w:bottom w:val="none" w:sz="0" w:space="0" w:color="auto"/>
        <w:right w:val="none" w:sz="0" w:space="0" w:color="auto"/>
      </w:divBdr>
    </w:div>
    <w:div w:id="1348944296">
      <w:bodyDiv w:val="1"/>
      <w:marLeft w:val="0"/>
      <w:marRight w:val="0"/>
      <w:marTop w:val="0"/>
      <w:marBottom w:val="0"/>
      <w:divBdr>
        <w:top w:val="none" w:sz="0" w:space="0" w:color="auto"/>
        <w:left w:val="none" w:sz="0" w:space="0" w:color="auto"/>
        <w:bottom w:val="none" w:sz="0" w:space="0" w:color="auto"/>
        <w:right w:val="none" w:sz="0" w:space="0" w:color="auto"/>
      </w:divBdr>
    </w:div>
    <w:div w:id="1370181352">
      <w:bodyDiv w:val="1"/>
      <w:marLeft w:val="0"/>
      <w:marRight w:val="0"/>
      <w:marTop w:val="0"/>
      <w:marBottom w:val="0"/>
      <w:divBdr>
        <w:top w:val="none" w:sz="0" w:space="0" w:color="auto"/>
        <w:left w:val="none" w:sz="0" w:space="0" w:color="auto"/>
        <w:bottom w:val="none" w:sz="0" w:space="0" w:color="auto"/>
        <w:right w:val="none" w:sz="0" w:space="0" w:color="auto"/>
      </w:divBdr>
    </w:div>
    <w:div w:id="1416322199">
      <w:bodyDiv w:val="1"/>
      <w:marLeft w:val="0"/>
      <w:marRight w:val="0"/>
      <w:marTop w:val="0"/>
      <w:marBottom w:val="0"/>
      <w:divBdr>
        <w:top w:val="none" w:sz="0" w:space="0" w:color="auto"/>
        <w:left w:val="none" w:sz="0" w:space="0" w:color="auto"/>
        <w:bottom w:val="none" w:sz="0" w:space="0" w:color="auto"/>
        <w:right w:val="none" w:sz="0" w:space="0" w:color="auto"/>
      </w:divBdr>
    </w:div>
    <w:div w:id="1416583934">
      <w:bodyDiv w:val="1"/>
      <w:marLeft w:val="0"/>
      <w:marRight w:val="0"/>
      <w:marTop w:val="0"/>
      <w:marBottom w:val="0"/>
      <w:divBdr>
        <w:top w:val="none" w:sz="0" w:space="0" w:color="auto"/>
        <w:left w:val="none" w:sz="0" w:space="0" w:color="auto"/>
        <w:bottom w:val="none" w:sz="0" w:space="0" w:color="auto"/>
        <w:right w:val="none" w:sz="0" w:space="0" w:color="auto"/>
      </w:divBdr>
    </w:div>
    <w:div w:id="1437560147">
      <w:bodyDiv w:val="1"/>
      <w:marLeft w:val="0"/>
      <w:marRight w:val="0"/>
      <w:marTop w:val="0"/>
      <w:marBottom w:val="0"/>
      <w:divBdr>
        <w:top w:val="none" w:sz="0" w:space="0" w:color="auto"/>
        <w:left w:val="none" w:sz="0" w:space="0" w:color="auto"/>
        <w:bottom w:val="none" w:sz="0" w:space="0" w:color="auto"/>
        <w:right w:val="none" w:sz="0" w:space="0" w:color="auto"/>
      </w:divBdr>
    </w:div>
    <w:div w:id="1449543530">
      <w:bodyDiv w:val="1"/>
      <w:marLeft w:val="0"/>
      <w:marRight w:val="0"/>
      <w:marTop w:val="0"/>
      <w:marBottom w:val="0"/>
      <w:divBdr>
        <w:top w:val="none" w:sz="0" w:space="0" w:color="auto"/>
        <w:left w:val="none" w:sz="0" w:space="0" w:color="auto"/>
        <w:bottom w:val="none" w:sz="0" w:space="0" w:color="auto"/>
        <w:right w:val="none" w:sz="0" w:space="0" w:color="auto"/>
      </w:divBdr>
    </w:div>
    <w:div w:id="1453939555">
      <w:bodyDiv w:val="1"/>
      <w:marLeft w:val="0"/>
      <w:marRight w:val="0"/>
      <w:marTop w:val="0"/>
      <w:marBottom w:val="0"/>
      <w:divBdr>
        <w:top w:val="none" w:sz="0" w:space="0" w:color="auto"/>
        <w:left w:val="none" w:sz="0" w:space="0" w:color="auto"/>
        <w:bottom w:val="none" w:sz="0" w:space="0" w:color="auto"/>
        <w:right w:val="none" w:sz="0" w:space="0" w:color="auto"/>
      </w:divBdr>
    </w:div>
    <w:div w:id="1455245250">
      <w:bodyDiv w:val="1"/>
      <w:marLeft w:val="0"/>
      <w:marRight w:val="0"/>
      <w:marTop w:val="0"/>
      <w:marBottom w:val="0"/>
      <w:divBdr>
        <w:top w:val="none" w:sz="0" w:space="0" w:color="auto"/>
        <w:left w:val="none" w:sz="0" w:space="0" w:color="auto"/>
        <w:bottom w:val="none" w:sz="0" w:space="0" w:color="auto"/>
        <w:right w:val="none" w:sz="0" w:space="0" w:color="auto"/>
      </w:divBdr>
    </w:div>
    <w:div w:id="1458451913">
      <w:bodyDiv w:val="1"/>
      <w:marLeft w:val="0"/>
      <w:marRight w:val="0"/>
      <w:marTop w:val="0"/>
      <w:marBottom w:val="0"/>
      <w:divBdr>
        <w:top w:val="none" w:sz="0" w:space="0" w:color="auto"/>
        <w:left w:val="none" w:sz="0" w:space="0" w:color="auto"/>
        <w:bottom w:val="none" w:sz="0" w:space="0" w:color="auto"/>
        <w:right w:val="none" w:sz="0" w:space="0" w:color="auto"/>
      </w:divBdr>
    </w:div>
    <w:div w:id="1473249710">
      <w:bodyDiv w:val="1"/>
      <w:marLeft w:val="0"/>
      <w:marRight w:val="0"/>
      <w:marTop w:val="0"/>
      <w:marBottom w:val="0"/>
      <w:divBdr>
        <w:top w:val="none" w:sz="0" w:space="0" w:color="auto"/>
        <w:left w:val="none" w:sz="0" w:space="0" w:color="auto"/>
        <w:bottom w:val="none" w:sz="0" w:space="0" w:color="auto"/>
        <w:right w:val="none" w:sz="0" w:space="0" w:color="auto"/>
      </w:divBdr>
    </w:div>
    <w:div w:id="1483422799">
      <w:bodyDiv w:val="1"/>
      <w:marLeft w:val="0"/>
      <w:marRight w:val="0"/>
      <w:marTop w:val="0"/>
      <w:marBottom w:val="0"/>
      <w:divBdr>
        <w:top w:val="none" w:sz="0" w:space="0" w:color="auto"/>
        <w:left w:val="none" w:sz="0" w:space="0" w:color="auto"/>
        <w:bottom w:val="none" w:sz="0" w:space="0" w:color="auto"/>
        <w:right w:val="none" w:sz="0" w:space="0" w:color="auto"/>
      </w:divBdr>
    </w:div>
    <w:div w:id="1488479396">
      <w:bodyDiv w:val="1"/>
      <w:marLeft w:val="0"/>
      <w:marRight w:val="0"/>
      <w:marTop w:val="0"/>
      <w:marBottom w:val="0"/>
      <w:divBdr>
        <w:top w:val="none" w:sz="0" w:space="0" w:color="auto"/>
        <w:left w:val="none" w:sz="0" w:space="0" w:color="auto"/>
        <w:bottom w:val="none" w:sz="0" w:space="0" w:color="auto"/>
        <w:right w:val="none" w:sz="0" w:space="0" w:color="auto"/>
      </w:divBdr>
    </w:div>
    <w:div w:id="1499149612">
      <w:bodyDiv w:val="1"/>
      <w:marLeft w:val="0"/>
      <w:marRight w:val="0"/>
      <w:marTop w:val="0"/>
      <w:marBottom w:val="0"/>
      <w:divBdr>
        <w:top w:val="none" w:sz="0" w:space="0" w:color="auto"/>
        <w:left w:val="none" w:sz="0" w:space="0" w:color="auto"/>
        <w:bottom w:val="none" w:sz="0" w:space="0" w:color="auto"/>
        <w:right w:val="none" w:sz="0" w:space="0" w:color="auto"/>
      </w:divBdr>
    </w:div>
    <w:div w:id="1513642243">
      <w:bodyDiv w:val="1"/>
      <w:marLeft w:val="0"/>
      <w:marRight w:val="0"/>
      <w:marTop w:val="0"/>
      <w:marBottom w:val="0"/>
      <w:divBdr>
        <w:top w:val="none" w:sz="0" w:space="0" w:color="auto"/>
        <w:left w:val="none" w:sz="0" w:space="0" w:color="auto"/>
        <w:bottom w:val="none" w:sz="0" w:space="0" w:color="auto"/>
        <w:right w:val="none" w:sz="0" w:space="0" w:color="auto"/>
      </w:divBdr>
    </w:div>
    <w:div w:id="1526166141">
      <w:bodyDiv w:val="1"/>
      <w:marLeft w:val="0"/>
      <w:marRight w:val="0"/>
      <w:marTop w:val="0"/>
      <w:marBottom w:val="0"/>
      <w:divBdr>
        <w:top w:val="none" w:sz="0" w:space="0" w:color="auto"/>
        <w:left w:val="none" w:sz="0" w:space="0" w:color="auto"/>
        <w:bottom w:val="none" w:sz="0" w:space="0" w:color="auto"/>
        <w:right w:val="none" w:sz="0" w:space="0" w:color="auto"/>
      </w:divBdr>
    </w:div>
    <w:div w:id="1540897102">
      <w:bodyDiv w:val="1"/>
      <w:marLeft w:val="0"/>
      <w:marRight w:val="0"/>
      <w:marTop w:val="0"/>
      <w:marBottom w:val="0"/>
      <w:divBdr>
        <w:top w:val="none" w:sz="0" w:space="0" w:color="auto"/>
        <w:left w:val="none" w:sz="0" w:space="0" w:color="auto"/>
        <w:bottom w:val="none" w:sz="0" w:space="0" w:color="auto"/>
        <w:right w:val="none" w:sz="0" w:space="0" w:color="auto"/>
      </w:divBdr>
    </w:div>
    <w:div w:id="1541358316">
      <w:bodyDiv w:val="1"/>
      <w:marLeft w:val="0"/>
      <w:marRight w:val="0"/>
      <w:marTop w:val="0"/>
      <w:marBottom w:val="0"/>
      <w:divBdr>
        <w:top w:val="none" w:sz="0" w:space="0" w:color="auto"/>
        <w:left w:val="none" w:sz="0" w:space="0" w:color="auto"/>
        <w:bottom w:val="none" w:sz="0" w:space="0" w:color="auto"/>
        <w:right w:val="none" w:sz="0" w:space="0" w:color="auto"/>
      </w:divBdr>
    </w:div>
    <w:div w:id="1548951390">
      <w:bodyDiv w:val="1"/>
      <w:marLeft w:val="0"/>
      <w:marRight w:val="0"/>
      <w:marTop w:val="0"/>
      <w:marBottom w:val="0"/>
      <w:divBdr>
        <w:top w:val="none" w:sz="0" w:space="0" w:color="auto"/>
        <w:left w:val="none" w:sz="0" w:space="0" w:color="auto"/>
        <w:bottom w:val="none" w:sz="0" w:space="0" w:color="auto"/>
        <w:right w:val="none" w:sz="0" w:space="0" w:color="auto"/>
      </w:divBdr>
    </w:div>
    <w:div w:id="1563371522">
      <w:bodyDiv w:val="1"/>
      <w:marLeft w:val="0"/>
      <w:marRight w:val="0"/>
      <w:marTop w:val="0"/>
      <w:marBottom w:val="0"/>
      <w:divBdr>
        <w:top w:val="none" w:sz="0" w:space="0" w:color="auto"/>
        <w:left w:val="none" w:sz="0" w:space="0" w:color="auto"/>
        <w:bottom w:val="none" w:sz="0" w:space="0" w:color="auto"/>
        <w:right w:val="none" w:sz="0" w:space="0" w:color="auto"/>
      </w:divBdr>
    </w:div>
    <w:div w:id="1630090270">
      <w:bodyDiv w:val="1"/>
      <w:marLeft w:val="0"/>
      <w:marRight w:val="0"/>
      <w:marTop w:val="0"/>
      <w:marBottom w:val="0"/>
      <w:divBdr>
        <w:top w:val="none" w:sz="0" w:space="0" w:color="auto"/>
        <w:left w:val="none" w:sz="0" w:space="0" w:color="auto"/>
        <w:bottom w:val="none" w:sz="0" w:space="0" w:color="auto"/>
        <w:right w:val="none" w:sz="0" w:space="0" w:color="auto"/>
      </w:divBdr>
    </w:div>
    <w:div w:id="1644234044">
      <w:bodyDiv w:val="1"/>
      <w:marLeft w:val="0"/>
      <w:marRight w:val="0"/>
      <w:marTop w:val="0"/>
      <w:marBottom w:val="0"/>
      <w:divBdr>
        <w:top w:val="none" w:sz="0" w:space="0" w:color="auto"/>
        <w:left w:val="none" w:sz="0" w:space="0" w:color="auto"/>
        <w:bottom w:val="none" w:sz="0" w:space="0" w:color="auto"/>
        <w:right w:val="none" w:sz="0" w:space="0" w:color="auto"/>
      </w:divBdr>
    </w:div>
    <w:div w:id="1644969987">
      <w:bodyDiv w:val="1"/>
      <w:marLeft w:val="0"/>
      <w:marRight w:val="0"/>
      <w:marTop w:val="0"/>
      <w:marBottom w:val="0"/>
      <w:divBdr>
        <w:top w:val="none" w:sz="0" w:space="0" w:color="auto"/>
        <w:left w:val="none" w:sz="0" w:space="0" w:color="auto"/>
        <w:bottom w:val="none" w:sz="0" w:space="0" w:color="auto"/>
        <w:right w:val="none" w:sz="0" w:space="0" w:color="auto"/>
      </w:divBdr>
    </w:div>
    <w:div w:id="1647474386">
      <w:bodyDiv w:val="1"/>
      <w:marLeft w:val="0"/>
      <w:marRight w:val="0"/>
      <w:marTop w:val="0"/>
      <w:marBottom w:val="0"/>
      <w:divBdr>
        <w:top w:val="none" w:sz="0" w:space="0" w:color="auto"/>
        <w:left w:val="none" w:sz="0" w:space="0" w:color="auto"/>
        <w:bottom w:val="none" w:sz="0" w:space="0" w:color="auto"/>
        <w:right w:val="none" w:sz="0" w:space="0" w:color="auto"/>
      </w:divBdr>
    </w:div>
    <w:div w:id="1653173640">
      <w:bodyDiv w:val="1"/>
      <w:marLeft w:val="0"/>
      <w:marRight w:val="0"/>
      <w:marTop w:val="0"/>
      <w:marBottom w:val="0"/>
      <w:divBdr>
        <w:top w:val="none" w:sz="0" w:space="0" w:color="auto"/>
        <w:left w:val="none" w:sz="0" w:space="0" w:color="auto"/>
        <w:bottom w:val="none" w:sz="0" w:space="0" w:color="auto"/>
        <w:right w:val="none" w:sz="0" w:space="0" w:color="auto"/>
      </w:divBdr>
    </w:div>
    <w:div w:id="1663921800">
      <w:bodyDiv w:val="1"/>
      <w:marLeft w:val="0"/>
      <w:marRight w:val="0"/>
      <w:marTop w:val="0"/>
      <w:marBottom w:val="0"/>
      <w:divBdr>
        <w:top w:val="none" w:sz="0" w:space="0" w:color="auto"/>
        <w:left w:val="none" w:sz="0" w:space="0" w:color="auto"/>
        <w:bottom w:val="none" w:sz="0" w:space="0" w:color="auto"/>
        <w:right w:val="none" w:sz="0" w:space="0" w:color="auto"/>
      </w:divBdr>
    </w:div>
    <w:div w:id="1674411001">
      <w:bodyDiv w:val="1"/>
      <w:marLeft w:val="0"/>
      <w:marRight w:val="0"/>
      <w:marTop w:val="0"/>
      <w:marBottom w:val="0"/>
      <w:divBdr>
        <w:top w:val="none" w:sz="0" w:space="0" w:color="auto"/>
        <w:left w:val="none" w:sz="0" w:space="0" w:color="auto"/>
        <w:bottom w:val="none" w:sz="0" w:space="0" w:color="auto"/>
        <w:right w:val="none" w:sz="0" w:space="0" w:color="auto"/>
      </w:divBdr>
    </w:div>
    <w:div w:id="1684548946">
      <w:bodyDiv w:val="1"/>
      <w:marLeft w:val="0"/>
      <w:marRight w:val="0"/>
      <w:marTop w:val="0"/>
      <w:marBottom w:val="0"/>
      <w:divBdr>
        <w:top w:val="none" w:sz="0" w:space="0" w:color="auto"/>
        <w:left w:val="none" w:sz="0" w:space="0" w:color="auto"/>
        <w:bottom w:val="none" w:sz="0" w:space="0" w:color="auto"/>
        <w:right w:val="none" w:sz="0" w:space="0" w:color="auto"/>
      </w:divBdr>
    </w:div>
    <w:div w:id="1685858288">
      <w:bodyDiv w:val="1"/>
      <w:marLeft w:val="0"/>
      <w:marRight w:val="0"/>
      <w:marTop w:val="0"/>
      <w:marBottom w:val="0"/>
      <w:divBdr>
        <w:top w:val="none" w:sz="0" w:space="0" w:color="auto"/>
        <w:left w:val="none" w:sz="0" w:space="0" w:color="auto"/>
        <w:bottom w:val="none" w:sz="0" w:space="0" w:color="auto"/>
        <w:right w:val="none" w:sz="0" w:space="0" w:color="auto"/>
      </w:divBdr>
    </w:div>
    <w:div w:id="1733237879">
      <w:bodyDiv w:val="1"/>
      <w:marLeft w:val="0"/>
      <w:marRight w:val="0"/>
      <w:marTop w:val="0"/>
      <w:marBottom w:val="0"/>
      <w:divBdr>
        <w:top w:val="none" w:sz="0" w:space="0" w:color="auto"/>
        <w:left w:val="none" w:sz="0" w:space="0" w:color="auto"/>
        <w:bottom w:val="none" w:sz="0" w:space="0" w:color="auto"/>
        <w:right w:val="none" w:sz="0" w:space="0" w:color="auto"/>
      </w:divBdr>
    </w:div>
    <w:div w:id="1743214107">
      <w:bodyDiv w:val="1"/>
      <w:marLeft w:val="0"/>
      <w:marRight w:val="0"/>
      <w:marTop w:val="0"/>
      <w:marBottom w:val="0"/>
      <w:divBdr>
        <w:top w:val="none" w:sz="0" w:space="0" w:color="auto"/>
        <w:left w:val="none" w:sz="0" w:space="0" w:color="auto"/>
        <w:bottom w:val="none" w:sz="0" w:space="0" w:color="auto"/>
        <w:right w:val="none" w:sz="0" w:space="0" w:color="auto"/>
      </w:divBdr>
    </w:div>
    <w:div w:id="1778023675">
      <w:bodyDiv w:val="1"/>
      <w:marLeft w:val="0"/>
      <w:marRight w:val="0"/>
      <w:marTop w:val="0"/>
      <w:marBottom w:val="0"/>
      <w:divBdr>
        <w:top w:val="none" w:sz="0" w:space="0" w:color="auto"/>
        <w:left w:val="none" w:sz="0" w:space="0" w:color="auto"/>
        <w:bottom w:val="none" w:sz="0" w:space="0" w:color="auto"/>
        <w:right w:val="none" w:sz="0" w:space="0" w:color="auto"/>
      </w:divBdr>
    </w:div>
    <w:div w:id="1793286125">
      <w:bodyDiv w:val="1"/>
      <w:marLeft w:val="0"/>
      <w:marRight w:val="0"/>
      <w:marTop w:val="0"/>
      <w:marBottom w:val="0"/>
      <w:divBdr>
        <w:top w:val="none" w:sz="0" w:space="0" w:color="auto"/>
        <w:left w:val="none" w:sz="0" w:space="0" w:color="auto"/>
        <w:bottom w:val="none" w:sz="0" w:space="0" w:color="auto"/>
        <w:right w:val="none" w:sz="0" w:space="0" w:color="auto"/>
      </w:divBdr>
    </w:div>
    <w:div w:id="1796174949">
      <w:bodyDiv w:val="1"/>
      <w:marLeft w:val="0"/>
      <w:marRight w:val="0"/>
      <w:marTop w:val="0"/>
      <w:marBottom w:val="0"/>
      <w:divBdr>
        <w:top w:val="none" w:sz="0" w:space="0" w:color="auto"/>
        <w:left w:val="none" w:sz="0" w:space="0" w:color="auto"/>
        <w:bottom w:val="none" w:sz="0" w:space="0" w:color="auto"/>
        <w:right w:val="none" w:sz="0" w:space="0" w:color="auto"/>
      </w:divBdr>
    </w:div>
    <w:div w:id="1799255624">
      <w:bodyDiv w:val="1"/>
      <w:marLeft w:val="0"/>
      <w:marRight w:val="0"/>
      <w:marTop w:val="0"/>
      <w:marBottom w:val="0"/>
      <w:divBdr>
        <w:top w:val="none" w:sz="0" w:space="0" w:color="auto"/>
        <w:left w:val="none" w:sz="0" w:space="0" w:color="auto"/>
        <w:bottom w:val="none" w:sz="0" w:space="0" w:color="auto"/>
        <w:right w:val="none" w:sz="0" w:space="0" w:color="auto"/>
      </w:divBdr>
    </w:div>
    <w:div w:id="1802268421">
      <w:bodyDiv w:val="1"/>
      <w:marLeft w:val="0"/>
      <w:marRight w:val="0"/>
      <w:marTop w:val="0"/>
      <w:marBottom w:val="0"/>
      <w:divBdr>
        <w:top w:val="none" w:sz="0" w:space="0" w:color="auto"/>
        <w:left w:val="none" w:sz="0" w:space="0" w:color="auto"/>
        <w:bottom w:val="none" w:sz="0" w:space="0" w:color="auto"/>
        <w:right w:val="none" w:sz="0" w:space="0" w:color="auto"/>
      </w:divBdr>
    </w:div>
    <w:div w:id="1820264259">
      <w:bodyDiv w:val="1"/>
      <w:marLeft w:val="0"/>
      <w:marRight w:val="0"/>
      <w:marTop w:val="0"/>
      <w:marBottom w:val="0"/>
      <w:divBdr>
        <w:top w:val="none" w:sz="0" w:space="0" w:color="auto"/>
        <w:left w:val="none" w:sz="0" w:space="0" w:color="auto"/>
        <w:bottom w:val="none" w:sz="0" w:space="0" w:color="auto"/>
        <w:right w:val="none" w:sz="0" w:space="0" w:color="auto"/>
      </w:divBdr>
    </w:div>
    <w:div w:id="1842235795">
      <w:bodyDiv w:val="1"/>
      <w:marLeft w:val="0"/>
      <w:marRight w:val="0"/>
      <w:marTop w:val="0"/>
      <w:marBottom w:val="0"/>
      <w:divBdr>
        <w:top w:val="none" w:sz="0" w:space="0" w:color="auto"/>
        <w:left w:val="none" w:sz="0" w:space="0" w:color="auto"/>
        <w:bottom w:val="none" w:sz="0" w:space="0" w:color="auto"/>
        <w:right w:val="none" w:sz="0" w:space="0" w:color="auto"/>
      </w:divBdr>
    </w:div>
    <w:div w:id="1842888281">
      <w:bodyDiv w:val="1"/>
      <w:marLeft w:val="0"/>
      <w:marRight w:val="0"/>
      <w:marTop w:val="0"/>
      <w:marBottom w:val="0"/>
      <w:divBdr>
        <w:top w:val="none" w:sz="0" w:space="0" w:color="auto"/>
        <w:left w:val="none" w:sz="0" w:space="0" w:color="auto"/>
        <w:bottom w:val="none" w:sz="0" w:space="0" w:color="auto"/>
        <w:right w:val="none" w:sz="0" w:space="0" w:color="auto"/>
      </w:divBdr>
    </w:div>
    <w:div w:id="1854875670">
      <w:bodyDiv w:val="1"/>
      <w:marLeft w:val="0"/>
      <w:marRight w:val="0"/>
      <w:marTop w:val="0"/>
      <w:marBottom w:val="0"/>
      <w:divBdr>
        <w:top w:val="none" w:sz="0" w:space="0" w:color="auto"/>
        <w:left w:val="none" w:sz="0" w:space="0" w:color="auto"/>
        <w:bottom w:val="none" w:sz="0" w:space="0" w:color="auto"/>
        <w:right w:val="none" w:sz="0" w:space="0" w:color="auto"/>
      </w:divBdr>
    </w:div>
    <w:div w:id="1899169991">
      <w:bodyDiv w:val="1"/>
      <w:marLeft w:val="0"/>
      <w:marRight w:val="0"/>
      <w:marTop w:val="0"/>
      <w:marBottom w:val="0"/>
      <w:divBdr>
        <w:top w:val="none" w:sz="0" w:space="0" w:color="auto"/>
        <w:left w:val="none" w:sz="0" w:space="0" w:color="auto"/>
        <w:bottom w:val="none" w:sz="0" w:space="0" w:color="auto"/>
        <w:right w:val="none" w:sz="0" w:space="0" w:color="auto"/>
      </w:divBdr>
    </w:div>
    <w:div w:id="1900705925">
      <w:bodyDiv w:val="1"/>
      <w:marLeft w:val="0"/>
      <w:marRight w:val="0"/>
      <w:marTop w:val="0"/>
      <w:marBottom w:val="0"/>
      <w:divBdr>
        <w:top w:val="none" w:sz="0" w:space="0" w:color="auto"/>
        <w:left w:val="none" w:sz="0" w:space="0" w:color="auto"/>
        <w:bottom w:val="none" w:sz="0" w:space="0" w:color="auto"/>
        <w:right w:val="none" w:sz="0" w:space="0" w:color="auto"/>
      </w:divBdr>
    </w:div>
    <w:div w:id="1913737752">
      <w:bodyDiv w:val="1"/>
      <w:marLeft w:val="0"/>
      <w:marRight w:val="0"/>
      <w:marTop w:val="0"/>
      <w:marBottom w:val="0"/>
      <w:divBdr>
        <w:top w:val="none" w:sz="0" w:space="0" w:color="auto"/>
        <w:left w:val="none" w:sz="0" w:space="0" w:color="auto"/>
        <w:bottom w:val="none" w:sz="0" w:space="0" w:color="auto"/>
        <w:right w:val="none" w:sz="0" w:space="0" w:color="auto"/>
      </w:divBdr>
    </w:div>
    <w:div w:id="1914775869">
      <w:bodyDiv w:val="1"/>
      <w:marLeft w:val="0"/>
      <w:marRight w:val="0"/>
      <w:marTop w:val="0"/>
      <w:marBottom w:val="0"/>
      <w:divBdr>
        <w:top w:val="none" w:sz="0" w:space="0" w:color="auto"/>
        <w:left w:val="none" w:sz="0" w:space="0" w:color="auto"/>
        <w:bottom w:val="none" w:sz="0" w:space="0" w:color="auto"/>
        <w:right w:val="none" w:sz="0" w:space="0" w:color="auto"/>
      </w:divBdr>
    </w:div>
    <w:div w:id="1951937274">
      <w:bodyDiv w:val="1"/>
      <w:marLeft w:val="0"/>
      <w:marRight w:val="0"/>
      <w:marTop w:val="0"/>
      <w:marBottom w:val="0"/>
      <w:divBdr>
        <w:top w:val="none" w:sz="0" w:space="0" w:color="auto"/>
        <w:left w:val="none" w:sz="0" w:space="0" w:color="auto"/>
        <w:bottom w:val="none" w:sz="0" w:space="0" w:color="auto"/>
        <w:right w:val="none" w:sz="0" w:space="0" w:color="auto"/>
      </w:divBdr>
    </w:div>
    <w:div w:id="1964539249">
      <w:bodyDiv w:val="1"/>
      <w:marLeft w:val="0"/>
      <w:marRight w:val="0"/>
      <w:marTop w:val="0"/>
      <w:marBottom w:val="0"/>
      <w:divBdr>
        <w:top w:val="none" w:sz="0" w:space="0" w:color="auto"/>
        <w:left w:val="none" w:sz="0" w:space="0" w:color="auto"/>
        <w:bottom w:val="none" w:sz="0" w:space="0" w:color="auto"/>
        <w:right w:val="none" w:sz="0" w:space="0" w:color="auto"/>
      </w:divBdr>
    </w:div>
    <w:div w:id="2011832778">
      <w:bodyDiv w:val="1"/>
      <w:marLeft w:val="0"/>
      <w:marRight w:val="0"/>
      <w:marTop w:val="0"/>
      <w:marBottom w:val="0"/>
      <w:divBdr>
        <w:top w:val="none" w:sz="0" w:space="0" w:color="auto"/>
        <w:left w:val="none" w:sz="0" w:space="0" w:color="auto"/>
        <w:bottom w:val="none" w:sz="0" w:space="0" w:color="auto"/>
        <w:right w:val="none" w:sz="0" w:space="0" w:color="auto"/>
      </w:divBdr>
    </w:div>
    <w:div w:id="2032292359">
      <w:bodyDiv w:val="1"/>
      <w:marLeft w:val="0"/>
      <w:marRight w:val="0"/>
      <w:marTop w:val="0"/>
      <w:marBottom w:val="0"/>
      <w:divBdr>
        <w:top w:val="none" w:sz="0" w:space="0" w:color="auto"/>
        <w:left w:val="none" w:sz="0" w:space="0" w:color="auto"/>
        <w:bottom w:val="none" w:sz="0" w:space="0" w:color="auto"/>
        <w:right w:val="none" w:sz="0" w:space="0" w:color="auto"/>
      </w:divBdr>
    </w:div>
    <w:div w:id="2039886478">
      <w:bodyDiv w:val="1"/>
      <w:marLeft w:val="0"/>
      <w:marRight w:val="0"/>
      <w:marTop w:val="0"/>
      <w:marBottom w:val="0"/>
      <w:divBdr>
        <w:top w:val="none" w:sz="0" w:space="0" w:color="auto"/>
        <w:left w:val="none" w:sz="0" w:space="0" w:color="auto"/>
        <w:bottom w:val="none" w:sz="0" w:space="0" w:color="auto"/>
        <w:right w:val="none" w:sz="0" w:space="0" w:color="auto"/>
      </w:divBdr>
    </w:div>
    <w:div w:id="2044205898">
      <w:bodyDiv w:val="1"/>
      <w:marLeft w:val="0"/>
      <w:marRight w:val="0"/>
      <w:marTop w:val="0"/>
      <w:marBottom w:val="0"/>
      <w:divBdr>
        <w:top w:val="none" w:sz="0" w:space="0" w:color="auto"/>
        <w:left w:val="none" w:sz="0" w:space="0" w:color="auto"/>
        <w:bottom w:val="none" w:sz="0" w:space="0" w:color="auto"/>
        <w:right w:val="none" w:sz="0" w:space="0" w:color="auto"/>
      </w:divBdr>
    </w:div>
    <w:div w:id="2068722747">
      <w:bodyDiv w:val="1"/>
      <w:marLeft w:val="0"/>
      <w:marRight w:val="0"/>
      <w:marTop w:val="0"/>
      <w:marBottom w:val="0"/>
      <w:divBdr>
        <w:top w:val="none" w:sz="0" w:space="0" w:color="auto"/>
        <w:left w:val="none" w:sz="0" w:space="0" w:color="auto"/>
        <w:bottom w:val="none" w:sz="0" w:space="0" w:color="auto"/>
        <w:right w:val="none" w:sz="0" w:space="0" w:color="auto"/>
      </w:divBdr>
    </w:div>
    <w:div w:id="2075541716">
      <w:bodyDiv w:val="1"/>
      <w:marLeft w:val="0"/>
      <w:marRight w:val="0"/>
      <w:marTop w:val="0"/>
      <w:marBottom w:val="0"/>
      <w:divBdr>
        <w:top w:val="none" w:sz="0" w:space="0" w:color="auto"/>
        <w:left w:val="none" w:sz="0" w:space="0" w:color="auto"/>
        <w:bottom w:val="none" w:sz="0" w:space="0" w:color="auto"/>
        <w:right w:val="none" w:sz="0" w:space="0" w:color="auto"/>
      </w:divBdr>
    </w:div>
    <w:div w:id="2088840444">
      <w:bodyDiv w:val="1"/>
      <w:marLeft w:val="0"/>
      <w:marRight w:val="0"/>
      <w:marTop w:val="0"/>
      <w:marBottom w:val="0"/>
      <w:divBdr>
        <w:top w:val="none" w:sz="0" w:space="0" w:color="auto"/>
        <w:left w:val="none" w:sz="0" w:space="0" w:color="auto"/>
        <w:bottom w:val="none" w:sz="0" w:space="0" w:color="auto"/>
        <w:right w:val="none" w:sz="0" w:space="0" w:color="auto"/>
      </w:divBdr>
      <w:divsChild>
        <w:div w:id="1250850729">
          <w:marLeft w:val="0"/>
          <w:marRight w:val="0"/>
          <w:marTop w:val="0"/>
          <w:marBottom w:val="0"/>
          <w:divBdr>
            <w:top w:val="none" w:sz="0" w:space="0" w:color="auto"/>
            <w:left w:val="none" w:sz="0" w:space="0" w:color="auto"/>
            <w:bottom w:val="none" w:sz="0" w:space="0" w:color="auto"/>
            <w:right w:val="none" w:sz="0" w:space="0" w:color="auto"/>
          </w:divBdr>
          <w:divsChild>
            <w:div w:id="1928683559">
              <w:marLeft w:val="0"/>
              <w:marRight w:val="0"/>
              <w:marTop w:val="0"/>
              <w:marBottom w:val="0"/>
              <w:divBdr>
                <w:top w:val="none" w:sz="0" w:space="0" w:color="auto"/>
                <w:left w:val="none" w:sz="0" w:space="0" w:color="auto"/>
                <w:bottom w:val="none" w:sz="0" w:space="0" w:color="auto"/>
                <w:right w:val="none" w:sz="0" w:space="0" w:color="auto"/>
              </w:divBdr>
              <w:divsChild>
                <w:div w:id="549659098">
                  <w:marLeft w:val="0"/>
                  <w:marRight w:val="0"/>
                  <w:marTop w:val="0"/>
                  <w:marBottom w:val="0"/>
                  <w:divBdr>
                    <w:top w:val="none" w:sz="0" w:space="0" w:color="auto"/>
                    <w:left w:val="none" w:sz="0" w:space="0" w:color="auto"/>
                    <w:bottom w:val="none" w:sz="0" w:space="0" w:color="auto"/>
                    <w:right w:val="none" w:sz="0" w:space="0" w:color="auto"/>
                  </w:divBdr>
                </w:div>
                <w:div w:id="678778308">
                  <w:marLeft w:val="0"/>
                  <w:marRight w:val="0"/>
                  <w:marTop w:val="0"/>
                  <w:marBottom w:val="0"/>
                  <w:divBdr>
                    <w:top w:val="none" w:sz="0" w:space="0" w:color="auto"/>
                    <w:left w:val="none" w:sz="0" w:space="0" w:color="auto"/>
                    <w:bottom w:val="none" w:sz="0" w:space="0" w:color="auto"/>
                    <w:right w:val="none" w:sz="0" w:space="0" w:color="auto"/>
                  </w:divBdr>
                  <w:divsChild>
                    <w:div w:id="969358615">
                      <w:marLeft w:val="0"/>
                      <w:marRight w:val="0"/>
                      <w:marTop w:val="0"/>
                      <w:marBottom w:val="0"/>
                      <w:divBdr>
                        <w:top w:val="none" w:sz="0" w:space="0" w:color="auto"/>
                        <w:left w:val="none" w:sz="0" w:space="0" w:color="auto"/>
                        <w:bottom w:val="none" w:sz="0" w:space="0" w:color="auto"/>
                        <w:right w:val="none" w:sz="0" w:space="0" w:color="auto"/>
                      </w:divBdr>
                      <w:divsChild>
                        <w:div w:id="125189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032842">
          <w:marLeft w:val="0"/>
          <w:marRight w:val="0"/>
          <w:marTop w:val="0"/>
          <w:marBottom w:val="0"/>
          <w:divBdr>
            <w:top w:val="none" w:sz="0" w:space="0" w:color="auto"/>
            <w:left w:val="none" w:sz="0" w:space="0" w:color="auto"/>
            <w:bottom w:val="single" w:sz="6" w:space="0" w:color="EAEAEA"/>
            <w:right w:val="none" w:sz="0" w:space="0" w:color="auto"/>
          </w:divBdr>
          <w:divsChild>
            <w:div w:id="97482315">
              <w:marLeft w:val="0"/>
              <w:marRight w:val="0"/>
              <w:marTop w:val="0"/>
              <w:marBottom w:val="0"/>
              <w:divBdr>
                <w:top w:val="none" w:sz="0" w:space="0" w:color="auto"/>
                <w:left w:val="none" w:sz="0" w:space="0" w:color="auto"/>
                <w:bottom w:val="none" w:sz="0" w:space="0" w:color="auto"/>
                <w:right w:val="none" w:sz="0" w:space="0" w:color="auto"/>
              </w:divBdr>
              <w:divsChild>
                <w:div w:id="1560676964">
                  <w:marLeft w:val="0"/>
                  <w:marRight w:val="0"/>
                  <w:marTop w:val="0"/>
                  <w:marBottom w:val="0"/>
                  <w:divBdr>
                    <w:top w:val="none" w:sz="0" w:space="0" w:color="auto"/>
                    <w:left w:val="none" w:sz="0" w:space="0" w:color="auto"/>
                    <w:bottom w:val="none" w:sz="0" w:space="0" w:color="auto"/>
                    <w:right w:val="none" w:sz="0" w:space="0" w:color="auto"/>
                  </w:divBdr>
                  <w:divsChild>
                    <w:div w:id="904409755">
                      <w:marLeft w:val="0"/>
                      <w:marRight w:val="0"/>
                      <w:marTop w:val="0"/>
                      <w:marBottom w:val="0"/>
                      <w:divBdr>
                        <w:top w:val="none" w:sz="0" w:space="0" w:color="auto"/>
                        <w:left w:val="none" w:sz="0" w:space="0" w:color="auto"/>
                        <w:bottom w:val="none" w:sz="0" w:space="0" w:color="auto"/>
                        <w:right w:val="none" w:sz="0" w:space="0" w:color="auto"/>
                      </w:divBdr>
                    </w:div>
                    <w:div w:id="224728188">
                      <w:marLeft w:val="0"/>
                      <w:marRight w:val="0"/>
                      <w:marTop w:val="0"/>
                      <w:marBottom w:val="0"/>
                      <w:divBdr>
                        <w:top w:val="none" w:sz="0" w:space="0" w:color="auto"/>
                        <w:left w:val="none" w:sz="0" w:space="0" w:color="auto"/>
                        <w:bottom w:val="none" w:sz="0" w:space="0" w:color="auto"/>
                        <w:right w:val="none" w:sz="0" w:space="0" w:color="auto"/>
                      </w:divBdr>
                    </w:div>
                  </w:divsChild>
                </w:div>
                <w:div w:id="1637485367">
                  <w:marLeft w:val="0"/>
                  <w:marRight w:val="0"/>
                  <w:marTop w:val="0"/>
                  <w:marBottom w:val="0"/>
                  <w:divBdr>
                    <w:top w:val="none" w:sz="0" w:space="0" w:color="auto"/>
                    <w:left w:val="none" w:sz="0" w:space="0" w:color="auto"/>
                    <w:bottom w:val="none" w:sz="0" w:space="0" w:color="auto"/>
                    <w:right w:val="none" w:sz="0" w:space="0" w:color="auto"/>
                  </w:divBdr>
                  <w:divsChild>
                    <w:div w:id="676687752">
                      <w:marLeft w:val="0"/>
                      <w:marRight w:val="0"/>
                      <w:marTop w:val="0"/>
                      <w:marBottom w:val="0"/>
                      <w:divBdr>
                        <w:top w:val="none" w:sz="0" w:space="0" w:color="auto"/>
                        <w:left w:val="none" w:sz="0" w:space="0" w:color="auto"/>
                        <w:bottom w:val="none" w:sz="0" w:space="0" w:color="auto"/>
                        <w:right w:val="none" w:sz="0" w:space="0" w:color="auto"/>
                      </w:divBdr>
                    </w:div>
                    <w:div w:id="1512908895">
                      <w:marLeft w:val="0"/>
                      <w:marRight w:val="0"/>
                      <w:marTop w:val="0"/>
                      <w:marBottom w:val="0"/>
                      <w:divBdr>
                        <w:top w:val="none" w:sz="0" w:space="0" w:color="auto"/>
                        <w:left w:val="none" w:sz="0" w:space="0" w:color="auto"/>
                        <w:bottom w:val="none" w:sz="0" w:space="0" w:color="auto"/>
                        <w:right w:val="none" w:sz="0" w:space="0" w:color="auto"/>
                      </w:divBdr>
                    </w:div>
                  </w:divsChild>
                </w:div>
                <w:div w:id="809979396">
                  <w:marLeft w:val="0"/>
                  <w:marRight w:val="0"/>
                  <w:marTop w:val="0"/>
                  <w:marBottom w:val="0"/>
                  <w:divBdr>
                    <w:top w:val="none" w:sz="0" w:space="0" w:color="auto"/>
                    <w:left w:val="none" w:sz="0" w:space="0" w:color="auto"/>
                    <w:bottom w:val="none" w:sz="0" w:space="0" w:color="auto"/>
                    <w:right w:val="none" w:sz="0" w:space="0" w:color="auto"/>
                  </w:divBdr>
                  <w:divsChild>
                    <w:div w:id="2792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018516">
      <w:bodyDiv w:val="1"/>
      <w:marLeft w:val="0"/>
      <w:marRight w:val="0"/>
      <w:marTop w:val="0"/>
      <w:marBottom w:val="0"/>
      <w:divBdr>
        <w:top w:val="none" w:sz="0" w:space="0" w:color="auto"/>
        <w:left w:val="none" w:sz="0" w:space="0" w:color="auto"/>
        <w:bottom w:val="none" w:sz="0" w:space="0" w:color="auto"/>
        <w:right w:val="none" w:sz="0" w:space="0" w:color="auto"/>
      </w:divBdr>
    </w:div>
    <w:div w:id="2102021587">
      <w:bodyDiv w:val="1"/>
      <w:marLeft w:val="0"/>
      <w:marRight w:val="0"/>
      <w:marTop w:val="0"/>
      <w:marBottom w:val="0"/>
      <w:divBdr>
        <w:top w:val="none" w:sz="0" w:space="0" w:color="auto"/>
        <w:left w:val="none" w:sz="0" w:space="0" w:color="auto"/>
        <w:bottom w:val="none" w:sz="0" w:space="0" w:color="auto"/>
        <w:right w:val="none" w:sz="0" w:space="0" w:color="auto"/>
      </w:divBdr>
    </w:div>
    <w:div w:id="2128349065">
      <w:bodyDiv w:val="1"/>
      <w:marLeft w:val="0"/>
      <w:marRight w:val="0"/>
      <w:marTop w:val="0"/>
      <w:marBottom w:val="0"/>
      <w:divBdr>
        <w:top w:val="none" w:sz="0" w:space="0" w:color="auto"/>
        <w:left w:val="none" w:sz="0" w:space="0" w:color="auto"/>
        <w:bottom w:val="none" w:sz="0" w:space="0" w:color="auto"/>
        <w:right w:val="none" w:sz="0" w:space="0" w:color="auto"/>
      </w:divBdr>
    </w:div>
    <w:div w:id="2142116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cid:4eff6f0f-b6c6-4767-b44d-4a8dbf1fff90@GBRP123.PROD.OUTLOOK.COM" TargetMode="External"/><Relationship Id="rId26" Type="http://schemas.openxmlformats.org/officeDocument/2006/relationships/image" Target="cid:cefefb58-08a1-4486-a5f1-9c2a119bf0f7@GBRP123.PROD.OUTLOOK.COM" TargetMode="External"/><Relationship Id="rId39" Type="http://schemas.openxmlformats.org/officeDocument/2006/relationships/image" Target="media/image16.jpeg"/><Relationship Id="rId21" Type="http://schemas.openxmlformats.org/officeDocument/2006/relationships/image" Target="media/image7.jpeg"/><Relationship Id="rId34" Type="http://schemas.openxmlformats.org/officeDocument/2006/relationships/image" Target="cid:41de199a-4cb7-427d-94c8-8bed66ffc576@GBRP123.PROD.OUTLOOK.COM"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cid:c0e3b88a-5174-4dbb-884b-4384d4d1e173@GBRP123.PROD.OUTLOOK.COM" TargetMode="External"/><Relationship Id="rId20" Type="http://schemas.openxmlformats.org/officeDocument/2006/relationships/image" Target="cid:14093c78-1f56-4d8b-8848-2f60650f9e59@GBRP123.PROD.OUTLOOK.COM" TargetMode="External"/><Relationship Id="rId29" Type="http://schemas.openxmlformats.org/officeDocument/2006/relationships/image" Target="media/image11.jpe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cid:c4d58767-7790-451c-9002-f66332ca70c4@GBRP123.PROD.OUTLOOK.COM" TargetMode="External"/><Relationship Id="rId32" Type="http://schemas.openxmlformats.org/officeDocument/2006/relationships/image" Target="cid:a76cf351-caea-481c-803e-896cc094d4c0@GBRP123.PROD.OUTLOOK.COM" TargetMode="External"/><Relationship Id="rId37" Type="http://schemas.openxmlformats.org/officeDocument/2006/relationships/image" Target="media/image15.jpeg"/><Relationship Id="rId40" Type="http://schemas.openxmlformats.org/officeDocument/2006/relationships/image" Target="cid:5f1b0ad5-d596-4dc5-a472-42d14fb0ec93@GBRP123.PROD.OUTLOOK.COM"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8.jpeg"/><Relationship Id="rId28" Type="http://schemas.openxmlformats.org/officeDocument/2006/relationships/image" Target="cid:f3c5d1cc-39da-4531-b5f6-f650f2119cbf@GBRP123.PROD.OUTLOOK.COM" TargetMode="External"/><Relationship Id="rId36" Type="http://schemas.openxmlformats.org/officeDocument/2006/relationships/image" Target="cid:b00cc653-a505-4630-a5c7-b1a1215aa1ae@GBRP123.PROD.OUTLOOK.COM" TargetMode="External"/><Relationship Id="rId10" Type="http://schemas.openxmlformats.org/officeDocument/2006/relationships/endnotes" Target="endnotes.xml"/><Relationship Id="rId19" Type="http://schemas.openxmlformats.org/officeDocument/2006/relationships/image" Target="media/image6.jpeg"/><Relationship Id="rId31" Type="http://schemas.openxmlformats.org/officeDocument/2006/relationships/image" Target="media/image12.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5865c4d5-c9ec-4578-a40f-afb34f6aaafb@GBRP123.PROD.OUTLOOK.COM" TargetMode="External"/><Relationship Id="rId22" Type="http://schemas.openxmlformats.org/officeDocument/2006/relationships/image" Target="cid:8377d5d1-0d13-45f5-b00e-8897fd6eac86@GBRP123.PROD.OUTLOOK.COM" TargetMode="External"/><Relationship Id="rId27" Type="http://schemas.openxmlformats.org/officeDocument/2006/relationships/image" Target="media/image10.jpeg"/><Relationship Id="rId30" Type="http://schemas.openxmlformats.org/officeDocument/2006/relationships/image" Target="cid:c96b8016-fba8-4cd5-b69a-de691561c48c@GBRP123.PROD.OUTLOOK.COM" TargetMode="External"/><Relationship Id="rId35" Type="http://schemas.openxmlformats.org/officeDocument/2006/relationships/image" Target="media/image14.jpe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jpeg"/><Relationship Id="rId25" Type="http://schemas.openxmlformats.org/officeDocument/2006/relationships/image" Target="media/image9.jpeg"/><Relationship Id="rId33" Type="http://schemas.openxmlformats.org/officeDocument/2006/relationships/image" Target="media/image13.jpeg"/><Relationship Id="rId38" Type="http://schemas.openxmlformats.org/officeDocument/2006/relationships/image" Target="cid:6163648a-987a-4dfa-9f5e-80016a19233c@GBRP123.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47280c6-48ae-453d-ba8a-a286d83e7930"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Cou23</b:Tag>
    <b:SourceType>InternetSite</b:SourceType>
    <b:Guid>{018BDD84-A565-4846-B74F-4BBAFC1101E4}</b:Guid>
    <b:Author>
      <b:Author>
        <b:Corporate>Counter Terrorism Policing</b:Corporate>
      </b:Author>
    </b:Author>
    <b:Title>Schedule 7</b:Title>
    <b:Year>2023</b:Year>
    <b:YearAccessed>2024</b:YearAccessed>
    <b:MonthAccessed>May</b:MonthAccessed>
    <b:DayAccessed>30</b:DayAccessed>
    <b:URL>https://www.counterterrorism.police.uk/what-we-do/protect/schedule-7/</b:URL>
    <b:RefOrder>8</b:RefOrder>
  </b:Source>
  <b:Source>
    <b:Tag>HMG23</b:Tag>
    <b:SourceType>InternetSite</b:SourceType>
    <b:Guid>{5AB932ED-BC03-43AE-9955-76D899225B10}</b:Guid>
    <b:Author>
      <b:Author>
        <b:Corporate>HM Government</b:Corporate>
      </b:Author>
    </b:Author>
    <b:Title>CONTEST The United Kingdom's Strategy for Countering Terrorism</b:Title>
    <b:Year>2023</b:Year>
    <b:YearAccessed>2024</b:YearAccessed>
    <b:MonthAccessed>May</b:MonthAccessed>
    <b:DayAccessed>30th</b:DayAccessed>
    <b:URL>https://assets.publishing.service.gov.uk/government/uploads/system/uploads/attachment_data/file/1186413/CONTEST_2023_English_updated.pdf</b:URL>
    <b:RefOrder>7</b:RefOrder>
  </b:Source>
  <b:Source>
    <b:Tag>Sto14</b:Tag>
    <b:SourceType>InternetSite</b:SourceType>
    <b:Guid>{D23CEADF-5C47-4AD6-ABDE-513045DCFAC4}</b:Guid>
    <b:Author>
      <b:Author>
        <b:Corporate>Stopwatch</b:Corporate>
      </b:Author>
    </b:Author>
    <b:Title>Stopwatch</b:Title>
    <b:Year>2014</b:Year>
    <b:YearAccessed>2024</b:YearAccessed>
    <b:MonthAccessed>May</b:MonthAccessed>
    <b:DayAccessed>30</b:DayAccessed>
    <b:URL>https://www.statewatch.org/media/documents/news/2015/aug/uk-schedule-7-stopwatch-factsheet.pdf</b:URL>
    <b:RefOrder>9</b:RefOrder>
  </b:Source>
  <b:Source>
    <b:Tag>Loa07</b:Tag>
    <b:SourceType>BookSection</b:SourceType>
    <b:Guid>{0A6B84BF-EB19-4064-964E-72E59C70B152}</b:Guid>
    <b:Title>The cultural lives of security and rights</b:Title>
    <b:Year>2007</b:Year>
    <b:Author>
      <b:Author>
        <b:NameList>
          <b:Person>
            <b:Last>Loader</b:Last>
            <b:First>I</b:First>
          </b:Person>
        </b:NameList>
      </b:Author>
      <b:Editor>
        <b:NameList>
          <b:Person>
            <b:Last>Goold</b:Last>
            <b:First>B</b:First>
            <b:Middle>Lazarus, L</b:Middle>
          </b:Person>
        </b:NameList>
      </b:Editor>
    </b:Author>
    <b:City>Oxford</b:City>
    <b:Publisher>Hart Publishing</b:Publisher>
    <b:BookTitle>Security and Human Rights</b:BookTitle>
    <b:RefOrder>10</b:RefOrder>
  </b:Source>
  <b:Source>
    <b:Tag>Par19</b:Tag>
    <b:SourceType>Book</b:SourceType>
    <b:Guid>{86B23849-934F-41C7-A829-56013B09BAFC}</b:Guid>
    <b:Title>Avoiding the Terrorist Trap: Why Respect for Human Rights is the Key to Defeating Terrorism</b:Title>
    <b:Year>2019</b:Year>
    <b:City>London</b:City>
    <b:Publisher>World Scientific Europe</b:Publisher>
    <b:Author>
      <b:Author>
        <b:NameList>
          <b:Person>
            <b:Last>Parker</b:Last>
          </b:Person>
        </b:NameList>
      </b:Author>
    </b:Author>
    <b:RefOrder>64</b:RefOrder>
  </b:Source>
  <b:Source>
    <b:Tag>Ram11</b:Tag>
    <b:SourceType>Book</b:SourceType>
    <b:Guid>{0CA1212E-0E6A-4140-9220-F3DC1FE7B18A}</b:Guid>
    <b:Author>
      <b:Author>
        <b:NameList>
          <b:Person>
            <b:Last>Ramraj</b:Last>
            <b:First>Hor,</b:First>
            <b:Middle>Roach, Williams</b:Middle>
          </b:Person>
        </b:NameList>
      </b:Author>
    </b:Author>
    <b:Title>Gloabal anti-terrorism law and policy</b:Title>
    <b:Year>2011</b:Year>
    <b:City>Cambridge</b:City>
    <b:Publisher>CUP</b:Publisher>
    <b:Edition>2</b:Edition>
    <b:RefOrder>4</b:RefOrder>
  </b:Source>
  <b:Source>
    <b:Tag>deM20</b:Tag>
    <b:SourceType>JournalArticle</b:SourceType>
    <b:Guid>{9959CE87-DA77-4DF8-98E7-46CCFAC282FB}</b:Guid>
    <b:Title>With or Without EU? The Common Travel Area after Brexit</b:Title>
    <b:Year>2020</b:Year>
    <b:Author>
      <b:Author>
        <b:NameList>
          <b:Person>
            <b:Last>de Mars</b:Last>
            <b:First>Murray</b:First>
          </b:Person>
        </b:NameList>
      </b:Author>
    </b:Author>
    <b:JournalName>German law Journal</b:JournalName>
    <b:Pages>815-837</b:Pages>
    <b:Volume>21</b:Volume>
    <b:Issue>5</b:Issue>
    <b:RefOrder>12</b:RefOrder>
  </b:Source>
  <b:Source>
    <b:Tag>Bur20</b:Tag>
    <b:SourceType>InternetSite</b:SourceType>
    <b:Guid>{C194CB20-9634-4045-8526-784AC589E2C3}</b:Guid>
    <b:Title>Securing the Common Travel Area in 2021</b:Title>
    <b:Year>2020</b:Year>
    <b:Author>
      <b:Author>
        <b:NameList>
          <b:Person>
            <b:Last>Burke</b:Last>
          </b:Person>
        </b:NameList>
      </b:Author>
    </b:Author>
    <b:YearAccessed>2024</b:YearAccessed>
    <b:MonthAccessed>May</b:MonthAccessed>
    <b:DayAccessed>30</b:DayAccessed>
    <b:URL>https://www.azureforum.org/securing-the-common-travel-area-in-2021/</b:URL>
    <b:RefOrder>13</b:RefOrder>
  </b:Source>
  <b:Source>
    <b:Tag>Ter00</b:Tag>
    <b:SourceType>InternetSite</b:SourceType>
    <b:Guid>{99696B9E-C2EB-47BD-9DC7-E0D0D0061BB3}</b:Guid>
    <b:Author>
      <b:Author>
        <b:Corporate>Terrorism Act</b:Corporate>
      </b:Author>
    </b:Author>
    <b:Title>Terrorism Act</b:Title>
    <b:Year>2000</b:Year>
    <b:YearAccessed>2024</b:YearAccessed>
    <b:MonthAccessed>May</b:MonthAccessed>
    <b:DayAccessed>30</b:DayAccessed>
    <b:URL>https://www.legislation.gov.uk/ukpga/2000/11/section/1</b:URL>
    <b:RefOrder>1</b:RefOrder>
  </b:Source>
  <b:Source>
    <b:Tag>Big21</b:Tag>
    <b:SourceType>Book</b:SourceType>
    <b:Guid>{09AD6C97-4183-492F-A4D3-61A277E8F316}</b:Guid>
    <b:Title>Succeeding with your Masters Dissertatoin</b:Title>
    <b:Year>2021</b:Year>
    <b:Author>
      <b:Author>
        <b:NameList>
          <b:Person>
            <b:Last>Biggam</b:Last>
          </b:Person>
        </b:NameList>
      </b:Author>
    </b:Author>
    <b:City>London</b:City>
    <b:Publisher>OUP</b:Publisher>
    <b:Edition>5</b:Edition>
    <b:RefOrder>65</b:RefOrder>
  </b:Source>
  <b:Source>
    <b:Tag>Lak00</b:Tag>
    <b:SourceType>JournalArticle</b:SourceType>
    <b:Guid>{CFE56E0C-E1ED-414A-AE4C-CE7BFF319660}</b:Guid>
    <b:Author>
      <b:Author>
        <b:NameList>
          <b:Person>
            <b:Last>Lakshman</b:Last>
            <b:First>Sinha,</b:First>
            <b:Middle>Biswas</b:Middle>
          </b:Person>
        </b:NameList>
      </b:Author>
    </b:Author>
    <b:Title>Quantitative vs Qualitative Research Methods</b:Title>
    <b:JournalName>Indian Journal of Paediatrics</b:JournalName>
    <b:Year>2000</b:Year>
    <b:Pages>369-377</b:Pages>
    <b:Volume>67</b:Volume>
    <b:RefOrder>66</b:RefOrder>
  </b:Source>
  <b:Source>
    <b:Tag>Rin08</b:Tag>
    <b:SourceType>JournalArticle</b:SourceType>
    <b:Guid>{C8C041F1-7025-4193-A2B1-CC5199AD03DD}</b:Guid>
    <b:Author>
      <b:Author>
        <b:NameList>
          <b:Person>
            <b:Last>Rindfleisch</b:Last>
            <b:First>Malter,</b:First>
            <b:Middle>Ganesan, Moorman</b:Middle>
          </b:Person>
        </b:NameList>
      </b:Author>
    </b:Author>
    <b:Title>Cross Sectional versus Longitudinal Survey Research: Concepts, findings and guidelines</b:Title>
    <b:JournalName>Journal of Marketing Research</b:JournalName>
    <b:Year>2008</b:Year>
    <b:Pages>261-279</b:Pages>
    <b:Volume>45</b:Volume>
    <b:Issue>3</b:Issue>
    <b:RefOrder>15</b:RefOrder>
  </b:Source>
  <b:Source>
    <b:Tag>For15</b:Tag>
    <b:SourceType>JournalArticle</b:SourceType>
    <b:Guid>{3EEBC15E-42B9-4154-B51C-0226A00B9F8B}</b:Guid>
    <b:Author>
      <b:Author>
        <b:NameList>
          <b:Person>
            <b:Last>Fortna</b:Last>
          </b:Person>
        </b:NameList>
      </b:Author>
    </b:Author>
    <b:Title>Do Terrorists Win? Rebels Use of Terrorism and Civil War Outcomes</b:Title>
    <b:JournalName>International Organization</b:JournalName>
    <b:Year>2015</b:Year>
    <b:Pages>519-556</b:Pages>
    <b:Volume>69</b:Volume>
    <b:Issue>3</b:Issue>
    <b:RefOrder>2</b:RefOrder>
  </b:Source>
  <b:Source>
    <b:Tag>For19</b:Tag>
    <b:SourceType>JournalArticle</b:SourceType>
    <b:Guid>{E66F2242-EE99-46BA-8827-A3BCF9A3CD9D}</b:Guid>
    <b:Author>
      <b:Author>
        <b:NameList>
          <b:Person>
            <b:Last>Forrester</b:Last>
            <b:First>Powell,</b:First>
            <b:Middle>Nowrasteh, Landgrave</b:Middle>
          </b:Person>
        </b:NameList>
      </b:Author>
    </b:Author>
    <b:Title>Do immigrants import terrorism</b:Title>
    <b:JournalName>Journal of Economic Behaviour &amp; Organization</b:JournalName>
    <b:Year>2019</b:Year>
    <b:Pages>529-543</b:Pages>
    <b:Volume>166</b:Volume>
    <b:RefOrder>3</b:RefOrder>
  </b:Source>
  <b:Source>
    <b:Tag>DRe15</b:Tag>
    <b:SourceType>InternetSite</b:SourceType>
    <b:Guid>{6FF6DBFA-6DCA-435F-95F5-181A4137D306}</b:Guid>
    <b:Title>What is Ethics in research &amp; Why is it Important</b:Title>
    <b:Year>2015</b:Year>
    <b:Author>
      <b:Author>
        <b:NameList>
          <b:Person>
            <b:Last>Resnik</b:Last>
          </b:Person>
        </b:NameList>
      </b:Author>
    </b:Author>
    <b:YearAccessed>2024</b:YearAccessed>
    <b:MonthAccessed>June</b:MonthAccessed>
    <b:DayAccessed>2nd</b:DayAccessed>
    <b:URL>https://www.niehs.nih.gov/research/resources/bioethics/whatis/</b:URL>
    <b:RefOrder>67</b:RefOrder>
  </b:Source>
  <b:Source>
    <b:Tag>Bea19</b:Tag>
    <b:SourceType>JournalArticle</b:SourceType>
    <b:Guid>{407E7B44-7904-4591-AA28-5F383F14E0EE}</b:Guid>
    <b:Title>Principles of Biomedical Ethics: Marking its Foortieth Anniversary</b:Title>
    <b:Year>2019</b:Year>
    <b:Author>
      <b:Author>
        <b:NameList>
          <b:Person>
            <b:Last>Beauchamp T</b:Last>
            <b:First>Childress</b:First>
            <b:Middle>J.</b:Middle>
          </b:Person>
        </b:NameList>
      </b:Author>
    </b:Author>
    <b:JournalName>The American Journal of Bioethics</b:JournalName>
    <b:Pages>9-12</b:Pages>
    <b:Volume>19</b:Volume>
    <b:Issue>11</b:Issue>
    <b:RefOrder>68</b:RefOrder>
  </b:Source>
  <b:Source>
    <b:Tag>Law16</b:Tag>
    <b:SourceType>Book</b:SourceType>
    <b:Guid>{86F4040D-796C-4FD5-BF24-E2A645649EE5}</b:Guid>
    <b:Title>Terrorism: A History</b:Title>
    <b:Year>2016</b:Year>
    <b:Author>
      <b:Author>
        <b:NameList>
          <b:Person>
            <b:Last>Law</b:Last>
          </b:Person>
        </b:NameList>
      </b:Author>
    </b:Author>
    <b:City>Cambridge</b:City>
    <b:Publisher>Polity Press</b:Publisher>
    <b:Edition>1</b:Edition>
    <b:RefOrder>5</b:RefOrder>
  </b:Source>
  <b:Source>
    <b:Tag>Cre11</b:Tag>
    <b:SourceType>Book</b:SourceType>
    <b:Guid>{475179FD-3139-4131-9742-49721BC44534}</b:Guid>
    <b:Author>
      <b:Author>
        <b:NameList>
          <b:Person>
            <b:Last>Crenshaw</b:Last>
            <b:First>M.</b:First>
          </b:Person>
        </b:NameList>
      </b:Author>
    </b:Author>
    <b:Title>Explaining terrorism: causes, processes and consequences</b:Title>
    <b:Year>2011</b:Year>
    <b:City>Oxford</b:City>
    <b:Publisher>Routledge</b:Publisher>
    <b:Edition>1</b:Edition>
    <b:RefOrder>69</b:RefOrder>
  </b:Source>
  <b:Source>
    <b:Tag>Fen11</b:Tag>
    <b:SourceType>JournalArticle</b:SourceType>
    <b:Guid>{56359467-4DB3-4927-9ACF-A1A321AB4210}</b:Guid>
    <b:Author>
      <b:Author>
        <b:NameList>
          <b:Person>
            <b:Last>Fenwick</b:Last>
            <b:First>H</b:First>
            <b:Middle>&amp; Mead, D.</b:Middle>
          </b:Person>
        </b:NameList>
      </b:Author>
    </b:Author>
    <b:Title>Schedule 7 of the Terrorism Act 2000: A case study in human rights exceptionalism?</b:Title>
    <b:Year>2011</b:Year>
    <b:JournalName>Human Rights Law Review</b:JournalName>
    <b:Pages>495-527</b:Pages>
    <b:Volume>11</b:Volume>
    <b:Issue>3</b:Issue>
    <b:RefOrder>6</b:RefOrder>
  </b:Source>
  <b:Source>
    <b:Tag>Sot11</b:Tag>
    <b:SourceType>Book</b:SourceType>
    <b:Guid>{C8BFEA9C-F8E7-43B8-8E08-17F019F1E007}</b:Guid>
    <b:Title>Terrorism and the Limitations of Rights</b:Title>
    <b:Year>2011</b:Year>
    <b:Author>
      <b:Author>
        <b:NameList>
          <b:Person>
            <b:Last>Sottiaux</b:Last>
          </b:Person>
        </b:NameList>
      </b:Author>
    </b:Author>
    <b:City>Oxford</b:City>
    <b:Publisher>Hart Publishing </b:Publisher>
    <b:Edition>1</b:Edition>
    <b:RefOrder>70</b:RefOrder>
  </b:Source>
  <b:Source>
    <b:Tag>Hom23</b:Tag>
    <b:SourceType>Report</b:SourceType>
    <b:Guid>{F3F38F7B-330F-4532-B376-EB97C4E8B027}</b:Guid>
    <b:Title>Suitability: Admissibility to the Common Travel Area or other countries</b:Title>
    <b:Year>2023</b:Year>
    <b:Author>
      <b:Author>
        <b:Corporate>Home Office</b:Corporate>
      </b:Author>
    </b:Author>
    <b:YearAccessed>2024</b:YearAccessed>
    <b:MonthAccessed>April</b:MonthAccessed>
    <b:DayAccessed>22</b:DayAccessed>
    <b:URL>https://assets.publishing.service.gov.uk/media/64788729ff7bb7000c7fa323/Suitability_Admissibility_CTA_or_Other_-Countries.pdf</b:URL>
    <b:RefOrder>11</b:RefOrder>
  </b:Source>
  <b:Source>
    <b:Tag>Reu24</b:Tag>
    <b:SourceType>InternetSite</b:SourceType>
    <b:Guid>{65782A80-87A0-4D3F-B8A7-984B49B1930E}</b:Guid>
    <b:Title>Ireland says UK's Rwanda policy drives migrants over it's border</b:Title>
    <b:Year>2024</b:Year>
    <b:Author>
      <b:Author>
        <b:Corporate>Reuters</b:Corporate>
      </b:Author>
    </b:Author>
    <b:YearAccessed>2024</b:YearAccessed>
    <b:MonthAccessed>June</b:MonthAccessed>
    <b:DayAccessed>10</b:DayAccessed>
    <b:URL>https://www.reuters.com/world/ireland-says-uks-rwanda-policy-drives-migrants-over-its-border-2024-04-26</b:URL>
    <b:RefOrder>14</b:RefOrder>
  </b:Source>
  <b:Source>
    <b:Tag>Sau07</b:Tag>
    <b:SourceType>Book</b:SourceType>
    <b:Guid>{D10FBE28-B0DB-4E8F-98F7-34AA8DFDE142}</b:Guid>
    <b:Title>Research Methods for Business Students</b:Title>
    <b:Year>2007</b:Year>
    <b:Author>
      <b:Author>
        <b:NameList>
          <b:Person>
            <b:Last>Saunders</b:Last>
            <b:First>M.</b:First>
            <b:Middle>Lewis, P. Thornhill, A.</b:Middle>
          </b:Person>
        </b:NameList>
      </b:Author>
    </b:Author>
    <b:City>Harlow</b:City>
    <b:Publisher>Pearson Education</b:Publisher>
    <b:Edition>4</b:Edition>
    <b:RefOrder>25</b:RefOrder>
  </b:Source>
  <b:Source>
    <b:Tag>Boo16</b:Tag>
    <b:SourceType>Book</b:SourceType>
    <b:Guid>{09F7EEC4-AC54-409A-9F46-49A213519912}</b:Guid>
    <b:Author>
      <b:Author>
        <b:NameList>
          <b:Person>
            <b:Last>Booth</b:Last>
            <b:First>W.</b:First>
          </b:Person>
        </b:NameList>
      </b:Author>
    </b:Author>
    <b:Title>The Craft of research</b:Title>
    <b:Year>2016</b:Year>
    <b:City>Chicago</b:City>
    <b:Publisher>University of Chicago Press</b:Publisher>
    <b:Edition>3</b:Edition>
    <b:RefOrder>26</b:RefOrder>
  </b:Source>
  <b:Source>
    <b:Tag>Cre09</b:Tag>
    <b:SourceType>Book</b:SourceType>
    <b:Guid>{76A4B457-DEBB-40BB-9FEF-757F460EBDF9}</b:Guid>
    <b:Author>
      <b:Author>
        <b:NameList>
          <b:Person>
            <b:Last>Creswell</b:Last>
            <b:First>J.</b:First>
            <b:Middle>&amp; Creswell, D.</b:Middle>
          </b:Person>
        </b:NameList>
      </b:Author>
    </b:Author>
    <b:Title>Research Design: Qualitattive, Quantitative and Mixed Methods Approaches</b:Title>
    <b:Year>2009</b:Year>
    <b:City>London</b:City>
    <b:Publisher>SAGE</b:Publisher>
    <b:Edition>1</b:Edition>
    <b:RefOrder>27</b:RefOrder>
  </b:Source>
  <b:Source>
    <b:Tag>Bab17</b:Tag>
    <b:SourceType>Book</b:SourceType>
    <b:Guid>{CA9693C4-59D7-46D1-B7A0-87AF43F5B72A}</b:Guid>
    <b:Author>
      <b:Author>
        <b:NameList>
          <b:Person>
            <b:Last>Babbie</b:Last>
            <b:First>E.</b:First>
          </b:Person>
        </b:NameList>
      </b:Author>
    </b:Author>
    <b:Title>The basics of social research</b:Title>
    <b:Year>2017</b:Year>
    <b:City>California</b:City>
    <b:Publisher>Cengage Learning</b:Publisher>
    <b:Edition>7</b:Edition>
    <b:RefOrder>28</b:RefOrder>
  </b:Source>
  <b:Source>
    <b:Tag>Den11</b:Tag>
    <b:SourceType>Book</b:SourceType>
    <b:Guid>{83175A29-E950-4E51-AC85-A3CCDBC44BE8}</b:Guid>
    <b:Author>
      <b:Author>
        <b:NameList>
          <b:Person>
            <b:Last>Denzin</b:Last>
            <b:First>N.</b:First>
            <b:Middle>&amp; Lincoln, Y.</b:Middle>
          </b:Person>
        </b:NameList>
      </b:Author>
    </b:Author>
    <b:Title>The Sage handbook of qualitative research</b:Title>
    <b:Year>2011</b:Year>
    <b:City>London</b:City>
    <b:Publisher>SAGE</b:Publisher>
    <b:Edition>4</b:Edition>
    <b:RefOrder>29</b:RefOrder>
  </b:Source>
  <b:Source>
    <b:Tag>Bry16</b:Tag>
    <b:SourceType>Book</b:SourceType>
    <b:Guid>{6790FDAF-4EBD-4C01-8EE5-D9EE77FA2415}</b:Guid>
    <b:Author>
      <b:Author>
        <b:NameList>
          <b:Person>
            <b:Last>Bryman</b:Last>
            <b:First>A.</b:First>
          </b:Person>
        </b:NameList>
      </b:Author>
    </b:Author>
    <b:Title>Socail Research Methods</b:Title>
    <b:Year>2016</b:Year>
    <b:City>Oxford</b:City>
    <b:Publisher>Oxford University Press</b:Publisher>
    <b:Edition>5</b:Edition>
    <b:RefOrder>30</b:RefOrder>
  </b:Source>
  <b:Source>
    <b:Tag>God07</b:Tag>
    <b:SourceType>Book</b:SourceType>
    <b:Guid>{C9CBB19A-C80B-44E4-8B75-33F0CFBEC4AF}</b:Guid>
    <b:Author>
      <b:Author>
        <b:NameList>
          <b:Person>
            <b:Last>Goddard</b:Last>
            <b:First>W.</b:First>
            <b:Middle>&amp; Melville, S.</b:Middle>
          </b:Person>
        </b:NameList>
      </b:Author>
    </b:Author>
    <b:Title>Research Methodology: An introduction</b:Title>
    <b:Year>2007</b:Year>
    <b:City>Lansdowne</b:City>
    <b:Publisher>Juta</b:Publisher>
    <b:Edition>5</b:Edition>
    <b:RefOrder>31</b:RefOrder>
  </b:Source>
  <b:Source>
    <b:Tag>Max12</b:Tag>
    <b:SourceType>Book</b:SourceType>
    <b:Guid>{ABB7E96E-DAB7-4DC4-AD93-9BA1A0DD2CF3}</b:Guid>
    <b:Author>
      <b:Author>
        <b:NameList>
          <b:Person>
            <b:Last>Maxwell</b:Last>
            <b:First>J.</b:First>
          </b:Person>
        </b:NameList>
      </b:Author>
    </b:Author>
    <b:Title>Qualitative Research Design: An Interactive Approach</b:Title>
    <b:Year>2012</b:Year>
    <b:City>Oxford</b:City>
    <b:Publisher>Sage</b:Publisher>
    <b:Edition>3</b:Edition>
    <b:RefOrder>32</b:RefOrder>
  </b:Source>
  <b:Source>
    <b:Tag>Byr16</b:Tag>
    <b:SourceType>Book</b:SourceType>
    <b:Guid>{2604CB30-FA0A-46A8-A531-4B55E33E7E83}</b:Guid>
    <b:Author>
      <b:Author>
        <b:NameList>
          <b:Person>
            <b:Last>Byrne</b:Last>
            <b:First>D.</b:First>
          </b:Person>
        </b:NameList>
      </b:Author>
    </b:Author>
    <b:Title>Social Research Methods</b:Title>
    <b:Year>2016</b:Year>
    <b:City>Oxford</b:City>
    <b:Publisher>Oxford University Press</b:Publisher>
    <b:Edition>3</b:Edition>
    <b:RefOrder>33</b:RefOrder>
  </b:Source>
  <b:Source>
    <b:Tag>Cre07</b:Tag>
    <b:SourceType>Book</b:SourceType>
    <b:Guid>{C7F72D50-D677-41C2-9782-DC6747A5928E}</b:Guid>
    <b:Author>
      <b:Author>
        <b:NameList>
          <b:Person>
            <b:Last>Creswell</b:Last>
            <b:First>J</b:First>
          </b:Person>
        </b:NameList>
      </b:Author>
    </b:Author>
    <b:Title>Qualitative Inquiry and Research Design: Choosing Among Five Approaches</b:Title>
    <b:Year>2007</b:Year>
    <b:City>London</b:City>
    <b:Publisher>SAGE</b:Publisher>
    <b:Edition>1</b:Edition>
    <b:RefOrder>34</b:RefOrder>
  </b:Source>
  <b:Source>
    <b:Tag>Mer09</b:Tag>
    <b:SourceType>Book</b:SourceType>
    <b:Guid>{DD7E413F-8EDA-4CA2-B96C-57941CFB8386}</b:Guid>
    <b:Author>
      <b:Author>
        <b:NameList>
          <b:Person>
            <b:Last>Merriam</b:Last>
            <b:First>S.</b:First>
          </b:Person>
        </b:NameList>
      </b:Author>
    </b:Author>
    <b:Title>Qualitative Research: A Guide to Design and Implementation</b:Title>
    <b:Year>2009</b:Year>
    <b:City>San Fransisco</b:City>
    <b:Publisher>Jossey-Bass</b:Publisher>
    <b:Edition>2</b:Edition>
    <b:RefOrder>35</b:RefOrder>
  </b:Source>
  <b:Source>
    <b:Tag>Joh04</b:Tag>
    <b:SourceType>JournalArticle</b:SourceType>
    <b:Guid>{368524AD-A7C2-4247-9515-155E92C111BE}</b:Guid>
    <b:Author>
      <b:Author>
        <b:NameList>
          <b:Person>
            <b:Last>Johnson</b:Last>
            <b:First>R.</b:First>
            <b:Middle>&amp; Onwuegbuzie, A.</b:Middle>
          </b:Person>
        </b:NameList>
      </b:Author>
    </b:Author>
    <b:Title>Mixed Methods Research: A Research Paradigm Whose Time Has Come</b:Title>
    <b:Year>2004</b:Year>
    <b:JournalName>Educational Researcher</b:JournalName>
    <b:Pages>14-26</b:Pages>
    <b:Volume>33</b:Volume>
    <b:Issue>7</b:Issue>
    <b:RefOrder>51</b:RefOrder>
  </b:Source>
  <b:Source>
    <b:Tag>Neu13</b:Tag>
    <b:SourceType>Book</b:SourceType>
    <b:Guid>{A9640928-CA7B-4A6B-83AB-ED556B34C712}</b:Guid>
    <b:Title>Social research Methods: Qualitative and Quantitative Approaches</b:Title>
    <b:Year>2013</b:Year>
    <b:Author>
      <b:Author>
        <b:NameList>
          <b:Person>
            <b:Last>Neuman</b:Last>
            <b:First>W.</b:First>
          </b:Person>
        </b:NameList>
      </b:Author>
    </b:Author>
    <b:City>London</b:City>
    <b:Publisher>Pearson</b:Publisher>
    <b:Edition>7</b:Edition>
    <b:RefOrder>36</b:RefOrder>
  </b:Source>
  <b:Source>
    <b:Tag>Bry161</b:Tag>
    <b:SourceType>Book</b:SourceType>
    <b:Guid>{186BFA9E-E2B1-443C-801F-4AA82796AED1}</b:Guid>
    <b:Author>
      <b:Author>
        <b:NameList>
          <b:Person>
            <b:Last>Bryman</b:Last>
            <b:First>A.</b:First>
          </b:Person>
        </b:NameList>
      </b:Author>
    </b:Author>
    <b:Title>Social Research Methods</b:Title>
    <b:Year>2016</b:Year>
    <b:City>Oxford</b:City>
    <b:Publisher>Oxford University Press</b:Publisher>
    <b:Edition>5</b:Edition>
    <b:RefOrder>37</b:RefOrder>
  </b:Source>
  <b:Source>
    <b:Tag>Har18</b:Tag>
    <b:SourceType>Book</b:SourceType>
    <b:Guid>{3CF68DBE-A4C1-4BE3-8BFC-634C02061178}</b:Guid>
    <b:Author>
      <b:Author>
        <b:NameList>
          <b:Person>
            <b:Last>Hart</b:Last>
            <b:First>C.</b:First>
          </b:Person>
        </b:NameList>
      </b:Author>
    </b:Author>
    <b:Title>Doing a literature review: Releasing the social science imagination</b:Title>
    <b:Year>2018</b:Year>
    <b:City>London</b:City>
    <b:Publisher>SAGE</b:Publisher>
    <b:Edition>2</b:Edition>
    <b:RefOrder>38</b:RefOrder>
  </b:Source>
  <b:Source>
    <b:Tag>Coo16</b:Tag>
    <b:SourceType>Book</b:SourceType>
    <b:Guid>{4164A9D6-04D3-40B5-A96F-15224C21002B}</b:Guid>
    <b:Author>
      <b:Author>
        <b:NameList>
          <b:Person>
            <b:Last>Cooper</b:Last>
            <b:First>H.</b:First>
          </b:Person>
        </b:NameList>
      </b:Author>
    </b:Author>
    <b:Title>Research synthesis and meta-analysis: A step by step approach</b:Title>
    <b:Year>2016</b:Year>
    <b:City>London </b:City>
    <b:Publisher>Sage</b:Publisher>
    <b:Edition>5</b:Edition>
    <b:RefOrder>39</b:RefOrder>
  </b:Source>
  <b:Source>
    <b:Tag>Cre17</b:Tag>
    <b:SourceType>Book</b:SourceType>
    <b:Guid>{0AB7E142-28F7-4931-AD93-D1FB5E8DA754}</b:Guid>
    <b:Author>
      <b:Author>
        <b:NameList>
          <b:Person>
            <b:Last>Creswell</b:Last>
            <b:First>J.</b:First>
            <b:Middle>&amp; Plano Clark, V.</b:Middle>
          </b:Person>
        </b:NameList>
      </b:Author>
    </b:Author>
    <b:Title>Designing and conducting mixed methods research</b:Title>
    <b:Year>2017</b:Year>
    <b:City>London</b:City>
    <b:Publisher>Sage</b:Publisher>
    <b:Edition>3</b:Edition>
    <b:RefOrder>40</b:RefOrder>
  </b:Source>
  <b:Source>
    <b:Tag>Rea08</b:Tag>
    <b:SourceType>Book</b:SourceType>
    <b:Guid>{64629AD8-6C59-4A2B-B541-49A0D4B6FEEA}</b:Guid>
    <b:Author>
      <b:Author>
        <b:NameList>
          <b:Person>
            <b:Last>Reason</b:Last>
            <b:First>P.</b:First>
            <b:Middle>&amp; Bradbury, H.</b:Middle>
          </b:Person>
        </b:NameList>
      </b:Author>
    </b:Author>
    <b:Title>Handbook of action research: Participative inquiry and practice</b:Title>
    <b:Year>2008</b:Year>
    <b:City>London</b:City>
    <b:Publisher>Sage</b:Publisher>
    <b:Edition>2</b:Edition>
    <b:RefOrder>41</b:RefOrder>
  </b:Source>
  <b:Source>
    <b:Tag>Kem05</b:Tag>
    <b:SourceType>BookSection</b:SourceType>
    <b:Guid>{364067A1-D391-4B20-80C7-C7CB3420A531}</b:Guid>
    <b:Title>Participatory action and research: Communicative action and the public sphere</b:Title>
    <b:Year>2005</b:Year>
    <b:City>London</b:City>
    <b:Publisher>Sage</b:Publisher>
    <b:Author>
      <b:Author>
        <b:NameList>
          <b:Person>
            <b:Last>Kemmis</b:Last>
            <b:First>S.</b:First>
            <b:Middle>&amp; McTaggart, R.</b:Middle>
          </b:Person>
        </b:NameList>
      </b:Author>
      <b:Editor>
        <b:NameList>
          <b:Person>
            <b:Last>Lincoln</b:Last>
            <b:First>Denzin</b:First>
            <b:Middle>&amp;</b:Middle>
          </b:Person>
        </b:NameList>
      </b:Editor>
    </b:Author>
    <b:BookTitle>The Sage Handbook of Qualitative Research</b:BookTitle>
    <b:Pages>559-604</b:Pages>
    <b:RefOrder>42</b:RefOrder>
  </b:Source>
  <b:Source>
    <b:Tag>Str14</b:Tag>
    <b:SourceType>Book</b:SourceType>
    <b:Guid>{AF8B40A2-85B2-46F9-935D-B7EDD31F429C}</b:Guid>
    <b:Title>Action Research a handbook for practioners</b:Title>
    <b:Year>2014</b:Year>
    <b:City>London</b:City>
    <b:Publisher>Sage</b:Publisher>
    <b:Author>
      <b:Author>
        <b:NameList>
          <b:Person>
            <b:Last>Stringer</b:Last>
            <b:First>E.</b:First>
          </b:Person>
        </b:NameList>
      </b:Author>
    </b:Author>
    <b:Edition>4</b:Edition>
    <b:RefOrder>43</b:RefOrder>
  </b:Source>
  <b:Source>
    <b:Tag>Win87</b:Tag>
    <b:SourceType>Book</b:SourceType>
    <b:Guid>{93572C09-F015-47C2-BDB7-49561E85F48F}</b:Guid>
    <b:Author>
      <b:Author>
        <b:NameList>
          <b:Person>
            <b:Last>Winter</b:Last>
            <b:First>R.</b:First>
          </b:Person>
        </b:NameList>
      </b:Author>
    </b:Author>
    <b:Title>Action research and the nature of social inquiry: Professional innovation and educational reform</b:Title>
    <b:Year>1987</b:Year>
    <b:City>Avebury</b:City>
    <b:Publisher>Avebury</b:Publisher>
    <b:Edition>1</b:Edition>
    <b:RefOrder>44</b:RefOrder>
  </b:Source>
  <b:Source>
    <b:Tag>Gre98</b:Tag>
    <b:SourceType>Book</b:SourceType>
    <b:Guid>{2111F8E8-0356-453F-BF33-2BDDA7D721EF}</b:Guid>
    <b:Author>
      <b:Author>
        <b:NameList>
          <b:Person>
            <b:Last>Greenbaum</b:Last>
            <b:First>T.</b:First>
          </b:Person>
        </b:NameList>
      </b:Author>
    </b:Author>
    <b:Title>The practical handbook and guide to focus group research</b:Title>
    <b:Year>1998</b:Year>
    <b:City>London</b:City>
    <b:Publisher>Sage</b:Publisher>
    <b:Edition>2</b:Edition>
    <b:RefOrder>45</b:RefOrder>
  </b:Source>
  <b:Source>
    <b:Tag>Alt83</b:Tag>
    <b:SourceType>Book</b:SourceType>
    <b:Guid>{1A7230F0-F7E2-48DE-A41C-1FF93CD230F6}</b:Guid>
    <b:Author>
      <b:Author>
        <b:NameList>
          <b:Person>
            <b:Last>Altrichter</b:Last>
            <b:First>H.,</b:First>
            <b:Middle>Feldman, A., Posch, P., &amp; Somekh, B.</b:Middle>
          </b:Person>
        </b:NameList>
      </b:Author>
    </b:Author>
    <b:Title>Teachers investigate their work: An introduction to the methods of actions research</b:Title>
    <b:Year>1983</b:Year>
    <b:City>London</b:City>
    <b:Publisher>Routledge</b:Publisher>
    <b:Edition>1</b:Edition>
    <b:RefOrder>46</b:RefOrder>
  </b:Source>
  <b:Source>
    <b:Tag>McN11</b:Tag>
    <b:SourceType>Book</b:SourceType>
    <b:Guid>{657B0608-2F56-40E9-AC90-A140B7DE8908}</b:Guid>
    <b:Author>
      <b:Author>
        <b:NameList>
          <b:Person>
            <b:Last>McNiff</b:Last>
            <b:First>J.</b:First>
            <b:Middle>&amp; Whitehead, J.</b:Middle>
          </b:Person>
        </b:NameList>
      </b:Author>
    </b:Author>
    <b:Title>All you need to know about action research</b:Title>
    <b:Year>2011</b:Year>
    <b:City>London</b:City>
    <b:Publisher>Sage</b:Publisher>
    <b:Edition>2</b:Edition>
    <b:RefOrder>47</b:RefOrder>
  </b:Source>
  <b:Source>
    <b:Tag>Bab16</b:Tag>
    <b:SourceType>Book</b:SourceType>
    <b:Guid>{40B7BB79-F6B5-4772-BAF8-D761A81F22E2}</b:Guid>
    <b:Author>
      <b:Author>
        <b:NameList>
          <b:Person>
            <b:Last>Babbie</b:Last>
            <b:First>E.</b:First>
          </b:Person>
        </b:NameList>
      </b:Author>
    </b:Author>
    <b:Title>The practice of social research</b:Title>
    <b:Year>2016</b:Year>
    <b:City>Belmont</b:City>
    <b:Publisher>Cengage Learning</b:Publisher>
    <b:Edition>14</b:Edition>
    <b:RefOrder>48</b:RefOrder>
  </b:Source>
  <b:Source>
    <b:Tag>Yin18</b:Tag>
    <b:SourceType>Book</b:SourceType>
    <b:Guid>{6618C22E-EDA3-4829-99F8-7EF28795DE8D}</b:Guid>
    <b:Author>
      <b:Author>
        <b:NameList>
          <b:Person>
            <b:Last>Yin</b:Last>
            <b:First>R.</b:First>
          </b:Person>
        </b:NameList>
      </b:Author>
    </b:Author>
    <b:Title>Case study research and applications: Design and methods</b:Title>
    <b:Year>2018</b:Year>
    <b:City>London</b:City>
    <b:Publisher>Sage</b:Publisher>
    <b:Edition>6</b:Edition>
    <b:RefOrder>49</b:RefOrder>
  </b:Source>
  <b:Source>
    <b:Tag>Sta95</b:Tag>
    <b:SourceType>Book</b:SourceType>
    <b:Guid>{42DB0119-91B4-44EB-A51B-8A55078F453B}</b:Guid>
    <b:Author>
      <b:Author>
        <b:NameList>
          <b:Person>
            <b:Last>Stake</b:Last>
            <b:First>R.</b:First>
          </b:Person>
        </b:NameList>
      </b:Author>
    </b:Author>
    <b:Title>The art of case study research</b:Title>
    <b:Year>1995</b:Year>
    <b:City>London</b:City>
    <b:Publisher>Sage</b:Publisher>
    <b:Edition>1</b:Edition>
    <b:RefOrder>50</b:RefOrder>
  </b:Source>
  <b:Source>
    <b:Tag>Tas10</b:Tag>
    <b:SourceType>Book</b:SourceType>
    <b:Guid>{FF7BCA37-3C03-40E0-BA07-55EE58E5F3BD}</b:Guid>
    <b:Author>
      <b:Author>
        <b:NameList>
          <b:Person>
            <b:Last>Tashakkori</b:Last>
            <b:First>A.,</b:First>
            <b:Middle>&amp; Teddlie, C.</b:Middle>
          </b:Person>
        </b:NameList>
      </b:Author>
    </b:Author>
    <b:Title>Sage handbook of mixed methods in social &amp; behavioural research</b:Title>
    <b:Year>2010</b:Year>
    <b:City>London</b:City>
    <b:Publisher>Sage</b:Publisher>
    <b:Edition>2</b:Edition>
    <b:RefOrder>52</b:RefOrder>
  </b:Source>
  <b:Source>
    <b:Tag>Bra06</b:Tag>
    <b:SourceType>JournalArticle</b:SourceType>
    <b:Guid>{41ECD7CA-4A9B-4044-BD74-E4A0F87DD2EC}</b:Guid>
    <b:Author>
      <b:Author>
        <b:NameList>
          <b:Person>
            <b:Last>Braun</b:Last>
            <b:First>V.</b:First>
            <b:Middle>&amp; Clarke, V</b:Middle>
          </b:Person>
        </b:NameList>
      </b:Author>
    </b:Author>
    <b:Title>Using thematic analysis in psychology</b:Title>
    <b:Year>2006</b:Year>
    <b:JournalName>Qualitative Research in Psychology</b:JournalName>
    <b:Pages>77-101</b:Pages>
    <b:Volume>2</b:Volume>
    <b:Issue>3</b:Issue>
    <b:RefOrder>53</b:RefOrder>
  </b:Source>
  <b:Source>
    <b:Tag>Kri19</b:Tag>
    <b:SourceType>Book</b:SourceType>
    <b:Guid>{9FF2405F-066E-4940-BF87-BC21284B3B3F}</b:Guid>
    <b:Title>Content analysis: An introduction to it's methodology</b:Title>
    <b:Year>2019</b:Year>
    <b:Author>
      <b:Author>
        <b:NameList>
          <b:Person>
            <b:Last>Krippendorff</b:Last>
            <b:First>K.</b:First>
          </b:Person>
        </b:NameList>
      </b:Author>
    </b:Author>
    <b:City>London</b:City>
    <b:Publisher>Sage</b:Publisher>
    <b:Edition>4</b:Edition>
    <b:RefOrder>71</b:RefOrder>
  </b:Source>
  <b:Source>
    <b:Tag>Gla18</b:Tag>
    <b:SourceType>BookSection</b:SourceType>
    <b:Guid>{D0B6E35D-8ACF-4682-9D09-A15A80C82AC7}</b:Guid>
    <b:Author>
      <b:Author>
        <b:NameList>
          <b:Person>
            <b:Last>Glasner</b:Last>
            <b:First>B.,</b:First>
            <b:Middle>&amp; Strauss, A.</b:Middle>
          </b:Person>
        </b:NameList>
      </b:Author>
      <b:Editor>
        <b:NameList>
          <b:Person>
            <b:Last>Ciesielska</b:Last>
            <b:First>M.,</b:First>
            <b:Middle>&amp; Jemielniak, D.</b:Middle>
          </b:Person>
        </b:NameList>
      </b:Editor>
    </b:Author>
    <b:Title>The discovery of grounded theory: Strategies for qualitative research</b:Title>
    <b:Year>2018</b:Year>
    <b:City>Cham</b:City>
    <b:Publisher>Macmillan</b:Publisher>
    <b:BookTitle>Qualitative Methodologies in Organisation Studies</b:BookTitle>
    <b:Pages>27-28</b:Pages>
    <b:RefOrder>72</b:RefOrder>
  </b:Source>
  <b:Source>
    <b:Tag>Rie08</b:Tag>
    <b:SourceType>Book</b:SourceType>
    <b:Guid>{9ECD525C-5FBA-4B20-8CDA-AE901B8A6348}</b:Guid>
    <b:Author>
      <b:Author>
        <b:NameList>
          <b:Person>
            <b:Last>Riessman</b:Last>
            <b:First>C.</b:First>
          </b:Person>
        </b:NameList>
      </b:Author>
    </b:Author>
    <b:Title>Narrative methods for the human sciences</b:Title>
    <b:Year>2008</b:Year>
    <b:City>London</b:City>
    <b:Publisher>Sage</b:Publisher>
    <b:Edition>1</b:Edition>
    <b:RefOrder>73</b:RefOrder>
  </b:Source>
  <b:Source>
    <b:Tag>Bra22</b:Tag>
    <b:SourceType>Book</b:SourceType>
    <b:Guid>{25007DA0-E5AD-4C5E-A961-DC3DAE6D2F8A}</b:Guid>
    <b:Author>
      <b:Author>
        <b:NameList>
          <b:Person>
            <b:Last>Brace</b:Last>
          </b:Person>
        </b:NameList>
      </b:Author>
    </b:Author>
    <b:Title>Questionnaire Design: How to Plan, Structure, and Write Survey Material for Effective Market Research</b:Title>
    <b:Year>2022</b:Year>
    <b:City>London</b:City>
    <b:Publisher>Kogan page Limited</b:Publisher>
    <b:Edition>5</b:Edition>
    <b:RefOrder>54</b:RefOrder>
  </b:Source>
  <b:Source>
    <b:Tag>Fow13</b:Tag>
    <b:SourceType>Book</b:SourceType>
    <b:Guid>{CE243649-4417-470B-91B7-A8A6BDB4E38B}</b:Guid>
    <b:Author>
      <b:Author>
        <b:NameList>
          <b:Person>
            <b:Last>Fowler Jr</b:Last>
            <b:First>F.</b:First>
          </b:Person>
        </b:NameList>
      </b:Author>
    </b:Author>
    <b:Title>Survey Research Methods</b:Title>
    <b:Year>2013</b:Year>
    <b:City>London</b:City>
    <b:Publisher>Sage</b:Publisher>
    <b:Edition>5</b:Edition>
    <b:RefOrder>55</b:RefOrder>
  </b:Source>
  <b:Source>
    <b:Tag>Fin16</b:Tag>
    <b:SourceType>Book</b:SourceType>
    <b:Guid>{4557A754-609E-4D57-A2A5-B2F487013DD8}</b:Guid>
    <b:Author>
      <b:Author>
        <b:NameList>
          <b:Person>
            <b:Last>Fink</b:Last>
            <b:First>A.</b:First>
          </b:Person>
        </b:NameList>
      </b:Author>
    </b:Author>
    <b:Title>How to conduct surveys: A step by step guide</b:Title>
    <b:Year>2016</b:Year>
    <b:City>London</b:City>
    <b:Publisher>Sage</b:Publisher>
    <b:Edition>6</b:Edition>
    <b:RefOrder>56</b:RefOrder>
  </b:Source>
  <b:Source>
    <b:Tag>Smi03</b:Tag>
    <b:SourceType>JournalArticle</b:SourceType>
    <b:Guid>{95F8A551-C0AE-4A08-9114-1213621F0E21}</b:Guid>
    <b:Title>Five Principles for Research Ethics</b:Title>
    <b:Year>2003</b:Year>
    <b:Author>
      <b:Author>
        <b:NameList>
          <b:Person>
            <b:Last>Smith</b:Last>
            <b:First>D.</b:First>
          </b:Person>
        </b:NameList>
      </b:Author>
    </b:Author>
    <b:JournalName>American Psychology Association</b:JournalName>
    <b:Pages>56</b:Pages>
    <b:Volume>34</b:Volume>
    <b:Issue>1</b:Issue>
    <b:RefOrder>57</b:RefOrder>
  </b:Source>
  <b:Source>
    <b:Tag>Hil15</b:Tag>
    <b:SourceType>JournalArticle</b:SourceType>
    <b:Guid>{024BA00C-54B9-4DEF-AF2C-0FFC8CDC4C3F}</b:Guid>
    <b:Author>
      <b:Author>
        <b:NameList>
          <b:Person>
            <b:Last>Hillyard</b:Last>
            <b:First>P.,</b:First>
            <b:Middle>&amp; Pantazis, C.</b:Middle>
          </b:Person>
        </b:NameList>
      </b:Author>
    </b:Author>
    <b:Title>Counter-Terrorism, citizenship and the erosion of civil liberties: The case of the UK</b:Title>
    <b:JournalName>Critical Social Policy</b:JournalName>
    <b:Year>2015</b:Year>
    <b:Pages>447-463</b:Pages>
    <b:Volume>4</b:Volume>
    <b:Issue>25</b:Issue>
    <b:RefOrder>74</b:RefOrder>
  </b:Source>
  <b:Source>
    <b:Tag>lia18</b:Tag>
    <b:SourceType>JournalArticle</b:SourceType>
    <b:Guid>{8A53470B-ACBC-4FC5-B82B-D212D617A9D5}</b:Guid>
    <b:Author>
      <b:Author>
        <b:NameList>
          <b:Person>
            <b:Last>Lianos</b:Last>
            <b:First>M.,</b:First>
            <b:Middle>&amp; Douglas-Scott, S</b:Middle>
          </b:Person>
        </b:NameList>
      </b:Author>
    </b:Author>
    <b:Title>The right to privacy and the fight against terrorism: The UK legislative framework and the ECHR's case law</b:Title>
    <b:JournalName>European Human Rights Law Review</b:JournalName>
    <b:Year>2018</b:Year>
    <b:Pages>12-24</b:Pages>
    <b:Volume>1</b:Volume>
    <b:RefOrder>75</b:RefOrder>
  </b:Source>
  <b:Source>
    <b:Tag>Bow19</b:Tag>
    <b:SourceType>JournalArticle</b:SourceType>
    <b:Guid>{A0C2727B-8BF2-45B7-A2FC-CE92A74FD0E5}</b:Guid>
    <b:Author>
      <b:Author>
        <b:NameList>
          <b:Person>
            <b:Last>Bowyer-Bower</b:Last>
            <b:First>T.,</b:First>
            <b:Middle>&amp; Jobard, F.</b:Middle>
          </b:Person>
        </b:NameList>
      </b:Author>
    </b:Author>
    <b:Title>Schedule 7 of the Terrorism Act 2000: An instrument of ethnic and religious bias?</b:Title>
    <b:JournalName>The British Journal of Criminology</b:JournalName>
    <b:Year>2019</b:Year>
    <b:Pages>1097-1117</b:Pages>
    <b:Volume>5</b:Volume>
    <b:Issue>59</b:Issue>
    <b:RefOrder>76</b:RefOrder>
  </b:Source>
  <b:Source>
    <b:Tag>Sil17</b:Tag>
    <b:SourceType>BookSection</b:SourceType>
    <b:Guid>{E3ADF7E2-99F4-4F6E-AEFD-0B8A7089C64E}</b:Guid>
    <b:Title>Terrorism and the limitations of law enforcement</b:Title>
    <b:Year>2017</b:Year>
    <b:Pages>64-80</b:Pages>
    <b:Author>
      <b:Author>
        <b:NameList>
          <b:Person>
            <b:Last>Silke</b:Last>
            <b:First>A.</b:First>
          </b:Person>
        </b:NameList>
      </b:Author>
      <b:Editor>
        <b:NameList>
          <b:Person>
            <b:Last>English</b:Last>
            <b:First>R.:</b:First>
          </b:Person>
        </b:NameList>
      </b:Editor>
    </b:Author>
    <b:BookTitle>Research Handbook on International Law and Terrorism</b:BookTitle>
    <b:City>Camberley</b:City>
    <b:Publisher>Edward Elgar Publishing</b:Publisher>
    <b:RefOrder>77</b:RefOrder>
  </b:Source>
  <b:Source>
    <b:Tag>Fis16</b:Tag>
    <b:SourceType>JournalArticle</b:SourceType>
    <b:Guid>{5DA9CFAF-0CDC-496B-B7B0-5034A77E8284}</b:Guid>
    <b:Title>Counter-terrorism and human rights in the UK: The implications of the Terrorism Act 2000</b:Title>
    <b:Year>2016</b:Year>
    <b:Author>
      <b:Author>
        <b:NameList>
          <b:Person>
            <b:Last>Fisher</b:Last>
            <b:First>R.,</b:First>
            <b:Middle>&amp; Godfrey, S.</b:Middle>
          </b:Person>
        </b:NameList>
      </b:Author>
    </b:Author>
    <b:JournalName>International Journal of Human Rights</b:JournalName>
    <b:Pages>677-694</b:Pages>
    <b:Volume>20</b:Volume>
    <b:Issue>5</b:Issue>
    <b:RefOrder>78</b:RefOrder>
  </b:Source>
  <b:Source>
    <b:Tag>Cor19</b:Tag>
    <b:SourceType>JournalArticle</b:SourceType>
    <b:Guid>{0D0CEADF-AC2C-44E5-8F12-C666CDAD2854}</b:Guid>
    <b:Author>
      <b:Author>
        <b:NameList>
          <b:Person>
            <b:Last>Cormac</b:Last>
            <b:First>R.,</b:First>
            <b:Middle>&amp; Bakir, V.</b:Middle>
          </b:Person>
        </b:NameList>
      </b:Author>
    </b:Author>
    <b:Title>Schedule 7 and pre-charge detention: A critical analysis of the UK's counter terrorism powers</b:Title>
    <b:JournalName>Criticla Studies on Terrorism </b:JournalName>
    <b:Year>2019</b:Year>
    <b:Pages>396-418</b:Pages>
    <b:Volume>3</b:Volume>
    <b:Issue>12</b:Issue>
    <b:RefOrder>79</b:RefOrder>
  </b:Source>
  <b:Source>
    <b:Tag>Pee02</b:Tag>
    <b:SourceType>JournalArticle</b:SourceType>
    <b:Guid>{D88D7F62-45F1-40DC-B974-724F44643A05}</b:Guid>
    <b:Author>
      <b:Author>
        <b:NameList>
          <b:Person>
            <b:Last>Peers</b:Last>
            <b:First>S.</b:First>
          </b:Person>
        </b:NameList>
      </b:Author>
    </b:Author>
    <b:Title>The anti-terrorism Crime and Security Act 2001: A grim balance between liberty and security</b:Title>
    <b:JournalName>European Human Rights Law Review</b:JournalName>
    <b:Year>2002</b:Year>
    <b:Pages>582-596</b:Pages>
    <b:RefOrder>80</b:RefOrder>
  </b:Source>
  <b:Source>
    <b:Tag>Sta16</b:Tag>
    <b:SourceType>JournalArticle</b:SourceType>
    <b:Guid>{645B8F25-8233-440E-9B93-E13C2C4FF4C1}</b:Guid>
    <b:Author>
      <b:Author>
        <b:NameList>
          <b:Person>
            <b:Last>Stark</b:Last>
            <b:First>S.</b:First>
          </b:Person>
        </b:NameList>
      </b:Author>
    </b:Author>
    <b:Title>Suspcion-less minds: Anti Terrorism Powers at Ports and Borders</b:Title>
    <b:JournalName>The Cambridge Law Journal</b:JournalName>
    <b:Year>2016</b:Year>
    <b:Pages>8-11</b:Pages>
    <b:Volume>75</b:Volume>
    <b:Issue>1</b:Issue>
    <b:RefOrder>16</b:RefOrder>
  </b:Source>
  <b:Source>
    <b:Tag>Joh17</b:Tag>
    <b:SourceType>JournalArticle</b:SourceType>
    <b:Guid>{75CFD501-233E-4DE3-965F-896C624B41B8}</b:Guid>
    <b:Author>
      <b:Author>
        <b:NameList>
          <b:Person>
            <b:Last>John</b:Last>
            <b:First>I.</b:First>
          </b:Person>
        </b:NameList>
      </b:Author>
    </b:Author>
    <b:Title>The legality of 'suspicionless' Stop and Search Powers under the European Convention on Human Rights</b:Title>
    <b:JournalName>Human Rights Law Review</b:JournalName>
    <b:Year>2017</b:Year>
    <b:Pages>523-544</b:Pages>
    <b:Volume>17</b:Volume>
    <b:Issue>3</b:Issue>
    <b:RefOrder>19</b:RefOrder>
  </b:Source>
  <b:Source>
    <b:Tag>Bri20</b:Tag>
    <b:SourceType>JournalArticle</b:SourceType>
    <b:Guid>{8F0D4085-424C-4C3C-9F93-105436FCC2B3}</b:Guid>
    <b:Author>
      <b:Author>
        <b:NameList>
          <b:Person>
            <b:Last>Briggerman</b:Last>
            <b:First>E.</b:First>
            <b:Middle>&amp; Spencer, A.</b:Middle>
          </b:Person>
        </b:NameList>
      </b:Author>
    </b:Author>
    <b:Title>Countering Terrorism in the UK: The Evolution of Prevent and Schedule 7 of the Terrorism Act 2000</b:Title>
    <b:JournalName>Perspectives on Terrorism</b:JournalName>
    <b:Year>2020</b:Year>
    <b:Pages>122-141</b:Pages>
    <b:Volume>14</b:Volume>
    <b:Issue>6</b:Issue>
    <b:RefOrder>18</b:RefOrder>
  </b:Source>
  <b:Source>
    <b:Tag>Wra19</b:Tag>
    <b:SourceType>JournalArticle</b:SourceType>
    <b:Guid>{652CF342-F567-40B2-8418-1E8F4317BCAC}</b:Guid>
    <b:Author>
      <b:Author>
        <b:NameList>
          <b:Person>
            <b:Last>Wragg</b:Last>
          </b:Person>
        </b:NameList>
      </b:Author>
    </b:Author>
    <b:Title>Schedule 7 of the Terrorism Act 2000: Assessing the Balance between Counter-Terrorism Powers and Individual Rights</b:Title>
    <b:JournalName>European Human Rights Law Review</b:JournalName>
    <b:Year>2019</b:Year>
    <b:Pages>403-419</b:Pages>
    <b:Volume>4</b:Volume>
    <b:RefOrder>17</b:RefOrder>
  </b:Source>
  <b:Source>
    <b:Tag>Tac17</b:Tag>
    <b:SourceType>JournalArticle</b:SourceType>
    <b:Guid>{1950FA64-1AAF-4B89-A106-30C7D1EAF1B1}</b:Guid>
    <b:Author>
      <b:Author>
        <b:NameList>
          <b:Person>
            <b:Last>Tacik</b:Last>
            <b:First>P.</b:First>
          </b:Person>
        </b:NameList>
      </b:Author>
    </b:Author>
    <b:Title>The Effectiveness of Schedule 7 of the Terrorism Act 2000: An analysis of Arrests, Stops, and Searches</b:Title>
    <b:JournalName>Terrorism and Political Violence</b:JournalName>
    <b:Year>2017</b:Year>
    <b:Pages>1083-1101</b:Pages>
    <b:Volume>29</b:Volume>
    <b:Issue>6</b:Issue>
    <b:RefOrder>81</b:RefOrder>
  </b:Source>
  <b:Source>
    <b:Tag>Gha17</b:Tag>
    <b:SourceType>JournalArticle</b:SourceType>
    <b:Guid>{27AD035B-7D83-4DC9-BC58-ADFD34BB46A1}</b:Guid>
    <b:Author>
      <b:Author>
        <b:NameList>
          <b:Person>
            <b:Last>Ghanea</b:Last>
            <b:First>N.</b:First>
            <b:Middle>&amp; Farrow, A.</b:Middle>
          </b:Person>
        </b:NameList>
      </b:Author>
    </b:Author>
    <b:Title>Schedule 7 of the Terrorism Act 2000</b:Title>
    <b:JournalName>Religion and Human Rights</b:JournalName>
    <b:Year>2017</b:Year>
    <b:Pages>1-20</b:Pages>
    <b:Volume>12</b:Volume>
    <b:Issue>1</b:Issue>
    <b:RefOrder>82</b:RefOrder>
  </b:Source>
  <b:Source>
    <b:Tag>Hom231</b:Tag>
    <b:SourceType>InternetSite</b:SourceType>
    <b:Guid>{83446818-A2C4-4DD9-98E8-BCFA98412D45}</b:Guid>
    <b:Title>Gov.uk</b:Title>
    <b:Year>2023a</b:Year>
    <b:Author>
      <b:Author>
        <b:Corporate>Home Office</b:Corporate>
      </b:Author>
    </b:Author>
    <b:YearAccessed>2024</b:YearAccessed>
    <b:MonthAccessed>May</b:MonthAccessed>
    <b:DayAccessed>12</b:DayAccessed>
    <b:URL>www.gov.uk/government/statistics/operation-of-police-powers-under-the-terrorism-act-2000-quarterly-update-to-june-2023/</b:URL>
    <b:RefOrder>83</b:RefOrder>
  </b:Source>
  <b:Source>
    <b:Tag>Smt18</b:Tag>
    <b:SourceType>JournalArticle</b:SourceType>
    <b:Guid>{4EAEB91C-CF92-45C9-8637-623E10417872}</b:Guid>
    <b:Title>The legal basis for the Common Travel Area</b:Title>
    <b:Year>2018</b:Year>
    <b:Author>
      <b:Author>
        <b:NameList>
          <b:Person>
            <b:Last>Smith</b:Last>
            <b:First>R.</b:First>
          </b:Person>
        </b:NameList>
      </b:Author>
    </b:Author>
    <b:JournalName>Irish Studies in International Affairs</b:JournalName>
    <b:Pages>109-123</b:Pages>
    <b:Volume>29</b:Volume>
    <b:Issue>2</b:Issue>
    <b:RefOrder>84</b:RefOrder>
  </b:Source>
  <b:Source>
    <b:Tag>Gui14</b:Tag>
    <b:SourceType>JournalArticle</b:SourceType>
    <b:Guid>{AF5D3F03-BA54-40C8-8DC6-5FBFC938E09E}</b:Guid>
    <b:Author>
      <b:Author>
        <b:NameList>
          <b:Person>
            <b:Last>Guild</b:Last>
            <b:First>E.</b:First>
            <b:Middle>&amp; Carrera, S.</b:Middle>
          </b:Person>
        </b:NameList>
      </b:Author>
    </b:Author>
    <b:Title>The Common Travel Area between Ireland and the UK: Maintaining a border-free zone while combating irregular migration.</b:Title>
    <b:JournalName>International Journal of Migration and Border Studies</b:JournalName>
    <b:Year>2014</b:Year>
    <b:Pages>4-21</b:Pages>
    <b:Volume>1</b:Volume>
    <b:Issue>1</b:Issue>
    <b:RefOrder>85</b:RefOrder>
  </b:Source>
  <b:Source>
    <b:Tag>Nas16</b:Tag>
    <b:SourceType>JournalArticle</b:SourceType>
    <b:Guid>{D2888A84-EC31-4A71-A998-0206322D6879}</b:Guid>
    <b:Author>
      <b:Author>
        <b:NameList>
          <b:Person>
            <b:Last>Nascimbene</b:Last>
            <b:First>B.</b:First>
          </b:Person>
        </b:NameList>
      </b:Author>
    </b:Author>
    <b:Title>The Common Travel Area and the Management of External Borders</b:Title>
    <b:JournalName>European Papers</b:JournalName>
    <b:Year>2016</b:Year>
    <b:Pages>553-572</b:Pages>
    <b:Volume>1</b:Volume>
    <b:Issue>2</b:Issue>
    <b:RefOrder>20</b:RefOrder>
  </b:Source>
  <b:Source>
    <b:Tag>Bal12</b:Tag>
    <b:SourceType>JournalArticle</b:SourceType>
    <b:Guid>{BD0BE1B5-F0AD-4339-8017-E1A67D0CB68D}</b:Guid>
    <b:Author>
      <b:Author>
        <b:NameList>
          <b:Person>
            <b:Last>Baldaccini</b:Last>
            <b:First>A.</b:First>
          </b:Person>
        </b:NameList>
      </b:Author>
    </b:Author>
    <b:Title>The Common Travel Area and The European Union: A Legal Perspective on Managing External Borders</b:Title>
    <b:JournalName>European Journal of Migration and Law</b:JournalName>
    <b:Year>2012</b:Year>
    <b:Pages>67-91</b:Pages>
    <b:Volume>14</b:Volume>
    <b:Issue>1</b:Issue>
    <b:RefOrder>86</b:RefOrder>
  </b:Source>
  <b:Source>
    <b:Tag>Gea19</b:Tag>
    <b:SourceType>JournalArticle</b:SourceType>
    <b:Guid>{BF64175B-F5EE-494B-B4D0-8C0652FE8B42}</b:Guid>
    <b:Author>
      <b:Author>
        <b:NameList>
          <b:Person>
            <b:Last>Geary</b:Last>
            <b:First>R.</b:First>
          </b:Person>
        </b:NameList>
      </b:Author>
    </b:Author>
    <b:Title>Brexit, Ireland, and the Common Travel Area: Challenges and Opportunities</b:Title>
    <b:JournalName>Administration</b:JournalName>
    <b:Year>2019</b:Year>
    <b:Pages>9-28</b:Pages>
    <b:Volume>67</b:Volume>
    <b:Issue>3</b:Issue>
    <b:RefOrder>21</b:RefOrder>
  </b:Source>
  <b:Source>
    <b:Tag>Cal16</b:Tag>
    <b:SourceType>JournalArticle</b:SourceType>
    <b:Guid>{B6845268-9475-4976-8F9D-4B9CCE54DFF3}</b:Guid>
    <b:Author>
      <b:Author>
        <b:NameList>
          <b:Person>
            <b:Last>Caless</b:Last>
            <b:First>B.</b:First>
            <b:Middle>&amp; Treadwell, J.</b:Middle>
          </b:Person>
        </b:NameList>
      </b:Author>
    </b:Author>
    <b:Title>Cross Border Crime in the Common Travel Area: An Analysis of Offences, Perceptions, and Policing.</b:Title>
    <b:JournalName>A Joural of Policy and Practice</b:JournalName>
    <b:Year>2016</b:Year>
    <b:Pages>239-251</b:Pages>
    <b:Volume>10</b:Volume>
    <b:Issue>3</b:Issue>
    <b:RefOrder>22</b:RefOrder>
  </b:Source>
  <b:Source>
    <b:Tag>For09</b:Tag>
    <b:SourceType>Book</b:SourceType>
    <b:Guid>{AA5E7E9E-5DBE-4278-BC52-B541EC0B67B2}</b:Guid>
    <b:Title>Terrorism, Crime and Public Policy</b:Title>
    <b:Year>2009</b:Year>
    <b:Author>
      <b:Author>
        <b:NameList>
          <b:Person>
            <b:Last>Forst</b:Last>
            <b:First>B.</b:First>
          </b:Person>
        </b:NameList>
      </b:Author>
    </b:Author>
    <b:City>Cambridge</b:City>
    <b:Publisher>Cambridge University Press</b:Publisher>
    <b:Edition>1</b:Edition>
    <b:RefOrder>23</b:RefOrder>
  </b:Source>
  <b:Source>
    <b:Tag>She05</b:Tag>
    <b:SourceType>JournalArticle</b:SourceType>
    <b:Guid>{7617A838-D495-443A-9DDE-C563334B48E8}</b:Guid>
    <b:Title>Terrorism and Organised Crime: Lessons from History</b:Title>
    <b:Year>2005</b:Year>
    <b:Author>
      <b:Author>
        <b:NameList>
          <b:Person>
            <b:Last>Shelley</b:Last>
            <b:First>L.</b:First>
          </b:Person>
        </b:NameList>
      </b:Author>
    </b:Author>
    <b:JournalName>Studies in Conflict and Terrorism</b:JournalName>
    <b:Pages>95-110</b:Pages>
    <b:Volume>28</b:Volume>
    <b:Issue>2</b:Issue>
    <b:RefOrder>24</b:RefOrder>
  </b:Source>
  <b:Source>
    <b:Tag>Wou09</b:Tag>
    <b:SourceType>JournalArticle</b:SourceType>
    <b:Guid>{DB203E78-036F-4834-9A1D-0BF31D585184}</b:Guid>
    <b:Author>
      <b:Author>
        <b:NameList>
          <b:Person>
            <b:Last>Woude</b:Last>
            <b:First>M.</b:First>
          </b:Person>
        </b:NameList>
      </b:Author>
    </b:Author>
    <b:Title>Policing multiple jurisdictions: An international comparison of police cooperation in border regions</b:Title>
    <b:JournalName>European Journal of Criminology</b:JournalName>
    <b:Year>2009</b:Year>
    <b:Pages>535-552</b:Pages>
    <b:Volume>6</b:Volume>
    <b:Issue>6</b:Issue>
    <b:RefOrder>87</b:RefOrder>
  </b:Source>
  <b:Source>
    <b:Tag>Lou20</b:Tag>
    <b:SourceType>JournalArticle</b:SourceType>
    <b:Guid>{BC3A2898-8A8D-4DDD-B419-750DA4C0FABA}</b:Guid>
    <b:Author>
      <b:Author>
        <b:NameList>
          <b:Person>
            <b:Last>Loughlin</b:Last>
            <b:First>J.</b:First>
            <b:Middle>&amp; Shaw, J.</b:Middle>
          </b:Person>
        </b:NameList>
      </b:Author>
    </b:Author>
    <b:Title>The constitutional implications of Brexit for Northern Ireland</b:Title>
    <b:JournalName>Modern Law Review</b:JournalName>
    <b:Year>2020</b:Year>
    <b:Pages>826-857</b:Pages>
    <b:Volume>83</b:Volume>
    <b:Issue>5</b:Issue>
    <b:RefOrder>58</b:RefOrder>
  </b:Source>
  <b:Source>
    <b:Tag>Con18</b:Tag>
    <b:SourceType>JournalArticle</b:SourceType>
    <b:Guid>{B3B93307-32F2-43DD-B342-1AAF15817D25}</b:Guid>
    <b:Author>
      <b:Author>
        <b:NameList>
          <b:Person>
            <b:Last>Conway</b:Last>
            <b:First>M.</b:First>
            <b:Middle>&amp; McInerney, L.</b:Middle>
          </b:Person>
        </b:NameList>
      </b:Author>
    </b:Author>
    <b:Title>A threat-driven security analysis of the common travel area post Brexit</b:Title>
    <b:JournalName>Irish Studies in International Affairs</b:JournalName>
    <b:Year>2018</b:Year>
    <b:Pages>11-28</b:Pages>
    <b:Volume>29</b:Volume>
    <b:Issue>1</b:Issue>
    <b:RefOrder>59</b:RefOrder>
  </b:Source>
  <b:Source>
    <b:Tag>ODo19</b:Tag>
    <b:SourceType>JournalArticle</b:SourceType>
    <b:Guid>{01117526-1F8C-4594-8718-17FE1B6CF618}</b:Guid>
    <b:Author>
      <b:Author>
        <b:NameList>
          <b:Person>
            <b:Last>O'Donoghue</b:Last>
          </b:Person>
        </b:NameList>
      </b:Author>
    </b:Author>
    <b:Title>Terrorism and the common travel area: an Irish perspective</b:Title>
    <b:JournalName>irish Studies in International Affairs</b:JournalName>
    <b:Year>2019</b:Year>
    <b:Pages>33-38</b:Pages>
    <b:Volume>30</b:Volume>
    <b:Issue>1</b:Issue>
    <b:RefOrder>88</b:RefOrder>
  </b:Source>
  <b:Source>
    <b:Tag>Car20</b:Tag>
    <b:SourceType>JournalArticle</b:SourceType>
    <b:Guid>{A80EFB17-37C0-4B92-BEC4-FDBCCE819292}</b:Guid>
    <b:Author>
      <b:Author>
        <b:NameList>
          <b:Person>
            <b:Last>Carrapico</b:Last>
            <b:First>H.</b:First>
            <b:Middle>&amp; Niehuss, A.</b:Middle>
          </b:Person>
        </b:NameList>
      </b:Author>
    </b:Author>
    <b:Title>Counter-terrorism cooperation between the EU and the UK after Brexit: State of the art and future challenges</b:Title>
    <b:JournalName>Perspectives on Terrorism</b:JournalName>
    <b:Year>2020</b:Year>
    <b:Pages>2-20</b:Pages>
    <b:Volume>14</b:Volume>
    <b:Issue>2</b:Issue>
    <b:RefOrder>60</b:RefOrder>
  </b:Source>
  <b:Source>
    <b:Tag>Sil18</b:Tag>
    <b:SourceType>JournalArticle</b:SourceType>
    <b:Guid>{768D87F2-B980-4A3B-8350-3E650004C6A4}</b:Guid>
    <b:Author>
      <b:Author>
        <b:NameList>
          <b:Person>
            <b:Last>Silke</b:Last>
            <b:First>A.</b:First>
          </b:Person>
        </b:NameList>
      </b:Author>
    </b:Author>
    <b:Title>The Global Terrorism Database: Accomplishements and Challenges</b:Title>
    <b:JournalName>Studies in Conflict and Terrorism</b:JournalName>
    <b:Year>2018</b:Year>
    <b:Pages>305-322</b:Pages>
    <b:Volume>41</b:Volume>
    <b:Issue>4</b:Issue>
    <b:RefOrder>89</b:RefOrder>
  </b:Source>
  <b:Source>
    <b:Tag>Gil17</b:Tag>
    <b:SourceType>JournalArticle</b:SourceType>
    <b:Guid>{3CF2F64A-C71B-4309-B91C-53563814CCD4}</b:Guid>
    <b:Author>
      <b:Author>
        <b:NameList>
          <b:Person>
            <b:Last>Gill</b:Last>
            <b:First>P.</b:First>
            <b:Middle>&amp; Spriggs, A.</b:Middle>
          </b:Person>
        </b:NameList>
      </b:Author>
    </b:Author>
    <b:Title>The impact of the UK's Schedule 7 of the Terrorism Act 2000 on the Muslim community in Britain: A review</b:Title>
    <b:JournalName>Behavioural Sciences of Terrorism and Political Aggression</b:JournalName>
    <b:Year>2017</b:Year>
    <b:Pages>3-27</b:Pages>
    <b:Volume>9</b:Volume>
    <b:Issue>1</b:Issue>
    <b:RefOrder>61</b:RefOrder>
  </b:Source>
  <b:Source>
    <b:Tag>Bro16</b:Tag>
    <b:SourceType>JournalArticle</b:SourceType>
    <b:Guid>{6D1DF516-6566-47DA-84AE-6E30E9247EC9}</b:Guid>
    <b:Author>
      <b:Author>
        <b:NameList>
          <b:Person>
            <b:Last>Brookman</b:Last>
            <b:First>F.,</b:First>
            <b:Middle>&amp; Pierpoint, H.</b:Middle>
          </b:Person>
        </b:NameList>
      </b:Author>
    </b:Author>
    <b:Title>Terrorism Act 2000, Schedule 7 and the control order regime: Reconciling security and liberty in the age of uncertainty</b:Title>
    <b:JournalName>The British Journal of Criminology</b:JournalName>
    <b:Year>2016</b:Year>
    <b:Pages>682-700</b:Pages>
    <b:Volume>56</b:Volume>
    <b:Issue>4</b:Issue>
    <b:RefOrder>62</b:RefOrder>
  </b:Source>
  <b:Source>
    <b:Tag>Cho18</b:Tag>
    <b:SourceType>JournalArticle</b:SourceType>
    <b:Guid>{C5142124-6AAD-40E7-B6F6-4A9BB774CFE7}</b:Guid>
    <b:Author>
      <b:Author>
        <b:NameList>
          <b:Person>
            <b:Last>Choudhury</b:Last>
            <b:First>T.</b:First>
            <b:Middle>&amp; Fenwick, H.</b:Middle>
          </b:Person>
        </b:NameList>
      </b:Author>
    </b:Author>
    <b:Title>Schedule 7 of the Terrorism Act 2000: A human rights analysis</b:Title>
    <b:JournalName>Legal Studies</b:JournalName>
    <b:Year>2018</b:Year>
    <b:Pages>658-682</b:Pages>
    <b:Volume>38</b:Volume>
    <b:Issue>4</b:Issue>
    <b:RefOrder>63</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014DC66825F7D0409851E5023E37B21A" ma:contentTypeVersion="17" ma:contentTypeDescription="Create a new document." ma:contentTypeScope="" ma:versionID="fbf3d122cab0cde4f4b87caa991f0b99">
  <xsd:schema xmlns:xsd="http://www.w3.org/2001/XMLSchema" xmlns:xs="http://www.w3.org/2001/XMLSchema" xmlns:p="http://schemas.microsoft.com/office/2006/metadata/properties" xmlns:ns3="947280c6-48ae-453d-ba8a-a286d83e7930" xmlns:ns4="bf2b5a3e-cd08-488f-be95-5ccd914f8710" targetNamespace="http://schemas.microsoft.com/office/2006/metadata/properties" ma:root="true" ma:fieldsID="245326dd8400688e021325626ef05a18" ns3:_="" ns4:_="">
    <xsd:import namespace="947280c6-48ae-453d-ba8a-a286d83e7930"/>
    <xsd:import namespace="bf2b5a3e-cd08-488f-be95-5ccd914f871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47280c6-48ae-453d-ba8a-a286d83e793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f2b5a3e-cd08-488f-be95-5ccd914f871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028FDB0-3D3E-44EF-8C14-F856344B743E}">
  <ds:schemaRefs>
    <ds:schemaRef ds:uri="http://schemas.microsoft.com/office/2006/metadata/properties"/>
    <ds:schemaRef ds:uri="http://schemas.microsoft.com/office/infopath/2007/PartnerControls"/>
    <ds:schemaRef ds:uri="947280c6-48ae-453d-ba8a-a286d83e7930"/>
  </ds:schemaRefs>
</ds:datastoreItem>
</file>

<file path=customXml/itemProps2.xml><?xml version="1.0" encoding="utf-8"?>
<ds:datastoreItem xmlns:ds="http://schemas.openxmlformats.org/officeDocument/2006/customXml" ds:itemID="{3DF52704-C88D-4B97-AA2F-4A39BB5EC069}">
  <ds:schemaRefs>
    <ds:schemaRef ds:uri="http://schemas.openxmlformats.org/officeDocument/2006/bibliography"/>
  </ds:schemaRefs>
</ds:datastoreItem>
</file>

<file path=customXml/itemProps3.xml><?xml version="1.0" encoding="utf-8"?>
<ds:datastoreItem xmlns:ds="http://schemas.openxmlformats.org/officeDocument/2006/customXml" ds:itemID="{C12C8753-23A5-4977-B3AE-8798293880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47280c6-48ae-453d-ba8a-a286d83e7930"/>
    <ds:schemaRef ds:uri="bf2b5a3e-cd08-488f-be95-5ccd914f87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9D835C2-DA5D-407A-8ECD-FB1FE72328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46</Pages>
  <Words>17760</Words>
  <Characters>101232</Characters>
  <Application>Microsoft Office Word</Application>
  <DocSecurity>0</DocSecurity>
  <Lines>843</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Jonny DCI</dc:creator>
  <cp:keywords/>
  <dc:description/>
  <cp:lastModifiedBy>Griffiths Jonny DCI</cp:lastModifiedBy>
  <cp:revision>3</cp:revision>
  <dcterms:created xsi:type="dcterms:W3CDTF">2024-06-28T00:45:00Z</dcterms:created>
  <dcterms:modified xsi:type="dcterms:W3CDTF">2024-06-30T08:38:00Z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2024-04-16T09:55:51Z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0e2b85ce-30b1-4dd1-9f2d-ace3944ec12c</vt:lpwstr>
  </property>
  <property fmtid="{D5CDD505-2E9C-101B-9397-08002B2CF9AE}" pid="8" name="MSIP_Label_7beefdff-6834-454f-be00-a68b5bc5f471_ContentBits">
    <vt:lpwstr>0</vt:lpwstr>
  </property>
  <property fmtid="{D5CDD505-2E9C-101B-9397-08002B2CF9AE}" pid="9" name="ContentTypeId">
    <vt:lpwstr>0x010100014DC66825F7D0409851E5023E37B21A</vt:lpwstr>
  </property>
</Properties>
</file>