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8452D7" w14:textId="77777777" w:rsidR="0038718A" w:rsidRDefault="00BF184A">
      <w:pPr>
        <w:spacing w:after="158"/>
        <w:ind w:left="49"/>
        <w:jc w:val="center"/>
      </w:pPr>
      <w:r>
        <w:t xml:space="preserve"> </w:t>
      </w:r>
    </w:p>
    <w:p w14:paraId="3B6ADA72" w14:textId="77777777" w:rsidR="0038718A" w:rsidRDefault="00BF184A">
      <w:pPr>
        <w:ind w:left="49"/>
        <w:jc w:val="center"/>
      </w:pPr>
      <w:r>
        <w:t xml:space="preserve"> </w:t>
      </w:r>
    </w:p>
    <w:p w14:paraId="0D4B272D" w14:textId="77777777" w:rsidR="0038718A" w:rsidRDefault="00BF184A">
      <w:pPr>
        <w:spacing w:after="158"/>
        <w:ind w:left="49"/>
        <w:jc w:val="center"/>
      </w:pPr>
      <w:r>
        <w:rPr>
          <w:noProof/>
        </w:rPr>
        <w:drawing>
          <wp:inline distT="0" distB="0" distL="0" distR="0" wp14:anchorId="28B92F4A" wp14:editId="635800F3">
            <wp:extent cx="1980000" cy="824400"/>
            <wp:effectExtent l="0" t="0" r="0" b="0"/>
            <wp:docPr id="1"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a:srcRect/>
                    <a:stretch>
                      <a:fillRect/>
                    </a:stretch>
                  </pic:blipFill>
                  <pic:spPr>
                    <a:xfrm>
                      <a:off x="0" y="0"/>
                      <a:ext cx="1980000" cy="824400"/>
                    </a:xfrm>
                    <a:prstGeom prst="rect">
                      <a:avLst/>
                    </a:prstGeom>
                    <a:ln/>
                  </pic:spPr>
                </pic:pic>
              </a:graphicData>
            </a:graphic>
          </wp:inline>
        </w:drawing>
      </w:r>
      <w:r>
        <w:t xml:space="preserve"> </w:t>
      </w:r>
    </w:p>
    <w:p w14:paraId="172AA212" w14:textId="77777777" w:rsidR="0038718A" w:rsidRDefault="00BF184A">
      <w:pPr>
        <w:ind w:left="49"/>
        <w:jc w:val="center"/>
      </w:pPr>
      <w:r>
        <w:t xml:space="preserve"> </w:t>
      </w:r>
    </w:p>
    <w:p w14:paraId="59985345" w14:textId="77777777" w:rsidR="0038718A" w:rsidRDefault="00BF184A">
      <w:pPr>
        <w:spacing w:after="287"/>
        <w:ind w:left="49"/>
        <w:jc w:val="center"/>
      </w:pPr>
      <w:r>
        <w:t xml:space="preserve"> </w:t>
      </w:r>
    </w:p>
    <w:p w14:paraId="43BF69E3" w14:textId="77777777" w:rsidR="0038718A" w:rsidRDefault="00BF184A">
      <w:pPr>
        <w:spacing w:after="42"/>
        <w:ind w:left="89"/>
        <w:jc w:val="center"/>
        <w:rPr>
          <w:b/>
          <w:bCs/>
          <w:sz w:val="32"/>
          <w:szCs w:val="32"/>
        </w:rPr>
      </w:pPr>
      <w:r>
        <w:rPr>
          <w:b/>
          <w:bCs/>
          <w:sz w:val="32"/>
          <w:szCs w:val="32"/>
        </w:rPr>
        <w:t xml:space="preserve">THE IMPACT OF HOUSING QUALITY ON RESPIRATORY INFECTION IN THE UK: A MICROBIOLOGICAL, PUBLIC HEALTH, SOCIAL CARE APPROACH OF PREVENTION AND INTERVENTIONS </w:t>
      </w:r>
    </w:p>
    <w:p w14:paraId="214E11EB" w14:textId="77777777" w:rsidR="0038718A" w:rsidRDefault="0038718A">
      <w:pPr>
        <w:spacing w:after="157"/>
        <w:ind w:right="2358"/>
        <w:jc w:val="left"/>
      </w:pPr>
    </w:p>
    <w:p w14:paraId="4B121FCA" w14:textId="77777777" w:rsidR="0038718A" w:rsidRDefault="00BF184A">
      <w:pPr>
        <w:spacing w:after="157"/>
        <w:ind w:left="2367" w:right="2359"/>
        <w:jc w:val="center"/>
      </w:pPr>
      <w:proofErr w:type="spellStart"/>
      <w:r>
        <w:rPr>
          <w:b/>
          <w:bCs/>
        </w:rPr>
        <w:t>Kajalben</w:t>
      </w:r>
      <w:proofErr w:type="spellEnd"/>
      <w:r>
        <w:rPr>
          <w:b/>
          <w:bCs/>
        </w:rPr>
        <w:t xml:space="preserve"> Patel </w:t>
      </w:r>
      <w:r>
        <w:t xml:space="preserve"> </w:t>
      </w:r>
    </w:p>
    <w:p w14:paraId="115A63CC" w14:textId="77777777" w:rsidR="0038718A" w:rsidRDefault="00BF184A">
      <w:pPr>
        <w:spacing w:after="156"/>
        <w:ind w:left="59"/>
        <w:jc w:val="center"/>
      </w:pPr>
      <w:r>
        <w:t>A Dissertation submitted in partial fulfilment of the requirements for the degree of Masters of Science in Public Health and Social Care in Practice</w:t>
      </w:r>
    </w:p>
    <w:p w14:paraId="53B353AA" w14:textId="77777777" w:rsidR="0038718A" w:rsidRDefault="0038718A">
      <w:pPr>
        <w:spacing w:after="156"/>
        <w:ind w:left="59"/>
      </w:pPr>
    </w:p>
    <w:p w14:paraId="219D7055" w14:textId="77777777" w:rsidR="0038718A" w:rsidRDefault="0038718A">
      <w:pPr>
        <w:spacing w:after="169"/>
        <w:jc w:val="center"/>
        <w:rPr>
          <w:b/>
          <w:bCs/>
        </w:rPr>
      </w:pPr>
    </w:p>
    <w:p w14:paraId="2FEB42F9" w14:textId="77777777" w:rsidR="0038718A" w:rsidRDefault="0038718A">
      <w:pPr>
        <w:spacing w:after="169"/>
        <w:jc w:val="center"/>
        <w:rPr>
          <w:b/>
          <w:bCs/>
        </w:rPr>
      </w:pPr>
    </w:p>
    <w:p w14:paraId="6F7518FB" w14:textId="77777777" w:rsidR="0038718A" w:rsidRDefault="00BF184A">
      <w:pPr>
        <w:spacing w:after="169"/>
        <w:jc w:val="center"/>
        <w:rPr>
          <w:b/>
          <w:bCs/>
        </w:rPr>
      </w:pPr>
      <w:r>
        <w:rPr>
          <w:b/>
          <w:bCs/>
        </w:rPr>
        <w:t>The Institute of Inner-City Learning</w:t>
      </w:r>
    </w:p>
    <w:p w14:paraId="7A4C3CCE" w14:textId="77777777" w:rsidR="0038718A" w:rsidRDefault="00BF184A">
      <w:pPr>
        <w:spacing w:after="169"/>
        <w:jc w:val="center"/>
        <w:rPr>
          <w:b/>
          <w:bCs/>
        </w:rPr>
      </w:pPr>
      <w:r>
        <w:rPr>
          <w:b/>
          <w:bCs/>
        </w:rPr>
        <w:t>University of Wales Trinity Saint David – London Campus</w:t>
      </w:r>
    </w:p>
    <w:p w14:paraId="59C5B321" w14:textId="77777777" w:rsidR="0038718A" w:rsidRDefault="0038718A">
      <w:pPr>
        <w:spacing w:after="157"/>
        <w:ind w:left="2367" w:right="2357"/>
        <w:jc w:val="center"/>
        <w:rPr>
          <w:b/>
          <w:bCs/>
        </w:rPr>
      </w:pPr>
    </w:p>
    <w:p w14:paraId="1075E26A" w14:textId="77777777" w:rsidR="0038718A" w:rsidRDefault="0038718A">
      <w:pPr>
        <w:spacing w:after="157"/>
        <w:ind w:left="2367" w:right="2357"/>
        <w:jc w:val="center"/>
        <w:rPr>
          <w:b/>
          <w:bCs/>
        </w:rPr>
      </w:pPr>
    </w:p>
    <w:p w14:paraId="157BC5CA" w14:textId="77777777" w:rsidR="0038718A" w:rsidRDefault="00BF184A">
      <w:pPr>
        <w:spacing w:after="157"/>
        <w:ind w:left="2367" w:right="2357"/>
        <w:jc w:val="center"/>
        <w:rPr>
          <w:b/>
          <w:bCs/>
        </w:rPr>
      </w:pPr>
      <w:r>
        <w:rPr>
          <w:b/>
          <w:bCs/>
        </w:rPr>
        <w:t>January 2026</w:t>
      </w:r>
    </w:p>
    <w:p w14:paraId="485FA296" w14:textId="77777777" w:rsidR="0038718A" w:rsidRDefault="00BF184A">
      <w:pPr>
        <w:rPr>
          <w:b/>
          <w:bCs/>
        </w:rPr>
      </w:pPr>
      <w:r>
        <w:br w:type="page"/>
      </w:r>
    </w:p>
    <w:p w14:paraId="17ED23EB" w14:textId="77777777" w:rsidR="0038718A" w:rsidRDefault="00BF184A">
      <w:pPr>
        <w:spacing w:after="200" w:line="276" w:lineRule="auto"/>
        <w:jc w:val="center"/>
        <w:rPr>
          <w:b/>
          <w:bCs/>
        </w:rPr>
      </w:pPr>
      <w:r>
        <w:rPr>
          <w:b/>
          <w:bCs/>
        </w:rPr>
        <w:t>DECLARATION</w:t>
      </w:r>
    </w:p>
    <w:p w14:paraId="7F87B686" w14:textId="77777777" w:rsidR="0038718A" w:rsidRDefault="00BF184A">
      <w:pPr>
        <w:spacing w:after="200"/>
      </w:pPr>
      <w:r>
        <w:t xml:space="preserve">I, </w:t>
      </w:r>
      <w:proofErr w:type="spellStart"/>
      <w:r>
        <w:t>Kajalben</w:t>
      </w:r>
      <w:proofErr w:type="spellEnd"/>
      <w:r>
        <w:t xml:space="preserve"> Patel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r w:rsidR="00626965">
        <w:rPr>
          <w:noProof/>
        </w:rPr>
        <w:pict w14:anchorId="63F0CC5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6" o:spid="_x0000_s1030" type="#_x0000_t75" style="position:absolute;left:0;text-align:left;margin-left:-128.85pt;margin-top:17.55pt;width:1.45pt;height:1.45pt;z-index:251658240;visibility:visible;mso-position-horizontal-relative:margin;mso-position-vertical-relative:text">
            <v:imagedata r:id="rId11" o:title=""/>
            <o:lock v:ext="edit" rotation="t" verticies="t" shapetype="t"/>
            <w10:wrap anchorx="margin"/>
          </v:shape>
        </w:pict>
      </w:r>
      <w:r w:rsidR="000E3FC3">
        <w:rPr>
          <w:noProof/>
        </w:rPr>
        <w:pict w14:anchorId="27DB014A">
          <v:shape id="Ink 15" o:spid="_x0000_s1029" type="#_x0000_t75" style="position:absolute;left:0;text-align:left;margin-left:-128.85pt;margin-top:18.05pt;width:1.45pt;height:1.8pt;z-index:251658241;visibility:visible;mso-position-horizontal-relative:margin;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">
            <v:imagedata r:id="rId12" o:title=""/>
            <o:lock v:ext="edit" rotation="t" verticies="t" shapetype="t"/>
            <w10:wrap anchorx="margin"/>
          </v:shape>
        </w:pict>
      </w:r>
      <w:r w:rsidR="000E3FC3">
        <w:rPr>
          <w:noProof/>
        </w:rPr>
        <w:pict w14:anchorId="383A3A41">
          <v:shape id="Ink 14" o:spid="_x0000_s1028" type="#_x0000_t75" style="position:absolute;left:0;text-align:left;margin-left:-128.85pt;margin-top:18.35pt;width:1.45pt;height:1.45pt;z-index:251658242;visibility:visible;mso-position-horizontal-relative:margin;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">
            <v:imagedata r:id="rId11" o:title=""/>
            <o:lock v:ext="edit" rotation="t" verticies="t" shapetype="t"/>
            <w10:wrap anchorx="margin"/>
          </v:shape>
        </w:pict>
      </w:r>
      <w:r w:rsidR="000E3FC3">
        <w:rPr>
          <w:noProof/>
        </w:rPr>
        <w:pict w14:anchorId="32D11523">
          <v:shape id="Ink 11" o:spid="_x0000_s1027" type="#_x0000_t75" style="position:absolute;left:0;text-align:left;margin-left:-153.4pt;margin-top:18.2pt;width:1.45pt;height:1.45pt;z-index:251658243;visibility:visible;mso-position-horizontal-relative:margin;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">
            <v:imagedata r:id="rId11" o:title=""/>
            <o:lock v:ext="edit" rotation="t" verticies="t" shapetype="t"/>
            <w10:wrap anchorx="margin"/>
          </v:shape>
        </w:pict>
      </w:r>
    </w:p>
    <w:p w14:paraId="14722FD0" w14:textId="77777777" w:rsidR="0038718A" w:rsidRDefault="0038718A">
      <w:pPr>
        <w:spacing w:after="200" w:line="276" w:lineRule="auto"/>
      </w:pPr>
    </w:p>
    <w:p w14:paraId="7BA0FF13" w14:textId="77777777" w:rsidR="0038718A" w:rsidRDefault="00BF184A">
      <w:pPr>
        <w:spacing w:after="200" w:line="276" w:lineRule="auto"/>
      </w:pPr>
      <w:proofErr w:type="gramStart"/>
      <w:r>
        <w:t>Signed:…</w:t>
      </w:r>
      <w:proofErr w:type="gramEnd"/>
      <w:r>
        <w:t>……</w:t>
      </w:r>
      <w:proofErr w:type="spellStart"/>
      <w:r>
        <w:t>Kajalben</w:t>
      </w:r>
      <w:proofErr w:type="spellEnd"/>
      <w:r>
        <w:t xml:space="preserve"> Patel……………………</w:t>
      </w:r>
    </w:p>
    <w:p w14:paraId="6A6664CD" w14:textId="77777777" w:rsidR="0038718A" w:rsidRDefault="0038718A">
      <w:pPr>
        <w:spacing w:after="200" w:line="276" w:lineRule="auto"/>
      </w:pPr>
    </w:p>
    <w:p w14:paraId="7535F1B3" w14:textId="1F1CBBDD" w:rsidR="0038718A" w:rsidRDefault="00BF184A">
      <w:pPr>
        <w:spacing w:after="200" w:line="276" w:lineRule="auto"/>
      </w:pPr>
      <w:proofErr w:type="gramStart"/>
      <w:r>
        <w:t>Date:...</w:t>
      </w:r>
      <w:proofErr w:type="gramEnd"/>
      <w:r>
        <w:t>…2</w:t>
      </w:r>
      <w:r w:rsidR="1640EA75">
        <w:t>6</w:t>
      </w:r>
      <w:r>
        <w:t>.01.2026…………………………………………</w:t>
      </w:r>
    </w:p>
    <w:p w14:paraId="31864914" w14:textId="77777777" w:rsidR="0038718A" w:rsidRDefault="0038718A">
      <w:pPr>
        <w:spacing w:after="157"/>
        <w:ind w:right="2357"/>
        <w:rPr>
          <w:b/>
          <w:bCs/>
        </w:rPr>
      </w:pPr>
    </w:p>
    <w:p w14:paraId="07AE5112" w14:textId="77777777" w:rsidR="0038718A" w:rsidRDefault="00BF184A">
      <w:pPr>
        <w:spacing w:after="0"/>
      </w:pPr>
      <w:r>
        <w:t xml:space="preserve"> </w:t>
      </w:r>
      <w:r>
        <w:tab/>
        <w:t xml:space="preserve"> </w:t>
      </w:r>
    </w:p>
    <w:p w14:paraId="4568D9FC" w14:textId="77777777" w:rsidR="0038718A" w:rsidRDefault="00BF184A">
      <w:pPr>
        <w:rPr>
          <w:b/>
          <w:bCs/>
        </w:rPr>
      </w:pPr>
      <w:r>
        <w:br w:type="page"/>
      </w:r>
    </w:p>
    <w:p w14:paraId="627F6619" w14:textId="77777777" w:rsidR="0038718A" w:rsidRDefault="00BF184A">
      <w:pPr>
        <w:pStyle w:val="Heading2"/>
        <w:jc w:val="center"/>
      </w:pPr>
      <w:bookmarkStart w:id="0" w:name="_rta7dvyrucru" w:colFirst="0" w:colLast="0"/>
      <w:bookmarkStart w:id="1" w:name="_Toc220324597"/>
      <w:bookmarkEnd w:id="0"/>
      <w:r>
        <w:t>Acknowledgements</w:t>
      </w:r>
      <w:bookmarkEnd w:id="1"/>
    </w:p>
    <w:p w14:paraId="07E5C7D1" w14:textId="0DDD387B" w:rsidR="005E158A" w:rsidRPr="005E158A" w:rsidRDefault="005E158A" w:rsidP="005E158A">
      <w:pPr>
        <w:spacing w:after="169"/>
      </w:pPr>
      <w:r w:rsidRPr="005E158A">
        <w:t xml:space="preserve">I would like to express my sincere gratitude to my supervisor, Dr. Diola Bijlhout, for her invaluable guidance, constructive feedback, and continuous support throughout the research and writing of this dissertation. </w:t>
      </w:r>
      <w:r>
        <w:t xml:space="preserve">She </w:t>
      </w:r>
      <w:r w:rsidRPr="005E158A">
        <w:t xml:space="preserve">was not only incredibly knowledgeable and professional but also exceptionally friendly and approachable, which made the entire process much more enjoyable. Her encouragement and patience helped me build confidence in my abilities, and under her mentorship, I learned a great </w:t>
      </w:r>
      <w:proofErr w:type="spellStart"/>
      <w:proofErr w:type="gramStart"/>
      <w:r w:rsidRPr="005E158A">
        <w:t>deal</w:t>
      </w:r>
      <w:r w:rsidR="006D0409">
        <w:t>,</w:t>
      </w:r>
      <w:r w:rsidRPr="005E158A">
        <w:t>not</w:t>
      </w:r>
      <w:proofErr w:type="spellEnd"/>
      <w:proofErr w:type="gramEnd"/>
      <w:r w:rsidRPr="005E158A">
        <w:t xml:space="preserve"> just academically, but also about approaching challenges with resilience and curiosity.</w:t>
      </w:r>
    </w:p>
    <w:p w14:paraId="152F57AC" w14:textId="77777777" w:rsidR="005E158A" w:rsidRPr="005E158A" w:rsidRDefault="005E158A" w:rsidP="005E158A">
      <w:pPr>
        <w:spacing w:after="169"/>
      </w:pPr>
      <w:r w:rsidRPr="005E158A">
        <w:t>I would also like to thank the academic staff of the department for their insights, encouragement, and support throughout the programme, which greatly enriched my learning experience. I am equally grateful to the library staff for their assistance in providing the resources and guidance that were essential to my research.</w:t>
      </w:r>
    </w:p>
    <w:p w14:paraId="5443248B" w14:textId="77777777" w:rsidR="005E158A" w:rsidRPr="005E158A" w:rsidRDefault="005E158A" w:rsidP="005E158A">
      <w:pPr>
        <w:spacing w:after="169"/>
      </w:pPr>
      <w:r w:rsidRPr="005E158A">
        <w:t>Finally, I am deeply grateful to my family and friends for their patience, motivation, and emotional support, which sustained me throughout this journey and contributed significantly to the successful completion of this work.</w:t>
      </w:r>
    </w:p>
    <w:p w14:paraId="4C7CA6D8" w14:textId="1F57A7DB" w:rsidR="0038718A" w:rsidRDefault="0038718A">
      <w:pPr>
        <w:spacing w:after="169"/>
      </w:pPr>
    </w:p>
    <w:p w14:paraId="65199D89" w14:textId="77777777" w:rsidR="0038718A" w:rsidRDefault="00BF184A">
      <w:pPr>
        <w:spacing w:after="0"/>
      </w:pPr>
      <w:r>
        <w:t xml:space="preserve"> </w:t>
      </w:r>
      <w:r>
        <w:tab/>
        <w:t xml:space="preserve"> </w:t>
      </w:r>
      <w:r>
        <w:br w:type="page"/>
      </w:r>
    </w:p>
    <w:p w14:paraId="22BD6E48" w14:textId="77777777" w:rsidR="0038718A" w:rsidRDefault="00BF184A">
      <w:pPr>
        <w:pStyle w:val="Heading2"/>
        <w:jc w:val="center"/>
      </w:pPr>
      <w:bookmarkStart w:id="2" w:name="_5p4ootj4mm9o" w:colFirst="0" w:colLast="0"/>
      <w:bookmarkStart w:id="3" w:name="_Toc220324598"/>
      <w:bookmarkEnd w:id="2"/>
      <w:r>
        <w:t>Abstract</w:t>
      </w:r>
      <w:bookmarkEnd w:id="3"/>
    </w:p>
    <w:p w14:paraId="583C8E01" w14:textId="77777777" w:rsidR="0038718A" w:rsidRDefault="00BF184A">
      <w:pPr>
        <w:rPr>
          <w:b/>
          <w:bCs/>
        </w:rPr>
      </w:pPr>
      <w:r>
        <w:rPr>
          <w:b/>
          <w:bCs/>
        </w:rPr>
        <w:t>Introduction</w:t>
      </w:r>
    </w:p>
    <w:p w14:paraId="2620B201" w14:textId="77777777" w:rsidR="0038718A" w:rsidRDefault="00BF184A">
      <w:r>
        <w:t>This research investigated the relationship between housing quality and the incidence of respiratory infections in 10–18-year-olds living in the UK. It focuses on how various aspects of bad housing such as dampness, mould, overcrowding and insufficient ventilation can increase the risk of developing respiratory conditions through microbiological, public health and social care channels.</w:t>
      </w:r>
    </w:p>
    <w:p w14:paraId="4F598A95" w14:textId="77777777" w:rsidR="0038718A" w:rsidRDefault="00BF184A">
      <w:pPr>
        <w:rPr>
          <w:b/>
          <w:bCs/>
        </w:rPr>
      </w:pPr>
      <w:r>
        <w:rPr>
          <w:b/>
          <w:bCs/>
        </w:rPr>
        <w:t>Methodology</w:t>
      </w:r>
    </w:p>
    <w:p w14:paraId="39265524" w14:textId="77777777" w:rsidR="0038718A" w:rsidRDefault="00BF184A">
      <w:r>
        <w:t xml:space="preserve">Utilising an interpretive approach, a systematic literature review was carried out. Search databases included PubMed, and Google Scholar and only articles published between 2015 and 2025 that had been peer reviewed were identified in accordance with PRISMA standards and evaluated for quality using the CASP guidelines. </w:t>
      </w:r>
    </w:p>
    <w:p w14:paraId="0E9D05D8" w14:textId="77777777" w:rsidR="0038718A" w:rsidRDefault="00BF184A">
      <w:pPr>
        <w:rPr>
          <w:b/>
          <w:bCs/>
        </w:rPr>
      </w:pPr>
      <w:r>
        <w:rPr>
          <w:b/>
          <w:bCs/>
        </w:rPr>
        <w:t xml:space="preserve">Study Results </w:t>
      </w:r>
    </w:p>
    <w:p w14:paraId="38F5F90D" w14:textId="77777777" w:rsidR="0038718A" w:rsidRDefault="00BF184A">
      <w:r>
        <w:t>Three themes emerged from the systematic review. The results of the literature review support that poor housing conditions result in increased respiratory infections through ongoing contact with dampness, moulds and bacteria. The ongoing presence of structural inequalities; housing insecurity; and fragmented public health and social care service delivery systems contribute to the exacerbated risks for low socio-economic status adolescents.</w:t>
      </w:r>
    </w:p>
    <w:p w14:paraId="4F60296F" w14:textId="77777777" w:rsidR="0038718A" w:rsidRDefault="00BF184A">
      <w:pPr>
        <w:rPr>
          <w:b/>
          <w:bCs/>
        </w:rPr>
      </w:pPr>
      <w:r>
        <w:rPr>
          <w:b/>
          <w:bCs/>
        </w:rPr>
        <w:t xml:space="preserve">Conclusions </w:t>
      </w:r>
    </w:p>
    <w:p w14:paraId="37226CA1" w14:textId="77777777" w:rsidR="0038718A" w:rsidRDefault="00BF184A">
      <w:r>
        <w:t>There needs to be an integrated approach to addressing housing-related respiratory infections and health inequities among adolescents in the UK, as well as better co-ordination of efforts between the microbiological remediation; strengthened enforcement of public health policies; and improved consistency of service delivery in social care systems.</w:t>
      </w:r>
      <w:r>
        <w:br w:type="page"/>
      </w:r>
    </w:p>
    <w:p w14:paraId="3EAE2625" w14:textId="77777777" w:rsidR="0038718A" w:rsidRDefault="0038718A">
      <w:pPr>
        <w:spacing w:after="14" w:line="249" w:lineRule="auto"/>
        <w:ind w:left="705"/>
      </w:pPr>
    </w:p>
    <w:p w14:paraId="39FA221F" w14:textId="77777777" w:rsidR="0038718A" w:rsidRDefault="00BF184A">
      <w:pPr>
        <w:pStyle w:val="Heading2"/>
      </w:pPr>
      <w:r>
        <w:t xml:space="preserve"> </w:t>
      </w:r>
    </w:p>
    <w:p w14:paraId="4BFBE071" w14:textId="77777777" w:rsidR="0038718A" w:rsidRDefault="00BF184A">
      <w:pPr>
        <w:widowControl w:val="0"/>
        <w:pBdr>
          <w:top w:val="nil"/>
          <w:left w:val="nil"/>
          <w:bottom w:val="nil"/>
          <w:right w:val="nil"/>
          <w:between w:val="nil"/>
        </w:pBdr>
        <w:spacing w:after="0" w:line="276" w:lineRule="auto"/>
        <w:jc w:val="left"/>
        <w:rPr>
          <w:b/>
          <w:bCs/>
          <w:color w:val="000000"/>
        </w:rPr>
      </w:pPr>
      <w:r>
        <w:rPr>
          <w:b/>
          <w:bCs/>
          <w:color w:val="000000"/>
        </w:rPr>
        <w:t>Table of Contents</w:t>
      </w:r>
    </w:p>
    <w:sdt>
      <w:sdtPr>
        <w:id w:val="446502675"/>
        <w:docPartObj>
          <w:docPartGallery w:val="Table of Contents"/>
          <w:docPartUnique/>
        </w:docPartObj>
      </w:sdtPr>
      <w:sdtEndPr/>
      <w:sdtContent>
        <w:p w14:paraId="18DE3F72" w14:textId="77777777" w:rsidR="0038718A" w:rsidRDefault="00BF184A">
          <w:pPr>
            <w:widowControl w:val="0"/>
            <w:tabs>
              <w:tab w:val="right" w:pos="12000"/>
            </w:tabs>
            <w:spacing w:before="60" w:after="0" w:line="240" w:lineRule="auto"/>
            <w:jc w:val="left"/>
            <w:rPr>
              <w:b/>
              <w:bCs/>
              <w:color w:val="000000"/>
              <w:sz w:val="22"/>
              <w:szCs w:val="22"/>
            </w:rPr>
          </w:pPr>
          <w:r>
            <w:fldChar w:fldCharType="begin"/>
          </w:r>
          <w:r>
            <w:instrText xml:space="preserve"> TOC \h \u \z \t "Heading 1,1,Heading 2,2,Heading 3,3,"</w:instrText>
          </w:r>
          <w:r>
            <w:fldChar w:fldCharType="separate"/>
          </w:r>
          <w:hyperlink w:anchor="_ozymej6zb5l1">
            <w:r>
              <w:rPr>
                <w:b/>
                <w:bCs/>
                <w:color w:val="000000"/>
                <w:sz w:val="22"/>
                <w:szCs w:val="22"/>
              </w:rPr>
              <w:t>Chapter 1: Introduction</w:t>
            </w:r>
            <w:r>
              <w:rPr>
                <w:b/>
                <w:bCs/>
                <w:color w:val="000000"/>
                <w:sz w:val="22"/>
                <w:szCs w:val="22"/>
              </w:rPr>
              <w:tab/>
              <w:t>12</w:t>
            </w:r>
          </w:hyperlink>
        </w:p>
        <w:p w14:paraId="2134BD93" w14:textId="77777777" w:rsidR="0038718A" w:rsidRDefault="00BF184A">
          <w:pPr>
            <w:widowControl w:val="0"/>
            <w:tabs>
              <w:tab w:val="right" w:pos="12000"/>
            </w:tabs>
            <w:spacing w:before="60" w:after="0" w:line="240" w:lineRule="auto"/>
            <w:ind w:left="360"/>
            <w:jc w:val="left"/>
            <w:rPr>
              <w:color w:val="000000"/>
              <w:sz w:val="22"/>
              <w:szCs w:val="22"/>
            </w:rPr>
          </w:pPr>
          <w:hyperlink w:anchor="_64kiccce1lk9">
            <w:r>
              <w:rPr>
                <w:color w:val="000000"/>
                <w:sz w:val="22"/>
                <w:szCs w:val="22"/>
              </w:rPr>
              <w:t>1.1 Research background</w:t>
            </w:r>
            <w:r>
              <w:rPr>
                <w:color w:val="000000"/>
                <w:sz w:val="22"/>
                <w:szCs w:val="22"/>
              </w:rPr>
              <w:tab/>
              <w:t>12</w:t>
            </w:r>
          </w:hyperlink>
        </w:p>
        <w:p w14:paraId="7F597CFA" w14:textId="77777777" w:rsidR="0038718A" w:rsidRDefault="00BF184A">
          <w:pPr>
            <w:widowControl w:val="0"/>
            <w:tabs>
              <w:tab w:val="right" w:pos="12000"/>
            </w:tabs>
            <w:spacing w:before="60" w:after="0" w:line="240" w:lineRule="auto"/>
            <w:ind w:left="360"/>
            <w:jc w:val="left"/>
            <w:rPr>
              <w:color w:val="000000"/>
              <w:sz w:val="22"/>
              <w:szCs w:val="22"/>
            </w:rPr>
          </w:pPr>
          <w:hyperlink w:anchor="_3jucaindg7s">
            <w:r>
              <w:rPr>
                <w:color w:val="000000"/>
                <w:sz w:val="22"/>
                <w:szCs w:val="22"/>
              </w:rPr>
              <w:t>1.2 Research rationale</w:t>
            </w:r>
            <w:r>
              <w:rPr>
                <w:color w:val="000000"/>
                <w:sz w:val="22"/>
                <w:szCs w:val="22"/>
              </w:rPr>
              <w:tab/>
              <w:t>14</w:t>
            </w:r>
          </w:hyperlink>
        </w:p>
        <w:p w14:paraId="271C7516" w14:textId="77777777" w:rsidR="0038718A" w:rsidRDefault="00BF184A">
          <w:pPr>
            <w:widowControl w:val="0"/>
            <w:tabs>
              <w:tab w:val="right" w:pos="12000"/>
            </w:tabs>
            <w:spacing w:before="60" w:after="0" w:line="240" w:lineRule="auto"/>
            <w:ind w:left="360"/>
            <w:jc w:val="left"/>
            <w:rPr>
              <w:color w:val="000000"/>
              <w:sz w:val="22"/>
              <w:szCs w:val="22"/>
            </w:rPr>
          </w:pPr>
          <w:hyperlink w:anchor="_2ixlqrmzox0p">
            <w:r>
              <w:rPr>
                <w:color w:val="000000"/>
              </w:rPr>
              <w:t>1.3 Research question</w:t>
            </w:r>
            <w:r>
              <w:rPr>
                <w:color w:val="000000"/>
              </w:rPr>
              <w:tab/>
              <w:t>14</w:t>
            </w:r>
          </w:hyperlink>
        </w:p>
        <w:p w14:paraId="09C4A6FC" w14:textId="77777777" w:rsidR="0038718A" w:rsidRDefault="00BF184A">
          <w:pPr>
            <w:widowControl w:val="0"/>
            <w:tabs>
              <w:tab w:val="right" w:pos="12000"/>
            </w:tabs>
            <w:spacing w:before="60" w:after="0" w:line="240" w:lineRule="auto"/>
            <w:ind w:left="360"/>
            <w:jc w:val="left"/>
            <w:rPr>
              <w:color w:val="000000"/>
              <w:sz w:val="22"/>
              <w:szCs w:val="22"/>
            </w:rPr>
          </w:pPr>
          <w:hyperlink w:anchor="_svubgeimmzuz">
            <w:r>
              <w:rPr>
                <w:color w:val="000000"/>
                <w:sz w:val="22"/>
                <w:szCs w:val="22"/>
              </w:rPr>
              <w:t>1.4 Research aim and objective</w:t>
            </w:r>
            <w:r>
              <w:rPr>
                <w:color w:val="000000"/>
                <w:sz w:val="22"/>
                <w:szCs w:val="22"/>
              </w:rPr>
              <w:tab/>
              <w:t>14</w:t>
            </w:r>
          </w:hyperlink>
        </w:p>
        <w:p w14:paraId="5846CACA" w14:textId="77777777" w:rsidR="0038718A" w:rsidRDefault="00BF184A">
          <w:pPr>
            <w:widowControl w:val="0"/>
            <w:tabs>
              <w:tab w:val="right" w:pos="12000"/>
            </w:tabs>
            <w:spacing w:before="60" w:after="0" w:line="240" w:lineRule="auto"/>
            <w:ind w:left="360"/>
            <w:jc w:val="left"/>
            <w:rPr>
              <w:color w:val="000000"/>
              <w:sz w:val="22"/>
              <w:szCs w:val="22"/>
            </w:rPr>
          </w:pPr>
          <w:hyperlink w:anchor="_bw8xlujv0c49">
            <w:r>
              <w:rPr>
                <w:color w:val="000000"/>
                <w:sz w:val="22"/>
                <w:szCs w:val="22"/>
              </w:rPr>
              <w:t>1.5 Research significance</w:t>
            </w:r>
            <w:r>
              <w:rPr>
                <w:color w:val="000000"/>
                <w:sz w:val="22"/>
                <w:szCs w:val="22"/>
              </w:rPr>
              <w:tab/>
              <w:t>15</w:t>
            </w:r>
          </w:hyperlink>
        </w:p>
        <w:p w14:paraId="2EDE9EE5" w14:textId="77777777" w:rsidR="0038718A" w:rsidRDefault="00BF184A">
          <w:pPr>
            <w:widowControl w:val="0"/>
            <w:tabs>
              <w:tab w:val="right" w:pos="12000"/>
            </w:tabs>
            <w:spacing w:before="60" w:after="0" w:line="240" w:lineRule="auto"/>
            <w:ind w:left="360"/>
            <w:jc w:val="left"/>
            <w:rPr>
              <w:color w:val="000000"/>
              <w:sz w:val="22"/>
              <w:szCs w:val="22"/>
            </w:rPr>
          </w:pPr>
          <w:hyperlink w:anchor="_fuxifkyxuahp">
            <w:r>
              <w:rPr>
                <w:color w:val="000000"/>
                <w:sz w:val="22"/>
                <w:szCs w:val="22"/>
              </w:rPr>
              <w:t>1.6 Literature based background discussion</w:t>
            </w:r>
            <w:r>
              <w:rPr>
                <w:color w:val="000000"/>
                <w:sz w:val="22"/>
                <w:szCs w:val="22"/>
              </w:rPr>
              <w:tab/>
              <w:t>16</w:t>
            </w:r>
          </w:hyperlink>
        </w:p>
        <w:p w14:paraId="2D82862B" w14:textId="77777777" w:rsidR="0038718A" w:rsidRDefault="00BF184A">
          <w:pPr>
            <w:widowControl w:val="0"/>
            <w:tabs>
              <w:tab w:val="right" w:pos="12000"/>
            </w:tabs>
            <w:spacing w:before="60" w:after="0" w:line="240" w:lineRule="auto"/>
            <w:ind w:left="360"/>
            <w:jc w:val="left"/>
            <w:rPr>
              <w:color w:val="000000"/>
              <w:sz w:val="22"/>
              <w:szCs w:val="22"/>
            </w:rPr>
          </w:pPr>
          <w:hyperlink w:anchor="_moes42z87vbx">
            <w:r>
              <w:rPr>
                <w:color w:val="000000"/>
                <w:sz w:val="22"/>
                <w:szCs w:val="22"/>
              </w:rPr>
              <w:t>1.7 Research gap</w:t>
            </w:r>
            <w:r>
              <w:rPr>
                <w:color w:val="000000"/>
                <w:sz w:val="22"/>
                <w:szCs w:val="22"/>
              </w:rPr>
              <w:tab/>
              <w:t>17</w:t>
            </w:r>
          </w:hyperlink>
        </w:p>
        <w:p w14:paraId="0361E456" w14:textId="77777777" w:rsidR="0038718A" w:rsidRDefault="00BF184A">
          <w:pPr>
            <w:widowControl w:val="0"/>
            <w:tabs>
              <w:tab w:val="right" w:pos="12000"/>
            </w:tabs>
            <w:spacing w:before="60" w:after="0" w:line="240" w:lineRule="auto"/>
            <w:jc w:val="left"/>
            <w:rPr>
              <w:b/>
              <w:bCs/>
              <w:color w:val="000000"/>
              <w:sz w:val="22"/>
              <w:szCs w:val="22"/>
            </w:rPr>
          </w:pPr>
          <w:hyperlink w:anchor="_e2q4jimhjmyh">
            <w:r>
              <w:rPr>
                <w:b/>
                <w:bCs/>
                <w:color w:val="000000"/>
                <w:sz w:val="22"/>
                <w:szCs w:val="22"/>
              </w:rPr>
              <w:t>Chapter 2: Literature review</w:t>
            </w:r>
            <w:r>
              <w:rPr>
                <w:b/>
                <w:bCs/>
                <w:color w:val="000000"/>
                <w:sz w:val="22"/>
                <w:szCs w:val="22"/>
              </w:rPr>
              <w:tab/>
              <w:t>18</w:t>
            </w:r>
          </w:hyperlink>
        </w:p>
        <w:p w14:paraId="5D815A02" w14:textId="77777777" w:rsidR="0038718A" w:rsidRDefault="00BF184A">
          <w:pPr>
            <w:widowControl w:val="0"/>
            <w:tabs>
              <w:tab w:val="right" w:pos="12000"/>
            </w:tabs>
            <w:spacing w:before="60" w:after="0" w:line="240" w:lineRule="auto"/>
            <w:ind w:left="360"/>
            <w:jc w:val="left"/>
            <w:rPr>
              <w:color w:val="000000"/>
              <w:sz w:val="22"/>
              <w:szCs w:val="22"/>
            </w:rPr>
          </w:pPr>
          <w:hyperlink w:anchor="_67zdzgxy4unc">
            <w:r>
              <w:rPr>
                <w:color w:val="000000"/>
              </w:rPr>
              <w:t>2.1 Introduction</w:t>
            </w:r>
            <w:r>
              <w:rPr>
                <w:color w:val="000000"/>
              </w:rPr>
              <w:tab/>
              <w:t>18</w:t>
            </w:r>
          </w:hyperlink>
        </w:p>
        <w:p w14:paraId="4666E35B" w14:textId="77777777" w:rsidR="0038718A" w:rsidRDefault="00BF184A">
          <w:pPr>
            <w:widowControl w:val="0"/>
            <w:tabs>
              <w:tab w:val="right" w:pos="12000"/>
            </w:tabs>
            <w:spacing w:before="60" w:after="0" w:line="240" w:lineRule="auto"/>
            <w:ind w:left="720"/>
            <w:jc w:val="left"/>
            <w:rPr>
              <w:color w:val="000000"/>
              <w:sz w:val="22"/>
              <w:szCs w:val="22"/>
            </w:rPr>
          </w:pPr>
          <w:hyperlink w:anchor="_w00key9go36i">
            <w:r>
              <w:rPr>
                <w:color w:val="000000"/>
                <w:sz w:val="22"/>
                <w:szCs w:val="22"/>
              </w:rPr>
              <w:t>2.2. Decent Home Standard for young people and their families</w:t>
            </w:r>
            <w:r>
              <w:rPr>
                <w:color w:val="000000"/>
                <w:sz w:val="22"/>
                <w:szCs w:val="22"/>
              </w:rPr>
              <w:tab/>
              <w:t>18</w:t>
            </w:r>
          </w:hyperlink>
        </w:p>
        <w:p w14:paraId="742CF1B9" w14:textId="77777777" w:rsidR="0038718A" w:rsidRDefault="00BF184A">
          <w:pPr>
            <w:widowControl w:val="0"/>
            <w:tabs>
              <w:tab w:val="right" w:pos="12000"/>
            </w:tabs>
            <w:spacing w:before="60" w:after="0" w:line="240" w:lineRule="auto"/>
            <w:ind w:left="720"/>
            <w:jc w:val="left"/>
            <w:rPr>
              <w:color w:val="000000"/>
              <w:sz w:val="22"/>
              <w:szCs w:val="22"/>
            </w:rPr>
          </w:pPr>
          <w:hyperlink w:anchor="_lkmh63ui590j">
            <w:r>
              <w:rPr>
                <w:color w:val="000000"/>
              </w:rPr>
              <w:t>2.3.2 Overview of Microbiological Research on Housing Quality</w:t>
            </w:r>
            <w:r>
              <w:rPr>
                <w:color w:val="000000"/>
              </w:rPr>
              <w:tab/>
              <w:t>19</w:t>
            </w:r>
          </w:hyperlink>
        </w:p>
        <w:p w14:paraId="7B4233F9" w14:textId="77777777" w:rsidR="0038718A" w:rsidRDefault="00BF184A">
          <w:pPr>
            <w:widowControl w:val="0"/>
            <w:tabs>
              <w:tab w:val="right" w:pos="12000"/>
            </w:tabs>
            <w:spacing w:before="60" w:after="0" w:line="240" w:lineRule="auto"/>
            <w:ind w:left="720"/>
            <w:jc w:val="left"/>
            <w:rPr>
              <w:color w:val="000000"/>
              <w:sz w:val="22"/>
              <w:szCs w:val="22"/>
            </w:rPr>
          </w:pPr>
          <w:hyperlink w:anchor="_nf64p0jcdq18">
            <w:r>
              <w:rPr>
                <w:color w:val="000000"/>
                <w:sz w:val="22"/>
                <w:szCs w:val="22"/>
              </w:rPr>
              <w:t>2.3.3 Dampness, Mould and Fungal Contaminants</w:t>
            </w:r>
            <w:r>
              <w:rPr>
                <w:color w:val="000000"/>
                <w:sz w:val="22"/>
                <w:szCs w:val="22"/>
              </w:rPr>
              <w:tab/>
              <w:t>19</w:t>
            </w:r>
          </w:hyperlink>
        </w:p>
        <w:p w14:paraId="35D0DBB5" w14:textId="77777777" w:rsidR="0038718A" w:rsidRDefault="00BF184A">
          <w:pPr>
            <w:widowControl w:val="0"/>
            <w:tabs>
              <w:tab w:val="right" w:pos="12000"/>
            </w:tabs>
            <w:spacing w:before="60" w:after="0" w:line="240" w:lineRule="auto"/>
            <w:ind w:left="720"/>
            <w:jc w:val="left"/>
            <w:rPr>
              <w:color w:val="000000"/>
              <w:sz w:val="22"/>
              <w:szCs w:val="22"/>
            </w:rPr>
          </w:pPr>
          <w:hyperlink w:anchor="_kr1f09bp57tf">
            <w:r>
              <w:rPr>
                <w:color w:val="000000"/>
                <w:sz w:val="22"/>
                <w:szCs w:val="22"/>
              </w:rPr>
              <w:t>2.3.4 Bacterial Contaminants and Indoor Air Quality</w:t>
            </w:r>
            <w:r>
              <w:rPr>
                <w:color w:val="000000"/>
                <w:sz w:val="22"/>
                <w:szCs w:val="22"/>
              </w:rPr>
              <w:tab/>
              <w:t>20</w:t>
            </w:r>
          </w:hyperlink>
        </w:p>
        <w:p w14:paraId="28897929" w14:textId="77777777" w:rsidR="0038718A" w:rsidRDefault="00BF184A">
          <w:pPr>
            <w:widowControl w:val="0"/>
            <w:tabs>
              <w:tab w:val="right" w:pos="12000"/>
            </w:tabs>
            <w:spacing w:before="60" w:after="0" w:line="240" w:lineRule="auto"/>
            <w:ind w:left="360"/>
            <w:jc w:val="left"/>
            <w:rPr>
              <w:color w:val="000000"/>
              <w:sz w:val="22"/>
              <w:szCs w:val="22"/>
            </w:rPr>
          </w:pPr>
          <w:hyperlink w:anchor="_cfxms8bmm4rl">
            <w:r>
              <w:rPr>
                <w:color w:val="000000"/>
                <w:sz w:val="22"/>
                <w:szCs w:val="22"/>
              </w:rPr>
              <w:t>2.4 Public Health Consequences of Poor Housing in the UK</w:t>
            </w:r>
            <w:r>
              <w:rPr>
                <w:color w:val="000000"/>
                <w:sz w:val="22"/>
                <w:szCs w:val="22"/>
              </w:rPr>
              <w:tab/>
              <w:t>20</w:t>
            </w:r>
          </w:hyperlink>
        </w:p>
        <w:p w14:paraId="3CF9DB88" w14:textId="77777777" w:rsidR="0038718A" w:rsidRDefault="00BF184A">
          <w:pPr>
            <w:widowControl w:val="0"/>
            <w:tabs>
              <w:tab w:val="right" w:pos="12000"/>
            </w:tabs>
            <w:spacing w:before="60" w:after="0" w:line="240" w:lineRule="auto"/>
            <w:ind w:left="720"/>
            <w:jc w:val="left"/>
            <w:rPr>
              <w:color w:val="000000"/>
              <w:sz w:val="22"/>
              <w:szCs w:val="22"/>
            </w:rPr>
          </w:pPr>
          <w:hyperlink w:anchor="_o4e21666wv0q">
            <w:r>
              <w:rPr>
                <w:color w:val="000000"/>
                <w:sz w:val="22"/>
                <w:szCs w:val="22"/>
              </w:rPr>
              <w:t>2.4.1 Respiratory Health Burden in the UK</w:t>
            </w:r>
            <w:r>
              <w:rPr>
                <w:color w:val="000000"/>
                <w:sz w:val="22"/>
                <w:szCs w:val="22"/>
              </w:rPr>
              <w:tab/>
              <w:t>20</w:t>
            </w:r>
          </w:hyperlink>
        </w:p>
        <w:p w14:paraId="5867CEBD" w14:textId="77777777" w:rsidR="0038718A" w:rsidRDefault="00BF184A">
          <w:pPr>
            <w:widowControl w:val="0"/>
            <w:tabs>
              <w:tab w:val="right" w:pos="12000"/>
            </w:tabs>
            <w:spacing w:before="60" w:after="0" w:line="240" w:lineRule="auto"/>
            <w:ind w:left="720"/>
            <w:jc w:val="left"/>
            <w:rPr>
              <w:color w:val="000000"/>
              <w:sz w:val="22"/>
              <w:szCs w:val="22"/>
            </w:rPr>
          </w:pPr>
          <w:hyperlink w:anchor="_ofx272x3opkm">
            <w:r>
              <w:rPr>
                <w:color w:val="000000"/>
                <w:sz w:val="22"/>
                <w:szCs w:val="22"/>
              </w:rPr>
              <w:t>2.4.2 Determinants of Housing-Related Respiratory Illness</w:t>
            </w:r>
            <w:r>
              <w:rPr>
                <w:color w:val="000000"/>
                <w:sz w:val="22"/>
                <w:szCs w:val="22"/>
              </w:rPr>
              <w:tab/>
              <w:t>21</w:t>
            </w:r>
          </w:hyperlink>
        </w:p>
        <w:p w14:paraId="21731CCD" w14:textId="77777777" w:rsidR="0038718A" w:rsidRDefault="00BF184A">
          <w:pPr>
            <w:widowControl w:val="0"/>
            <w:tabs>
              <w:tab w:val="right" w:pos="12000"/>
            </w:tabs>
            <w:spacing w:before="60" w:after="0" w:line="240" w:lineRule="auto"/>
            <w:ind w:left="720"/>
            <w:jc w:val="left"/>
            <w:rPr>
              <w:color w:val="000000"/>
              <w:sz w:val="22"/>
              <w:szCs w:val="22"/>
            </w:rPr>
          </w:pPr>
          <w:hyperlink w:anchor="_jhv0kexawttj">
            <w:r>
              <w:rPr>
                <w:color w:val="000000"/>
                <w:sz w:val="22"/>
                <w:szCs w:val="22"/>
              </w:rPr>
              <w:t>2.4.3 Public Health Strategies Addressing Housing Hazards</w:t>
            </w:r>
            <w:r>
              <w:rPr>
                <w:color w:val="000000"/>
                <w:sz w:val="22"/>
                <w:szCs w:val="22"/>
              </w:rPr>
              <w:tab/>
              <w:t>21</w:t>
            </w:r>
          </w:hyperlink>
        </w:p>
        <w:p w14:paraId="5824ACC7" w14:textId="77777777" w:rsidR="0038718A" w:rsidRDefault="00BF184A">
          <w:pPr>
            <w:widowControl w:val="0"/>
            <w:tabs>
              <w:tab w:val="right" w:pos="12000"/>
            </w:tabs>
            <w:spacing w:before="60" w:after="0" w:line="240" w:lineRule="auto"/>
            <w:ind w:left="720"/>
            <w:jc w:val="left"/>
            <w:rPr>
              <w:color w:val="000000"/>
              <w:sz w:val="22"/>
              <w:szCs w:val="22"/>
            </w:rPr>
          </w:pPr>
          <w:hyperlink w:anchor="_hcx8wq7dhqy4">
            <w:r>
              <w:rPr>
                <w:color w:val="000000"/>
                <w:sz w:val="22"/>
                <w:szCs w:val="22"/>
              </w:rPr>
              <w:t>2.4.4 Effectiveness of Current Public Health Intervention</w:t>
            </w:r>
            <w:r>
              <w:rPr>
                <w:color w:val="000000"/>
                <w:sz w:val="22"/>
                <w:szCs w:val="22"/>
              </w:rPr>
              <w:tab/>
              <w:t>23</w:t>
            </w:r>
          </w:hyperlink>
        </w:p>
        <w:p w14:paraId="12053300" w14:textId="77777777" w:rsidR="0038718A" w:rsidRDefault="00BF184A">
          <w:pPr>
            <w:widowControl w:val="0"/>
            <w:tabs>
              <w:tab w:val="right" w:pos="12000"/>
            </w:tabs>
            <w:spacing w:before="60" w:after="0" w:line="240" w:lineRule="auto"/>
            <w:ind w:left="360"/>
            <w:jc w:val="left"/>
            <w:rPr>
              <w:color w:val="000000"/>
              <w:sz w:val="22"/>
              <w:szCs w:val="22"/>
            </w:rPr>
          </w:pPr>
          <w:hyperlink w:anchor="_39173jtbd4l4">
            <w:r>
              <w:rPr>
                <w:color w:val="000000"/>
                <w:sz w:val="22"/>
                <w:szCs w:val="22"/>
              </w:rPr>
              <w:t>2.5 Social Care Responses for Vulnerable Populations</w:t>
            </w:r>
            <w:r>
              <w:rPr>
                <w:color w:val="000000"/>
                <w:sz w:val="22"/>
                <w:szCs w:val="22"/>
              </w:rPr>
              <w:tab/>
              <w:t>23</w:t>
            </w:r>
          </w:hyperlink>
        </w:p>
        <w:p w14:paraId="6C823F45" w14:textId="77777777" w:rsidR="0038718A" w:rsidRDefault="00BF184A">
          <w:pPr>
            <w:widowControl w:val="0"/>
            <w:tabs>
              <w:tab w:val="right" w:pos="12000"/>
            </w:tabs>
            <w:spacing w:before="60" w:after="0" w:line="240" w:lineRule="auto"/>
            <w:ind w:left="720"/>
            <w:jc w:val="left"/>
            <w:rPr>
              <w:color w:val="000000"/>
              <w:sz w:val="22"/>
              <w:szCs w:val="22"/>
            </w:rPr>
          </w:pPr>
          <w:hyperlink w:anchor="_kqydrc6f42sw">
            <w:r>
              <w:rPr>
                <w:color w:val="000000"/>
                <w:sz w:val="22"/>
                <w:szCs w:val="22"/>
              </w:rPr>
              <w:t>2.5.1 Housing Instability and Vulnerability in Adolescents</w:t>
            </w:r>
            <w:r>
              <w:rPr>
                <w:color w:val="000000"/>
                <w:sz w:val="22"/>
                <w:szCs w:val="22"/>
              </w:rPr>
              <w:tab/>
              <w:t>23</w:t>
            </w:r>
          </w:hyperlink>
        </w:p>
        <w:p w14:paraId="5BC223B7" w14:textId="77777777" w:rsidR="0038718A" w:rsidRDefault="00BF184A">
          <w:pPr>
            <w:widowControl w:val="0"/>
            <w:tabs>
              <w:tab w:val="right" w:pos="12000"/>
            </w:tabs>
            <w:spacing w:before="60" w:after="0" w:line="240" w:lineRule="auto"/>
            <w:ind w:left="720"/>
            <w:jc w:val="left"/>
            <w:rPr>
              <w:color w:val="000000"/>
              <w:sz w:val="22"/>
              <w:szCs w:val="22"/>
            </w:rPr>
          </w:pPr>
          <w:hyperlink w:anchor="_du2fqsacjfrg">
            <w:r>
              <w:rPr>
                <w:color w:val="000000"/>
                <w:sz w:val="22"/>
                <w:szCs w:val="22"/>
              </w:rPr>
              <w:t>2.5.2 Role of Social Care Service</w:t>
            </w:r>
            <w:r>
              <w:rPr>
                <w:color w:val="000000"/>
                <w:sz w:val="22"/>
                <w:szCs w:val="22"/>
              </w:rPr>
              <w:tab/>
              <w:t>24</w:t>
            </w:r>
          </w:hyperlink>
        </w:p>
        <w:p w14:paraId="41E101AA" w14:textId="77777777" w:rsidR="0038718A" w:rsidRDefault="00BF184A">
          <w:pPr>
            <w:widowControl w:val="0"/>
            <w:tabs>
              <w:tab w:val="right" w:pos="12000"/>
            </w:tabs>
            <w:spacing w:before="60" w:after="0" w:line="240" w:lineRule="auto"/>
            <w:ind w:left="720"/>
            <w:jc w:val="left"/>
            <w:rPr>
              <w:color w:val="000000"/>
              <w:sz w:val="22"/>
              <w:szCs w:val="22"/>
            </w:rPr>
          </w:pPr>
          <w:hyperlink w:anchor="_bolxhl1hc9w7">
            <w:r>
              <w:rPr>
                <w:color w:val="000000"/>
                <w:sz w:val="22"/>
                <w:szCs w:val="22"/>
              </w:rPr>
              <w:t>2.5.3 Interagency Collaboration Models</w:t>
            </w:r>
            <w:r>
              <w:rPr>
                <w:color w:val="000000"/>
                <w:sz w:val="22"/>
                <w:szCs w:val="22"/>
              </w:rPr>
              <w:tab/>
              <w:t>24</w:t>
            </w:r>
          </w:hyperlink>
        </w:p>
        <w:p w14:paraId="7009BCF5" w14:textId="77777777" w:rsidR="0038718A" w:rsidRDefault="00BF184A">
          <w:pPr>
            <w:widowControl w:val="0"/>
            <w:tabs>
              <w:tab w:val="right" w:pos="12000"/>
            </w:tabs>
            <w:spacing w:before="60" w:after="0" w:line="240" w:lineRule="auto"/>
            <w:ind w:left="720"/>
            <w:jc w:val="left"/>
            <w:rPr>
              <w:color w:val="000000"/>
              <w:sz w:val="22"/>
              <w:szCs w:val="22"/>
            </w:rPr>
          </w:pPr>
          <w:hyperlink w:anchor="_9fw2al8svz62">
            <w:r>
              <w:rPr>
                <w:color w:val="000000"/>
                <w:sz w:val="22"/>
                <w:szCs w:val="22"/>
              </w:rPr>
              <w:t>2.5.4 Effectiveness of Social Care Interventions</w:t>
            </w:r>
            <w:r>
              <w:rPr>
                <w:color w:val="000000"/>
                <w:sz w:val="22"/>
                <w:szCs w:val="22"/>
              </w:rPr>
              <w:tab/>
              <w:t>24</w:t>
            </w:r>
          </w:hyperlink>
        </w:p>
        <w:p w14:paraId="40A2F9EA" w14:textId="77777777" w:rsidR="0038718A" w:rsidRDefault="00BF184A">
          <w:pPr>
            <w:widowControl w:val="0"/>
            <w:tabs>
              <w:tab w:val="right" w:pos="12000"/>
            </w:tabs>
            <w:spacing w:before="60" w:after="0" w:line="240" w:lineRule="auto"/>
            <w:ind w:left="360"/>
            <w:jc w:val="left"/>
            <w:rPr>
              <w:color w:val="000000"/>
              <w:sz w:val="22"/>
              <w:szCs w:val="22"/>
            </w:rPr>
          </w:pPr>
          <w:hyperlink w:anchor="_us5utjoqamni">
            <w:r>
              <w:rPr>
                <w:color w:val="000000"/>
              </w:rPr>
              <w:t>2.6 Theoretical framework</w:t>
            </w:r>
            <w:r>
              <w:rPr>
                <w:color w:val="000000"/>
              </w:rPr>
              <w:tab/>
              <w:t>25</w:t>
            </w:r>
          </w:hyperlink>
        </w:p>
        <w:p w14:paraId="475A6A09" w14:textId="77777777" w:rsidR="0038718A" w:rsidRDefault="00BF184A">
          <w:pPr>
            <w:widowControl w:val="0"/>
            <w:tabs>
              <w:tab w:val="right" w:pos="12000"/>
            </w:tabs>
            <w:spacing w:before="60" w:after="0" w:line="240" w:lineRule="auto"/>
            <w:ind w:left="360"/>
            <w:jc w:val="left"/>
            <w:rPr>
              <w:color w:val="000000"/>
              <w:sz w:val="22"/>
              <w:szCs w:val="22"/>
            </w:rPr>
          </w:pPr>
          <w:hyperlink w:anchor="_celx4dr76j3n">
            <w:r>
              <w:rPr>
                <w:color w:val="000000"/>
              </w:rPr>
              <w:t xml:space="preserve">2.7 Identified Research Gaps </w:t>
            </w:r>
            <w:r>
              <w:rPr>
                <w:color w:val="000000"/>
              </w:rPr>
              <w:tab/>
              <w:t>26</w:t>
            </w:r>
          </w:hyperlink>
        </w:p>
        <w:p w14:paraId="72A2C7EA" w14:textId="77777777" w:rsidR="0038718A" w:rsidRDefault="00BF184A">
          <w:pPr>
            <w:widowControl w:val="0"/>
            <w:tabs>
              <w:tab w:val="right" w:pos="12000"/>
            </w:tabs>
            <w:spacing w:before="60" w:after="0" w:line="240" w:lineRule="auto"/>
            <w:ind w:left="360"/>
            <w:jc w:val="left"/>
            <w:rPr>
              <w:color w:val="000000"/>
              <w:sz w:val="22"/>
              <w:szCs w:val="22"/>
            </w:rPr>
          </w:pPr>
          <w:hyperlink w:anchor="_acv8lkfa4nzd">
            <w:r>
              <w:rPr>
                <w:color w:val="000000"/>
              </w:rPr>
              <w:t>2.8 Summary of Findings</w:t>
            </w:r>
            <w:r>
              <w:rPr>
                <w:color w:val="000000"/>
              </w:rPr>
              <w:tab/>
              <w:t>26</w:t>
            </w:r>
          </w:hyperlink>
        </w:p>
        <w:p w14:paraId="69DC4461" w14:textId="77777777" w:rsidR="0038718A" w:rsidRDefault="00BF184A">
          <w:pPr>
            <w:widowControl w:val="0"/>
            <w:tabs>
              <w:tab w:val="right" w:pos="12000"/>
            </w:tabs>
            <w:spacing w:before="60" w:after="0" w:line="240" w:lineRule="auto"/>
            <w:jc w:val="left"/>
            <w:rPr>
              <w:b/>
              <w:bCs/>
              <w:color w:val="000000"/>
              <w:sz w:val="22"/>
              <w:szCs w:val="22"/>
            </w:rPr>
          </w:pPr>
          <w:hyperlink w:anchor="_n51clh5vos6b">
            <w:r>
              <w:rPr>
                <w:b/>
                <w:bCs/>
                <w:color w:val="000000"/>
                <w:sz w:val="22"/>
                <w:szCs w:val="22"/>
              </w:rPr>
              <w:t>Chapter 3: Research Methodology</w:t>
            </w:r>
            <w:r>
              <w:rPr>
                <w:b/>
                <w:bCs/>
                <w:color w:val="000000"/>
                <w:sz w:val="22"/>
                <w:szCs w:val="22"/>
              </w:rPr>
              <w:tab/>
              <w:t>28</w:t>
            </w:r>
          </w:hyperlink>
        </w:p>
        <w:p w14:paraId="42383E7D" w14:textId="77777777" w:rsidR="0038718A" w:rsidRDefault="00BF184A">
          <w:pPr>
            <w:widowControl w:val="0"/>
            <w:tabs>
              <w:tab w:val="right" w:pos="12000"/>
            </w:tabs>
            <w:spacing w:before="60" w:after="0" w:line="240" w:lineRule="auto"/>
            <w:ind w:left="360"/>
            <w:jc w:val="left"/>
            <w:rPr>
              <w:color w:val="000000"/>
              <w:sz w:val="22"/>
              <w:szCs w:val="22"/>
            </w:rPr>
          </w:pPr>
          <w:hyperlink w:anchor="_bpeoisas7y2m">
            <w:r>
              <w:rPr>
                <w:color w:val="000000"/>
              </w:rPr>
              <w:t>3.1Introduction</w:t>
            </w:r>
            <w:r>
              <w:rPr>
                <w:color w:val="000000"/>
              </w:rPr>
              <w:tab/>
              <w:t>28</w:t>
            </w:r>
          </w:hyperlink>
        </w:p>
        <w:p w14:paraId="02C227EB" w14:textId="77777777" w:rsidR="0038718A" w:rsidRDefault="00BF184A">
          <w:pPr>
            <w:widowControl w:val="0"/>
            <w:tabs>
              <w:tab w:val="right" w:pos="12000"/>
            </w:tabs>
            <w:spacing w:before="60" w:after="0" w:line="240" w:lineRule="auto"/>
            <w:ind w:left="360"/>
            <w:jc w:val="left"/>
            <w:rPr>
              <w:color w:val="000000"/>
              <w:sz w:val="22"/>
              <w:szCs w:val="22"/>
            </w:rPr>
          </w:pPr>
          <w:hyperlink w:anchor="_s02b17xp47yl">
            <w:r>
              <w:rPr>
                <w:color w:val="000000"/>
              </w:rPr>
              <w:t>3.2 Research Method Design</w:t>
            </w:r>
            <w:r>
              <w:rPr>
                <w:color w:val="000000"/>
              </w:rPr>
              <w:tab/>
              <w:t>28</w:t>
            </w:r>
          </w:hyperlink>
        </w:p>
        <w:p w14:paraId="6D820210" w14:textId="77777777" w:rsidR="0038718A" w:rsidRDefault="00BF184A">
          <w:pPr>
            <w:widowControl w:val="0"/>
            <w:tabs>
              <w:tab w:val="right" w:pos="12000"/>
            </w:tabs>
            <w:spacing w:before="60" w:after="0" w:line="240" w:lineRule="auto"/>
            <w:ind w:left="720"/>
            <w:jc w:val="left"/>
            <w:rPr>
              <w:color w:val="000000"/>
              <w:sz w:val="22"/>
              <w:szCs w:val="22"/>
            </w:rPr>
          </w:pPr>
          <w:hyperlink w:anchor="_6r7f8ia0ux1f">
            <w:r>
              <w:rPr>
                <w:color w:val="000000"/>
              </w:rPr>
              <w:t>3.2.1 Philosophy</w:t>
            </w:r>
            <w:r>
              <w:rPr>
                <w:color w:val="000000"/>
              </w:rPr>
              <w:tab/>
              <w:t>28</w:t>
            </w:r>
          </w:hyperlink>
        </w:p>
        <w:p w14:paraId="2F9619A6" w14:textId="77777777" w:rsidR="0038718A" w:rsidRDefault="00BF184A">
          <w:pPr>
            <w:widowControl w:val="0"/>
            <w:tabs>
              <w:tab w:val="right" w:pos="12000"/>
            </w:tabs>
            <w:spacing w:before="60" w:after="0" w:line="240" w:lineRule="auto"/>
            <w:ind w:left="720"/>
            <w:jc w:val="left"/>
            <w:rPr>
              <w:color w:val="000000"/>
              <w:sz w:val="22"/>
              <w:szCs w:val="22"/>
            </w:rPr>
          </w:pPr>
          <w:hyperlink w:anchor="_56wuomi16x5v">
            <w:r>
              <w:rPr>
                <w:color w:val="000000"/>
              </w:rPr>
              <w:t>3.2.2 Approach</w:t>
            </w:r>
            <w:r>
              <w:rPr>
                <w:color w:val="000000"/>
              </w:rPr>
              <w:tab/>
              <w:t>28</w:t>
            </w:r>
          </w:hyperlink>
        </w:p>
        <w:p w14:paraId="2C62CD0C" w14:textId="77777777" w:rsidR="0038718A" w:rsidRDefault="00BF184A">
          <w:pPr>
            <w:widowControl w:val="0"/>
            <w:tabs>
              <w:tab w:val="right" w:pos="12000"/>
            </w:tabs>
            <w:spacing w:before="60" w:after="0" w:line="240" w:lineRule="auto"/>
            <w:ind w:left="720"/>
            <w:jc w:val="left"/>
            <w:rPr>
              <w:color w:val="000000"/>
              <w:sz w:val="22"/>
              <w:szCs w:val="22"/>
            </w:rPr>
          </w:pPr>
          <w:hyperlink w:anchor="_s8vhgs54h58r">
            <w:r>
              <w:rPr>
                <w:color w:val="000000"/>
              </w:rPr>
              <w:t>3.2.3 Design</w:t>
            </w:r>
            <w:r>
              <w:rPr>
                <w:color w:val="000000"/>
              </w:rPr>
              <w:tab/>
              <w:t>29</w:t>
            </w:r>
          </w:hyperlink>
        </w:p>
        <w:p w14:paraId="656113BB" w14:textId="77777777" w:rsidR="0038718A" w:rsidRDefault="00BF184A">
          <w:pPr>
            <w:widowControl w:val="0"/>
            <w:tabs>
              <w:tab w:val="right" w:pos="12000"/>
            </w:tabs>
            <w:spacing w:before="60" w:after="0" w:line="240" w:lineRule="auto"/>
            <w:ind w:left="360"/>
            <w:jc w:val="left"/>
            <w:rPr>
              <w:color w:val="000000"/>
              <w:sz w:val="22"/>
              <w:szCs w:val="22"/>
            </w:rPr>
          </w:pPr>
          <w:hyperlink w:anchor="_hb49lnqi5f84">
            <w:r>
              <w:rPr>
                <w:color w:val="000000"/>
              </w:rPr>
              <w:t>3.3 Data Collection</w:t>
            </w:r>
            <w:r>
              <w:rPr>
                <w:color w:val="000000"/>
              </w:rPr>
              <w:tab/>
              <w:t>29</w:t>
            </w:r>
          </w:hyperlink>
        </w:p>
        <w:p w14:paraId="583EECFC" w14:textId="77777777" w:rsidR="0038718A" w:rsidRDefault="00BF184A">
          <w:pPr>
            <w:widowControl w:val="0"/>
            <w:tabs>
              <w:tab w:val="right" w:pos="12000"/>
            </w:tabs>
            <w:spacing w:before="60" w:after="0" w:line="240" w:lineRule="auto"/>
            <w:ind w:left="720"/>
            <w:jc w:val="left"/>
            <w:rPr>
              <w:color w:val="000000"/>
              <w:sz w:val="22"/>
              <w:szCs w:val="22"/>
            </w:rPr>
          </w:pPr>
          <w:hyperlink w:anchor="_o1uhy4p224j8">
            <w:r>
              <w:rPr>
                <w:color w:val="000000"/>
              </w:rPr>
              <w:t>3.3.1 Boolean Operators</w:t>
            </w:r>
            <w:r>
              <w:rPr>
                <w:color w:val="000000"/>
              </w:rPr>
              <w:tab/>
              <w:t>29</w:t>
            </w:r>
          </w:hyperlink>
        </w:p>
        <w:p w14:paraId="011669A6" w14:textId="77777777" w:rsidR="0038718A" w:rsidRDefault="00BF184A">
          <w:pPr>
            <w:widowControl w:val="0"/>
            <w:tabs>
              <w:tab w:val="right" w:pos="12000"/>
            </w:tabs>
            <w:spacing w:before="60" w:after="0" w:line="240" w:lineRule="auto"/>
            <w:ind w:left="720"/>
            <w:jc w:val="left"/>
            <w:rPr>
              <w:color w:val="000000"/>
              <w:sz w:val="22"/>
              <w:szCs w:val="22"/>
            </w:rPr>
          </w:pPr>
          <w:hyperlink w:anchor="_pkprcq7flxf6">
            <w:r>
              <w:rPr>
                <w:color w:val="000000"/>
              </w:rPr>
              <w:t>3.3.2 Inclusion and Exclusion Criteria</w:t>
            </w:r>
            <w:r>
              <w:rPr>
                <w:color w:val="000000"/>
              </w:rPr>
              <w:tab/>
              <w:t>31</w:t>
            </w:r>
          </w:hyperlink>
        </w:p>
        <w:p w14:paraId="53DFC092" w14:textId="77777777" w:rsidR="0038718A" w:rsidRDefault="00BF184A">
          <w:pPr>
            <w:widowControl w:val="0"/>
            <w:tabs>
              <w:tab w:val="right" w:pos="12000"/>
            </w:tabs>
            <w:spacing w:before="60" w:after="0" w:line="240" w:lineRule="auto"/>
            <w:ind w:left="720"/>
            <w:jc w:val="left"/>
            <w:rPr>
              <w:color w:val="000000"/>
              <w:sz w:val="22"/>
              <w:szCs w:val="22"/>
            </w:rPr>
          </w:pPr>
          <w:hyperlink w:anchor="_g92pwhcf4sqs">
            <w:r>
              <w:rPr>
                <w:color w:val="000000"/>
              </w:rPr>
              <w:t>3.3.3 Search Strategy</w:t>
            </w:r>
            <w:r>
              <w:rPr>
                <w:color w:val="000000"/>
              </w:rPr>
              <w:tab/>
              <w:t>32</w:t>
            </w:r>
          </w:hyperlink>
        </w:p>
        <w:p w14:paraId="49EB94E1" w14:textId="77777777" w:rsidR="0038718A" w:rsidRDefault="00BF184A">
          <w:pPr>
            <w:widowControl w:val="0"/>
            <w:tabs>
              <w:tab w:val="right" w:pos="12000"/>
            </w:tabs>
            <w:spacing w:before="60" w:after="0" w:line="240" w:lineRule="auto"/>
            <w:ind w:left="720"/>
            <w:jc w:val="left"/>
            <w:rPr>
              <w:color w:val="000000"/>
              <w:sz w:val="22"/>
              <w:szCs w:val="22"/>
            </w:rPr>
          </w:pPr>
          <w:hyperlink w:anchor="_sv147iyhhwkt">
            <w:r>
              <w:rPr>
                <w:color w:val="000000"/>
              </w:rPr>
              <w:t>3.3.4 Quality Evaluation</w:t>
            </w:r>
            <w:r>
              <w:rPr>
                <w:color w:val="000000"/>
              </w:rPr>
              <w:tab/>
              <w:t>32</w:t>
            </w:r>
          </w:hyperlink>
        </w:p>
        <w:p w14:paraId="6DBB59FF" w14:textId="77777777" w:rsidR="0038718A" w:rsidRDefault="00BF184A">
          <w:pPr>
            <w:widowControl w:val="0"/>
            <w:tabs>
              <w:tab w:val="right" w:pos="12000"/>
            </w:tabs>
            <w:spacing w:before="60" w:after="0" w:line="240" w:lineRule="auto"/>
            <w:ind w:left="360"/>
            <w:jc w:val="left"/>
            <w:rPr>
              <w:color w:val="000000"/>
              <w:sz w:val="22"/>
              <w:szCs w:val="22"/>
            </w:rPr>
          </w:pPr>
          <w:hyperlink w:anchor="_ydw2dq4ehfqi">
            <w:r>
              <w:rPr>
                <w:color w:val="000000"/>
              </w:rPr>
              <w:t>3.4 Data Analysis</w:t>
            </w:r>
            <w:r>
              <w:rPr>
                <w:color w:val="000000"/>
              </w:rPr>
              <w:tab/>
              <w:t>33</w:t>
            </w:r>
          </w:hyperlink>
        </w:p>
        <w:p w14:paraId="477878CF" w14:textId="77777777" w:rsidR="0038718A" w:rsidRDefault="00BF184A">
          <w:pPr>
            <w:widowControl w:val="0"/>
            <w:tabs>
              <w:tab w:val="right" w:pos="12000"/>
            </w:tabs>
            <w:spacing w:before="60" w:after="0" w:line="240" w:lineRule="auto"/>
            <w:ind w:left="360"/>
            <w:jc w:val="left"/>
            <w:rPr>
              <w:color w:val="000000"/>
              <w:sz w:val="22"/>
              <w:szCs w:val="22"/>
            </w:rPr>
          </w:pPr>
          <w:hyperlink w:anchor="_4fimkuhgnqh5">
            <w:r>
              <w:rPr>
                <w:color w:val="000000"/>
              </w:rPr>
              <w:t>3.5 Ethical Considerations</w:t>
            </w:r>
            <w:r>
              <w:rPr>
                <w:color w:val="000000"/>
              </w:rPr>
              <w:tab/>
              <w:t>34</w:t>
            </w:r>
          </w:hyperlink>
        </w:p>
        <w:p w14:paraId="73BF69B3" w14:textId="77777777" w:rsidR="0038718A" w:rsidRDefault="00BF184A">
          <w:pPr>
            <w:widowControl w:val="0"/>
            <w:tabs>
              <w:tab w:val="right" w:pos="12000"/>
            </w:tabs>
            <w:spacing w:before="60" w:after="0" w:line="240" w:lineRule="auto"/>
            <w:ind w:left="360"/>
            <w:jc w:val="left"/>
            <w:rPr>
              <w:color w:val="000000"/>
              <w:sz w:val="22"/>
              <w:szCs w:val="22"/>
            </w:rPr>
          </w:pPr>
          <w:hyperlink w:anchor="_qrj6vatvmme2">
            <w:r>
              <w:rPr>
                <w:color w:val="000000"/>
              </w:rPr>
              <w:t>3.6 Methodical Limitations</w:t>
            </w:r>
            <w:r>
              <w:rPr>
                <w:color w:val="000000"/>
              </w:rPr>
              <w:tab/>
              <w:t>34</w:t>
            </w:r>
          </w:hyperlink>
        </w:p>
        <w:p w14:paraId="1146E354" w14:textId="77777777" w:rsidR="0038718A" w:rsidRDefault="00BF184A">
          <w:pPr>
            <w:widowControl w:val="0"/>
            <w:tabs>
              <w:tab w:val="right" w:pos="12000"/>
            </w:tabs>
            <w:spacing w:before="60" w:after="0" w:line="240" w:lineRule="auto"/>
            <w:jc w:val="left"/>
            <w:rPr>
              <w:b/>
              <w:bCs/>
              <w:color w:val="000000"/>
              <w:sz w:val="22"/>
              <w:szCs w:val="22"/>
            </w:rPr>
          </w:pPr>
          <w:hyperlink w:anchor="_qmqmy1y0b2hv">
            <w:r>
              <w:rPr>
                <w:b/>
                <w:bCs/>
                <w:color w:val="000000"/>
                <w:sz w:val="22"/>
                <w:szCs w:val="22"/>
              </w:rPr>
              <w:t>Chapter 4: Results</w:t>
            </w:r>
            <w:r>
              <w:rPr>
                <w:b/>
                <w:bCs/>
                <w:color w:val="000000"/>
                <w:sz w:val="22"/>
                <w:szCs w:val="22"/>
              </w:rPr>
              <w:tab/>
              <w:t>35</w:t>
            </w:r>
          </w:hyperlink>
        </w:p>
        <w:p w14:paraId="678BC52F" w14:textId="77777777" w:rsidR="0038718A" w:rsidRDefault="00BF184A">
          <w:pPr>
            <w:widowControl w:val="0"/>
            <w:tabs>
              <w:tab w:val="right" w:pos="12000"/>
            </w:tabs>
            <w:spacing w:before="60" w:after="0" w:line="240" w:lineRule="auto"/>
            <w:ind w:left="360"/>
            <w:jc w:val="left"/>
            <w:rPr>
              <w:color w:val="000000"/>
              <w:sz w:val="22"/>
              <w:szCs w:val="22"/>
            </w:rPr>
          </w:pPr>
          <w:hyperlink w:anchor="_wbwo92wr5yv4">
            <w:r>
              <w:rPr>
                <w:color w:val="000000"/>
                <w:sz w:val="22"/>
                <w:szCs w:val="22"/>
              </w:rPr>
              <w:t>4.1 Introduction</w:t>
            </w:r>
            <w:r>
              <w:rPr>
                <w:color w:val="000000"/>
                <w:sz w:val="22"/>
                <w:szCs w:val="22"/>
              </w:rPr>
              <w:tab/>
              <w:t>35</w:t>
            </w:r>
          </w:hyperlink>
        </w:p>
        <w:p w14:paraId="78189AB3" w14:textId="77777777" w:rsidR="0038718A" w:rsidRDefault="00BF184A">
          <w:pPr>
            <w:widowControl w:val="0"/>
            <w:tabs>
              <w:tab w:val="right" w:pos="12000"/>
            </w:tabs>
            <w:spacing w:before="60" w:after="0" w:line="240" w:lineRule="auto"/>
            <w:ind w:left="360"/>
            <w:jc w:val="left"/>
            <w:rPr>
              <w:color w:val="000000"/>
              <w:sz w:val="22"/>
              <w:szCs w:val="22"/>
            </w:rPr>
          </w:pPr>
          <w:hyperlink w:anchor="_svx1tqm1k3ox">
            <w:r>
              <w:rPr>
                <w:color w:val="000000"/>
              </w:rPr>
              <w:t>4.2 Overview of Prisma</w:t>
            </w:r>
            <w:r>
              <w:rPr>
                <w:color w:val="000000"/>
              </w:rPr>
              <w:tab/>
              <w:t>35</w:t>
            </w:r>
          </w:hyperlink>
        </w:p>
        <w:p w14:paraId="62F3C42E" w14:textId="77777777" w:rsidR="0038718A" w:rsidRDefault="00BF184A">
          <w:pPr>
            <w:widowControl w:val="0"/>
            <w:tabs>
              <w:tab w:val="right" w:pos="12000"/>
            </w:tabs>
            <w:spacing w:before="60" w:after="0" w:line="240" w:lineRule="auto"/>
            <w:ind w:left="360"/>
            <w:jc w:val="left"/>
            <w:rPr>
              <w:color w:val="000000"/>
              <w:sz w:val="22"/>
              <w:szCs w:val="22"/>
            </w:rPr>
          </w:pPr>
          <w:hyperlink w:anchor="_y0e1w67ue4e9">
            <w:r>
              <w:rPr>
                <w:color w:val="000000"/>
                <w:sz w:val="22"/>
                <w:szCs w:val="22"/>
              </w:rPr>
              <w:t>4.6 Systematic literature review table for data extraction</w:t>
            </w:r>
            <w:r>
              <w:rPr>
                <w:color w:val="000000"/>
                <w:sz w:val="22"/>
                <w:szCs w:val="22"/>
              </w:rPr>
              <w:tab/>
              <w:t>36</w:t>
            </w:r>
          </w:hyperlink>
        </w:p>
        <w:p w14:paraId="3CB9FBFE" w14:textId="77777777" w:rsidR="0038718A" w:rsidRDefault="00BF184A">
          <w:pPr>
            <w:widowControl w:val="0"/>
            <w:tabs>
              <w:tab w:val="right" w:pos="12000"/>
            </w:tabs>
            <w:spacing w:before="60" w:after="0" w:line="240" w:lineRule="auto"/>
            <w:ind w:left="360"/>
            <w:jc w:val="left"/>
            <w:rPr>
              <w:color w:val="000000"/>
              <w:sz w:val="22"/>
              <w:szCs w:val="22"/>
            </w:rPr>
          </w:pPr>
          <w:hyperlink w:anchor="_20p52z9qjool">
            <w:r>
              <w:rPr>
                <w:color w:val="000000"/>
                <w:sz w:val="22"/>
                <w:szCs w:val="22"/>
              </w:rPr>
              <w:t>4.3 Theme 1: Microbial Risks Associated with Poor-Quality Housing</w:t>
            </w:r>
            <w:r>
              <w:rPr>
                <w:color w:val="000000"/>
                <w:sz w:val="22"/>
                <w:szCs w:val="22"/>
              </w:rPr>
              <w:tab/>
              <w:t>39</w:t>
            </w:r>
          </w:hyperlink>
        </w:p>
        <w:p w14:paraId="46050C99" w14:textId="77777777" w:rsidR="0038718A" w:rsidRDefault="00BF184A">
          <w:pPr>
            <w:widowControl w:val="0"/>
            <w:tabs>
              <w:tab w:val="right" w:pos="12000"/>
            </w:tabs>
            <w:spacing w:before="60" w:after="0" w:line="240" w:lineRule="auto"/>
            <w:ind w:left="720"/>
            <w:jc w:val="left"/>
            <w:rPr>
              <w:color w:val="000000"/>
              <w:sz w:val="22"/>
              <w:szCs w:val="22"/>
            </w:rPr>
          </w:pPr>
          <w:hyperlink w:anchor="_p9m25lezrffk">
            <w:r>
              <w:rPr>
                <w:color w:val="000000"/>
                <w:sz w:val="22"/>
                <w:szCs w:val="22"/>
              </w:rPr>
              <w:t>4.3.1 Persistent Damp and Mould as Key Drivers of Respiratory Illness</w:t>
            </w:r>
            <w:r>
              <w:rPr>
                <w:color w:val="000000"/>
                <w:sz w:val="22"/>
                <w:szCs w:val="22"/>
              </w:rPr>
              <w:tab/>
              <w:t>39</w:t>
            </w:r>
          </w:hyperlink>
        </w:p>
        <w:p w14:paraId="4AC134CE" w14:textId="77777777" w:rsidR="0038718A" w:rsidRDefault="00BF184A">
          <w:pPr>
            <w:widowControl w:val="0"/>
            <w:tabs>
              <w:tab w:val="right" w:pos="12000"/>
            </w:tabs>
            <w:spacing w:before="60" w:after="0" w:line="240" w:lineRule="auto"/>
            <w:ind w:left="720"/>
            <w:jc w:val="left"/>
            <w:rPr>
              <w:color w:val="000000"/>
              <w:sz w:val="22"/>
              <w:szCs w:val="22"/>
            </w:rPr>
          </w:pPr>
          <w:hyperlink w:anchor="_g38ebnvahpzp">
            <w:r>
              <w:rPr>
                <w:color w:val="000000"/>
                <w:sz w:val="22"/>
                <w:szCs w:val="22"/>
              </w:rPr>
              <w:t>4.3.2 Bacterial Growth Resulting from Structural Defects and Inadequate Sanitation</w:t>
            </w:r>
            <w:r>
              <w:rPr>
                <w:color w:val="000000"/>
                <w:sz w:val="22"/>
                <w:szCs w:val="22"/>
              </w:rPr>
              <w:tab/>
              <w:t xml:space="preserve">         </w:t>
            </w:r>
          </w:hyperlink>
          <w:r>
            <w:fldChar w:fldCharType="begin"/>
          </w:r>
          <w:r>
            <w:instrText xml:space="preserve"> PAGEREF _g38ebnvahpzp \h </w:instrText>
          </w:r>
          <w:r>
            <w:fldChar w:fldCharType="separate"/>
          </w:r>
          <w:r>
            <w:rPr>
              <w:sz w:val="22"/>
              <w:szCs w:val="22"/>
            </w:rPr>
            <w:t>……………………………………………………………………………………….……….</w:t>
          </w:r>
          <w:r>
            <w:rPr>
              <w:color w:val="000000"/>
              <w:sz w:val="22"/>
              <w:szCs w:val="22"/>
            </w:rPr>
            <w:t>40</w:t>
          </w:r>
          <w:r>
            <w:fldChar w:fldCharType="end"/>
          </w:r>
        </w:p>
        <w:p w14:paraId="711399E6" w14:textId="77777777" w:rsidR="0038718A" w:rsidRDefault="00BF184A">
          <w:pPr>
            <w:widowControl w:val="0"/>
            <w:tabs>
              <w:tab w:val="right" w:pos="12000"/>
            </w:tabs>
            <w:spacing w:before="60" w:after="0" w:line="240" w:lineRule="auto"/>
            <w:ind w:left="360"/>
            <w:jc w:val="left"/>
            <w:rPr>
              <w:color w:val="000000"/>
              <w:sz w:val="22"/>
              <w:szCs w:val="22"/>
            </w:rPr>
          </w:pPr>
          <w:r>
            <w:rPr>
              <w:sz w:val="22"/>
              <w:szCs w:val="22"/>
            </w:rPr>
            <w:t>4.4 Theme 2: Public Health Views on Housing Conditions and Respiratory Disease</w:t>
          </w:r>
          <w:r>
            <w:rPr>
              <w:sz w:val="22"/>
              <w:szCs w:val="22"/>
            </w:rPr>
            <w:tab/>
            <w:t>42</w:t>
          </w:r>
        </w:p>
        <w:p w14:paraId="18040F4F" w14:textId="77777777" w:rsidR="0038718A" w:rsidRDefault="00BF184A">
          <w:pPr>
            <w:widowControl w:val="0"/>
            <w:tabs>
              <w:tab w:val="right" w:pos="12000"/>
            </w:tabs>
            <w:spacing w:before="60" w:after="0" w:line="240" w:lineRule="auto"/>
            <w:ind w:left="720"/>
            <w:jc w:val="left"/>
            <w:rPr>
              <w:color w:val="000000"/>
              <w:sz w:val="22"/>
              <w:szCs w:val="22"/>
            </w:rPr>
          </w:pPr>
          <w:hyperlink w:anchor="_xafvqtdcfcne">
            <w:r>
              <w:rPr>
                <w:color w:val="000000"/>
                <w:sz w:val="22"/>
                <w:szCs w:val="22"/>
              </w:rPr>
              <w:t>4.4.1 Understanding Housing Quality as a Critical Public Health Factor</w:t>
            </w:r>
            <w:r>
              <w:rPr>
                <w:color w:val="000000"/>
                <w:sz w:val="22"/>
                <w:szCs w:val="22"/>
              </w:rPr>
              <w:tab/>
              <w:t>42</w:t>
            </w:r>
          </w:hyperlink>
        </w:p>
        <w:p w14:paraId="6ECBFBD3" w14:textId="77777777" w:rsidR="0038718A" w:rsidRDefault="00BF184A">
          <w:pPr>
            <w:widowControl w:val="0"/>
            <w:tabs>
              <w:tab w:val="right" w:pos="12000"/>
            </w:tabs>
            <w:spacing w:before="60" w:after="0" w:line="240" w:lineRule="auto"/>
            <w:ind w:left="720"/>
            <w:jc w:val="left"/>
            <w:rPr>
              <w:color w:val="000000"/>
              <w:sz w:val="22"/>
              <w:szCs w:val="22"/>
            </w:rPr>
          </w:pPr>
          <w:hyperlink w:anchor="_1hlbmevzdmob">
            <w:r>
              <w:rPr>
                <w:color w:val="000000"/>
                <w:sz w:val="22"/>
                <w:szCs w:val="22"/>
              </w:rPr>
              <w:t>4.4.2 Obstacles to Delivering Effective Preventive Health Measures</w:t>
            </w:r>
            <w:r>
              <w:rPr>
                <w:color w:val="000000"/>
                <w:sz w:val="22"/>
                <w:szCs w:val="22"/>
              </w:rPr>
              <w:tab/>
              <w:t>43</w:t>
            </w:r>
          </w:hyperlink>
        </w:p>
        <w:p w14:paraId="2288BB59" w14:textId="77777777" w:rsidR="0038718A" w:rsidRDefault="00BF184A">
          <w:pPr>
            <w:widowControl w:val="0"/>
            <w:tabs>
              <w:tab w:val="right" w:pos="12000"/>
            </w:tabs>
            <w:spacing w:before="60" w:after="0" w:line="240" w:lineRule="auto"/>
            <w:ind w:left="360"/>
            <w:jc w:val="left"/>
            <w:rPr>
              <w:color w:val="000000"/>
              <w:sz w:val="22"/>
              <w:szCs w:val="22"/>
            </w:rPr>
          </w:pPr>
          <w:hyperlink w:anchor="_vtwwqppukojv">
            <w:r>
              <w:rPr>
                <w:color w:val="000000"/>
                <w:sz w:val="22"/>
                <w:szCs w:val="22"/>
              </w:rPr>
              <w:t>4.5 Theme 3: Social Care Insights into Vulnerable Residents’ Exposure</w:t>
            </w:r>
            <w:r>
              <w:rPr>
                <w:color w:val="000000"/>
                <w:sz w:val="22"/>
                <w:szCs w:val="22"/>
              </w:rPr>
              <w:tab/>
              <w:t>44</w:t>
            </w:r>
          </w:hyperlink>
        </w:p>
        <w:p w14:paraId="72881C2C" w14:textId="77777777" w:rsidR="0038718A" w:rsidRDefault="00BF184A">
          <w:pPr>
            <w:widowControl w:val="0"/>
            <w:tabs>
              <w:tab w:val="right" w:pos="12000"/>
            </w:tabs>
            <w:spacing w:before="60" w:after="0" w:line="240" w:lineRule="auto"/>
            <w:ind w:left="720"/>
            <w:jc w:val="left"/>
            <w:rPr>
              <w:color w:val="000000"/>
              <w:sz w:val="22"/>
              <w:szCs w:val="22"/>
            </w:rPr>
          </w:pPr>
          <w:hyperlink w:anchor="_ncbwf8g0i9zy">
            <w:r>
              <w:rPr>
                <w:color w:val="000000"/>
                <w:sz w:val="22"/>
                <w:szCs w:val="22"/>
              </w:rPr>
              <w:t>4.5.1 Effects on High-Risk Populations: Young adults who are in Economically Disadvantaged Households</w:t>
            </w:r>
            <w:r>
              <w:rPr>
                <w:color w:val="000000"/>
                <w:sz w:val="22"/>
                <w:szCs w:val="22"/>
              </w:rPr>
              <w:tab/>
              <w:t>44</w:t>
            </w:r>
          </w:hyperlink>
        </w:p>
        <w:p w14:paraId="6AADB1D4" w14:textId="77777777" w:rsidR="0038718A" w:rsidRDefault="00BF184A">
          <w:pPr>
            <w:widowControl w:val="0"/>
            <w:tabs>
              <w:tab w:val="right" w:pos="12000"/>
            </w:tabs>
            <w:spacing w:before="60" w:after="0" w:line="240" w:lineRule="auto"/>
            <w:ind w:left="720"/>
            <w:jc w:val="left"/>
            <w:rPr>
              <w:color w:val="000000"/>
              <w:sz w:val="22"/>
              <w:szCs w:val="22"/>
            </w:rPr>
          </w:pPr>
          <w:hyperlink w:anchor="_r4wkmps6nkkg">
            <w:r>
              <w:rPr>
                <w:color w:val="000000"/>
                <w:sz w:val="22"/>
                <w:szCs w:val="22"/>
              </w:rPr>
              <w:t>4.5.2 Limitations Hindering Timely Assistance and Preventive Support</w:t>
            </w:r>
            <w:r>
              <w:rPr>
                <w:color w:val="000000"/>
                <w:sz w:val="22"/>
                <w:szCs w:val="22"/>
              </w:rPr>
              <w:tab/>
              <w:t>46</w:t>
            </w:r>
          </w:hyperlink>
        </w:p>
        <w:p w14:paraId="248BF6CC" w14:textId="77777777" w:rsidR="0038718A" w:rsidRDefault="00BF184A">
          <w:pPr>
            <w:widowControl w:val="0"/>
            <w:tabs>
              <w:tab w:val="right" w:pos="12000"/>
            </w:tabs>
            <w:spacing w:before="60" w:after="0" w:line="240" w:lineRule="auto"/>
            <w:ind w:left="360"/>
            <w:jc w:val="left"/>
            <w:rPr>
              <w:color w:val="000000"/>
              <w:sz w:val="22"/>
              <w:szCs w:val="22"/>
            </w:rPr>
          </w:pPr>
          <w:hyperlink w:anchor="_pkqmqkixy51j">
            <w:r>
              <w:rPr>
                <w:color w:val="000000"/>
                <w:sz w:val="22"/>
                <w:szCs w:val="22"/>
              </w:rPr>
              <w:t>4.6 Cross-Theme Synthesis</w:t>
            </w:r>
            <w:r>
              <w:rPr>
                <w:color w:val="000000"/>
                <w:sz w:val="22"/>
                <w:szCs w:val="22"/>
              </w:rPr>
              <w:tab/>
              <w:t>47</w:t>
            </w:r>
          </w:hyperlink>
        </w:p>
        <w:p w14:paraId="2887AF5A" w14:textId="77777777" w:rsidR="0038718A" w:rsidRDefault="00BF184A">
          <w:pPr>
            <w:widowControl w:val="0"/>
            <w:tabs>
              <w:tab w:val="right" w:pos="12000"/>
            </w:tabs>
            <w:spacing w:before="60" w:after="0" w:line="240" w:lineRule="auto"/>
            <w:ind w:left="360"/>
            <w:jc w:val="left"/>
            <w:rPr>
              <w:color w:val="000000"/>
              <w:sz w:val="22"/>
              <w:szCs w:val="22"/>
            </w:rPr>
          </w:pPr>
          <w:hyperlink w:anchor="_avhlxh69z2hf">
            <w:r>
              <w:rPr>
                <w:color w:val="000000"/>
                <w:sz w:val="22"/>
                <w:szCs w:val="22"/>
              </w:rPr>
              <w:t>4.7 Summary of Findings</w:t>
            </w:r>
            <w:r>
              <w:rPr>
                <w:color w:val="000000"/>
                <w:sz w:val="22"/>
                <w:szCs w:val="22"/>
              </w:rPr>
              <w:tab/>
              <w:t>48</w:t>
            </w:r>
          </w:hyperlink>
        </w:p>
        <w:p w14:paraId="785ECEDB" w14:textId="77777777" w:rsidR="0038718A" w:rsidRDefault="00BF184A">
          <w:pPr>
            <w:widowControl w:val="0"/>
            <w:tabs>
              <w:tab w:val="right" w:pos="12000"/>
            </w:tabs>
            <w:spacing w:before="60" w:after="0" w:line="240" w:lineRule="auto"/>
            <w:jc w:val="left"/>
            <w:rPr>
              <w:b/>
              <w:bCs/>
              <w:color w:val="000000"/>
              <w:sz w:val="22"/>
              <w:szCs w:val="22"/>
            </w:rPr>
          </w:pPr>
          <w:hyperlink w:anchor="_t0xhpltx5ia">
            <w:r>
              <w:rPr>
                <w:b/>
                <w:bCs/>
                <w:color w:val="000000"/>
                <w:sz w:val="22"/>
                <w:szCs w:val="22"/>
              </w:rPr>
              <w:t>Chapter 5: Discussion</w:t>
            </w:r>
            <w:r>
              <w:rPr>
                <w:b/>
                <w:bCs/>
                <w:color w:val="000000"/>
                <w:sz w:val="22"/>
                <w:szCs w:val="22"/>
              </w:rPr>
              <w:tab/>
              <w:t>50</w:t>
            </w:r>
          </w:hyperlink>
        </w:p>
        <w:p w14:paraId="6832AC7B" w14:textId="77777777" w:rsidR="0038718A" w:rsidRDefault="00BF184A">
          <w:pPr>
            <w:widowControl w:val="0"/>
            <w:tabs>
              <w:tab w:val="right" w:pos="12000"/>
            </w:tabs>
            <w:spacing w:before="60" w:after="0" w:line="240" w:lineRule="auto"/>
            <w:ind w:left="360"/>
            <w:jc w:val="left"/>
            <w:rPr>
              <w:color w:val="000000"/>
              <w:sz w:val="22"/>
              <w:szCs w:val="22"/>
            </w:rPr>
          </w:pPr>
          <w:hyperlink w:anchor="_47p5yb143vj">
            <w:r>
              <w:rPr>
                <w:color w:val="000000"/>
              </w:rPr>
              <w:t>5.1 Introduction</w:t>
            </w:r>
            <w:r>
              <w:rPr>
                <w:color w:val="000000"/>
              </w:rPr>
              <w:tab/>
              <w:t>50</w:t>
            </w:r>
          </w:hyperlink>
        </w:p>
        <w:p w14:paraId="7B0FCD5C" w14:textId="77777777" w:rsidR="0038718A" w:rsidRDefault="00BF184A">
          <w:pPr>
            <w:widowControl w:val="0"/>
            <w:tabs>
              <w:tab w:val="right" w:pos="12000"/>
            </w:tabs>
            <w:spacing w:before="60" w:after="0" w:line="240" w:lineRule="auto"/>
            <w:ind w:left="360"/>
            <w:jc w:val="left"/>
            <w:rPr>
              <w:color w:val="000000"/>
              <w:sz w:val="22"/>
              <w:szCs w:val="22"/>
            </w:rPr>
          </w:pPr>
          <w:hyperlink w:anchor="_cii513bpmkk0">
            <w:r>
              <w:rPr>
                <w:color w:val="000000"/>
              </w:rPr>
              <w:t>5.2 Interpretation of results</w:t>
            </w:r>
            <w:r>
              <w:rPr>
                <w:color w:val="000000"/>
              </w:rPr>
              <w:tab/>
              <w:t>50</w:t>
            </w:r>
          </w:hyperlink>
        </w:p>
        <w:p w14:paraId="28464B18" w14:textId="77777777" w:rsidR="0038718A" w:rsidRDefault="00BF184A">
          <w:pPr>
            <w:widowControl w:val="0"/>
            <w:tabs>
              <w:tab w:val="right" w:pos="12000"/>
            </w:tabs>
            <w:spacing w:before="60" w:after="0" w:line="240" w:lineRule="auto"/>
            <w:ind w:left="720"/>
            <w:jc w:val="left"/>
            <w:rPr>
              <w:color w:val="000000"/>
              <w:sz w:val="22"/>
              <w:szCs w:val="22"/>
            </w:rPr>
          </w:pPr>
          <w:hyperlink w:anchor="_7f8r88oil114">
            <w:r>
              <w:rPr>
                <w:color w:val="000000"/>
              </w:rPr>
              <w:t>5.2.1 Theme 1: Microbial risks associated with poor-quality housing</w:t>
            </w:r>
            <w:r>
              <w:rPr>
                <w:color w:val="000000"/>
              </w:rPr>
              <w:tab/>
              <w:t>50</w:t>
            </w:r>
          </w:hyperlink>
        </w:p>
        <w:p w14:paraId="2BBB972F" w14:textId="77777777" w:rsidR="0038718A" w:rsidRDefault="00BF184A">
          <w:pPr>
            <w:widowControl w:val="0"/>
            <w:tabs>
              <w:tab w:val="right" w:pos="12000"/>
            </w:tabs>
            <w:spacing w:before="60" w:after="0" w:line="240" w:lineRule="auto"/>
            <w:ind w:left="720"/>
            <w:jc w:val="left"/>
            <w:rPr>
              <w:color w:val="000000"/>
              <w:sz w:val="22"/>
              <w:szCs w:val="22"/>
            </w:rPr>
          </w:pPr>
          <w:hyperlink w:anchor="_5qzbesa33hyg">
            <w:r>
              <w:rPr>
                <w:color w:val="000000"/>
              </w:rPr>
              <w:t>5.2.2 Theme 2: Public health views on housing conditions and respiratory disease</w:t>
            </w:r>
            <w:r>
              <w:rPr>
                <w:color w:val="000000"/>
              </w:rPr>
              <w:tab/>
              <w:t>51</w:t>
            </w:r>
          </w:hyperlink>
        </w:p>
        <w:p w14:paraId="56A3BA25" w14:textId="77777777" w:rsidR="0038718A" w:rsidRDefault="00BF184A">
          <w:pPr>
            <w:widowControl w:val="0"/>
            <w:tabs>
              <w:tab w:val="right" w:pos="12000"/>
            </w:tabs>
            <w:spacing w:before="60" w:after="0" w:line="240" w:lineRule="auto"/>
            <w:ind w:left="720"/>
            <w:jc w:val="left"/>
            <w:rPr>
              <w:color w:val="000000"/>
              <w:sz w:val="22"/>
              <w:szCs w:val="22"/>
            </w:rPr>
          </w:pPr>
          <w:hyperlink w:anchor="_oalrbm6z417h">
            <w:r>
              <w:rPr>
                <w:color w:val="000000"/>
              </w:rPr>
              <w:t>5.2.3 Theme 3: Social care insights into vulnerable residents’ exposure</w:t>
            </w:r>
            <w:r>
              <w:rPr>
                <w:color w:val="000000"/>
              </w:rPr>
              <w:tab/>
              <w:t>53</w:t>
            </w:r>
          </w:hyperlink>
        </w:p>
        <w:p w14:paraId="6228EFA3" w14:textId="77777777" w:rsidR="0038718A" w:rsidRDefault="00BF184A">
          <w:pPr>
            <w:widowControl w:val="0"/>
            <w:tabs>
              <w:tab w:val="right" w:pos="12000"/>
            </w:tabs>
            <w:spacing w:before="60" w:after="0" w:line="240" w:lineRule="auto"/>
            <w:ind w:left="360"/>
            <w:jc w:val="left"/>
            <w:rPr>
              <w:color w:val="000000"/>
              <w:sz w:val="22"/>
              <w:szCs w:val="22"/>
            </w:rPr>
          </w:pPr>
          <w:hyperlink w:anchor="_m10souaxdwb4">
            <w:r>
              <w:rPr>
                <w:color w:val="000000"/>
                <w:sz w:val="22"/>
                <w:szCs w:val="22"/>
              </w:rPr>
              <w:t>5.3 Discussion of implications</w:t>
            </w:r>
            <w:r>
              <w:rPr>
                <w:color w:val="000000"/>
                <w:sz w:val="22"/>
                <w:szCs w:val="22"/>
              </w:rPr>
              <w:tab/>
              <w:t>56</w:t>
            </w:r>
          </w:hyperlink>
        </w:p>
        <w:p w14:paraId="577E2405" w14:textId="77777777" w:rsidR="0038718A" w:rsidRDefault="00BF184A">
          <w:pPr>
            <w:widowControl w:val="0"/>
            <w:tabs>
              <w:tab w:val="right" w:pos="12000"/>
            </w:tabs>
            <w:spacing w:before="60" w:after="0" w:line="240" w:lineRule="auto"/>
            <w:ind w:left="360"/>
            <w:jc w:val="left"/>
            <w:rPr>
              <w:color w:val="000000"/>
              <w:sz w:val="22"/>
              <w:szCs w:val="22"/>
            </w:rPr>
          </w:pPr>
          <w:hyperlink w:anchor="_tnem7ngyctcb">
            <w:r>
              <w:rPr>
                <w:color w:val="000000"/>
                <w:sz w:val="22"/>
                <w:szCs w:val="22"/>
              </w:rPr>
              <w:t>5.4 Summary of Findings</w:t>
            </w:r>
            <w:r>
              <w:rPr>
                <w:color w:val="000000"/>
                <w:sz w:val="22"/>
                <w:szCs w:val="22"/>
              </w:rPr>
              <w:tab/>
              <w:t>57</w:t>
            </w:r>
          </w:hyperlink>
        </w:p>
        <w:p w14:paraId="1D38AB8F" w14:textId="77777777" w:rsidR="0038718A" w:rsidRDefault="00BF184A">
          <w:pPr>
            <w:widowControl w:val="0"/>
            <w:tabs>
              <w:tab w:val="right" w:pos="12000"/>
            </w:tabs>
            <w:spacing w:before="60" w:after="0" w:line="240" w:lineRule="auto"/>
            <w:jc w:val="left"/>
            <w:rPr>
              <w:b/>
              <w:bCs/>
              <w:color w:val="000000"/>
              <w:sz w:val="22"/>
              <w:szCs w:val="22"/>
            </w:rPr>
          </w:pPr>
          <w:hyperlink w:anchor="_f240or3q0h9">
            <w:r>
              <w:rPr>
                <w:rFonts w:ascii="Times New Roman" w:eastAsia="Times New Roman" w:hAnsi="Times New Roman" w:cs="Times New Roman"/>
                <w:b/>
                <w:bCs/>
                <w:color w:val="000000"/>
              </w:rPr>
              <w:t>Chapter 6: Conclusion</w:t>
            </w:r>
            <w:r>
              <w:rPr>
                <w:rFonts w:ascii="Times New Roman" w:eastAsia="Times New Roman" w:hAnsi="Times New Roman" w:cs="Times New Roman"/>
                <w:b/>
                <w:bCs/>
                <w:color w:val="000000"/>
              </w:rPr>
              <w:tab/>
              <w:t>58</w:t>
            </w:r>
          </w:hyperlink>
        </w:p>
        <w:p w14:paraId="221A5B54" w14:textId="77777777" w:rsidR="0038718A" w:rsidRDefault="00BF184A">
          <w:pPr>
            <w:widowControl w:val="0"/>
            <w:tabs>
              <w:tab w:val="right" w:pos="12000"/>
            </w:tabs>
            <w:spacing w:before="60" w:after="0" w:line="240" w:lineRule="auto"/>
            <w:ind w:left="360"/>
            <w:jc w:val="left"/>
            <w:rPr>
              <w:color w:val="000000"/>
              <w:sz w:val="22"/>
              <w:szCs w:val="22"/>
            </w:rPr>
          </w:pPr>
          <w:hyperlink w:anchor="_ybk8z6624bzk">
            <w:r>
              <w:rPr>
                <w:color w:val="000000"/>
              </w:rPr>
              <w:t>6.1 Introduction</w:t>
            </w:r>
            <w:r>
              <w:rPr>
                <w:color w:val="000000"/>
              </w:rPr>
              <w:tab/>
              <w:t>58</w:t>
            </w:r>
          </w:hyperlink>
        </w:p>
        <w:p w14:paraId="682E58D7" w14:textId="77777777" w:rsidR="0038718A" w:rsidRDefault="00BF184A">
          <w:pPr>
            <w:widowControl w:val="0"/>
            <w:tabs>
              <w:tab w:val="right" w:pos="12000"/>
            </w:tabs>
            <w:spacing w:before="60" w:after="0" w:line="240" w:lineRule="auto"/>
            <w:ind w:left="360"/>
            <w:jc w:val="left"/>
            <w:rPr>
              <w:color w:val="000000"/>
              <w:sz w:val="22"/>
              <w:szCs w:val="22"/>
            </w:rPr>
          </w:pPr>
          <w:hyperlink w:anchor="_xg2ed5tl4oby">
            <w:r>
              <w:rPr>
                <w:color w:val="000000"/>
              </w:rPr>
              <w:t xml:space="preserve">6.2 Answering the research question </w:t>
            </w:r>
            <w:r>
              <w:rPr>
                <w:color w:val="000000"/>
              </w:rPr>
              <w:tab/>
              <w:t>59</w:t>
            </w:r>
          </w:hyperlink>
        </w:p>
        <w:p w14:paraId="55131A34" w14:textId="77777777" w:rsidR="0038718A" w:rsidRDefault="00BF184A">
          <w:pPr>
            <w:widowControl w:val="0"/>
            <w:tabs>
              <w:tab w:val="right" w:pos="12000"/>
            </w:tabs>
            <w:spacing w:before="60" w:after="0" w:line="240" w:lineRule="auto"/>
            <w:ind w:left="360"/>
            <w:jc w:val="left"/>
            <w:rPr>
              <w:color w:val="000000"/>
              <w:sz w:val="22"/>
              <w:szCs w:val="22"/>
            </w:rPr>
          </w:pPr>
          <w:hyperlink w:anchor="_w50cgcdwdq1v">
            <w:r>
              <w:rPr>
                <w:color w:val="000000"/>
              </w:rPr>
              <w:t xml:space="preserve">6.3 Recommendations </w:t>
            </w:r>
            <w:r>
              <w:rPr>
                <w:color w:val="000000"/>
              </w:rPr>
              <w:tab/>
              <w:t>61</w:t>
            </w:r>
          </w:hyperlink>
        </w:p>
        <w:p w14:paraId="58E11E85" w14:textId="77777777" w:rsidR="0038718A" w:rsidRDefault="00BF184A">
          <w:pPr>
            <w:widowControl w:val="0"/>
            <w:tabs>
              <w:tab w:val="right" w:pos="12000"/>
            </w:tabs>
            <w:spacing w:before="60" w:after="0" w:line="240" w:lineRule="auto"/>
            <w:ind w:left="360"/>
            <w:jc w:val="left"/>
            <w:rPr>
              <w:color w:val="000000"/>
              <w:sz w:val="22"/>
              <w:szCs w:val="22"/>
            </w:rPr>
          </w:pPr>
          <w:hyperlink w:anchor="_qe8uea1l8ml3">
            <w:r>
              <w:rPr>
                <w:color w:val="000000"/>
              </w:rPr>
              <w:t xml:space="preserve">6.4 Scope for future research </w:t>
            </w:r>
            <w:r>
              <w:rPr>
                <w:color w:val="000000"/>
              </w:rPr>
              <w:tab/>
              <w:t>62</w:t>
            </w:r>
          </w:hyperlink>
        </w:p>
        <w:p w14:paraId="4F5CC828" w14:textId="77777777" w:rsidR="0038718A" w:rsidRDefault="00BF184A">
          <w:pPr>
            <w:widowControl w:val="0"/>
            <w:tabs>
              <w:tab w:val="right" w:pos="12000"/>
            </w:tabs>
            <w:spacing w:before="60" w:after="0" w:line="240" w:lineRule="auto"/>
            <w:ind w:left="360"/>
            <w:jc w:val="left"/>
            <w:rPr>
              <w:color w:val="000000"/>
              <w:sz w:val="22"/>
              <w:szCs w:val="22"/>
            </w:rPr>
          </w:pPr>
          <w:hyperlink w:anchor="_8d0f1tcth79d">
            <w:r>
              <w:rPr>
                <w:color w:val="000000"/>
              </w:rPr>
              <w:t xml:space="preserve">6.5 Contribution to Knowledge and Significance of the Study </w:t>
            </w:r>
            <w:r>
              <w:rPr>
                <w:color w:val="000000"/>
              </w:rPr>
              <w:tab/>
              <w:t>62</w:t>
            </w:r>
          </w:hyperlink>
        </w:p>
        <w:p w14:paraId="35777954" w14:textId="77777777" w:rsidR="0038718A" w:rsidRDefault="00BF184A">
          <w:pPr>
            <w:widowControl w:val="0"/>
            <w:tabs>
              <w:tab w:val="right" w:pos="12000"/>
            </w:tabs>
            <w:spacing w:before="60" w:after="0" w:line="240" w:lineRule="auto"/>
            <w:ind w:left="360"/>
            <w:jc w:val="left"/>
            <w:rPr>
              <w:color w:val="000000"/>
              <w:sz w:val="22"/>
              <w:szCs w:val="22"/>
            </w:rPr>
          </w:pPr>
          <w:hyperlink w:anchor="_o5yln7x3h7v8">
            <w:r>
              <w:rPr>
                <w:color w:val="000000"/>
              </w:rPr>
              <w:t>6.6 Limitations</w:t>
            </w:r>
            <w:r>
              <w:rPr>
                <w:color w:val="000000"/>
              </w:rPr>
              <w:tab/>
              <w:t>63</w:t>
            </w:r>
          </w:hyperlink>
        </w:p>
        <w:p w14:paraId="43765A57" w14:textId="77777777" w:rsidR="0038718A" w:rsidRDefault="00BF184A">
          <w:pPr>
            <w:widowControl w:val="0"/>
            <w:tabs>
              <w:tab w:val="right" w:pos="12000"/>
            </w:tabs>
            <w:spacing w:before="60" w:after="0" w:line="240" w:lineRule="auto"/>
            <w:ind w:left="360"/>
            <w:jc w:val="left"/>
            <w:rPr>
              <w:color w:val="000000"/>
              <w:sz w:val="22"/>
              <w:szCs w:val="22"/>
            </w:rPr>
          </w:pPr>
          <w:hyperlink w:anchor="_yfkjvtj2igud">
            <w:r>
              <w:rPr>
                <w:color w:val="000000"/>
              </w:rPr>
              <w:t>6.7 Conclusion</w:t>
            </w:r>
            <w:r>
              <w:rPr>
                <w:color w:val="000000"/>
              </w:rPr>
              <w:tab/>
              <w:t>64</w:t>
            </w:r>
          </w:hyperlink>
        </w:p>
        <w:p w14:paraId="2E7498BE" w14:textId="77777777" w:rsidR="0038718A" w:rsidRDefault="00BF184A">
          <w:pPr>
            <w:widowControl w:val="0"/>
            <w:tabs>
              <w:tab w:val="right" w:pos="12000"/>
            </w:tabs>
            <w:spacing w:before="60" w:after="0" w:line="240" w:lineRule="auto"/>
            <w:jc w:val="left"/>
            <w:rPr>
              <w:b/>
              <w:bCs/>
              <w:color w:val="000000"/>
              <w:sz w:val="22"/>
              <w:szCs w:val="22"/>
            </w:rPr>
          </w:pPr>
          <w:hyperlink w:anchor="_o9gbt3l1a7k4">
            <w:r>
              <w:rPr>
                <w:b/>
                <w:bCs/>
                <w:color w:val="000000"/>
                <w:sz w:val="22"/>
                <w:szCs w:val="22"/>
              </w:rPr>
              <w:t>Reference list</w:t>
            </w:r>
            <w:r>
              <w:rPr>
                <w:b/>
                <w:bCs/>
                <w:color w:val="000000"/>
                <w:sz w:val="22"/>
                <w:szCs w:val="22"/>
              </w:rPr>
              <w:tab/>
              <w:t>65</w:t>
            </w:r>
          </w:hyperlink>
        </w:p>
        <w:p w14:paraId="4A148265" w14:textId="77777777" w:rsidR="0038718A" w:rsidRDefault="00BF184A">
          <w:pPr>
            <w:widowControl w:val="0"/>
            <w:tabs>
              <w:tab w:val="right" w:pos="12000"/>
            </w:tabs>
            <w:spacing w:before="60" w:after="0" w:line="240" w:lineRule="auto"/>
            <w:jc w:val="left"/>
            <w:rPr>
              <w:b/>
              <w:bCs/>
              <w:color w:val="000000"/>
              <w:sz w:val="22"/>
              <w:szCs w:val="22"/>
            </w:rPr>
          </w:pPr>
          <w:hyperlink w:anchor="_ip83d2raaysc">
            <w:r>
              <w:rPr>
                <w:b/>
                <w:bCs/>
                <w:color w:val="000000"/>
                <w:sz w:val="22"/>
                <w:szCs w:val="22"/>
              </w:rPr>
              <w:t>Appendix 1: Conceptual framework</w:t>
            </w:r>
            <w:r>
              <w:rPr>
                <w:b/>
                <w:bCs/>
                <w:color w:val="000000"/>
                <w:sz w:val="22"/>
                <w:szCs w:val="22"/>
              </w:rPr>
              <w:tab/>
              <w:t>78</w:t>
            </w:r>
          </w:hyperlink>
        </w:p>
        <w:p w14:paraId="0FDB4093" w14:textId="77777777" w:rsidR="0038718A" w:rsidRDefault="00BF184A">
          <w:pPr>
            <w:widowControl w:val="0"/>
            <w:tabs>
              <w:tab w:val="right" w:pos="12000"/>
            </w:tabs>
            <w:spacing w:before="60" w:after="0" w:line="240" w:lineRule="auto"/>
            <w:jc w:val="left"/>
            <w:rPr>
              <w:b/>
              <w:bCs/>
              <w:color w:val="000000"/>
              <w:sz w:val="22"/>
              <w:szCs w:val="22"/>
            </w:rPr>
          </w:pPr>
          <w:hyperlink w:anchor="_8zjie5lpvvdo">
            <w:r>
              <w:rPr>
                <w:rFonts w:ascii="Times New Roman" w:eastAsia="Times New Roman" w:hAnsi="Times New Roman" w:cs="Times New Roman"/>
                <w:color w:val="000000"/>
              </w:rPr>
              <w:t>Appendix 2: CASP Checklist</w:t>
            </w:r>
            <w:r>
              <w:rPr>
                <w:rFonts w:ascii="Times New Roman" w:eastAsia="Times New Roman" w:hAnsi="Times New Roman" w:cs="Times New Roman"/>
                <w:color w:val="000000"/>
              </w:rPr>
              <w:tab/>
              <w:t>80</w:t>
            </w:r>
          </w:hyperlink>
          <w:r>
            <w:fldChar w:fldCharType="end"/>
          </w:r>
        </w:p>
      </w:sdtContent>
    </w:sdt>
    <w:p w14:paraId="6948FFBF" w14:textId="77777777" w:rsidR="0038718A" w:rsidRDefault="00BF184A">
      <w:pPr>
        <w:rPr>
          <w:b/>
          <w:bCs/>
        </w:rPr>
      </w:pPr>
      <w:r>
        <w:br w:type="page"/>
      </w:r>
    </w:p>
    <w:p w14:paraId="30883301" w14:textId="77777777" w:rsidR="0038718A" w:rsidRDefault="00BF184A">
      <w:pPr>
        <w:pStyle w:val="Heading1"/>
      </w:pPr>
      <w:bookmarkStart w:id="4" w:name="_f7jksiej8njk" w:colFirst="0" w:colLast="0"/>
      <w:bookmarkStart w:id="5" w:name="_Toc220324599"/>
      <w:bookmarkEnd w:id="4"/>
      <w:r>
        <w:t>List of figures</w:t>
      </w:r>
      <w:bookmarkEnd w:id="5"/>
      <w:r>
        <w:t xml:space="preserve"> </w:t>
      </w:r>
    </w:p>
    <w:sdt>
      <w:sdtPr>
        <w:id w:val="-553887310"/>
        <w:docPartObj>
          <w:docPartGallery w:val="Table of Contents"/>
          <w:docPartUnique/>
        </w:docPartObj>
      </w:sdtPr>
      <w:sdtEndPr/>
      <w:sdtContent>
        <w:p w14:paraId="52433072" w14:textId="5CDC9B82" w:rsidR="00F83A65" w:rsidRDefault="00BF184A">
          <w:pPr>
            <w:pStyle w:val="TOC2"/>
            <w:tabs>
              <w:tab w:val="right" w:pos="9016"/>
            </w:tabs>
            <w:rPr>
              <w:noProof/>
            </w:rPr>
          </w:pPr>
          <w:r>
            <w:fldChar w:fldCharType="begin"/>
          </w:r>
          <w:r>
            <w:instrText xml:space="preserve"> TOC \h \u \z \t "Heading 1,1,Heading 2,2,Heading 3,3,Heading 4,4,Heading 5,5,Heading 6,6,"</w:instrText>
          </w:r>
          <w:r>
            <w:fldChar w:fldCharType="separate"/>
          </w:r>
          <w:hyperlink w:anchor="_Toc220324597" w:history="1">
            <w:r w:rsidR="00F83A65" w:rsidRPr="003C04D0">
              <w:rPr>
                <w:rStyle w:val="Hyperlink"/>
                <w:noProof/>
              </w:rPr>
              <w:t>Acknowledgements</w:t>
            </w:r>
            <w:r w:rsidR="00F83A65">
              <w:rPr>
                <w:noProof/>
                <w:webHidden/>
              </w:rPr>
              <w:tab/>
            </w:r>
            <w:r w:rsidR="00F83A65">
              <w:rPr>
                <w:noProof/>
                <w:webHidden/>
              </w:rPr>
              <w:fldChar w:fldCharType="begin"/>
            </w:r>
            <w:r w:rsidR="00F83A65">
              <w:rPr>
                <w:noProof/>
                <w:webHidden/>
              </w:rPr>
              <w:instrText xml:space="preserve"> PAGEREF _Toc220324597 \h </w:instrText>
            </w:r>
            <w:r w:rsidR="00F83A65">
              <w:rPr>
                <w:noProof/>
                <w:webHidden/>
              </w:rPr>
            </w:r>
            <w:r w:rsidR="00F83A65">
              <w:rPr>
                <w:noProof/>
                <w:webHidden/>
              </w:rPr>
              <w:fldChar w:fldCharType="separate"/>
            </w:r>
            <w:r w:rsidR="00F83A65">
              <w:rPr>
                <w:noProof/>
                <w:webHidden/>
              </w:rPr>
              <w:t>3</w:t>
            </w:r>
            <w:r w:rsidR="00F83A65">
              <w:rPr>
                <w:noProof/>
                <w:webHidden/>
              </w:rPr>
              <w:fldChar w:fldCharType="end"/>
            </w:r>
          </w:hyperlink>
        </w:p>
        <w:p w14:paraId="76A66C5D" w14:textId="3207CFB5" w:rsidR="00F83A65" w:rsidRDefault="00F83A65">
          <w:pPr>
            <w:pStyle w:val="TOC2"/>
            <w:tabs>
              <w:tab w:val="right" w:pos="9016"/>
            </w:tabs>
            <w:rPr>
              <w:noProof/>
            </w:rPr>
          </w:pPr>
          <w:hyperlink w:anchor="_Toc220324598" w:history="1">
            <w:r w:rsidRPr="003C04D0">
              <w:rPr>
                <w:rStyle w:val="Hyperlink"/>
                <w:noProof/>
              </w:rPr>
              <w:t>Abstract</w:t>
            </w:r>
            <w:r>
              <w:rPr>
                <w:noProof/>
                <w:webHidden/>
              </w:rPr>
              <w:tab/>
            </w:r>
            <w:r>
              <w:rPr>
                <w:noProof/>
                <w:webHidden/>
              </w:rPr>
              <w:fldChar w:fldCharType="begin"/>
            </w:r>
            <w:r>
              <w:rPr>
                <w:noProof/>
                <w:webHidden/>
              </w:rPr>
              <w:instrText xml:space="preserve"> PAGEREF _Toc220324598 \h </w:instrText>
            </w:r>
            <w:r>
              <w:rPr>
                <w:noProof/>
                <w:webHidden/>
              </w:rPr>
            </w:r>
            <w:r>
              <w:rPr>
                <w:noProof/>
                <w:webHidden/>
              </w:rPr>
              <w:fldChar w:fldCharType="separate"/>
            </w:r>
            <w:r>
              <w:rPr>
                <w:noProof/>
                <w:webHidden/>
              </w:rPr>
              <w:t>4</w:t>
            </w:r>
            <w:r>
              <w:rPr>
                <w:noProof/>
                <w:webHidden/>
              </w:rPr>
              <w:fldChar w:fldCharType="end"/>
            </w:r>
          </w:hyperlink>
        </w:p>
        <w:p w14:paraId="69981BA7" w14:textId="62716D76" w:rsidR="00F83A65" w:rsidRDefault="00F83A65">
          <w:pPr>
            <w:pStyle w:val="TOC1"/>
            <w:tabs>
              <w:tab w:val="right" w:pos="9016"/>
            </w:tabs>
            <w:rPr>
              <w:noProof/>
            </w:rPr>
          </w:pPr>
          <w:hyperlink w:anchor="_Toc220324599" w:history="1">
            <w:r w:rsidRPr="003C04D0">
              <w:rPr>
                <w:rStyle w:val="Hyperlink"/>
                <w:noProof/>
              </w:rPr>
              <w:t>List of figures</w:t>
            </w:r>
            <w:r>
              <w:rPr>
                <w:noProof/>
                <w:webHidden/>
              </w:rPr>
              <w:tab/>
            </w:r>
            <w:r>
              <w:rPr>
                <w:noProof/>
                <w:webHidden/>
              </w:rPr>
              <w:fldChar w:fldCharType="begin"/>
            </w:r>
            <w:r>
              <w:rPr>
                <w:noProof/>
                <w:webHidden/>
              </w:rPr>
              <w:instrText xml:space="preserve"> PAGEREF _Toc220324599 \h </w:instrText>
            </w:r>
            <w:r>
              <w:rPr>
                <w:noProof/>
                <w:webHidden/>
              </w:rPr>
            </w:r>
            <w:r>
              <w:rPr>
                <w:noProof/>
                <w:webHidden/>
              </w:rPr>
              <w:fldChar w:fldCharType="separate"/>
            </w:r>
            <w:r>
              <w:rPr>
                <w:noProof/>
                <w:webHidden/>
              </w:rPr>
              <w:t>7</w:t>
            </w:r>
            <w:r>
              <w:rPr>
                <w:noProof/>
                <w:webHidden/>
              </w:rPr>
              <w:fldChar w:fldCharType="end"/>
            </w:r>
          </w:hyperlink>
        </w:p>
        <w:p w14:paraId="0B69B6DA" w14:textId="5B41540B" w:rsidR="00F83A65" w:rsidRDefault="00F83A65">
          <w:pPr>
            <w:pStyle w:val="TOC1"/>
            <w:tabs>
              <w:tab w:val="right" w:pos="9016"/>
            </w:tabs>
            <w:rPr>
              <w:noProof/>
            </w:rPr>
          </w:pPr>
          <w:hyperlink w:anchor="_Toc220324600" w:history="1">
            <w:r w:rsidRPr="003C04D0">
              <w:rPr>
                <w:rStyle w:val="Hyperlink"/>
                <w:noProof/>
              </w:rPr>
              <w:t>List of tables</w:t>
            </w:r>
            <w:r>
              <w:rPr>
                <w:noProof/>
                <w:webHidden/>
              </w:rPr>
              <w:tab/>
            </w:r>
            <w:r>
              <w:rPr>
                <w:noProof/>
                <w:webHidden/>
              </w:rPr>
              <w:fldChar w:fldCharType="begin"/>
            </w:r>
            <w:r>
              <w:rPr>
                <w:noProof/>
                <w:webHidden/>
              </w:rPr>
              <w:instrText xml:space="preserve"> PAGEREF _Toc220324600 \h </w:instrText>
            </w:r>
            <w:r>
              <w:rPr>
                <w:noProof/>
                <w:webHidden/>
              </w:rPr>
            </w:r>
            <w:r>
              <w:rPr>
                <w:noProof/>
                <w:webHidden/>
              </w:rPr>
              <w:fldChar w:fldCharType="separate"/>
            </w:r>
            <w:r>
              <w:rPr>
                <w:noProof/>
                <w:webHidden/>
              </w:rPr>
              <w:t>11</w:t>
            </w:r>
            <w:r>
              <w:rPr>
                <w:noProof/>
                <w:webHidden/>
              </w:rPr>
              <w:fldChar w:fldCharType="end"/>
            </w:r>
          </w:hyperlink>
        </w:p>
        <w:p w14:paraId="71989339" w14:textId="24073580" w:rsidR="00F83A65" w:rsidRDefault="00F83A65">
          <w:pPr>
            <w:pStyle w:val="TOC1"/>
            <w:tabs>
              <w:tab w:val="right" w:pos="9016"/>
            </w:tabs>
            <w:rPr>
              <w:noProof/>
            </w:rPr>
          </w:pPr>
          <w:hyperlink w:anchor="_Toc220324601" w:history="1">
            <w:r w:rsidRPr="003C04D0">
              <w:rPr>
                <w:rStyle w:val="Hyperlink"/>
                <w:noProof/>
              </w:rPr>
              <w:t>Chapter 1: Introduction</w:t>
            </w:r>
            <w:r>
              <w:rPr>
                <w:noProof/>
                <w:webHidden/>
              </w:rPr>
              <w:tab/>
            </w:r>
            <w:r>
              <w:rPr>
                <w:noProof/>
                <w:webHidden/>
              </w:rPr>
              <w:fldChar w:fldCharType="begin"/>
            </w:r>
            <w:r>
              <w:rPr>
                <w:noProof/>
                <w:webHidden/>
              </w:rPr>
              <w:instrText xml:space="preserve"> PAGEREF _Toc220324601 \h </w:instrText>
            </w:r>
            <w:r>
              <w:rPr>
                <w:noProof/>
                <w:webHidden/>
              </w:rPr>
            </w:r>
            <w:r>
              <w:rPr>
                <w:noProof/>
                <w:webHidden/>
              </w:rPr>
              <w:fldChar w:fldCharType="separate"/>
            </w:r>
            <w:r>
              <w:rPr>
                <w:noProof/>
                <w:webHidden/>
              </w:rPr>
              <w:t>12</w:t>
            </w:r>
            <w:r>
              <w:rPr>
                <w:noProof/>
                <w:webHidden/>
              </w:rPr>
              <w:fldChar w:fldCharType="end"/>
            </w:r>
          </w:hyperlink>
        </w:p>
        <w:p w14:paraId="0554DD3C" w14:textId="5D2C667C" w:rsidR="00F83A65" w:rsidRDefault="00F83A65">
          <w:pPr>
            <w:pStyle w:val="TOC2"/>
            <w:tabs>
              <w:tab w:val="right" w:pos="9016"/>
            </w:tabs>
            <w:rPr>
              <w:noProof/>
            </w:rPr>
          </w:pPr>
          <w:hyperlink w:anchor="_Toc220324602" w:history="1">
            <w:r w:rsidRPr="003C04D0">
              <w:rPr>
                <w:rStyle w:val="Hyperlink"/>
                <w:noProof/>
              </w:rPr>
              <w:t>1.1 Research background</w:t>
            </w:r>
            <w:r>
              <w:rPr>
                <w:noProof/>
                <w:webHidden/>
              </w:rPr>
              <w:tab/>
            </w:r>
            <w:r>
              <w:rPr>
                <w:noProof/>
                <w:webHidden/>
              </w:rPr>
              <w:fldChar w:fldCharType="begin"/>
            </w:r>
            <w:r>
              <w:rPr>
                <w:noProof/>
                <w:webHidden/>
              </w:rPr>
              <w:instrText xml:space="preserve"> PAGEREF _Toc220324602 \h </w:instrText>
            </w:r>
            <w:r>
              <w:rPr>
                <w:noProof/>
                <w:webHidden/>
              </w:rPr>
            </w:r>
            <w:r>
              <w:rPr>
                <w:noProof/>
                <w:webHidden/>
              </w:rPr>
              <w:fldChar w:fldCharType="separate"/>
            </w:r>
            <w:r>
              <w:rPr>
                <w:noProof/>
                <w:webHidden/>
              </w:rPr>
              <w:t>12</w:t>
            </w:r>
            <w:r>
              <w:rPr>
                <w:noProof/>
                <w:webHidden/>
              </w:rPr>
              <w:fldChar w:fldCharType="end"/>
            </w:r>
          </w:hyperlink>
        </w:p>
        <w:p w14:paraId="23B7ED16" w14:textId="29EC9891" w:rsidR="00F83A65" w:rsidRDefault="00F83A65">
          <w:pPr>
            <w:pStyle w:val="TOC2"/>
            <w:tabs>
              <w:tab w:val="right" w:pos="9016"/>
            </w:tabs>
            <w:rPr>
              <w:noProof/>
            </w:rPr>
          </w:pPr>
          <w:hyperlink w:anchor="_Toc220324603" w:history="1">
            <w:r w:rsidRPr="003C04D0">
              <w:rPr>
                <w:rStyle w:val="Hyperlink"/>
                <w:noProof/>
              </w:rPr>
              <w:t>1.2 Research rationale</w:t>
            </w:r>
            <w:r>
              <w:rPr>
                <w:noProof/>
                <w:webHidden/>
              </w:rPr>
              <w:tab/>
            </w:r>
            <w:r>
              <w:rPr>
                <w:noProof/>
                <w:webHidden/>
              </w:rPr>
              <w:fldChar w:fldCharType="begin"/>
            </w:r>
            <w:r>
              <w:rPr>
                <w:noProof/>
                <w:webHidden/>
              </w:rPr>
              <w:instrText xml:space="preserve"> PAGEREF _Toc220324603 \h </w:instrText>
            </w:r>
            <w:r>
              <w:rPr>
                <w:noProof/>
                <w:webHidden/>
              </w:rPr>
            </w:r>
            <w:r>
              <w:rPr>
                <w:noProof/>
                <w:webHidden/>
              </w:rPr>
              <w:fldChar w:fldCharType="separate"/>
            </w:r>
            <w:r>
              <w:rPr>
                <w:noProof/>
                <w:webHidden/>
              </w:rPr>
              <w:t>13</w:t>
            </w:r>
            <w:r>
              <w:rPr>
                <w:noProof/>
                <w:webHidden/>
              </w:rPr>
              <w:fldChar w:fldCharType="end"/>
            </w:r>
          </w:hyperlink>
        </w:p>
        <w:p w14:paraId="620F37DC" w14:textId="17DD330B" w:rsidR="00F83A65" w:rsidRDefault="00F83A65">
          <w:pPr>
            <w:pStyle w:val="TOC2"/>
            <w:tabs>
              <w:tab w:val="right" w:pos="9016"/>
            </w:tabs>
            <w:rPr>
              <w:noProof/>
            </w:rPr>
          </w:pPr>
          <w:hyperlink w:anchor="_Toc220324604" w:history="1">
            <w:r w:rsidRPr="003C04D0">
              <w:rPr>
                <w:rStyle w:val="Hyperlink"/>
                <w:noProof/>
              </w:rPr>
              <w:t>1.3 Research question</w:t>
            </w:r>
            <w:r>
              <w:rPr>
                <w:noProof/>
                <w:webHidden/>
              </w:rPr>
              <w:tab/>
            </w:r>
            <w:r>
              <w:rPr>
                <w:noProof/>
                <w:webHidden/>
              </w:rPr>
              <w:fldChar w:fldCharType="begin"/>
            </w:r>
            <w:r>
              <w:rPr>
                <w:noProof/>
                <w:webHidden/>
              </w:rPr>
              <w:instrText xml:space="preserve"> PAGEREF _Toc220324604 \h </w:instrText>
            </w:r>
            <w:r>
              <w:rPr>
                <w:noProof/>
                <w:webHidden/>
              </w:rPr>
            </w:r>
            <w:r>
              <w:rPr>
                <w:noProof/>
                <w:webHidden/>
              </w:rPr>
              <w:fldChar w:fldCharType="separate"/>
            </w:r>
            <w:r>
              <w:rPr>
                <w:noProof/>
                <w:webHidden/>
              </w:rPr>
              <w:t>14</w:t>
            </w:r>
            <w:r>
              <w:rPr>
                <w:noProof/>
                <w:webHidden/>
              </w:rPr>
              <w:fldChar w:fldCharType="end"/>
            </w:r>
          </w:hyperlink>
        </w:p>
        <w:p w14:paraId="7CDEEF13" w14:textId="27F95DFA" w:rsidR="00F83A65" w:rsidRDefault="00F83A65">
          <w:pPr>
            <w:pStyle w:val="TOC2"/>
            <w:tabs>
              <w:tab w:val="right" w:pos="9016"/>
            </w:tabs>
            <w:rPr>
              <w:noProof/>
            </w:rPr>
          </w:pPr>
          <w:hyperlink w:anchor="_Toc220324605" w:history="1">
            <w:r w:rsidRPr="003C04D0">
              <w:rPr>
                <w:rStyle w:val="Hyperlink"/>
                <w:noProof/>
              </w:rPr>
              <w:t>1.4 Research aim and objective</w:t>
            </w:r>
            <w:r>
              <w:rPr>
                <w:noProof/>
                <w:webHidden/>
              </w:rPr>
              <w:tab/>
            </w:r>
            <w:r>
              <w:rPr>
                <w:noProof/>
                <w:webHidden/>
              </w:rPr>
              <w:fldChar w:fldCharType="begin"/>
            </w:r>
            <w:r>
              <w:rPr>
                <w:noProof/>
                <w:webHidden/>
              </w:rPr>
              <w:instrText xml:space="preserve"> PAGEREF _Toc220324605 \h </w:instrText>
            </w:r>
            <w:r>
              <w:rPr>
                <w:noProof/>
                <w:webHidden/>
              </w:rPr>
            </w:r>
            <w:r>
              <w:rPr>
                <w:noProof/>
                <w:webHidden/>
              </w:rPr>
              <w:fldChar w:fldCharType="separate"/>
            </w:r>
            <w:r>
              <w:rPr>
                <w:noProof/>
                <w:webHidden/>
              </w:rPr>
              <w:t>14</w:t>
            </w:r>
            <w:r>
              <w:rPr>
                <w:noProof/>
                <w:webHidden/>
              </w:rPr>
              <w:fldChar w:fldCharType="end"/>
            </w:r>
          </w:hyperlink>
        </w:p>
        <w:p w14:paraId="0F86AB49" w14:textId="515915BE" w:rsidR="00F83A65" w:rsidRDefault="00F83A65">
          <w:pPr>
            <w:pStyle w:val="TOC2"/>
            <w:tabs>
              <w:tab w:val="right" w:pos="9016"/>
            </w:tabs>
            <w:rPr>
              <w:noProof/>
            </w:rPr>
          </w:pPr>
          <w:hyperlink w:anchor="_Toc220324606" w:history="1">
            <w:r w:rsidRPr="003C04D0">
              <w:rPr>
                <w:rStyle w:val="Hyperlink"/>
                <w:noProof/>
              </w:rPr>
              <w:t>1.5 Research significance</w:t>
            </w:r>
            <w:r>
              <w:rPr>
                <w:noProof/>
                <w:webHidden/>
              </w:rPr>
              <w:tab/>
            </w:r>
            <w:r>
              <w:rPr>
                <w:noProof/>
                <w:webHidden/>
              </w:rPr>
              <w:fldChar w:fldCharType="begin"/>
            </w:r>
            <w:r>
              <w:rPr>
                <w:noProof/>
                <w:webHidden/>
              </w:rPr>
              <w:instrText xml:space="preserve"> PAGEREF _Toc220324606 \h </w:instrText>
            </w:r>
            <w:r>
              <w:rPr>
                <w:noProof/>
                <w:webHidden/>
              </w:rPr>
            </w:r>
            <w:r>
              <w:rPr>
                <w:noProof/>
                <w:webHidden/>
              </w:rPr>
              <w:fldChar w:fldCharType="separate"/>
            </w:r>
            <w:r>
              <w:rPr>
                <w:noProof/>
                <w:webHidden/>
              </w:rPr>
              <w:t>15</w:t>
            </w:r>
            <w:r>
              <w:rPr>
                <w:noProof/>
                <w:webHidden/>
              </w:rPr>
              <w:fldChar w:fldCharType="end"/>
            </w:r>
          </w:hyperlink>
        </w:p>
        <w:p w14:paraId="3C65BAE7" w14:textId="69ACB882" w:rsidR="00F83A65" w:rsidRDefault="00F83A65">
          <w:pPr>
            <w:pStyle w:val="TOC2"/>
            <w:tabs>
              <w:tab w:val="right" w:pos="9016"/>
            </w:tabs>
            <w:rPr>
              <w:noProof/>
            </w:rPr>
          </w:pPr>
          <w:hyperlink w:anchor="_Toc220324607" w:history="1">
            <w:r w:rsidRPr="003C04D0">
              <w:rPr>
                <w:rStyle w:val="Hyperlink"/>
                <w:noProof/>
              </w:rPr>
              <w:t>1.6 Literature based background discussion</w:t>
            </w:r>
            <w:r>
              <w:rPr>
                <w:noProof/>
                <w:webHidden/>
              </w:rPr>
              <w:tab/>
            </w:r>
            <w:r>
              <w:rPr>
                <w:noProof/>
                <w:webHidden/>
              </w:rPr>
              <w:fldChar w:fldCharType="begin"/>
            </w:r>
            <w:r>
              <w:rPr>
                <w:noProof/>
                <w:webHidden/>
              </w:rPr>
              <w:instrText xml:space="preserve"> PAGEREF _Toc220324607 \h </w:instrText>
            </w:r>
            <w:r>
              <w:rPr>
                <w:noProof/>
                <w:webHidden/>
              </w:rPr>
            </w:r>
            <w:r>
              <w:rPr>
                <w:noProof/>
                <w:webHidden/>
              </w:rPr>
              <w:fldChar w:fldCharType="separate"/>
            </w:r>
            <w:r>
              <w:rPr>
                <w:noProof/>
                <w:webHidden/>
              </w:rPr>
              <w:t>15</w:t>
            </w:r>
            <w:r>
              <w:rPr>
                <w:noProof/>
                <w:webHidden/>
              </w:rPr>
              <w:fldChar w:fldCharType="end"/>
            </w:r>
          </w:hyperlink>
        </w:p>
        <w:p w14:paraId="25C01047" w14:textId="0878E47D" w:rsidR="00F83A65" w:rsidRDefault="00F83A65">
          <w:pPr>
            <w:pStyle w:val="TOC2"/>
            <w:tabs>
              <w:tab w:val="right" w:pos="9016"/>
            </w:tabs>
            <w:rPr>
              <w:noProof/>
            </w:rPr>
          </w:pPr>
          <w:hyperlink w:anchor="_Toc220324608" w:history="1">
            <w:r w:rsidRPr="003C04D0">
              <w:rPr>
                <w:rStyle w:val="Hyperlink"/>
                <w:noProof/>
              </w:rPr>
              <w:t>1.7 Research gap</w:t>
            </w:r>
            <w:r>
              <w:rPr>
                <w:noProof/>
                <w:webHidden/>
              </w:rPr>
              <w:tab/>
            </w:r>
            <w:r>
              <w:rPr>
                <w:noProof/>
                <w:webHidden/>
              </w:rPr>
              <w:fldChar w:fldCharType="begin"/>
            </w:r>
            <w:r>
              <w:rPr>
                <w:noProof/>
                <w:webHidden/>
              </w:rPr>
              <w:instrText xml:space="preserve"> PAGEREF _Toc220324608 \h </w:instrText>
            </w:r>
            <w:r>
              <w:rPr>
                <w:noProof/>
                <w:webHidden/>
              </w:rPr>
            </w:r>
            <w:r>
              <w:rPr>
                <w:noProof/>
                <w:webHidden/>
              </w:rPr>
              <w:fldChar w:fldCharType="separate"/>
            </w:r>
            <w:r>
              <w:rPr>
                <w:noProof/>
                <w:webHidden/>
              </w:rPr>
              <w:t>17</w:t>
            </w:r>
            <w:r>
              <w:rPr>
                <w:noProof/>
                <w:webHidden/>
              </w:rPr>
              <w:fldChar w:fldCharType="end"/>
            </w:r>
          </w:hyperlink>
        </w:p>
        <w:p w14:paraId="543D3DE5" w14:textId="21A5E1BA" w:rsidR="00F83A65" w:rsidRDefault="00F83A65">
          <w:pPr>
            <w:pStyle w:val="TOC1"/>
            <w:tabs>
              <w:tab w:val="right" w:pos="9016"/>
            </w:tabs>
            <w:rPr>
              <w:noProof/>
            </w:rPr>
          </w:pPr>
          <w:hyperlink w:anchor="_Toc220324609" w:history="1">
            <w:r w:rsidRPr="003C04D0">
              <w:rPr>
                <w:rStyle w:val="Hyperlink"/>
                <w:noProof/>
              </w:rPr>
              <w:t>Chapter 2: Literature review</w:t>
            </w:r>
            <w:r>
              <w:rPr>
                <w:noProof/>
                <w:webHidden/>
              </w:rPr>
              <w:tab/>
            </w:r>
            <w:r>
              <w:rPr>
                <w:noProof/>
                <w:webHidden/>
              </w:rPr>
              <w:fldChar w:fldCharType="begin"/>
            </w:r>
            <w:r>
              <w:rPr>
                <w:noProof/>
                <w:webHidden/>
              </w:rPr>
              <w:instrText xml:space="preserve"> PAGEREF _Toc220324609 \h </w:instrText>
            </w:r>
            <w:r>
              <w:rPr>
                <w:noProof/>
                <w:webHidden/>
              </w:rPr>
            </w:r>
            <w:r>
              <w:rPr>
                <w:noProof/>
                <w:webHidden/>
              </w:rPr>
              <w:fldChar w:fldCharType="separate"/>
            </w:r>
            <w:r>
              <w:rPr>
                <w:noProof/>
                <w:webHidden/>
              </w:rPr>
              <w:t>18</w:t>
            </w:r>
            <w:r>
              <w:rPr>
                <w:noProof/>
                <w:webHidden/>
              </w:rPr>
              <w:fldChar w:fldCharType="end"/>
            </w:r>
          </w:hyperlink>
        </w:p>
        <w:p w14:paraId="4C7C6CAE" w14:textId="43684675" w:rsidR="00F83A65" w:rsidRDefault="00F83A65">
          <w:pPr>
            <w:pStyle w:val="TOC2"/>
            <w:tabs>
              <w:tab w:val="right" w:pos="9016"/>
            </w:tabs>
            <w:rPr>
              <w:noProof/>
            </w:rPr>
          </w:pPr>
          <w:hyperlink w:anchor="_Toc220324610" w:history="1">
            <w:r w:rsidRPr="003C04D0">
              <w:rPr>
                <w:rStyle w:val="Hyperlink"/>
                <w:noProof/>
              </w:rPr>
              <w:t>2.1 Introduction</w:t>
            </w:r>
            <w:r>
              <w:rPr>
                <w:noProof/>
                <w:webHidden/>
              </w:rPr>
              <w:tab/>
            </w:r>
            <w:r>
              <w:rPr>
                <w:noProof/>
                <w:webHidden/>
              </w:rPr>
              <w:fldChar w:fldCharType="begin"/>
            </w:r>
            <w:r>
              <w:rPr>
                <w:noProof/>
                <w:webHidden/>
              </w:rPr>
              <w:instrText xml:space="preserve"> PAGEREF _Toc220324610 \h </w:instrText>
            </w:r>
            <w:r>
              <w:rPr>
                <w:noProof/>
                <w:webHidden/>
              </w:rPr>
            </w:r>
            <w:r>
              <w:rPr>
                <w:noProof/>
                <w:webHidden/>
              </w:rPr>
              <w:fldChar w:fldCharType="separate"/>
            </w:r>
            <w:r>
              <w:rPr>
                <w:noProof/>
                <w:webHidden/>
              </w:rPr>
              <w:t>18</w:t>
            </w:r>
            <w:r>
              <w:rPr>
                <w:noProof/>
                <w:webHidden/>
              </w:rPr>
              <w:fldChar w:fldCharType="end"/>
            </w:r>
          </w:hyperlink>
        </w:p>
        <w:p w14:paraId="5C623E07" w14:textId="1AE909E2" w:rsidR="00F83A65" w:rsidRDefault="00F83A65">
          <w:pPr>
            <w:pStyle w:val="TOC3"/>
            <w:tabs>
              <w:tab w:val="right" w:pos="9016"/>
            </w:tabs>
            <w:rPr>
              <w:noProof/>
            </w:rPr>
          </w:pPr>
          <w:hyperlink w:anchor="_Toc220324611" w:history="1">
            <w:r w:rsidRPr="003C04D0">
              <w:rPr>
                <w:rStyle w:val="Hyperlink"/>
                <w:b/>
                <w:bCs/>
                <w:noProof/>
              </w:rPr>
              <w:t>2.2. Decent Home Standard for young people and their families</w:t>
            </w:r>
            <w:r>
              <w:rPr>
                <w:noProof/>
                <w:webHidden/>
              </w:rPr>
              <w:tab/>
            </w:r>
            <w:r>
              <w:rPr>
                <w:noProof/>
                <w:webHidden/>
              </w:rPr>
              <w:fldChar w:fldCharType="begin"/>
            </w:r>
            <w:r>
              <w:rPr>
                <w:noProof/>
                <w:webHidden/>
              </w:rPr>
              <w:instrText xml:space="preserve"> PAGEREF _Toc220324611 \h </w:instrText>
            </w:r>
            <w:r>
              <w:rPr>
                <w:noProof/>
                <w:webHidden/>
              </w:rPr>
            </w:r>
            <w:r>
              <w:rPr>
                <w:noProof/>
                <w:webHidden/>
              </w:rPr>
              <w:fldChar w:fldCharType="separate"/>
            </w:r>
            <w:r>
              <w:rPr>
                <w:noProof/>
                <w:webHidden/>
              </w:rPr>
              <w:t>18</w:t>
            </w:r>
            <w:r>
              <w:rPr>
                <w:noProof/>
                <w:webHidden/>
              </w:rPr>
              <w:fldChar w:fldCharType="end"/>
            </w:r>
          </w:hyperlink>
        </w:p>
        <w:p w14:paraId="3FF2852F" w14:textId="4B4FD97C" w:rsidR="00F83A65" w:rsidRDefault="00F83A65">
          <w:pPr>
            <w:pStyle w:val="TOC3"/>
            <w:tabs>
              <w:tab w:val="right" w:pos="9016"/>
            </w:tabs>
            <w:rPr>
              <w:noProof/>
            </w:rPr>
          </w:pPr>
          <w:hyperlink w:anchor="_Toc220324612" w:history="1">
            <w:r w:rsidRPr="003C04D0">
              <w:rPr>
                <w:rStyle w:val="Hyperlink"/>
                <w:noProof/>
              </w:rPr>
              <w:t>2.3.2 Overview of Microbiological Research on Housing Quality</w:t>
            </w:r>
            <w:r>
              <w:rPr>
                <w:noProof/>
                <w:webHidden/>
              </w:rPr>
              <w:tab/>
            </w:r>
            <w:r>
              <w:rPr>
                <w:noProof/>
                <w:webHidden/>
              </w:rPr>
              <w:fldChar w:fldCharType="begin"/>
            </w:r>
            <w:r>
              <w:rPr>
                <w:noProof/>
                <w:webHidden/>
              </w:rPr>
              <w:instrText xml:space="preserve"> PAGEREF _Toc220324612 \h </w:instrText>
            </w:r>
            <w:r>
              <w:rPr>
                <w:noProof/>
                <w:webHidden/>
              </w:rPr>
            </w:r>
            <w:r>
              <w:rPr>
                <w:noProof/>
                <w:webHidden/>
              </w:rPr>
              <w:fldChar w:fldCharType="separate"/>
            </w:r>
            <w:r>
              <w:rPr>
                <w:noProof/>
                <w:webHidden/>
              </w:rPr>
              <w:t>19</w:t>
            </w:r>
            <w:r>
              <w:rPr>
                <w:noProof/>
                <w:webHidden/>
              </w:rPr>
              <w:fldChar w:fldCharType="end"/>
            </w:r>
          </w:hyperlink>
        </w:p>
        <w:p w14:paraId="55EC3277" w14:textId="1C8C24DD" w:rsidR="00F83A65" w:rsidRDefault="00F83A65">
          <w:pPr>
            <w:pStyle w:val="TOC3"/>
            <w:tabs>
              <w:tab w:val="right" w:pos="9016"/>
            </w:tabs>
            <w:rPr>
              <w:noProof/>
            </w:rPr>
          </w:pPr>
          <w:hyperlink w:anchor="_Toc220324613" w:history="1">
            <w:r w:rsidRPr="003C04D0">
              <w:rPr>
                <w:rStyle w:val="Hyperlink"/>
                <w:noProof/>
              </w:rPr>
              <w:t>2.3.3 Dampness, Mould and Fungal Contaminants</w:t>
            </w:r>
            <w:r>
              <w:rPr>
                <w:noProof/>
                <w:webHidden/>
              </w:rPr>
              <w:tab/>
            </w:r>
            <w:r>
              <w:rPr>
                <w:noProof/>
                <w:webHidden/>
              </w:rPr>
              <w:fldChar w:fldCharType="begin"/>
            </w:r>
            <w:r>
              <w:rPr>
                <w:noProof/>
                <w:webHidden/>
              </w:rPr>
              <w:instrText xml:space="preserve"> PAGEREF _Toc220324613 \h </w:instrText>
            </w:r>
            <w:r>
              <w:rPr>
                <w:noProof/>
                <w:webHidden/>
              </w:rPr>
            </w:r>
            <w:r>
              <w:rPr>
                <w:noProof/>
                <w:webHidden/>
              </w:rPr>
              <w:fldChar w:fldCharType="separate"/>
            </w:r>
            <w:r>
              <w:rPr>
                <w:noProof/>
                <w:webHidden/>
              </w:rPr>
              <w:t>19</w:t>
            </w:r>
            <w:r>
              <w:rPr>
                <w:noProof/>
                <w:webHidden/>
              </w:rPr>
              <w:fldChar w:fldCharType="end"/>
            </w:r>
          </w:hyperlink>
        </w:p>
        <w:p w14:paraId="6158E9A0" w14:textId="0517F404" w:rsidR="00F83A65" w:rsidRDefault="00F83A65">
          <w:pPr>
            <w:pStyle w:val="TOC3"/>
            <w:tabs>
              <w:tab w:val="right" w:pos="9016"/>
            </w:tabs>
            <w:rPr>
              <w:noProof/>
            </w:rPr>
          </w:pPr>
          <w:hyperlink w:anchor="_Toc220324614" w:history="1">
            <w:r w:rsidRPr="003C04D0">
              <w:rPr>
                <w:rStyle w:val="Hyperlink"/>
                <w:noProof/>
              </w:rPr>
              <w:t>2.3.4 Bacterial Contaminants and Indoor Air Quality</w:t>
            </w:r>
            <w:r>
              <w:rPr>
                <w:noProof/>
                <w:webHidden/>
              </w:rPr>
              <w:tab/>
            </w:r>
            <w:r>
              <w:rPr>
                <w:noProof/>
                <w:webHidden/>
              </w:rPr>
              <w:fldChar w:fldCharType="begin"/>
            </w:r>
            <w:r>
              <w:rPr>
                <w:noProof/>
                <w:webHidden/>
              </w:rPr>
              <w:instrText xml:space="preserve"> PAGEREF _Toc220324614 \h </w:instrText>
            </w:r>
            <w:r>
              <w:rPr>
                <w:noProof/>
                <w:webHidden/>
              </w:rPr>
            </w:r>
            <w:r>
              <w:rPr>
                <w:noProof/>
                <w:webHidden/>
              </w:rPr>
              <w:fldChar w:fldCharType="separate"/>
            </w:r>
            <w:r>
              <w:rPr>
                <w:noProof/>
                <w:webHidden/>
              </w:rPr>
              <w:t>20</w:t>
            </w:r>
            <w:r>
              <w:rPr>
                <w:noProof/>
                <w:webHidden/>
              </w:rPr>
              <w:fldChar w:fldCharType="end"/>
            </w:r>
          </w:hyperlink>
        </w:p>
        <w:p w14:paraId="2B079CA2" w14:textId="21DB3C2C" w:rsidR="00F83A65" w:rsidRDefault="00F83A65">
          <w:pPr>
            <w:pStyle w:val="TOC2"/>
            <w:tabs>
              <w:tab w:val="right" w:pos="9016"/>
            </w:tabs>
            <w:rPr>
              <w:noProof/>
            </w:rPr>
          </w:pPr>
          <w:hyperlink w:anchor="_Toc220324615" w:history="1">
            <w:r w:rsidRPr="003C04D0">
              <w:rPr>
                <w:rStyle w:val="Hyperlink"/>
                <w:noProof/>
              </w:rPr>
              <w:t>2.4 Public Health Consequences of Poor Housing in the UK</w:t>
            </w:r>
            <w:r>
              <w:rPr>
                <w:noProof/>
                <w:webHidden/>
              </w:rPr>
              <w:tab/>
            </w:r>
            <w:r>
              <w:rPr>
                <w:noProof/>
                <w:webHidden/>
              </w:rPr>
              <w:fldChar w:fldCharType="begin"/>
            </w:r>
            <w:r>
              <w:rPr>
                <w:noProof/>
                <w:webHidden/>
              </w:rPr>
              <w:instrText xml:space="preserve"> PAGEREF _Toc220324615 \h </w:instrText>
            </w:r>
            <w:r>
              <w:rPr>
                <w:noProof/>
                <w:webHidden/>
              </w:rPr>
            </w:r>
            <w:r>
              <w:rPr>
                <w:noProof/>
                <w:webHidden/>
              </w:rPr>
              <w:fldChar w:fldCharType="separate"/>
            </w:r>
            <w:r>
              <w:rPr>
                <w:noProof/>
                <w:webHidden/>
              </w:rPr>
              <w:t>20</w:t>
            </w:r>
            <w:r>
              <w:rPr>
                <w:noProof/>
                <w:webHidden/>
              </w:rPr>
              <w:fldChar w:fldCharType="end"/>
            </w:r>
          </w:hyperlink>
        </w:p>
        <w:p w14:paraId="5E10AFD7" w14:textId="04771E1D" w:rsidR="00F83A65" w:rsidRDefault="00F83A65">
          <w:pPr>
            <w:pStyle w:val="TOC3"/>
            <w:tabs>
              <w:tab w:val="right" w:pos="9016"/>
            </w:tabs>
            <w:rPr>
              <w:noProof/>
            </w:rPr>
          </w:pPr>
          <w:hyperlink w:anchor="_Toc220324616" w:history="1">
            <w:r w:rsidRPr="003C04D0">
              <w:rPr>
                <w:rStyle w:val="Hyperlink"/>
                <w:noProof/>
              </w:rPr>
              <w:t>2.4.1 Respiratory Health Burden in the UK</w:t>
            </w:r>
            <w:r>
              <w:rPr>
                <w:noProof/>
                <w:webHidden/>
              </w:rPr>
              <w:tab/>
            </w:r>
            <w:r>
              <w:rPr>
                <w:noProof/>
                <w:webHidden/>
              </w:rPr>
              <w:fldChar w:fldCharType="begin"/>
            </w:r>
            <w:r>
              <w:rPr>
                <w:noProof/>
                <w:webHidden/>
              </w:rPr>
              <w:instrText xml:space="preserve"> PAGEREF _Toc220324616 \h </w:instrText>
            </w:r>
            <w:r>
              <w:rPr>
                <w:noProof/>
                <w:webHidden/>
              </w:rPr>
            </w:r>
            <w:r>
              <w:rPr>
                <w:noProof/>
                <w:webHidden/>
              </w:rPr>
              <w:fldChar w:fldCharType="separate"/>
            </w:r>
            <w:r>
              <w:rPr>
                <w:noProof/>
                <w:webHidden/>
              </w:rPr>
              <w:t>20</w:t>
            </w:r>
            <w:r>
              <w:rPr>
                <w:noProof/>
                <w:webHidden/>
              </w:rPr>
              <w:fldChar w:fldCharType="end"/>
            </w:r>
          </w:hyperlink>
        </w:p>
        <w:p w14:paraId="4136C5C3" w14:textId="4B713D3F" w:rsidR="00F83A65" w:rsidRDefault="00F83A65">
          <w:pPr>
            <w:pStyle w:val="TOC3"/>
            <w:tabs>
              <w:tab w:val="right" w:pos="9016"/>
            </w:tabs>
            <w:rPr>
              <w:noProof/>
            </w:rPr>
          </w:pPr>
          <w:hyperlink w:anchor="_Toc220324617" w:history="1">
            <w:r w:rsidRPr="003C04D0">
              <w:rPr>
                <w:rStyle w:val="Hyperlink"/>
                <w:noProof/>
              </w:rPr>
              <w:t>2.4.2 Determinants of Housing-Related Respiratory Illness</w:t>
            </w:r>
            <w:r>
              <w:rPr>
                <w:noProof/>
                <w:webHidden/>
              </w:rPr>
              <w:tab/>
            </w:r>
            <w:r>
              <w:rPr>
                <w:noProof/>
                <w:webHidden/>
              </w:rPr>
              <w:fldChar w:fldCharType="begin"/>
            </w:r>
            <w:r>
              <w:rPr>
                <w:noProof/>
                <w:webHidden/>
              </w:rPr>
              <w:instrText xml:space="preserve"> PAGEREF _Toc220324617 \h </w:instrText>
            </w:r>
            <w:r>
              <w:rPr>
                <w:noProof/>
                <w:webHidden/>
              </w:rPr>
            </w:r>
            <w:r>
              <w:rPr>
                <w:noProof/>
                <w:webHidden/>
              </w:rPr>
              <w:fldChar w:fldCharType="separate"/>
            </w:r>
            <w:r>
              <w:rPr>
                <w:noProof/>
                <w:webHidden/>
              </w:rPr>
              <w:t>21</w:t>
            </w:r>
            <w:r>
              <w:rPr>
                <w:noProof/>
                <w:webHidden/>
              </w:rPr>
              <w:fldChar w:fldCharType="end"/>
            </w:r>
          </w:hyperlink>
        </w:p>
        <w:p w14:paraId="6D4DB0F0" w14:textId="1A4C36F4" w:rsidR="00F83A65" w:rsidRDefault="00F83A65">
          <w:pPr>
            <w:pStyle w:val="TOC3"/>
            <w:tabs>
              <w:tab w:val="right" w:pos="9016"/>
            </w:tabs>
            <w:rPr>
              <w:noProof/>
            </w:rPr>
          </w:pPr>
          <w:hyperlink w:anchor="_Toc220324618" w:history="1">
            <w:r w:rsidRPr="003C04D0">
              <w:rPr>
                <w:rStyle w:val="Hyperlink"/>
                <w:noProof/>
              </w:rPr>
              <w:t>2.4.3 Public Health Strategies Addressing Housing Hazards</w:t>
            </w:r>
            <w:r>
              <w:rPr>
                <w:noProof/>
                <w:webHidden/>
              </w:rPr>
              <w:tab/>
            </w:r>
            <w:r>
              <w:rPr>
                <w:noProof/>
                <w:webHidden/>
              </w:rPr>
              <w:fldChar w:fldCharType="begin"/>
            </w:r>
            <w:r>
              <w:rPr>
                <w:noProof/>
                <w:webHidden/>
              </w:rPr>
              <w:instrText xml:space="preserve"> PAGEREF _Toc220324618 \h </w:instrText>
            </w:r>
            <w:r>
              <w:rPr>
                <w:noProof/>
                <w:webHidden/>
              </w:rPr>
            </w:r>
            <w:r>
              <w:rPr>
                <w:noProof/>
                <w:webHidden/>
              </w:rPr>
              <w:fldChar w:fldCharType="separate"/>
            </w:r>
            <w:r>
              <w:rPr>
                <w:noProof/>
                <w:webHidden/>
              </w:rPr>
              <w:t>21</w:t>
            </w:r>
            <w:r>
              <w:rPr>
                <w:noProof/>
                <w:webHidden/>
              </w:rPr>
              <w:fldChar w:fldCharType="end"/>
            </w:r>
          </w:hyperlink>
        </w:p>
        <w:p w14:paraId="5889E4FE" w14:textId="7F44F042" w:rsidR="00F83A65" w:rsidRDefault="00F83A65">
          <w:pPr>
            <w:pStyle w:val="TOC4"/>
            <w:tabs>
              <w:tab w:val="right" w:pos="9016"/>
            </w:tabs>
            <w:rPr>
              <w:noProof/>
            </w:rPr>
          </w:pPr>
          <w:hyperlink w:anchor="_Toc220324619" w:history="1">
            <w:r w:rsidRPr="003C04D0">
              <w:rPr>
                <w:rStyle w:val="Hyperlink"/>
                <w:noProof/>
              </w:rPr>
              <w:t>Figure 2.1: Housing pathways to health</w:t>
            </w:r>
            <w:r>
              <w:rPr>
                <w:noProof/>
                <w:webHidden/>
              </w:rPr>
              <w:tab/>
            </w:r>
            <w:r>
              <w:rPr>
                <w:noProof/>
                <w:webHidden/>
              </w:rPr>
              <w:fldChar w:fldCharType="begin"/>
            </w:r>
            <w:r>
              <w:rPr>
                <w:noProof/>
                <w:webHidden/>
              </w:rPr>
              <w:instrText xml:space="preserve"> PAGEREF _Toc220324619 \h </w:instrText>
            </w:r>
            <w:r>
              <w:rPr>
                <w:noProof/>
                <w:webHidden/>
              </w:rPr>
            </w:r>
            <w:r>
              <w:rPr>
                <w:noProof/>
                <w:webHidden/>
              </w:rPr>
              <w:fldChar w:fldCharType="separate"/>
            </w:r>
            <w:r>
              <w:rPr>
                <w:noProof/>
                <w:webHidden/>
              </w:rPr>
              <w:t>22</w:t>
            </w:r>
            <w:r>
              <w:rPr>
                <w:noProof/>
                <w:webHidden/>
              </w:rPr>
              <w:fldChar w:fldCharType="end"/>
            </w:r>
          </w:hyperlink>
        </w:p>
        <w:p w14:paraId="3D22BD37" w14:textId="38EF0D15" w:rsidR="00F83A65" w:rsidRDefault="00F83A65">
          <w:pPr>
            <w:pStyle w:val="TOC3"/>
            <w:tabs>
              <w:tab w:val="right" w:pos="9016"/>
            </w:tabs>
            <w:rPr>
              <w:noProof/>
            </w:rPr>
          </w:pPr>
          <w:hyperlink w:anchor="_Toc220324620" w:history="1">
            <w:r w:rsidRPr="003C04D0">
              <w:rPr>
                <w:rStyle w:val="Hyperlink"/>
                <w:noProof/>
              </w:rPr>
              <w:t>2.4.4 Effectiveness of Current Public Health Intervention</w:t>
            </w:r>
            <w:r>
              <w:rPr>
                <w:noProof/>
                <w:webHidden/>
              </w:rPr>
              <w:tab/>
            </w:r>
            <w:r>
              <w:rPr>
                <w:noProof/>
                <w:webHidden/>
              </w:rPr>
              <w:fldChar w:fldCharType="begin"/>
            </w:r>
            <w:r>
              <w:rPr>
                <w:noProof/>
                <w:webHidden/>
              </w:rPr>
              <w:instrText xml:space="preserve"> PAGEREF _Toc220324620 \h </w:instrText>
            </w:r>
            <w:r>
              <w:rPr>
                <w:noProof/>
                <w:webHidden/>
              </w:rPr>
            </w:r>
            <w:r>
              <w:rPr>
                <w:noProof/>
                <w:webHidden/>
              </w:rPr>
              <w:fldChar w:fldCharType="separate"/>
            </w:r>
            <w:r>
              <w:rPr>
                <w:noProof/>
                <w:webHidden/>
              </w:rPr>
              <w:t>22</w:t>
            </w:r>
            <w:r>
              <w:rPr>
                <w:noProof/>
                <w:webHidden/>
              </w:rPr>
              <w:fldChar w:fldCharType="end"/>
            </w:r>
          </w:hyperlink>
        </w:p>
        <w:p w14:paraId="78C1B1C1" w14:textId="30FEDD31" w:rsidR="00F83A65" w:rsidRDefault="00F83A65">
          <w:pPr>
            <w:pStyle w:val="TOC2"/>
            <w:tabs>
              <w:tab w:val="right" w:pos="9016"/>
            </w:tabs>
            <w:rPr>
              <w:noProof/>
            </w:rPr>
          </w:pPr>
          <w:hyperlink w:anchor="_Toc220324621" w:history="1">
            <w:r w:rsidRPr="003C04D0">
              <w:rPr>
                <w:rStyle w:val="Hyperlink"/>
                <w:noProof/>
              </w:rPr>
              <w:t>2.5 Social Care Responses for Vulnerable Populations</w:t>
            </w:r>
            <w:r>
              <w:rPr>
                <w:noProof/>
                <w:webHidden/>
              </w:rPr>
              <w:tab/>
            </w:r>
            <w:r>
              <w:rPr>
                <w:noProof/>
                <w:webHidden/>
              </w:rPr>
              <w:fldChar w:fldCharType="begin"/>
            </w:r>
            <w:r>
              <w:rPr>
                <w:noProof/>
                <w:webHidden/>
              </w:rPr>
              <w:instrText xml:space="preserve"> PAGEREF _Toc220324621 \h </w:instrText>
            </w:r>
            <w:r>
              <w:rPr>
                <w:noProof/>
                <w:webHidden/>
              </w:rPr>
            </w:r>
            <w:r>
              <w:rPr>
                <w:noProof/>
                <w:webHidden/>
              </w:rPr>
              <w:fldChar w:fldCharType="separate"/>
            </w:r>
            <w:r>
              <w:rPr>
                <w:noProof/>
                <w:webHidden/>
              </w:rPr>
              <w:t>23</w:t>
            </w:r>
            <w:r>
              <w:rPr>
                <w:noProof/>
                <w:webHidden/>
              </w:rPr>
              <w:fldChar w:fldCharType="end"/>
            </w:r>
          </w:hyperlink>
        </w:p>
        <w:p w14:paraId="39CD43F5" w14:textId="7439A06E" w:rsidR="00F83A65" w:rsidRDefault="00F83A65">
          <w:pPr>
            <w:pStyle w:val="TOC3"/>
            <w:tabs>
              <w:tab w:val="right" w:pos="9016"/>
            </w:tabs>
            <w:rPr>
              <w:noProof/>
            </w:rPr>
          </w:pPr>
          <w:hyperlink w:anchor="_Toc220324622" w:history="1">
            <w:r w:rsidRPr="003C04D0">
              <w:rPr>
                <w:rStyle w:val="Hyperlink"/>
                <w:noProof/>
              </w:rPr>
              <w:t>2.5.1 Housing Instability and Vulnerability in Adolescents</w:t>
            </w:r>
            <w:r>
              <w:rPr>
                <w:noProof/>
                <w:webHidden/>
              </w:rPr>
              <w:tab/>
            </w:r>
            <w:r>
              <w:rPr>
                <w:noProof/>
                <w:webHidden/>
              </w:rPr>
              <w:fldChar w:fldCharType="begin"/>
            </w:r>
            <w:r>
              <w:rPr>
                <w:noProof/>
                <w:webHidden/>
              </w:rPr>
              <w:instrText xml:space="preserve"> PAGEREF _Toc220324622 \h </w:instrText>
            </w:r>
            <w:r>
              <w:rPr>
                <w:noProof/>
                <w:webHidden/>
              </w:rPr>
            </w:r>
            <w:r>
              <w:rPr>
                <w:noProof/>
                <w:webHidden/>
              </w:rPr>
              <w:fldChar w:fldCharType="separate"/>
            </w:r>
            <w:r>
              <w:rPr>
                <w:noProof/>
                <w:webHidden/>
              </w:rPr>
              <w:t>23</w:t>
            </w:r>
            <w:r>
              <w:rPr>
                <w:noProof/>
                <w:webHidden/>
              </w:rPr>
              <w:fldChar w:fldCharType="end"/>
            </w:r>
          </w:hyperlink>
        </w:p>
        <w:p w14:paraId="12B4D7D0" w14:textId="7F59828E" w:rsidR="00F83A65" w:rsidRDefault="00F83A65">
          <w:pPr>
            <w:pStyle w:val="TOC3"/>
            <w:tabs>
              <w:tab w:val="right" w:pos="9016"/>
            </w:tabs>
            <w:rPr>
              <w:noProof/>
            </w:rPr>
          </w:pPr>
          <w:hyperlink w:anchor="_Toc220324623" w:history="1">
            <w:r w:rsidRPr="003C04D0">
              <w:rPr>
                <w:rStyle w:val="Hyperlink"/>
                <w:noProof/>
              </w:rPr>
              <w:t>2.5.2 Role of Social Care Service</w:t>
            </w:r>
            <w:r>
              <w:rPr>
                <w:noProof/>
                <w:webHidden/>
              </w:rPr>
              <w:tab/>
            </w:r>
            <w:r>
              <w:rPr>
                <w:noProof/>
                <w:webHidden/>
              </w:rPr>
              <w:fldChar w:fldCharType="begin"/>
            </w:r>
            <w:r>
              <w:rPr>
                <w:noProof/>
                <w:webHidden/>
              </w:rPr>
              <w:instrText xml:space="preserve"> PAGEREF _Toc220324623 \h </w:instrText>
            </w:r>
            <w:r>
              <w:rPr>
                <w:noProof/>
                <w:webHidden/>
              </w:rPr>
            </w:r>
            <w:r>
              <w:rPr>
                <w:noProof/>
                <w:webHidden/>
              </w:rPr>
              <w:fldChar w:fldCharType="separate"/>
            </w:r>
            <w:r>
              <w:rPr>
                <w:noProof/>
                <w:webHidden/>
              </w:rPr>
              <w:t>23</w:t>
            </w:r>
            <w:r>
              <w:rPr>
                <w:noProof/>
                <w:webHidden/>
              </w:rPr>
              <w:fldChar w:fldCharType="end"/>
            </w:r>
          </w:hyperlink>
        </w:p>
        <w:p w14:paraId="3EC7F6D1" w14:textId="1A9E3469" w:rsidR="00F83A65" w:rsidRDefault="00F83A65">
          <w:pPr>
            <w:pStyle w:val="TOC3"/>
            <w:tabs>
              <w:tab w:val="right" w:pos="9016"/>
            </w:tabs>
            <w:rPr>
              <w:noProof/>
            </w:rPr>
          </w:pPr>
          <w:hyperlink w:anchor="_Toc220324624" w:history="1">
            <w:r w:rsidRPr="003C04D0">
              <w:rPr>
                <w:rStyle w:val="Hyperlink"/>
                <w:noProof/>
              </w:rPr>
              <w:t>2.5.3 Interagency Collaboration Models</w:t>
            </w:r>
            <w:r>
              <w:rPr>
                <w:noProof/>
                <w:webHidden/>
              </w:rPr>
              <w:tab/>
            </w:r>
            <w:r>
              <w:rPr>
                <w:noProof/>
                <w:webHidden/>
              </w:rPr>
              <w:fldChar w:fldCharType="begin"/>
            </w:r>
            <w:r>
              <w:rPr>
                <w:noProof/>
                <w:webHidden/>
              </w:rPr>
              <w:instrText xml:space="preserve"> PAGEREF _Toc220324624 \h </w:instrText>
            </w:r>
            <w:r>
              <w:rPr>
                <w:noProof/>
                <w:webHidden/>
              </w:rPr>
            </w:r>
            <w:r>
              <w:rPr>
                <w:noProof/>
                <w:webHidden/>
              </w:rPr>
              <w:fldChar w:fldCharType="separate"/>
            </w:r>
            <w:r>
              <w:rPr>
                <w:noProof/>
                <w:webHidden/>
              </w:rPr>
              <w:t>24</w:t>
            </w:r>
            <w:r>
              <w:rPr>
                <w:noProof/>
                <w:webHidden/>
              </w:rPr>
              <w:fldChar w:fldCharType="end"/>
            </w:r>
          </w:hyperlink>
        </w:p>
        <w:p w14:paraId="185488DE" w14:textId="2C2065D7" w:rsidR="00F83A65" w:rsidRDefault="00F83A65">
          <w:pPr>
            <w:pStyle w:val="TOC3"/>
            <w:tabs>
              <w:tab w:val="right" w:pos="9016"/>
            </w:tabs>
            <w:rPr>
              <w:noProof/>
            </w:rPr>
          </w:pPr>
          <w:hyperlink w:anchor="_Toc220324625" w:history="1">
            <w:r w:rsidRPr="003C04D0">
              <w:rPr>
                <w:rStyle w:val="Hyperlink"/>
                <w:noProof/>
              </w:rPr>
              <w:t>2.5.4 Effectiveness of Social Care Interventions</w:t>
            </w:r>
            <w:r>
              <w:rPr>
                <w:noProof/>
                <w:webHidden/>
              </w:rPr>
              <w:tab/>
            </w:r>
            <w:r>
              <w:rPr>
                <w:noProof/>
                <w:webHidden/>
              </w:rPr>
              <w:fldChar w:fldCharType="begin"/>
            </w:r>
            <w:r>
              <w:rPr>
                <w:noProof/>
                <w:webHidden/>
              </w:rPr>
              <w:instrText xml:space="preserve"> PAGEREF _Toc220324625 \h </w:instrText>
            </w:r>
            <w:r>
              <w:rPr>
                <w:noProof/>
                <w:webHidden/>
              </w:rPr>
            </w:r>
            <w:r>
              <w:rPr>
                <w:noProof/>
                <w:webHidden/>
              </w:rPr>
              <w:fldChar w:fldCharType="separate"/>
            </w:r>
            <w:r>
              <w:rPr>
                <w:noProof/>
                <w:webHidden/>
              </w:rPr>
              <w:t>24</w:t>
            </w:r>
            <w:r>
              <w:rPr>
                <w:noProof/>
                <w:webHidden/>
              </w:rPr>
              <w:fldChar w:fldCharType="end"/>
            </w:r>
          </w:hyperlink>
        </w:p>
        <w:p w14:paraId="7E13776C" w14:textId="1345100D" w:rsidR="00F83A65" w:rsidRDefault="00F83A65">
          <w:pPr>
            <w:pStyle w:val="TOC2"/>
            <w:tabs>
              <w:tab w:val="right" w:pos="9016"/>
            </w:tabs>
            <w:rPr>
              <w:noProof/>
            </w:rPr>
          </w:pPr>
          <w:hyperlink w:anchor="_Toc220324626" w:history="1">
            <w:r w:rsidRPr="003C04D0">
              <w:rPr>
                <w:rStyle w:val="Hyperlink"/>
                <w:noProof/>
              </w:rPr>
              <w:t>2.6 Theoretical framework</w:t>
            </w:r>
            <w:r>
              <w:rPr>
                <w:noProof/>
                <w:webHidden/>
              </w:rPr>
              <w:tab/>
            </w:r>
            <w:r>
              <w:rPr>
                <w:noProof/>
                <w:webHidden/>
              </w:rPr>
              <w:fldChar w:fldCharType="begin"/>
            </w:r>
            <w:r>
              <w:rPr>
                <w:noProof/>
                <w:webHidden/>
              </w:rPr>
              <w:instrText xml:space="preserve"> PAGEREF _Toc220324626 \h </w:instrText>
            </w:r>
            <w:r>
              <w:rPr>
                <w:noProof/>
                <w:webHidden/>
              </w:rPr>
            </w:r>
            <w:r>
              <w:rPr>
                <w:noProof/>
                <w:webHidden/>
              </w:rPr>
              <w:fldChar w:fldCharType="separate"/>
            </w:r>
            <w:r>
              <w:rPr>
                <w:noProof/>
                <w:webHidden/>
              </w:rPr>
              <w:t>25</w:t>
            </w:r>
            <w:r>
              <w:rPr>
                <w:noProof/>
                <w:webHidden/>
              </w:rPr>
              <w:fldChar w:fldCharType="end"/>
            </w:r>
          </w:hyperlink>
        </w:p>
        <w:p w14:paraId="4BD97513" w14:textId="29CF574E" w:rsidR="00F83A65" w:rsidRDefault="00F83A65">
          <w:pPr>
            <w:pStyle w:val="TOC4"/>
            <w:tabs>
              <w:tab w:val="right" w:pos="9016"/>
            </w:tabs>
            <w:rPr>
              <w:noProof/>
            </w:rPr>
          </w:pPr>
          <w:hyperlink w:anchor="_Toc220324627" w:history="1">
            <w:r w:rsidRPr="003C04D0">
              <w:rPr>
                <w:rStyle w:val="Hyperlink"/>
                <w:noProof/>
              </w:rPr>
              <w:t>Figure 2.2: Social ecological system of indoor housing environment</w:t>
            </w:r>
            <w:r>
              <w:rPr>
                <w:noProof/>
                <w:webHidden/>
              </w:rPr>
              <w:tab/>
            </w:r>
            <w:r>
              <w:rPr>
                <w:noProof/>
                <w:webHidden/>
              </w:rPr>
              <w:fldChar w:fldCharType="begin"/>
            </w:r>
            <w:r>
              <w:rPr>
                <w:noProof/>
                <w:webHidden/>
              </w:rPr>
              <w:instrText xml:space="preserve"> PAGEREF _Toc220324627 \h </w:instrText>
            </w:r>
            <w:r>
              <w:rPr>
                <w:noProof/>
                <w:webHidden/>
              </w:rPr>
            </w:r>
            <w:r>
              <w:rPr>
                <w:noProof/>
                <w:webHidden/>
              </w:rPr>
              <w:fldChar w:fldCharType="separate"/>
            </w:r>
            <w:r>
              <w:rPr>
                <w:noProof/>
                <w:webHidden/>
              </w:rPr>
              <w:t>25</w:t>
            </w:r>
            <w:r>
              <w:rPr>
                <w:noProof/>
                <w:webHidden/>
              </w:rPr>
              <w:fldChar w:fldCharType="end"/>
            </w:r>
          </w:hyperlink>
        </w:p>
        <w:p w14:paraId="706D4A11" w14:textId="6501DDBA" w:rsidR="00F83A65" w:rsidRDefault="00F83A65">
          <w:pPr>
            <w:pStyle w:val="TOC2"/>
            <w:tabs>
              <w:tab w:val="right" w:pos="9016"/>
            </w:tabs>
            <w:rPr>
              <w:noProof/>
            </w:rPr>
          </w:pPr>
          <w:hyperlink w:anchor="_Toc220324628" w:history="1">
            <w:r w:rsidRPr="003C04D0">
              <w:rPr>
                <w:rStyle w:val="Hyperlink"/>
                <w:noProof/>
              </w:rPr>
              <w:t>2.7 Identified Research Gaps</w:t>
            </w:r>
            <w:r>
              <w:rPr>
                <w:noProof/>
                <w:webHidden/>
              </w:rPr>
              <w:tab/>
            </w:r>
            <w:r>
              <w:rPr>
                <w:noProof/>
                <w:webHidden/>
              </w:rPr>
              <w:fldChar w:fldCharType="begin"/>
            </w:r>
            <w:r>
              <w:rPr>
                <w:noProof/>
                <w:webHidden/>
              </w:rPr>
              <w:instrText xml:space="preserve"> PAGEREF _Toc220324628 \h </w:instrText>
            </w:r>
            <w:r>
              <w:rPr>
                <w:noProof/>
                <w:webHidden/>
              </w:rPr>
            </w:r>
            <w:r>
              <w:rPr>
                <w:noProof/>
                <w:webHidden/>
              </w:rPr>
              <w:fldChar w:fldCharType="separate"/>
            </w:r>
            <w:r>
              <w:rPr>
                <w:noProof/>
                <w:webHidden/>
              </w:rPr>
              <w:t>26</w:t>
            </w:r>
            <w:r>
              <w:rPr>
                <w:noProof/>
                <w:webHidden/>
              </w:rPr>
              <w:fldChar w:fldCharType="end"/>
            </w:r>
          </w:hyperlink>
        </w:p>
        <w:p w14:paraId="2BBF6B28" w14:textId="1ACB9078" w:rsidR="00F83A65" w:rsidRDefault="00F83A65">
          <w:pPr>
            <w:pStyle w:val="TOC2"/>
            <w:tabs>
              <w:tab w:val="right" w:pos="9016"/>
            </w:tabs>
            <w:rPr>
              <w:noProof/>
            </w:rPr>
          </w:pPr>
          <w:hyperlink w:anchor="_Toc220324629" w:history="1">
            <w:r w:rsidRPr="003C04D0">
              <w:rPr>
                <w:rStyle w:val="Hyperlink"/>
                <w:noProof/>
              </w:rPr>
              <w:t>2.8 Summary of Findings</w:t>
            </w:r>
            <w:r>
              <w:rPr>
                <w:noProof/>
                <w:webHidden/>
              </w:rPr>
              <w:tab/>
            </w:r>
            <w:r>
              <w:rPr>
                <w:noProof/>
                <w:webHidden/>
              </w:rPr>
              <w:fldChar w:fldCharType="begin"/>
            </w:r>
            <w:r>
              <w:rPr>
                <w:noProof/>
                <w:webHidden/>
              </w:rPr>
              <w:instrText xml:space="preserve"> PAGEREF _Toc220324629 \h </w:instrText>
            </w:r>
            <w:r>
              <w:rPr>
                <w:noProof/>
                <w:webHidden/>
              </w:rPr>
            </w:r>
            <w:r>
              <w:rPr>
                <w:noProof/>
                <w:webHidden/>
              </w:rPr>
              <w:fldChar w:fldCharType="separate"/>
            </w:r>
            <w:r>
              <w:rPr>
                <w:noProof/>
                <w:webHidden/>
              </w:rPr>
              <w:t>26</w:t>
            </w:r>
            <w:r>
              <w:rPr>
                <w:noProof/>
                <w:webHidden/>
              </w:rPr>
              <w:fldChar w:fldCharType="end"/>
            </w:r>
          </w:hyperlink>
        </w:p>
        <w:p w14:paraId="697EB678" w14:textId="4664666F" w:rsidR="00F83A65" w:rsidRDefault="00F83A65">
          <w:pPr>
            <w:pStyle w:val="TOC1"/>
            <w:tabs>
              <w:tab w:val="right" w:pos="9016"/>
            </w:tabs>
            <w:rPr>
              <w:noProof/>
            </w:rPr>
          </w:pPr>
          <w:hyperlink w:anchor="_Toc220324630" w:history="1">
            <w:r w:rsidRPr="003C04D0">
              <w:rPr>
                <w:rStyle w:val="Hyperlink"/>
                <w:noProof/>
              </w:rPr>
              <w:t>Chapter 3: Research Methodology</w:t>
            </w:r>
            <w:r>
              <w:rPr>
                <w:noProof/>
                <w:webHidden/>
              </w:rPr>
              <w:tab/>
            </w:r>
            <w:r>
              <w:rPr>
                <w:noProof/>
                <w:webHidden/>
              </w:rPr>
              <w:fldChar w:fldCharType="begin"/>
            </w:r>
            <w:r>
              <w:rPr>
                <w:noProof/>
                <w:webHidden/>
              </w:rPr>
              <w:instrText xml:space="preserve"> PAGEREF _Toc220324630 \h </w:instrText>
            </w:r>
            <w:r>
              <w:rPr>
                <w:noProof/>
                <w:webHidden/>
              </w:rPr>
            </w:r>
            <w:r>
              <w:rPr>
                <w:noProof/>
                <w:webHidden/>
              </w:rPr>
              <w:fldChar w:fldCharType="separate"/>
            </w:r>
            <w:r>
              <w:rPr>
                <w:noProof/>
                <w:webHidden/>
              </w:rPr>
              <w:t>27</w:t>
            </w:r>
            <w:r>
              <w:rPr>
                <w:noProof/>
                <w:webHidden/>
              </w:rPr>
              <w:fldChar w:fldCharType="end"/>
            </w:r>
          </w:hyperlink>
        </w:p>
        <w:p w14:paraId="3D2B0ABC" w14:textId="554D282B" w:rsidR="00F83A65" w:rsidRDefault="00F83A65">
          <w:pPr>
            <w:pStyle w:val="TOC2"/>
            <w:tabs>
              <w:tab w:val="right" w:pos="9016"/>
            </w:tabs>
            <w:rPr>
              <w:noProof/>
            </w:rPr>
          </w:pPr>
          <w:hyperlink w:anchor="_Toc220324631" w:history="1">
            <w:r w:rsidRPr="003C04D0">
              <w:rPr>
                <w:rStyle w:val="Hyperlink"/>
                <w:noProof/>
              </w:rPr>
              <w:t>3.1Introduction</w:t>
            </w:r>
            <w:r>
              <w:rPr>
                <w:noProof/>
                <w:webHidden/>
              </w:rPr>
              <w:tab/>
            </w:r>
            <w:r>
              <w:rPr>
                <w:noProof/>
                <w:webHidden/>
              </w:rPr>
              <w:fldChar w:fldCharType="begin"/>
            </w:r>
            <w:r>
              <w:rPr>
                <w:noProof/>
                <w:webHidden/>
              </w:rPr>
              <w:instrText xml:space="preserve"> PAGEREF _Toc220324631 \h </w:instrText>
            </w:r>
            <w:r>
              <w:rPr>
                <w:noProof/>
                <w:webHidden/>
              </w:rPr>
            </w:r>
            <w:r>
              <w:rPr>
                <w:noProof/>
                <w:webHidden/>
              </w:rPr>
              <w:fldChar w:fldCharType="separate"/>
            </w:r>
            <w:r>
              <w:rPr>
                <w:noProof/>
                <w:webHidden/>
              </w:rPr>
              <w:t>27</w:t>
            </w:r>
            <w:r>
              <w:rPr>
                <w:noProof/>
                <w:webHidden/>
              </w:rPr>
              <w:fldChar w:fldCharType="end"/>
            </w:r>
          </w:hyperlink>
        </w:p>
        <w:p w14:paraId="3747B2C7" w14:textId="16D7E21C" w:rsidR="00F83A65" w:rsidRDefault="00F83A65">
          <w:pPr>
            <w:pStyle w:val="TOC2"/>
            <w:tabs>
              <w:tab w:val="right" w:pos="9016"/>
            </w:tabs>
            <w:rPr>
              <w:noProof/>
            </w:rPr>
          </w:pPr>
          <w:hyperlink w:anchor="_Toc220324632" w:history="1">
            <w:r w:rsidRPr="003C04D0">
              <w:rPr>
                <w:rStyle w:val="Hyperlink"/>
                <w:noProof/>
              </w:rPr>
              <w:t>3.2 Research Method Design</w:t>
            </w:r>
            <w:r>
              <w:rPr>
                <w:noProof/>
                <w:webHidden/>
              </w:rPr>
              <w:tab/>
            </w:r>
            <w:r>
              <w:rPr>
                <w:noProof/>
                <w:webHidden/>
              </w:rPr>
              <w:fldChar w:fldCharType="begin"/>
            </w:r>
            <w:r>
              <w:rPr>
                <w:noProof/>
                <w:webHidden/>
              </w:rPr>
              <w:instrText xml:space="preserve"> PAGEREF _Toc220324632 \h </w:instrText>
            </w:r>
            <w:r>
              <w:rPr>
                <w:noProof/>
                <w:webHidden/>
              </w:rPr>
            </w:r>
            <w:r>
              <w:rPr>
                <w:noProof/>
                <w:webHidden/>
              </w:rPr>
              <w:fldChar w:fldCharType="separate"/>
            </w:r>
            <w:r>
              <w:rPr>
                <w:noProof/>
                <w:webHidden/>
              </w:rPr>
              <w:t>27</w:t>
            </w:r>
            <w:r>
              <w:rPr>
                <w:noProof/>
                <w:webHidden/>
              </w:rPr>
              <w:fldChar w:fldCharType="end"/>
            </w:r>
          </w:hyperlink>
        </w:p>
        <w:p w14:paraId="54A24605" w14:textId="645EB56B" w:rsidR="00F83A65" w:rsidRDefault="00F83A65">
          <w:pPr>
            <w:pStyle w:val="TOC3"/>
            <w:tabs>
              <w:tab w:val="right" w:pos="9016"/>
            </w:tabs>
            <w:rPr>
              <w:noProof/>
            </w:rPr>
          </w:pPr>
          <w:hyperlink w:anchor="_Toc220324633" w:history="1">
            <w:r w:rsidRPr="003C04D0">
              <w:rPr>
                <w:rStyle w:val="Hyperlink"/>
                <w:noProof/>
              </w:rPr>
              <w:t>3.2.1 Philosophy</w:t>
            </w:r>
            <w:r>
              <w:rPr>
                <w:noProof/>
                <w:webHidden/>
              </w:rPr>
              <w:tab/>
            </w:r>
            <w:r>
              <w:rPr>
                <w:noProof/>
                <w:webHidden/>
              </w:rPr>
              <w:fldChar w:fldCharType="begin"/>
            </w:r>
            <w:r>
              <w:rPr>
                <w:noProof/>
                <w:webHidden/>
              </w:rPr>
              <w:instrText xml:space="preserve"> PAGEREF _Toc220324633 \h </w:instrText>
            </w:r>
            <w:r>
              <w:rPr>
                <w:noProof/>
                <w:webHidden/>
              </w:rPr>
            </w:r>
            <w:r>
              <w:rPr>
                <w:noProof/>
                <w:webHidden/>
              </w:rPr>
              <w:fldChar w:fldCharType="separate"/>
            </w:r>
            <w:r>
              <w:rPr>
                <w:noProof/>
                <w:webHidden/>
              </w:rPr>
              <w:t>27</w:t>
            </w:r>
            <w:r>
              <w:rPr>
                <w:noProof/>
                <w:webHidden/>
              </w:rPr>
              <w:fldChar w:fldCharType="end"/>
            </w:r>
          </w:hyperlink>
        </w:p>
        <w:p w14:paraId="706523D3" w14:textId="07AD1B10" w:rsidR="00F83A65" w:rsidRDefault="00F83A65">
          <w:pPr>
            <w:pStyle w:val="TOC3"/>
            <w:tabs>
              <w:tab w:val="right" w:pos="9016"/>
            </w:tabs>
            <w:rPr>
              <w:noProof/>
            </w:rPr>
          </w:pPr>
          <w:hyperlink w:anchor="_Toc220324634" w:history="1">
            <w:r w:rsidRPr="003C04D0">
              <w:rPr>
                <w:rStyle w:val="Hyperlink"/>
                <w:noProof/>
              </w:rPr>
              <w:t>3.2.2 Approach</w:t>
            </w:r>
            <w:r>
              <w:rPr>
                <w:noProof/>
                <w:webHidden/>
              </w:rPr>
              <w:tab/>
            </w:r>
            <w:r>
              <w:rPr>
                <w:noProof/>
                <w:webHidden/>
              </w:rPr>
              <w:fldChar w:fldCharType="begin"/>
            </w:r>
            <w:r>
              <w:rPr>
                <w:noProof/>
                <w:webHidden/>
              </w:rPr>
              <w:instrText xml:space="preserve"> PAGEREF _Toc220324634 \h </w:instrText>
            </w:r>
            <w:r>
              <w:rPr>
                <w:noProof/>
                <w:webHidden/>
              </w:rPr>
            </w:r>
            <w:r>
              <w:rPr>
                <w:noProof/>
                <w:webHidden/>
              </w:rPr>
              <w:fldChar w:fldCharType="separate"/>
            </w:r>
            <w:r>
              <w:rPr>
                <w:noProof/>
                <w:webHidden/>
              </w:rPr>
              <w:t>27</w:t>
            </w:r>
            <w:r>
              <w:rPr>
                <w:noProof/>
                <w:webHidden/>
              </w:rPr>
              <w:fldChar w:fldCharType="end"/>
            </w:r>
          </w:hyperlink>
        </w:p>
        <w:p w14:paraId="731C5913" w14:textId="263FEF43" w:rsidR="00F83A65" w:rsidRDefault="00F83A65">
          <w:pPr>
            <w:pStyle w:val="TOC3"/>
            <w:tabs>
              <w:tab w:val="right" w:pos="9016"/>
            </w:tabs>
            <w:rPr>
              <w:noProof/>
            </w:rPr>
          </w:pPr>
          <w:hyperlink w:anchor="_Toc220324635" w:history="1">
            <w:r w:rsidRPr="003C04D0">
              <w:rPr>
                <w:rStyle w:val="Hyperlink"/>
                <w:noProof/>
              </w:rPr>
              <w:t>3.2.3 Design</w:t>
            </w:r>
            <w:r>
              <w:rPr>
                <w:noProof/>
                <w:webHidden/>
              </w:rPr>
              <w:tab/>
            </w:r>
            <w:r>
              <w:rPr>
                <w:noProof/>
                <w:webHidden/>
              </w:rPr>
              <w:fldChar w:fldCharType="begin"/>
            </w:r>
            <w:r>
              <w:rPr>
                <w:noProof/>
                <w:webHidden/>
              </w:rPr>
              <w:instrText xml:space="preserve"> PAGEREF _Toc220324635 \h </w:instrText>
            </w:r>
            <w:r>
              <w:rPr>
                <w:noProof/>
                <w:webHidden/>
              </w:rPr>
            </w:r>
            <w:r>
              <w:rPr>
                <w:noProof/>
                <w:webHidden/>
              </w:rPr>
              <w:fldChar w:fldCharType="separate"/>
            </w:r>
            <w:r>
              <w:rPr>
                <w:noProof/>
                <w:webHidden/>
              </w:rPr>
              <w:t>28</w:t>
            </w:r>
            <w:r>
              <w:rPr>
                <w:noProof/>
                <w:webHidden/>
              </w:rPr>
              <w:fldChar w:fldCharType="end"/>
            </w:r>
          </w:hyperlink>
        </w:p>
        <w:p w14:paraId="21921ED2" w14:textId="6463B712" w:rsidR="00F83A65" w:rsidRDefault="00F83A65">
          <w:pPr>
            <w:pStyle w:val="TOC2"/>
            <w:tabs>
              <w:tab w:val="right" w:pos="9016"/>
            </w:tabs>
            <w:rPr>
              <w:noProof/>
            </w:rPr>
          </w:pPr>
          <w:hyperlink w:anchor="_Toc220324636" w:history="1">
            <w:r w:rsidRPr="003C04D0">
              <w:rPr>
                <w:rStyle w:val="Hyperlink"/>
                <w:noProof/>
              </w:rPr>
              <w:t>3.3 Data Collection</w:t>
            </w:r>
            <w:r>
              <w:rPr>
                <w:noProof/>
                <w:webHidden/>
              </w:rPr>
              <w:tab/>
            </w:r>
            <w:r>
              <w:rPr>
                <w:noProof/>
                <w:webHidden/>
              </w:rPr>
              <w:fldChar w:fldCharType="begin"/>
            </w:r>
            <w:r>
              <w:rPr>
                <w:noProof/>
                <w:webHidden/>
              </w:rPr>
              <w:instrText xml:space="preserve"> PAGEREF _Toc220324636 \h </w:instrText>
            </w:r>
            <w:r>
              <w:rPr>
                <w:noProof/>
                <w:webHidden/>
              </w:rPr>
            </w:r>
            <w:r>
              <w:rPr>
                <w:noProof/>
                <w:webHidden/>
              </w:rPr>
              <w:fldChar w:fldCharType="separate"/>
            </w:r>
            <w:r>
              <w:rPr>
                <w:noProof/>
                <w:webHidden/>
              </w:rPr>
              <w:t>28</w:t>
            </w:r>
            <w:r>
              <w:rPr>
                <w:noProof/>
                <w:webHidden/>
              </w:rPr>
              <w:fldChar w:fldCharType="end"/>
            </w:r>
          </w:hyperlink>
        </w:p>
        <w:p w14:paraId="7DB52DEF" w14:textId="3C10B652" w:rsidR="00F83A65" w:rsidRDefault="00F83A65">
          <w:pPr>
            <w:pStyle w:val="TOC3"/>
            <w:tabs>
              <w:tab w:val="right" w:pos="9016"/>
            </w:tabs>
            <w:rPr>
              <w:noProof/>
            </w:rPr>
          </w:pPr>
          <w:hyperlink w:anchor="_Toc220324637" w:history="1">
            <w:r w:rsidRPr="003C04D0">
              <w:rPr>
                <w:rStyle w:val="Hyperlink"/>
                <w:noProof/>
              </w:rPr>
              <w:t>3.3.1 Boolean Operators</w:t>
            </w:r>
            <w:r>
              <w:rPr>
                <w:noProof/>
                <w:webHidden/>
              </w:rPr>
              <w:tab/>
            </w:r>
            <w:r>
              <w:rPr>
                <w:noProof/>
                <w:webHidden/>
              </w:rPr>
              <w:fldChar w:fldCharType="begin"/>
            </w:r>
            <w:r>
              <w:rPr>
                <w:noProof/>
                <w:webHidden/>
              </w:rPr>
              <w:instrText xml:space="preserve"> PAGEREF _Toc220324637 \h </w:instrText>
            </w:r>
            <w:r>
              <w:rPr>
                <w:noProof/>
                <w:webHidden/>
              </w:rPr>
            </w:r>
            <w:r>
              <w:rPr>
                <w:noProof/>
                <w:webHidden/>
              </w:rPr>
              <w:fldChar w:fldCharType="separate"/>
            </w:r>
            <w:r>
              <w:rPr>
                <w:noProof/>
                <w:webHidden/>
              </w:rPr>
              <w:t>28</w:t>
            </w:r>
            <w:r>
              <w:rPr>
                <w:noProof/>
                <w:webHidden/>
              </w:rPr>
              <w:fldChar w:fldCharType="end"/>
            </w:r>
          </w:hyperlink>
        </w:p>
        <w:p w14:paraId="2AB02D40" w14:textId="74D6731C" w:rsidR="00F83A65" w:rsidRDefault="00F83A65">
          <w:pPr>
            <w:pStyle w:val="TOC5"/>
            <w:tabs>
              <w:tab w:val="right" w:pos="9016"/>
            </w:tabs>
            <w:rPr>
              <w:noProof/>
            </w:rPr>
          </w:pPr>
          <w:hyperlink w:anchor="_Toc220324638" w:history="1">
            <w:r w:rsidRPr="003C04D0">
              <w:rPr>
                <w:rStyle w:val="Hyperlink"/>
                <w:noProof/>
              </w:rPr>
              <w:t>Table 3.1: Boolean Search Strings</w:t>
            </w:r>
            <w:r>
              <w:rPr>
                <w:noProof/>
                <w:webHidden/>
              </w:rPr>
              <w:tab/>
            </w:r>
            <w:r>
              <w:rPr>
                <w:noProof/>
                <w:webHidden/>
              </w:rPr>
              <w:fldChar w:fldCharType="begin"/>
            </w:r>
            <w:r>
              <w:rPr>
                <w:noProof/>
                <w:webHidden/>
              </w:rPr>
              <w:instrText xml:space="preserve"> PAGEREF _Toc220324638 \h </w:instrText>
            </w:r>
            <w:r>
              <w:rPr>
                <w:noProof/>
                <w:webHidden/>
              </w:rPr>
            </w:r>
            <w:r>
              <w:rPr>
                <w:noProof/>
                <w:webHidden/>
              </w:rPr>
              <w:fldChar w:fldCharType="separate"/>
            </w:r>
            <w:r>
              <w:rPr>
                <w:noProof/>
                <w:webHidden/>
              </w:rPr>
              <w:t>29</w:t>
            </w:r>
            <w:r>
              <w:rPr>
                <w:noProof/>
                <w:webHidden/>
              </w:rPr>
              <w:fldChar w:fldCharType="end"/>
            </w:r>
          </w:hyperlink>
        </w:p>
        <w:p w14:paraId="43C4BACE" w14:textId="59333373" w:rsidR="00F83A65" w:rsidRDefault="00F83A65">
          <w:pPr>
            <w:pStyle w:val="TOC5"/>
            <w:tabs>
              <w:tab w:val="right" w:pos="9016"/>
            </w:tabs>
            <w:rPr>
              <w:noProof/>
            </w:rPr>
          </w:pPr>
          <w:hyperlink w:anchor="_Toc220324639" w:history="1">
            <w:r w:rsidRPr="003C04D0">
              <w:rPr>
                <w:rStyle w:val="Hyperlink"/>
                <w:noProof/>
              </w:rPr>
              <w:t>Table 3.2: Rationale for Database Inclusion</w:t>
            </w:r>
            <w:r>
              <w:rPr>
                <w:noProof/>
                <w:webHidden/>
              </w:rPr>
              <w:tab/>
            </w:r>
            <w:r>
              <w:rPr>
                <w:noProof/>
                <w:webHidden/>
              </w:rPr>
              <w:fldChar w:fldCharType="begin"/>
            </w:r>
            <w:r>
              <w:rPr>
                <w:noProof/>
                <w:webHidden/>
              </w:rPr>
              <w:instrText xml:space="preserve"> PAGEREF _Toc220324639 \h </w:instrText>
            </w:r>
            <w:r>
              <w:rPr>
                <w:noProof/>
                <w:webHidden/>
              </w:rPr>
            </w:r>
            <w:r>
              <w:rPr>
                <w:noProof/>
                <w:webHidden/>
              </w:rPr>
              <w:fldChar w:fldCharType="separate"/>
            </w:r>
            <w:r>
              <w:rPr>
                <w:noProof/>
                <w:webHidden/>
              </w:rPr>
              <w:t>30</w:t>
            </w:r>
            <w:r>
              <w:rPr>
                <w:noProof/>
                <w:webHidden/>
              </w:rPr>
              <w:fldChar w:fldCharType="end"/>
            </w:r>
          </w:hyperlink>
        </w:p>
        <w:p w14:paraId="6D3F4068" w14:textId="50F5B4F4" w:rsidR="00F83A65" w:rsidRDefault="00F83A65">
          <w:pPr>
            <w:pStyle w:val="TOC3"/>
            <w:tabs>
              <w:tab w:val="right" w:pos="9016"/>
            </w:tabs>
            <w:rPr>
              <w:noProof/>
            </w:rPr>
          </w:pPr>
          <w:hyperlink w:anchor="_Toc220324640" w:history="1">
            <w:r w:rsidRPr="003C04D0">
              <w:rPr>
                <w:rStyle w:val="Hyperlink"/>
                <w:noProof/>
              </w:rPr>
              <w:t>3.3.2 Inclusion and Exclusion Criteria</w:t>
            </w:r>
            <w:r>
              <w:rPr>
                <w:noProof/>
                <w:webHidden/>
              </w:rPr>
              <w:tab/>
            </w:r>
            <w:r>
              <w:rPr>
                <w:noProof/>
                <w:webHidden/>
              </w:rPr>
              <w:fldChar w:fldCharType="begin"/>
            </w:r>
            <w:r>
              <w:rPr>
                <w:noProof/>
                <w:webHidden/>
              </w:rPr>
              <w:instrText xml:space="preserve"> PAGEREF _Toc220324640 \h </w:instrText>
            </w:r>
            <w:r>
              <w:rPr>
                <w:noProof/>
                <w:webHidden/>
              </w:rPr>
            </w:r>
            <w:r>
              <w:rPr>
                <w:noProof/>
                <w:webHidden/>
              </w:rPr>
              <w:fldChar w:fldCharType="separate"/>
            </w:r>
            <w:r>
              <w:rPr>
                <w:noProof/>
                <w:webHidden/>
              </w:rPr>
              <w:t>30</w:t>
            </w:r>
            <w:r>
              <w:rPr>
                <w:noProof/>
                <w:webHidden/>
              </w:rPr>
              <w:fldChar w:fldCharType="end"/>
            </w:r>
          </w:hyperlink>
        </w:p>
        <w:p w14:paraId="2E96D23D" w14:textId="182C4D5D" w:rsidR="00F83A65" w:rsidRDefault="00F83A65">
          <w:pPr>
            <w:pStyle w:val="TOC5"/>
            <w:tabs>
              <w:tab w:val="right" w:pos="9016"/>
            </w:tabs>
            <w:rPr>
              <w:noProof/>
            </w:rPr>
          </w:pPr>
          <w:hyperlink w:anchor="_Toc220324641" w:history="1">
            <w:r w:rsidRPr="003C04D0">
              <w:rPr>
                <w:rStyle w:val="Hyperlink"/>
                <w:noProof/>
              </w:rPr>
              <w:t>Table 3.3: Inclusion and Exclusion Criteria</w:t>
            </w:r>
            <w:r>
              <w:rPr>
                <w:noProof/>
                <w:webHidden/>
              </w:rPr>
              <w:tab/>
            </w:r>
            <w:r>
              <w:rPr>
                <w:noProof/>
                <w:webHidden/>
              </w:rPr>
              <w:fldChar w:fldCharType="begin"/>
            </w:r>
            <w:r>
              <w:rPr>
                <w:noProof/>
                <w:webHidden/>
              </w:rPr>
              <w:instrText xml:space="preserve"> PAGEREF _Toc220324641 \h </w:instrText>
            </w:r>
            <w:r>
              <w:rPr>
                <w:noProof/>
                <w:webHidden/>
              </w:rPr>
            </w:r>
            <w:r>
              <w:rPr>
                <w:noProof/>
                <w:webHidden/>
              </w:rPr>
              <w:fldChar w:fldCharType="separate"/>
            </w:r>
            <w:r>
              <w:rPr>
                <w:noProof/>
                <w:webHidden/>
              </w:rPr>
              <w:t>30</w:t>
            </w:r>
            <w:r>
              <w:rPr>
                <w:noProof/>
                <w:webHidden/>
              </w:rPr>
              <w:fldChar w:fldCharType="end"/>
            </w:r>
          </w:hyperlink>
        </w:p>
        <w:p w14:paraId="6B0C3CC2" w14:textId="0A3B8C27" w:rsidR="00F83A65" w:rsidRDefault="00F83A65">
          <w:pPr>
            <w:pStyle w:val="TOC3"/>
            <w:tabs>
              <w:tab w:val="right" w:pos="9016"/>
            </w:tabs>
            <w:rPr>
              <w:noProof/>
            </w:rPr>
          </w:pPr>
          <w:hyperlink w:anchor="_Toc220324642" w:history="1">
            <w:r w:rsidRPr="003C04D0">
              <w:rPr>
                <w:rStyle w:val="Hyperlink"/>
                <w:noProof/>
              </w:rPr>
              <w:t>3.3.3 Search Strategy</w:t>
            </w:r>
            <w:r>
              <w:rPr>
                <w:noProof/>
                <w:webHidden/>
              </w:rPr>
              <w:tab/>
            </w:r>
            <w:r>
              <w:rPr>
                <w:noProof/>
                <w:webHidden/>
              </w:rPr>
              <w:fldChar w:fldCharType="begin"/>
            </w:r>
            <w:r>
              <w:rPr>
                <w:noProof/>
                <w:webHidden/>
              </w:rPr>
              <w:instrText xml:space="preserve"> PAGEREF _Toc220324642 \h </w:instrText>
            </w:r>
            <w:r>
              <w:rPr>
                <w:noProof/>
                <w:webHidden/>
              </w:rPr>
            </w:r>
            <w:r>
              <w:rPr>
                <w:noProof/>
                <w:webHidden/>
              </w:rPr>
              <w:fldChar w:fldCharType="separate"/>
            </w:r>
            <w:r>
              <w:rPr>
                <w:noProof/>
                <w:webHidden/>
              </w:rPr>
              <w:t>30</w:t>
            </w:r>
            <w:r>
              <w:rPr>
                <w:noProof/>
                <w:webHidden/>
              </w:rPr>
              <w:fldChar w:fldCharType="end"/>
            </w:r>
          </w:hyperlink>
        </w:p>
        <w:p w14:paraId="4F83CD12" w14:textId="27195A2A" w:rsidR="00F83A65" w:rsidRDefault="00F83A65">
          <w:pPr>
            <w:pStyle w:val="TOC3"/>
            <w:tabs>
              <w:tab w:val="right" w:pos="9016"/>
            </w:tabs>
            <w:rPr>
              <w:noProof/>
            </w:rPr>
          </w:pPr>
          <w:hyperlink w:anchor="_Toc220324643" w:history="1">
            <w:r w:rsidRPr="003C04D0">
              <w:rPr>
                <w:rStyle w:val="Hyperlink"/>
                <w:noProof/>
              </w:rPr>
              <w:t>3.3.4 Quality Evaluation</w:t>
            </w:r>
            <w:r>
              <w:rPr>
                <w:noProof/>
                <w:webHidden/>
              </w:rPr>
              <w:tab/>
            </w:r>
            <w:r>
              <w:rPr>
                <w:noProof/>
                <w:webHidden/>
              </w:rPr>
              <w:fldChar w:fldCharType="begin"/>
            </w:r>
            <w:r>
              <w:rPr>
                <w:noProof/>
                <w:webHidden/>
              </w:rPr>
              <w:instrText xml:space="preserve"> PAGEREF _Toc220324643 \h </w:instrText>
            </w:r>
            <w:r>
              <w:rPr>
                <w:noProof/>
                <w:webHidden/>
              </w:rPr>
            </w:r>
            <w:r>
              <w:rPr>
                <w:noProof/>
                <w:webHidden/>
              </w:rPr>
              <w:fldChar w:fldCharType="separate"/>
            </w:r>
            <w:r>
              <w:rPr>
                <w:noProof/>
                <w:webHidden/>
              </w:rPr>
              <w:t>31</w:t>
            </w:r>
            <w:r>
              <w:rPr>
                <w:noProof/>
                <w:webHidden/>
              </w:rPr>
              <w:fldChar w:fldCharType="end"/>
            </w:r>
          </w:hyperlink>
        </w:p>
        <w:p w14:paraId="0E5F0947" w14:textId="5528166E" w:rsidR="00F83A65" w:rsidRDefault="00F83A65">
          <w:pPr>
            <w:pStyle w:val="TOC4"/>
            <w:tabs>
              <w:tab w:val="right" w:pos="9016"/>
            </w:tabs>
            <w:rPr>
              <w:noProof/>
            </w:rPr>
          </w:pPr>
          <w:hyperlink w:anchor="_Toc220324644" w:history="1">
            <w:r w:rsidRPr="003C04D0">
              <w:rPr>
                <w:rStyle w:val="Hyperlink"/>
                <w:noProof/>
              </w:rPr>
              <w:t>Figure 3.2: CASP Qualitative Checklist</w:t>
            </w:r>
            <w:r>
              <w:rPr>
                <w:noProof/>
                <w:webHidden/>
              </w:rPr>
              <w:tab/>
            </w:r>
            <w:r>
              <w:rPr>
                <w:noProof/>
                <w:webHidden/>
              </w:rPr>
              <w:fldChar w:fldCharType="begin"/>
            </w:r>
            <w:r>
              <w:rPr>
                <w:noProof/>
                <w:webHidden/>
              </w:rPr>
              <w:instrText xml:space="preserve"> PAGEREF _Toc220324644 \h </w:instrText>
            </w:r>
            <w:r>
              <w:rPr>
                <w:noProof/>
                <w:webHidden/>
              </w:rPr>
            </w:r>
            <w:r>
              <w:rPr>
                <w:noProof/>
                <w:webHidden/>
              </w:rPr>
              <w:fldChar w:fldCharType="separate"/>
            </w:r>
            <w:r>
              <w:rPr>
                <w:noProof/>
                <w:webHidden/>
              </w:rPr>
              <w:t>31</w:t>
            </w:r>
            <w:r>
              <w:rPr>
                <w:noProof/>
                <w:webHidden/>
              </w:rPr>
              <w:fldChar w:fldCharType="end"/>
            </w:r>
          </w:hyperlink>
        </w:p>
        <w:p w14:paraId="6EF3A52F" w14:textId="30AC942D" w:rsidR="00F83A65" w:rsidRDefault="00F83A65">
          <w:pPr>
            <w:pStyle w:val="TOC2"/>
            <w:tabs>
              <w:tab w:val="right" w:pos="9016"/>
            </w:tabs>
            <w:rPr>
              <w:noProof/>
            </w:rPr>
          </w:pPr>
          <w:hyperlink w:anchor="_Toc220324645" w:history="1">
            <w:r w:rsidRPr="003C04D0">
              <w:rPr>
                <w:rStyle w:val="Hyperlink"/>
                <w:noProof/>
              </w:rPr>
              <w:t>3.4 Data Analysis</w:t>
            </w:r>
            <w:r>
              <w:rPr>
                <w:noProof/>
                <w:webHidden/>
              </w:rPr>
              <w:tab/>
            </w:r>
            <w:r>
              <w:rPr>
                <w:noProof/>
                <w:webHidden/>
              </w:rPr>
              <w:fldChar w:fldCharType="begin"/>
            </w:r>
            <w:r>
              <w:rPr>
                <w:noProof/>
                <w:webHidden/>
              </w:rPr>
              <w:instrText xml:space="preserve"> PAGEREF _Toc220324645 \h </w:instrText>
            </w:r>
            <w:r>
              <w:rPr>
                <w:noProof/>
                <w:webHidden/>
              </w:rPr>
            </w:r>
            <w:r>
              <w:rPr>
                <w:noProof/>
                <w:webHidden/>
              </w:rPr>
              <w:fldChar w:fldCharType="separate"/>
            </w:r>
            <w:r>
              <w:rPr>
                <w:noProof/>
                <w:webHidden/>
              </w:rPr>
              <w:t>32</w:t>
            </w:r>
            <w:r>
              <w:rPr>
                <w:noProof/>
                <w:webHidden/>
              </w:rPr>
              <w:fldChar w:fldCharType="end"/>
            </w:r>
          </w:hyperlink>
        </w:p>
        <w:p w14:paraId="1414E55A" w14:textId="661EF3C3" w:rsidR="00F83A65" w:rsidRDefault="00F83A65">
          <w:pPr>
            <w:pStyle w:val="TOC2"/>
            <w:tabs>
              <w:tab w:val="right" w:pos="9016"/>
            </w:tabs>
            <w:rPr>
              <w:noProof/>
            </w:rPr>
          </w:pPr>
          <w:hyperlink w:anchor="_Toc220324646" w:history="1">
            <w:r w:rsidRPr="003C04D0">
              <w:rPr>
                <w:rStyle w:val="Hyperlink"/>
                <w:noProof/>
              </w:rPr>
              <w:t>3.5 Ethical Considerations</w:t>
            </w:r>
            <w:r>
              <w:rPr>
                <w:noProof/>
                <w:webHidden/>
              </w:rPr>
              <w:tab/>
            </w:r>
            <w:r>
              <w:rPr>
                <w:noProof/>
                <w:webHidden/>
              </w:rPr>
              <w:fldChar w:fldCharType="begin"/>
            </w:r>
            <w:r>
              <w:rPr>
                <w:noProof/>
                <w:webHidden/>
              </w:rPr>
              <w:instrText xml:space="preserve"> PAGEREF _Toc220324646 \h </w:instrText>
            </w:r>
            <w:r>
              <w:rPr>
                <w:noProof/>
                <w:webHidden/>
              </w:rPr>
            </w:r>
            <w:r>
              <w:rPr>
                <w:noProof/>
                <w:webHidden/>
              </w:rPr>
              <w:fldChar w:fldCharType="separate"/>
            </w:r>
            <w:r>
              <w:rPr>
                <w:noProof/>
                <w:webHidden/>
              </w:rPr>
              <w:t>32</w:t>
            </w:r>
            <w:r>
              <w:rPr>
                <w:noProof/>
                <w:webHidden/>
              </w:rPr>
              <w:fldChar w:fldCharType="end"/>
            </w:r>
          </w:hyperlink>
        </w:p>
        <w:p w14:paraId="00AF691E" w14:textId="11BA413E" w:rsidR="00F83A65" w:rsidRDefault="00F83A65">
          <w:pPr>
            <w:pStyle w:val="TOC2"/>
            <w:tabs>
              <w:tab w:val="right" w:pos="9016"/>
            </w:tabs>
            <w:rPr>
              <w:noProof/>
            </w:rPr>
          </w:pPr>
          <w:hyperlink w:anchor="_Toc220324647" w:history="1">
            <w:r w:rsidRPr="003C04D0">
              <w:rPr>
                <w:rStyle w:val="Hyperlink"/>
                <w:noProof/>
              </w:rPr>
              <w:t>3.6 Methodical Limitations</w:t>
            </w:r>
            <w:r>
              <w:rPr>
                <w:noProof/>
                <w:webHidden/>
              </w:rPr>
              <w:tab/>
            </w:r>
            <w:r>
              <w:rPr>
                <w:noProof/>
                <w:webHidden/>
              </w:rPr>
              <w:fldChar w:fldCharType="begin"/>
            </w:r>
            <w:r>
              <w:rPr>
                <w:noProof/>
                <w:webHidden/>
              </w:rPr>
              <w:instrText xml:space="preserve"> PAGEREF _Toc220324647 \h </w:instrText>
            </w:r>
            <w:r>
              <w:rPr>
                <w:noProof/>
                <w:webHidden/>
              </w:rPr>
            </w:r>
            <w:r>
              <w:rPr>
                <w:noProof/>
                <w:webHidden/>
              </w:rPr>
              <w:fldChar w:fldCharType="separate"/>
            </w:r>
            <w:r>
              <w:rPr>
                <w:noProof/>
                <w:webHidden/>
              </w:rPr>
              <w:t>32</w:t>
            </w:r>
            <w:r>
              <w:rPr>
                <w:noProof/>
                <w:webHidden/>
              </w:rPr>
              <w:fldChar w:fldCharType="end"/>
            </w:r>
          </w:hyperlink>
        </w:p>
        <w:p w14:paraId="646058F2" w14:textId="219C24D0" w:rsidR="00F83A65" w:rsidRDefault="00F83A65">
          <w:pPr>
            <w:pStyle w:val="TOC1"/>
            <w:tabs>
              <w:tab w:val="right" w:pos="9016"/>
            </w:tabs>
            <w:rPr>
              <w:noProof/>
            </w:rPr>
          </w:pPr>
          <w:hyperlink w:anchor="_Toc220324648" w:history="1">
            <w:r w:rsidRPr="003C04D0">
              <w:rPr>
                <w:rStyle w:val="Hyperlink"/>
                <w:noProof/>
              </w:rPr>
              <w:t>Chapter 4: Results</w:t>
            </w:r>
            <w:r>
              <w:rPr>
                <w:noProof/>
                <w:webHidden/>
              </w:rPr>
              <w:tab/>
            </w:r>
            <w:r>
              <w:rPr>
                <w:noProof/>
                <w:webHidden/>
              </w:rPr>
              <w:fldChar w:fldCharType="begin"/>
            </w:r>
            <w:r>
              <w:rPr>
                <w:noProof/>
                <w:webHidden/>
              </w:rPr>
              <w:instrText xml:space="preserve"> PAGEREF _Toc220324648 \h </w:instrText>
            </w:r>
            <w:r>
              <w:rPr>
                <w:noProof/>
                <w:webHidden/>
              </w:rPr>
            </w:r>
            <w:r>
              <w:rPr>
                <w:noProof/>
                <w:webHidden/>
              </w:rPr>
              <w:fldChar w:fldCharType="separate"/>
            </w:r>
            <w:r>
              <w:rPr>
                <w:noProof/>
                <w:webHidden/>
              </w:rPr>
              <w:t>34</w:t>
            </w:r>
            <w:r>
              <w:rPr>
                <w:noProof/>
                <w:webHidden/>
              </w:rPr>
              <w:fldChar w:fldCharType="end"/>
            </w:r>
          </w:hyperlink>
        </w:p>
        <w:p w14:paraId="5F412CD5" w14:textId="05B73C1E" w:rsidR="00F83A65" w:rsidRDefault="00F83A65">
          <w:pPr>
            <w:pStyle w:val="TOC2"/>
            <w:tabs>
              <w:tab w:val="right" w:pos="9016"/>
            </w:tabs>
            <w:rPr>
              <w:noProof/>
            </w:rPr>
          </w:pPr>
          <w:hyperlink w:anchor="_Toc220324649" w:history="1">
            <w:r w:rsidRPr="003C04D0">
              <w:rPr>
                <w:rStyle w:val="Hyperlink"/>
                <w:noProof/>
              </w:rPr>
              <w:t>4.1 Introduction</w:t>
            </w:r>
            <w:r>
              <w:rPr>
                <w:noProof/>
                <w:webHidden/>
              </w:rPr>
              <w:tab/>
            </w:r>
            <w:r>
              <w:rPr>
                <w:noProof/>
                <w:webHidden/>
              </w:rPr>
              <w:fldChar w:fldCharType="begin"/>
            </w:r>
            <w:r>
              <w:rPr>
                <w:noProof/>
                <w:webHidden/>
              </w:rPr>
              <w:instrText xml:space="preserve"> PAGEREF _Toc220324649 \h </w:instrText>
            </w:r>
            <w:r>
              <w:rPr>
                <w:noProof/>
                <w:webHidden/>
              </w:rPr>
            </w:r>
            <w:r>
              <w:rPr>
                <w:noProof/>
                <w:webHidden/>
              </w:rPr>
              <w:fldChar w:fldCharType="separate"/>
            </w:r>
            <w:r>
              <w:rPr>
                <w:noProof/>
                <w:webHidden/>
              </w:rPr>
              <w:t>34</w:t>
            </w:r>
            <w:r>
              <w:rPr>
                <w:noProof/>
                <w:webHidden/>
              </w:rPr>
              <w:fldChar w:fldCharType="end"/>
            </w:r>
          </w:hyperlink>
        </w:p>
        <w:p w14:paraId="6261C26A" w14:textId="03781701" w:rsidR="00F83A65" w:rsidRDefault="00F83A65">
          <w:pPr>
            <w:pStyle w:val="TOC2"/>
            <w:tabs>
              <w:tab w:val="right" w:pos="9016"/>
            </w:tabs>
            <w:rPr>
              <w:noProof/>
            </w:rPr>
          </w:pPr>
          <w:hyperlink w:anchor="_Toc220324650" w:history="1">
            <w:r w:rsidRPr="003C04D0">
              <w:rPr>
                <w:rStyle w:val="Hyperlink"/>
                <w:noProof/>
              </w:rPr>
              <w:t>4.2 Overview of Prisma</w:t>
            </w:r>
            <w:r>
              <w:rPr>
                <w:noProof/>
                <w:webHidden/>
              </w:rPr>
              <w:tab/>
            </w:r>
            <w:r>
              <w:rPr>
                <w:noProof/>
                <w:webHidden/>
              </w:rPr>
              <w:fldChar w:fldCharType="begin"/>
            </w:r>
            <w:r>
              <w:rPr>
                <w:noProof/>
                <w:webHidden/>
              </w:rPr>
              <w:instrText xml:space="preserve"> PAGEREF _Toc220324650 \h </w:instrText>
            </w:r>
            <w:r>
              <w:rPr>
                <w:noProof/>
                <w:webHidden/>
              </w:rPr>
            </w:r>
            <w:r>
              <w:rPr>
                <w:noProof/>
                <w:webHidden/>
              </w:rPr>
              <w:fldChar w:fldCharType="separate"/>
            </w:r>
            <w:r>
              <w:rPr>
                <w:noProof/>
                <w:webHidden/>
              </w:rPr>
              <w:t>34</w:t>
            </w:r>
            <w:r>
              <w:rPr>
                <w:noProof/>
                <w:webHidden/>
              </w:rPr>
              <w:fldChar w:fldCharType="end"/>
            </w:r>
          </w:hyperlink>
        </w:p>
        <w:p w14:paraId="5B6C50F2" w14:textId="602546DD" w:rsidR="00F83A65" w:rsidRDefault="00F83A65">
          <w:pPr>
            <w:pStyle w:val="TOC4"/>
            <w:tabs>
              <w:tab w:val="right" w:pos="9016"/>
            </w:tabs>
            <w:rPr>
              <w:noProof/>
            </w:rPr>
          </w:pPr>
          <w:hyperlink w:anchor="_Toc220324651" w:history="1">
            <w:r w:rsidRPr="003C04D0">
              <w:rPr>
                <w:rStyle w:val="Hyperlink"/>
                <w:noProof/>
              </w:rPr>
              <w:t>Figure 4.1: PRISMA Framework</w:t>
            </w:r>
            <w:r>
              <w:rPr>
                <w:noProof/>
                <w:webHidden/>
              </w:rPr>
              <w:tab/>
            </w:r>
            <w:r>
              <w:rPr>
                <w:noProof/>
                <w:webHidden/>
              </w:rPr>
              <w:fldChar w:fldCharType="begin"/>
            </w:r>
            <w:r>
              <w:rPr>
                <w:noProof/>
                <w:webHidden/>
              </w:rPr>
              <w:instrText xml:space="preserve"> PAGEREF _Toc220324651 \h </w:instrText>
            </w:r>
            <w:r>
              <w:rPr>
                <w:noProof/>
                <w:webHidden/>
              </w:rPr>
            </w:r>
            <w:r>
              <w:rPr>
                <w:noProof/>
                <w:webHidden/>
              </w:rPr>
              <w:fldChar w:fldCharType="separate"/>
            </w:r>
            <w:r>
              <w:rPr>
                <w:noProof/>
                <w:webHidden/>
              </w:rPr>
              <w:t>35</w:t>
            </w:r>
            <w:r>
              <w:rPr>
                <w:noProof/>
                <w:webHidden/>
              </w:rPr>
              <w:fldChar w:fldCharType="end"/>
            </w:r>
          </w:hyperlink>
        </w:p>
        <w:p w14:paraId="656A3817" w14:textId="0E497477" w:rsidR="00F83A65" w:rsidRDefault="00F83A65">
          <w:pPr>
            <w:pStyle w:val="TOC2"/>
            <w:tabs>
              <w:tab w:val="right" w:pos="9016"/>
            </w:tabs>
            <w:rPr>
              <w:noProof/>
            </w:rPr>
          </w:pPr>
          <w:hyperlink w:anchor="_Toc220324652" w:history="1">
            <w:r w:rsidRPr="003C04D0">
              <w:rPr>
                <w:rStyle w:val="Hyperlink"/>
                <w:noProof/>
              </w:rPr>
              <w:t>4.6 Systematic literature review table for data extraction</w:t>
            </w:r>
            <w:r>
              <w:rPr>
                <w:noProof/>
                <w:webHidden/>
              </w:rPr>
              <w:tab/>
            </w:r>
            <w:r>
              <w:rPr>
                <w:noProof/>
                <w:webHidden/>
              </w:rPr>
              <w:fldChar w:fldCharType="begin"/>
            </w:r>
            <w:r>
              <w:rPr>
                <w:noProof/>
                <w:webHidden/>
              </w:rPr>
              <w:instrText xml:space="preserve"> PAGEREF _Toc220324652 \h </w:instrText>
            </w:r>
            <w:r>
              <w:rPr>
                <w:noProof/>
                <w:webHidden/>
              </w:rPr>
            </w:r>
            <w:r>
              <w:rPr>
                <w:noProof/>
                <w:webHidden/>
              </w:rPr>
              <w:fldChar w:fldCharType="separate"/>
            </w:r>
            <w:r>
              <w:rPr>
                <w:noProof/>
                <w:webHidden/>
              </w:rPr>
              <w:t>35</w:t>
            </w:r>
            <w:r>
              <w:rPr>
                <w:noProof/>
                <w:webHidden/>
              </w:rPr>
              <w:fldChar w:fldCharType="end"/>
            </w:r>
          </w:hyperlink>
        </w:p>
        <w:p w14:paraId="36F6C4F0" w14:textId="7E491032" w:rsidR="00F83A65" w:rsidRDefault="00F83A65">
          <w:pPr>
            <w:pStyle w:val="TOC5"/>
            <w:tabs>
              <w:tab w:val="right" w:pos="9016"/>
            </w:tabs>
            <w:rPr>
              <w:noProof/>
            </w:rPr>
          </w:pPr>
          <w:hyperlink w:anchor="_Toc220324653" w:history="1">
            <w:r w:rsidRPr="003C04D0">
              <w:rPr>
                <w:rStyle w:val="Hyperlink"/>
                <w:noProof/>
              </w:rPr>
              <w:t>Table 4.1: Data extraction table</w:t>
            </w:r>
            <w:r>
              <w:rPr>
                <w:noProof/>
                <w:webHidden/>
              </w:rPr>
              <w:tab/>
            </w:r>
            <w:r>
              <w:rPr>
                <w:noProof/>
                <w:webHidden/>
              </w:rPr>
              <w:fldChar w:fldCharType="begin"/>
            </w:r>
            <w:r>
              <w:rPr>
                <w:noProof/>
                <w:webHidden/>
              </w:rPr>
              <w:instrText xml:space="preserve"> PAGEREF _Toc220324653 \h </w:instrText>
            </w:r>
            <w:r>
              <w:rPr>
                <w:noProof/>
                <w:webHidden/>
              </w:rPr>
            </w:r>
            <w:r>
              <w:rPr>
                <w:noProof/>
                <w:webHidden/>
              </w:rPr>
              <w:fldChar w:fldCharType="separate"/>
            </w:r>
            <w:r>
              <w:rPr>
                <w:noProof/>
                <w:webHidden/>
              </w:rPr>
              <w:t>37</w:t>
            </w:r>
            <w:r>
              <w:rPr>
                <w:noProof/>
                <w:webHidden/>
              </w:rPr>
              <w:fldChar w:fldCharType="end"/>
            </w:r>
          </w:hyperlink>
        </w:p>
        <w:p w14:paraId="33EE0B52" w14:textId="02C4D10A" w:rsidR="00F83A65" w:rsidRDefault="00F83A65">
          <w:pPr>
            <w:pStyle w:val="TOC2"/>
            <w:tabs>
              <w:tab w:val="right" w:pos="9016"/>
            </w:tabs>
            <w:rPr>
              <w:noProof/>
            </w:rPr>
          </w:pPr>
          <w:hyperlink w:anchor="_Toc220324654" w:history="1">
            <w:r w:rsidRPr="003C04D0">
              <w:rPr>
                <w:rStyle w:val="Hyperlink"/>
                <w:noProof/>
              </w:rPr>
              <w:t>4.3 Theme 1: Microbial Risks Associated with Poor-Quality Housing</w:t>
            </w:r>
            <w:r>
              <w:rPr>
                <w:noProof/>
                <w:webHidden/>
              </w:rPr>
              <w:tab/>
            </w:r>
            <w:r>
              <w:rPr>
                <w:noProof/>
                <w:webHidden/>
              </w:rPr>
              <w:fldChar w:fldCharType="begin"/>
            </w:r>
            <w:r>
              <w:rPr>
                <w:noProof/>
                <w:webHidden/>
              </w:rPr>
              <w:instrText xml:space="preserve"> PAGEREF _Toc220324654 \h </w:instrText>
            </w:r>
            <w:r>
              <w:rPr>
                <w:noProof/>
                <w:webHidden/>
              </w:rPr>
            </w:r>
            <w:r>
              <w:rPr>
                <w:noProof/>
                <w:webHidden/>
              </w:rPr>
              <w:fldChar w:fldCharType="separate"/>
            </w:r>
            <w:r>
              <w:rPr>
                <w:noProof/>
                <w:webHidden/>
              </w:rPr>
              <w:t>38</w:t>
            </w:r>
            <w:r>
              <w:rPr>
                <w:noProof/>
                <w:webHidden/>
              </w:rPr>
              <w:fldChar w:fldCharType="end"/>
            </w:r>
          </w:hyperlink>
        </w:p>
        <w:p w14:paraId="4E35245A" w14:textId="75053F51" w:rsidR="00F83A65" w:rsidRDefault="00F83A65">
          <w:pPr>
            <w:pStyle w:val="TOC3"/>
            <w:tabs>
              <w:tab w:val="right" w:pos="9016"/>
            </w:tabs>
            <w:rPr>
              <w:noProof/>
            </w:rPr>
          </w:pPr>
          <w:hyperlink w:anchor="_Toc220324655" w:history="1">
            <w:r w:rsidRPr="003C04D0">
              <w:rPr>
                <w:rStyle w:val="Hyperlink"/>
                <w:noProof/>
              </w:rPr>
              <w:t>4.3.1 Persistent Damp and Mould as Key Drivers of Respiratory Illness</w:t>
            </w:r>
            <w:r>
              <w:rPr>
                <w:noProof/>
                <w:webHidden/>
              </w:rPr>
              <w:tab/>
            </w:r>
            <w:r>
              <w:rPr>
                <w:noProof/>
                <w:webHidden/>
              </w:rPr>
              <w:fldChar w:fldCharType="begin"/>
            </w:r>
            <w:r>
              <w:rPr>
                <w:noProof/>
                <w:webHidden/>
              </w:rPr>
              <w:instrText xml:space="preserve"> PAGEREF _Toc220324655 \h </w:instrText>
            </w:r>
            <w:r>
              <w:rPr>
                <w:noProof/>
                <w:webHidden/>
              </w:rPr>
            </w:r>
            <w:r>
              <w:rPr>
                <w:noProof/>
                <w:webHidden/>
              </w:rPr>
              <w:fldChar w:fldCharType="separate"/>
            </w:r>
            <w:r>
              <w:rPr>
                <w:noProof/>
                <w:webHidden/>
              </w:rPr>
              <w:t>38</w:t>
            </w:r>
            <w:r>
              <w:rPr>
                <w:noProof/>
                <w:webHidden/>
              </w:rPr>
              <w:fldChar w:fldCharType="end"/>
            </w:r>
          </w:hyperlink>
        </w:p>
        <w:p w14:paraId="67C0692F" w14:textId="6F1D2B9D" w:rsidR="00F83A65" w:rsidRDefault="00F83A65">
          <w:pPr>
            <w:pStyle w:val="TOC4"/>
            <w:tabs>
              <w:tab w:val="right" w:pos="9016"/>
            </w:tabs>
            <w:rPr>
              <w:noProof/>
            </w:rPr>
          </w:pPr>
          <w:hyperlink w:anchor="_Toc220324656" w:history="1">
            <w:r w:rsidRPr="003C04D0">
              <w:rPr>
                <w:rStyle w:val="Hyperlink"/>
                <w:noProof/>
              </w:rPr>
              <w:t>Figure 4.2: Coding tree for theme 1</w:t>
            </w:r>
            <w:r>
              <w:rPr>
                <w:noProof/>
                <w:webHidden/>
              </w:rPr>
              <w:tab/>
            </w:r>
            <w:r>
              <w:rPr>
                <w:noProof/>
                <w:webHidden/>
              </w:rPr>
              <w:fldChar w:fldCharType="begin"/>
            </w:r>
            <w:r>
              <w:rPr>
                <w:noProof/>
                <w:webHidden/>
              </w:rPr>
              <w:instrText xml:space="preserve"> PAGEREF _Toc220324656 \h </w:instrText>
            </w:r>
            <w:r>
              <w:rPr>
                <w:noProof/>
                <w:webHidden/>
              </w:rPr>
            </w:r>
            <w:r>
              <w:rPr>
                <w:noProof/>
                <w:webHidden/>
              </w:rPr>
              <w:fldChar w:fldCharType="separate"/>
            </w:r>
            <w:r>
              <w:rPr>
                <w:noProof/>
                <w:webHidden/>
              </w:rPr>
              <w:t>38</w:t>
            </w:r>
            <w:r>
              <w:rPr>
                <w:noProof/>
                <w:webHidden/>
              </w:rPr>
              <w:fldChar w:fldCharType="end"/>
            </w:r>
          </w:hyperlink>
        </w:p>
        <w:p w14:paraId="5B901DC5" w14:textId="3CDFFCF1" w:rsidR="00F83A65" w:rsidRDefault="00F83A65">
          <w:pPr>
            <w:pStyle w:val="TOC3"/>
            <w:tabs>
              <w:tab w:val="right" w:pos="9016"/>
            </w:tabs>
            <w:rPr>
              <w:noProof/>
            </w:rPr>
          </w:pPr>
          <w:hyperlink w:anchor="_Toc220324657" w:history="1">
            <w:r w:rsidRPr="003C04D0">
              <w:rPr>
                <w:rStyle w:val="Hyperlink"/>
                <w:noProof/>
              </w:rPr>
              <w:t>4.3.2 Bacterial Growth Resulting from Structural Defects and Inadequate Sanitation</w:t>
            </w:r>
            <w:r>
              <w:rPr>
                <w:noProof/>
                <w:webHidden/>
              </w:rPr>
              <w:tab/>
            </w:r>
            <w:r>
              <w:rPr>
                <w:noProof/>
                <w:webHidden/>
              </w:rPr>
              <w:fldChar w:fldCharType="begin"/>
            </w:r>
            <w:r>
              <w:rPr>
                <w:noProof/>
                <w:webHidden/>
              </w:rPr>
              <w:instrText xml:space="preserve"> PAGEREF _Toc220324657 \h </w:instrText>
            </w:r>
            <w:r>
              <w:rPr>
                <w:noProof/>
                <w:webHidden/>
              </w:rPr>
            </w:r>
            <w:r>
              <w:rPr>
                <w:noProof/>
                <w:webHidden/>
              </w:rPr>
              <w:fldChar w:fldCharType="separate"/>
            </w:r>
            <w:r>
              <w:rPr>
                <w:noProof/>
                <w:webHidden/>
              </w:rPr>
              <w:t>39</w:t>
            </w:r>
            <w:r>
              <w:rPr>
                <w:noProof/>
                <w:webHidden/>
              </w:rPr>
              <w:fldChar w:fldCharType="end"/>
            </w:r>
          </w:hyperlink>
        </w:p>
        <w:p w14:paraId="42D2E569" w14:textId="6DF3FF70" w:rsidR="00F83A65" w:rsidRDefault="00F83A65">
          <w:pPr>
            <w:pStyle w:val="TOC2"/>
            <w:tabs>
              <w:tab w:val="right" w:pos="9016"/>
            </w:tabs>
            <w:rPr>
              <w:noProof/>
            </w:rPr>
          </w:pPr>
          <w:hyperlink w:anchor="_Toc220324658" w:history="1">
            <w:r w:rsidRPr="003C04D0">
              <w:rPr>
                <w:rStyle w:val="Hyperlink"/>
                <w:noProof/>
              </w:rPr>
              <w:t>4.4 Theme 2: Public Health Views on Housing Conditions and Respiratory Disease</w:t>
            </w:r>
            <w:r>
              <w:rPr>
                <w:noProof/>
                <w:webHidden/>
              </w:rPr>
              <w:tab/>
            </w:r>
            <w:r>
              <w:rPr>
                <w:noProof/>
                <w:webHidden/>
              </w:rPr>
              <w:fldChar w:fldCharType="begin"/>
            </w:r>
            <w:r>
              <w:rPr>
                <w:noProof/>
                <w:webHidden/>
              </w:rPr>
              <w:instrText xml:space="preserve"> PAGEREF _Toc220324658 \h </w:instrText>
            </w:r>
            <w:r>
              <w:rPr>
                <w:noProof/>
                <w:webHidden/>
              </w:rPr>
            </w:r>
            <w:r>
              <w:rPr>
                <w:noProof/>
                <w:webHidden/>
              </w:rPr>
              <w:fldChar w:fldCharType="separate"/>
            </w:r>
            <w:r>
              <w:rPr>
                <w:noProof/>
                <w:webHidden/>
              </w:rPr>
              <w:t>41</w:t>
            </w:r>
            <w:r>
              <w:rPr>
                <w:noProof/>
                <w:webHidden/>
              </w:rPr>
              <w:fldChar w:fldCharType="end"/>
            </w:r>
          </w:hyperlink>
        </w:p>
        <w:p w14:paraId="2FB7B4A1" w14:textId="15E94539" w:rsidR="00F83A65" w:rsidRDefault="00F83A65">
          <w:pPr>
            <w:pStyle w:val="TOC3"/>
            <w:tabs>
              <w:tab w:val="right" w:pos="9016"/>
            </w:tabs>
            <w:rPr>
              <w:noProof/>
            </w:rPr>
          </w:pPr>
          <w:hyperlink w:anchor="_Toc220324659" w:history="1">
            <w:r w:rsidRPr="003C04D0">
              <w:rPr>
                <w:rStyle w:val="Hyperlink"/>
                <w:noProof/>
              </w:rPr>
              <w:t>4.4.1 Understanding Housing Quality as a Critical Public Health Factor</w:t>
            </w:r>
            <w:r>
              <w:rPr>
                <w:noProof/>
                <w:webHidden/>
              </w:rPr>
              <w:tab/>
            </w:r>
            <w:r>
              <w:rPr>
                <w:noProof/>
                <w:webHidden/>
              </w:rPr>
              <w:fldChar w:fldCharType="begin"/>
            </w:r>
            <w:r>
              <w:rPr>
                <w:noProof/>
                <w:webHidden/>
              </w:rPr>
              <w:instrText xml:space="preserve"> PAGEREF _Toc220324659 \h </w:instrText>
            </w:r>
            <w:r>
              <w:rPr>
                <w:noProof/>
                <w:webHidden/>
              </w:rPr>
            </w:r>
            <w:r>
              <w:rPr>
                <w:noProof/>
                <w:webHidden/>
              </w:rPr>
              <w:fldChar w:fldCharType="separate"/>
            </w:r>
            <w:r>
              <w:rPr>
                <w:noProof/>
                <w:webHidden/>
              </w:rPr>
              <w:t>41</w:t>
            </w:r>
            <w:r>
              <w:rPr>
                <w:noProof/>
                <w:webHidden/>
              </w:rPr>
              <w:fldChar w:fldCharType="end"/>
            </w:r>
          </w:hyperlink>
        </w:p>
        <w:p w14:paraId="359942E8" w14:textId="7EB5FFA6" w:rsidR="00F83A65" w:rsidRDefault="00F83A65">
          <w:pPr>
            <w:pStyle w:val="TOC4"/>
            <w:tabs>
              <w:tab w:val="right" w:pos="9016"/>
            </w:tabs>
            <w:rPr>
              <w:noProof/>
            </w:rPr>
          </w:pPr>
          <w:hyperlink w:anchor="_Toc220324660" w:history="1">
            <w:r w:rsidRPr="003C04D0">
              <w:rPr>
                <w:rStyle w:val="Hyperlink"/>
                <w:noProof/>
              </w:rPr>
              <w:t>Figure 4.3: Coding tree for theme 2</w:t>
            </w:r>
            <w:r>
              <w:rPr>
                <w:noProof/>
                <w:webHidden/>
              </w:rPr>
              <w:tab/>
            </w:r>
            <w:r>
              <w:rPr>
                <w:noProof/>
                <w:webHidden/>
              </w:rPr>
              <w:fldChar w:fldCharType="begin"/>
            </w:r>
            <w:r>
              <w:rPr>
                <w:noProof/>
                <w:webHidden/>
              </w:rPr>
              <w:instrText xml:space="preserve"> PAGEREF _Toc220324660 \h </w:instrText>
            </w:r>
            <w:r>
              <w:rPr>
                <w:noProof/>
                <w:webHidden/>
              </w:rPr>
            </w:r>
            <w:r>
              <w:rPr>
                <w:noProof/>
                <w:webHidden/>
              </w:rPr>
              <w:fldChar w:fldCharType="separate"/>
            </w:r>
            <w:r>
              <w:rPr>
                <w:noProof/>
                <w:webHidden/>
              </w:rPr>
              <w:t>41</w:t>
            </w:r>
            <w:r>
              <w:rPr>
                <w:noProof/>
                <w:webHidden/>
              </w:rPr>
              <w:fldChar w:fldCharType="end"/>
            </w:r>
          </w:hyperlink>
        </w:p>
        <w:p w14:paraId="53A87D85" w14:textId="3372F6BB" w:rsidR="00F83A65" w:rsidRDefault="00F83A65">
          <w:pPr>
            <w:pStyle w:val="TOC3"/>
            <w:tabs>
              <w:tab w:val="right" w:pos="9016"/>
            </w:tabs>
            <w:rPr>
              <w:noProof/>
            </w:rPr>
          </w:pPr>
          <w:hyperlink w:anchor="_Toc220324661" w:history="1">
            <w:r w:rsidRPr="003C04D0">
              <w:rPr>
                <w:rStyle w:val="Hyperlink"/>
                <w:noProof/>
              </w:rPr>
              <w:t>4.4.2 Obstacles to Delivering Effective Preventive Health Measures</w:t>
            </w:r>
            <w:r>
              <w:rPr>
                <w:noProof/>
                <w:webHidden/>
              </w:rPr>
              <w:tab/>
            </w:r>
            <w:r>
              <w:rPr>
                <w:noProof/>
                <w:webHidden/>
              </w:rPr>
              <w:fldChar w:fldCharType="begin"/>
            </w:r>
            <w:r>
              <w:rPr>
                <w:noProof/>
                <w:webHidden/>
              </w:rPr>
              <w:instrText xml:space="preserve"> PAGEREF _Toc220324661 \h </w:instrText>
            </w:r>
            <w:r>
              <w:rPr>
                <w:noProof/>
                <w:webHidden/>
              </w:rPr>
            </w:r>
            <w:r>
              <w:rPr>
                <w:noProof/>
                <w:webHidden/>
              </w:rPr>
              <w:fldChar w:fldCharType="separate"/>
            </w:r>
            <w:r>
              <w:rPr>
                <w:noProof/>
                <w:webHidden/>
              </w:rPr>
              <w:t>42</w:t>
            </w:r>
            <w:r>
              <w:rPr>
                <w:noProof/>
                <w:webHidden/>
              </w:rPr>
              <w:fldChar w:fldCharType="end"/>
            </w:r>
          </w:hyperlink>
        </w:p>
        <w:p w14:paraId="01E43CD9" w14:textId="54E575CE" w:rsidR="00F83A65" w:rsidRDefault="00F83A65">
          <w:pPr>
            <w:pStyle w:val="TOC2"/>
            <w:tabs>
              <w:tab w:val="right" w:pos="9016"/>
            </w:tabs>
            <w:rPr>
              <w:noProof/>
            </w:rPr>
          </w:pPr>
          <w:hyperlink w:anchor="_Toc220324662" w:history="1">
            <w:r w:rsidRPr="003C04D0">
              <w:rPr>
                <w:rStyle w:val="Hyperlink"/>
                <w:noProof/>
              </w:rPr>
              <w:t>4.5 Theme 3: Social Care Insights into Vulnerable Residents’ Exposure</w:t>
            </w:r>
            <w:r>
              <w:rPr>
                <w:noProof/>
                <w:webHidden/>
              </w:rPr>
              <w:tab/>
            </w:r>
            <w:r>
              <w:rPr>
                <w:noProof/>
                <w:webHidden/>
              </w:rPr>
              <w:fldChar w:fldCharType="begin"/>
            </w:r>
            <w:r>
              <w:rPr>
                <w:noProof/>
                <w:webHidden/>
              </w:rPr>
              <w:instrText xml:space="preserve"> PAGEREF _Toc220324662 \h </w:instrText>
            </w:r>
            <w:r>
              <w:rPr>
                <w:noProof/>
                <w:webHidden/>
              </w:rPr>
            </w:r>
            <w:r>
              <w:rPr>
                <w:noProof/>
                <w:webHidden/>
              </w:rPr>
              <w:fldChar w:fldCharType="separate"/>
            </w:r>
            <w:r>
              <w:rPr>
                <w:noProof/>
                <w:webHidden/>
              </w:rPr>
              <w:t>43</w:t>
            </w:r>
            <w:r>
              <w:rPr>
                <w:noProof/>
                <w:webHidden/>
              </w:rPr>
              <w:fldChar w:fldCharType="end"/>
            </w:r>
          </w:hyperlink>
        </w:p>
        <w:p w14:paraId="2BFF0908" w14:textId="5304C675" w:rsidR="00F83A65" w:rsidRDefault="00F83A65">
          <w:pPr>
            <w:pStyle w:val="TOC3"/>
            <w:tabs>
              <w:tab w:val="right" w:pos="9016"/>
            </w:tabs>
            <w:rPr>
              <w:noProof/>
            </w:rPr>
          </w:pPr>
          <w:hyperlink w:anchor="_Toc220324663" w:history="1">
            <w:r w:rsidRPr="003C04D0">
              <w:rPr>
                <w:rStyle w:val="Hyperlink"/>
                <w:noProof/>
              </w:rPr>
              <w:t>4.5.1 Effects on High-Risk Populations: Young adults who are in Economically Disadvantaged Households</w:t>
            </w:r>
            <w:r>
              <w:rPr>
                <w:noProof/>
                <w:webHidden/>
              </w:rPr>
              <w:tab/>
            </w:r>
            <w:r>
              <w:rPr>
                <w:noProof/>
                <w:webHidden/>
              </w:rPr>
              <w:fldChar w:fldCharType="begin"/>
            </w:r>
            <w:r>
              <w:rPr>
                <w:noProof/>
                <w:webHidden/>
              </w:rPr>
              <w:instrText xml:space="preserve"> PAGEREF _Toc220324663 \h </w:instrText>
            </w:r>
            <w:r>
              <w:rPr>
                <w:noProof/>
                <w:webHidden/>
              </w:rPr>
            </w:r>
            <w:r>
              <w:rPr>
                <w:noProof/>
                <w:webHidden/>
              </w:rPr>
              <w:fldChar w:fldCharType="separate"/>
            </w:r>
            <w:r>
              <w:rPr>
                <w:noProof/>
                <w:webHidden/>
              </w:rPr>
              <w:t>43</w:t>
            </w:r>
            <w:r>
              <w:rPr>
                <w:noProof/>
                <w:webHidden/>
              </w:rPr>
              <w:fldChar w:fldCharType="end"/>
            </w:r>
          </w:hyperlink>
        </w:p>
        <w:p w14:paraId="720A3439" w14:textId="67693F76" w:rsidR="00F83A65" w:rsidRDefault="00F83A65">
          <w:pPr>
            <w:pStyle w:val="TOC4"/>
            <w:tabs>
              <w:tab w:val="right" w:pos="9016"/>
            </w:tabs>
            <w:rPr>
              <w:noProof/>
            </w:rPr>
          </w:pPr>
          <w:hyperlink w:anchor="_Toc220324664" w:history="1">
            <w:r w:rsidRPr="003C04D0">
              <w:rPr>
                <w:rStyle w:val="Hyperlink"/>
                <w:noProof/>
              </w:rPr>
              <w:t>Figure 4.4: Coding tree for theme 3</w:t>
            </w:r>
            <w:r>
              <w:rPr>
                <w:noProof/>
                <w:webHidden/>
              </w:rPr>
              <w:tab/>
            </w:r>
            <w:r>
              <w:rPr>
                <w:noProof/>
                <w:webHidden/>
              </w:rPr>
              <w:fldChar w:fldCharType="begin"/>
            </w:r>
            <w:r>
              <w:rPr>
                <w:noProof/>
                <w:webHidden/>
              </w:rPr>
              <w:instrText xml:space="preserve"> PAGEREF _Toc220324664 \h </w:instrText>
            </w:r>
            <w:r>
              <w:rPr>
                <w:noProof/>
                <w:webHidden/>
              </w:rPr>
            </w:r>
            <w:r>
              <w:rPr>
                <w:noProof/>
                <w:webHidden/>
              </w:rPr>
              <w:fldChar w:fldCharType="separate"/>
            </w:r>
            <w:r>
              <w:rPr>
                <w:noProof/>
                <w:webHidden/>
              </w:rPr>
              <w:t>44</w:t>
            </w:r>
            <w:r>
              <w:rPr>
                <w:noProof/>
                <w:webHidden/>
              </w:rPr>
              <w:fldChar w:fldCharType="end"/>
            </w:r>
          </w:hyperlink>
        </w:p>
        <w:p w14:paraId="0C826805" w14:textId="644CC826" w:rsidR="00F83A65" w:rsidRDefault="00F83A65">
          <w:pPr>
            <w:pStyle w:val="TOC3"/>
            <w:tabs>
              <w:tab w:val="right" w:pos="9016"/>
            </w:tabs>
            <w:rPr>
              <w:noProof/>
            </w:rPr>
          </w:pPr>
          <w:hyperlink w:anchor="_Toc220324665" w:history="1">
            <w:r w:rsidRPr="003C04D0">
              <w:rPr>
                <w:rStyle w:val="Hyperlink"/>
                <w:noProof/>
              </w:rPr>
              <w:t>4.5.2 Limitations Hindering Timely Assistance and Preventive Support</w:t>
            </w:r>
            <w:r>
              <w:rPr>
                <w:noProof/>
                <w:webHidden/>
              </w:rPr>
              <w:tab/>
            </w:r>
            <w:r>
              <w:rPr>
                <w:noProof/>
                <w:webHidden/>
              </w:rPr>
              <w:fldChar w:fldCharType="begin"/>
            </w:r>
            <w:r>
              <w:rPr>
                <w:noProof/>
                <w:webHidden/>
              </w:rPr>
              <w:instrText xml:space="preserve"> PAGEREF _Toc220324665 \h </w:instrText>
            </w:r>
            <w:r>
              <w:rPr>
                <w:noProof/>
                <w:webHidden/>
              </w:rPr>
            </w:r>
            <w:r>
              <w:rPr>
                <w:noProof/>
                <w:webHidden/>
              </w:rPr>
              <w:fldChar w:fldCharType="separate"/>
            </w:r>
            <w:r>
              <w:rPr>
                <w:noProof/>
                <w:webHidden/>
              </w:rPr>
              <w:t>45</w:t>
            </w:r>
            <w:r>
              <w:rPr>
                <w:noProof/>
                <w:webHidden/>
              </w:rPr>
              <w:fldChar w:fldCharType="end"/>
            </w:r>
          </w:hyperlink>
        </w:p>
        <w:p w14:paraId="01DD3E4B" w14:textId="5A1BCB1C" w:rsidR="00F83A65" w:rsidRDefault="00F83A65">
          <w:pPr>
            <w:pStyle w:val="TOC2"/>
            <w:tabs>
              <w:tab w:val="right" w:pos="9016"/>
            </w:tabs>
            <w:rPr>
              <w:noProof/>
            </w:rPr>
          </w:pPr>
          <w:hyperlink w:anchor="_Toc220324666" w:history="1">
            <w:r w:rsidRPr="003C04D0">
              <w:rPr>
                <w:rStyle w:val="Hyperlink"/>
                <w:noProof/>
              </w:rPr>
              <w:t>4.6 Cross-Theme Synthesis</w:t>
            </w:r>
            <w:r>
              <w:rPr>
                <w:noProof/>
                <w:webHidden/>
              </w:rPr>
              <w:tab/>
            </w:r>
            <w:r>
              <w:rPr>
                <w:noProof/>
                <w:webHidden/>
              </w:rPr>
              <w:fldChar w:fldCharType="begin"/>
            </w:r>
            <w:r>
              <w:rPr>
                <w:noProof/>
                <w:webHidden/>
              </w:rPr>
              <w:instrText xml:space="preserve"> PAGEREF _Toc220324666 \h </w:instrText>
            </w:r>
            <w:r>
              <w:rPr>
                <w:noProof/>
                <w:webHidden/>
              </w:rPr>
            </w:r>
            <w:r>
              <w:rPr>
                <w:noProof/>
                <w:webHidden/>
              </w:rPr>
              <w:fldChar w:fldCharType="separate"/>
            </w:r>
            <w:r>
              <w:rPr>
                <w:noProof/>
                <w:webHidden/>
              </w:rPr>
              <w:t>46</w:t>
            </w:r>
            <w:r>
              <w:rPr>
                <w:noProof/>
                <w:webHidden/>
              </w:rPr>
              <w:fldChar w:fldCharType="end"/>
            </w:r>
          </w:hyperlink>
        </w:p>
        <w:p w14:paraId="1FAB78BF" w14:textId="36135196" w:rsidR="00F83A65" w:rsidRDefault="00F83A65">
          <w:pPr>
            <w:pStyle w:val="TOC2"/>
            <w:tabs>
              <w:tab w:val="right" w:pos="9016"/>
            </w:tabs>
            <w:rPr>
              <w:noProof/>
            </w:rPr>
          </w:pPr>
          <w:hyperlink w:anchor="_Toc220324667" w:history="1">
            <w:r w:rsidRPr="003C04D0">
              <w:rPr>
                <w:rStyle w:val="Hyperlink"/>
                <w:noProof/>
              </w:rPr>
              <w:t>4.7 Summary of Findings</w:t>
            </w:r>
            <w:r>
              <w:rPr>
                <w:noProof/>
                <w:webHidden/>
              </w:rPr>
              <w:tab/>
            </w:r>
            <w:r>
              <w:rPr>
                <w:noProof/>
                <w:webHidden/>
              </w:rPr>
              <w:fldChar w:fldCharType="begin"/>
            </w:r>
            <w:r>
              <w:rPr>
                <w:noProof/>
                <w:webHidden/>
              </w:rPr>
              <w:instrText xml:space="preserve"> PAGEREF _Toc220324667 \h </w:instrText>
            </w:r>
            <w:r>
              <w:rPr>
                <w:noProof/>
                <w:webHidden/>
              </w:rPr>
            </w:r>
            <w:r>
              <w:rPr>
                <w:noProof/>
                <w:webHidden/>
              </w:rPr>
              <w:fldChar w:fldCharType="separate"/>
            </w:r>
            <w:r>
              <w:rPr>
                <w:noProof/>
                <w:webHidden/>
              </w:rPr>
              <w:t>47</w:t>
            </w:r>
            <w:r>
              <w:rPr>
                <w:noProof/>
                <w:webHidden/>
              </w:rPr>
              <w:fldChar w:fldCharType="end"/>
            </w:r>
          </w:hyperlink>
        </w:p>
        <w:p w14:paraId="10440565" w14:textId="586AD913" w:rsidR="00F83A65" w:rsidRDefault="00F83A65">
          <w:pPr>
            <w:pStyle w:val="TOC1"/>
            <w:tabs>
              <w:tab w:val="right" w:pos="9016"/>
            </w:tabs>
            <w:rPr>
              <w:noProof/>
            </w:rPr>
          </w:pPr>
          <w:hyperlink w:anchor="_Toc220324668" w:history="1">
            <w:r w:rsidRPr="003C04D0">
              <w:rPr>
                <w:rStyle w:val="Hyperlink"/>
                <w:noProof/>
              </w:rPr>
              <w:t>Chapter 5: Discussion</w:t>
            </w:r>
            <w:r>
              <w:rPr>
                <w:noProof/>
                <w:webHidden/>
              </w:rPr>
              <w:tab/>
            </w:r>
            <w:r>
              <w:rPr>
                <w:noProof/>
                <w:webHidden/>
              </w:rPr>
              <w:fldChar w:fldCharType="begin"/>
            </w:r>
            <w:r>
              <w:rPr>
                <w:noProof/>
                <w:webHidden/>
              </w:rPr>
              <w:instrText xml:space="preserve"> PAGEREF _Toc220324668 \h </w:instrText>
            </w:r>
            <w:r>
              <w:rPr>
                <w:noProof/>
                <w:webHidden/>
              </w:rPr>
            </w:r>
            <w:r>
              <w:rPr>
                <w:noProof/>
                <w:webHidden/>
              </w:rPr>
              <w:fldChar w:fldCharType="separate"/>
            </w:r>
            <w:r>
              <w:rPr>
                <w:noProof/>
                <w:webHidden/>
              </w:rPr>
              <w:t>48</w:t>
            </w:r>
            <w:r>
              <w:rPr>
                <w:noProof/>
                <w:webHidden/>
              </w:rPr>
              <w:fldChar w:fldCharType="end"/>
            </w:r>
          </w:hyperlink>
        </w:p>
        <w:p w14:paraId="1C8F9B2E" w14:textId="783D22E2" w:rsidR="00F83A65" w:rsidRDefault="00F83A65">
          <w:pPr>
            <w:pStyle w:val="TOC2"/>
            <w:tabs>
              <w:tab w:val="right" w:pos="9016"/>
            </w:tabs>
            <w:rPr>
              <w:noProof/>
            </w:rPr>
          </w:pPr>
          <w:hyperlink w:anchor="_Toc220324669" w:history="1">
            <w:r w:rsidRPr="003C04D0">
              <w:rPr>
                <w:rStyle w:val="Hyperlink"/>
                <w:noProof/>
              </w:rPr>
              <w:t>5.1 Introduction</w:t>
            </w:r>
            <w:r>
              <w:rPr>
                <w:noProof/>
                <w:webHidden/>
              </w:rPr>
              <w:tab/>
            </w:r>
            <w:r>
              <w:rPr>
                <w:noProof/>
                <w:webHidden/>
              </w:rPr>
              <w:fldChar w:fldCharType="begin"/>
            </w:r>
            <w:r>
              <w:rPr>
                <w:noProof/>
                <w:webHidden/>
              </w:rPr>
              <w:instrText xml:space="preserve"> PAGEREF _Toc220324669 \h </w:instrText>
            </w:r>
            <w:r>
              <w:rPr>
                <w:noProof/>
                <w:webHidden/>
              </w:rPr>
            </w:r>
            <w:r>
              <w:rPr>
                <w:noProof/>
                <w:webHidden/>
              </w:rPr>
              <w:fldChar w:fldCharType="separate"/>
            </w:r>
            <w:r>
              <w:rPr>
                <w:noProof/>
                <w:webHidden/>
              </w:rPr>
              <w:t>48</w:t>
            </w:r>
            <w:r>
              <w:rPr>
                <w:noProof/>
                <w:webHidden/>
              </w:rPr>
              <w:fldChar w:fldCharType="end"/>
            </w:r>
          </w:hyperlink>
        </w:p>
        <w:p w14:paraId="4C4102FC" w14:textId="57DC5DB4" w:rsidR="00F83A65" w:rsidRDefault="00F83A65">
          <w:pPr>
            <w:pStyle w:val="TOC2"/>
            <w:tabs>
              <w:tab w:val="right" w:pos="9016"/>
            </w:tabs>
            <w:rPr>
              <w:noProof/>
            </w:rPr>
          </w:pPr>
          <w:hyperlink w:anchor="_Toc220324670" w:history="1">
            <w:r w:rsidRPr="003C04D0">
              <w:rPr>
                <w:rStyle w:val="Hyperlink"/>
                <w:noProof/>
              </w:rPr>
              <w:t>5.2 Interpretation of results</w:t>
            </w:r>
            <w:r>
              <w:rPr>
                <w:noProof/>
                <w:webHidden/>
              </w:rPr>
              <w:tab/>
            </w:r>
            <w:r>
              <w:rPr>
                <w:noProof/>
                <w:webHidden/>
              </w:rPr>
              <w:fldChar w:fldCharType="begin"/>
            </w:r>
            <w:r>
              <w:rPr>
                <w:noProof/>
                <w:webHidden/>
              </w:rPr>
              <w:instrText xml:space="preserve"> PAGEREF _Toc220324670 \h </w:instrText>
            </w:r>
            <w:r>
              <w:rPr>
                <w:noProof/>
                <w:webHidden/>
              </w:rPr>
            </w:r>
            <w:r>
              <w:rPr>
                <w:noProof/>
                <w:webHidden/>
              </w:rPr>
              <w:fldChar w:fldCharType="separate"/>
            </w:r>
            <w:r>
              <w:rPr>
                <w:noProof/>
                <w:webHidden/>
              </w:rPr>
              <w:t>48</w:t>
            </w:r>
            <w:r>
              <w:rPr>
                <w:noProof/>
                <w:webHidden/>
              </w:rPr>
              <w:fldChar w:fldCharType="end"/>
            </w:r>
          </w:hyperlink>
        </w:p>
        <w:p w14:paraId="751C5E20" w14:textId="7292E956" w:rsidR="00F83A65" w:rsidRDefault="00F83A65">
          <w:pPr>
            <w:pStyle w:val="TOC3"/>
            <w:tabs>
              <w:tab w:val="right" w:pos="9016"/>
            </w:tabs>
            <w:rPr>
              <w:noProof/>
            </w:rPr>
          </w:pPr>
          <w:hyperlink w:anchor="_Toc220324671" w:history="1">
            <w:r w:rsidRPr="003C04D0">
              <w:rPr>
                <w:rStyle w:val="Hyperlink"/>
                <w:noProof/>
              </w:rPr>
              <w:t>5.2.1 Theme 1: Microbial risks associated with poor-quality housing</w:t>
            </w:r>
            <w:r>
              <w:rPr>
                <w:noProof/>
                <w:webHidden/>
              </w:rPr>
              <w:tab/>
            </w:r>
            <w:r>
              <w:rPr>
                <w:noProof/>
                <w:webHidden/>
              </w:rPr>
              <w:fldChar w:fldCharType="begin"/>
            </w:r>
            <w:r>
              <w:rPr>
                <w:noProof/>
                <w:webHidden/>
              </w:rPr>
              <w:instrText xml:space="preserve"> PAGEREF _Toc220324671 \h </w:instrText>
            </w:r>
            <w:r>
              <w:rPr>
                <w:noProof/>
                <w:webHidden/>
              </w:rPr>
            </w:r>
            <w:r>
              <w:rPr>
                <w:noProof/>
                <w:webHidden/>
              </w:rPr>
              <w:fldChar w:fldCharType="separate"/>
            </w:r>
            <w:r>
              <w:rPr>
                <w:noProof/>
                <w:webHidden/>
              </w:rPr>
              <w:t>48</w:t>
            </w:r>
            <w:r>
              <w:rPr>
                <w:noProof/>
                <w:webHidden/>
              </w:rPr>
              <w:fldChar w:fldCharType="end"/>
            </w:r>
          </w:hyperlink>
        </w:p>
        <w:p w14:paraId="5C53F6FF" w14:textId="090EE335" w:rsidR="00F83A65" w:rsidRDefault="00F83A65">
          <w:pPr>
            <w:pStyle w:val="TOC3"/>
            <w:tabs>
              <w:tab w:val="right" w:pos="9016"/>
            </w:tabs>
            <w:rPr>
              <w:noProof/>
            </w:rPr>
          </w:pPr>
          <w:hyperlink w:anchor="_Toc220324672" w:history="1">
            <w:r w:rsidRPr="003C04D0">
              <w:rPr>
                <w:rStyle w:val="Hyperlink"/>
                <w:noProof/>
              </w:rPr>
              <w:t>5.2.2 Theme 2: Public health views on housing conditions and respiratory disease</w:t>
            </w:r>
            <w:r>
              <w:rPr>
                <w:noProof/>
                <w:webHidden/>
              </w:rPr>
              <w:tab/>
            </w:r>
            <w:r>
              <w:rPr>
                <w:noProof/>
                <w:webHidden/>
              </w:rPr>
              <w:fldChar w:fldCharType="begin"/>
            </w:r>
            <w:r>
              <w:rPr>
                <w:noProof/>
                <w:webHidden/>
              </w:rPr>
              <w:instrText xml:space="preserve"> PAGEREF _Toc220324672 \h </w:instrText>
            </w:r>
            <w:r>
              <w:rPr>
                <w:noProof/>
                <w:webHidden/>
              </w:rPr>
            </w:r>
            <w:r>
              <w:rPr>
                <w:noProof/>
                <w:webHidden/>
              </w:rPr>
              <w:fldChar w:fldCharType="separate"/>
            </w:r>
            <w:r>
              <w:rPr>
                <w:noProof/>
                <w:webHidden/>
              </w:rPr>
              <w:t>49</w:t>
            </w:r>
            <w:r>
              <w:rPr>
                <w:noProof/>
                <w:webHidden/>
              </w:rPr>
              <w:fldChar w:fldCharType="end"/>
            </w:r>
          </w:hyperlink>
        </w:p>
        <w:p w14:paraId="1C377AC4" w14:textId="7AE2B41C" w:rsidR="00F83A65" w:rsidRDefault="00F83A65">
          <w:pPr>
            <w:pStyle w:val="TOC3"/>
            <w:tabs>
              <w:tab w:val="right" w:pos="9016"/>
            </w:tabs>
            <w:rPr>
              <w:noProof/>
            </w:rPr>
          </w:pPr>
          <w:hyperlink w:anchor="_Toc220324673" w:history="1">
            <w:r w:rsidRPr="003C04D0">
              <w:rPr>
                <w:rStyle w:val="Hyperlink"/>
                <w:noProof/>
              </w:rPr>
              <w:t>5.2.3 Theme 3: Social care insights into vulnerable residents’ exposure</w:t>
            </w:r>
            <w:r>
              <w:rPr>
                <w:noProof/>
                <w:webHidden/>
              </w:rPr>
              <w:tab/>
            </w:r>
            <w:r>
              <w:rPr>
                <w:noProof/>
                <w:webHidden/>
              </w:rPr>
              <w:fldChar w:fldCharType="begin"/>
            </w:r>
            <w:r>
              <w:rPr>
                <w:noProof/>
                <w:webHidden/>
              </w:rPr>
              <w:instrText xml:space="preserve"> PAGEREF _Toc220324673 \h </w:instrText>
            </w:r>
            <w:r>
              <w:rPr>
                <w:noProof/>
                <w:webHidden/>
              </w:rPr>
            </w:r>
            <w:r>
              <w:rPr>
                <w:noProof/>
                <w:webHidden/>
              </w:rPr>
              <w:fldChar w:fldCharType="separate"/>
            </w:r>
            <w:r>
              <w:rPr>
                <w:noProof/>
                <w:webHidden/>
              </w:rPr>
              <w:t>51</w:t>
            </w:r>
            <w:r>
              <w:rPr>
                <w:noProof/>
                <w:webHidden/>
              </w:rPr>
              <w:fldChar w:fldCharType="end"/>
            </w:r>
          </w:hyperlink>
        </w:p>
        <w:p w14:paraId="176D7AC9" w14:textId="2284AB40" w:rsidR="00F83A65" w:rsidRDefault="00F83A65">
          <w:pPr>
            <w:pStyle w:val="TOC2"/>
            <w:tabs>
              <w:tab w:val="right" w:pos="9016"/>
            </w:tabs>
            <w:rPr>
              <w:noProof/>
            </w:rPr>
          </w:pPr>
          <w:hyperlink w:anchor="_Toc220324674" w:history="1">
            <w:r w:rsidRPr="003C04D0">
              <w:rPr>
                <w:rStyle w:val="Hyperlink"/>
                <w:noProof/>
              </w:rPr>
              <w:t>5.3 Discussion of implications</w:t>
            </w:r>
            <w:r>
              <w:rPr>
                <w:noProof/>
                <w:webHidden/>
              </w:rPr>
              <w:tab/>
            </w:r>
            <w:r>
              <w:rPr>
                <w:noProof/>
                <w:webHidden/>
              </w:rPr>
              <w:fldChar w:fldCharType="begin"/>
            </w:r>
            <w:r>
              <w:rPr>
                <w:noProof/>
                <w:webHidden/>
              </w:rPr>
              <w:instrText xml:space="preserve"> PAGEREF _Toc220324674 \h </w:instrText>
            </w:r>
            <w:r>
              <w:rPr>
                <w:noProof/>
                <w:webHidden/>
              </w:rPr>
            </w:r>
            <w:r>
              <w:rPr>
                <w:noProof/>
                <w:webHidden/>
              </w:rPr>
              <w:fldChar w:fldCharType="separate"/>
            </w:r>
            <w:r>
              <w:rPr>
                <w:noProof/>
                <w:webHidden/>
              </w:rPr>
              <w:t>53</w:t>
            </w:r>
            <w:r>
              <w:rPr>
                <w:noProof/>
                <w:webHidden/>
              </w:rPr>
              <w:fldChar w:fldCharType="end"/>
            </w:r>
          </w:hyperlink>
        </w:p>
        <w:p w14:paraId="5E0C32BB" w14:textId="658F54BF" w:rsidR="00F83A65" w:rsidRDefault="00F83A65">
          <w:pPr>
            <w:pStyle w:val="TOC2"/>
            <w:tabs>
              <w:tab w:val="right" w:pos="9016"/>
            </w:tabs>
            <w:rPr>
              <w:noProof/>
            </w:rPr>
          </w:pPr>
          <w:hyperlink w:anchor="_Toc220324675" w:history="1">
            <w:r w:rsidRPr="003C04D0">
              <w:rPr>
                <w:rStyle w:val="Hyperlink"/>
                <w:noProof/>
              </w:rPr>
              <w:t>5.4 Summary of Findings</w:t>
            </w:r>
            <w:r>
              <w:rPr>
                <w:noProof/>
                <w:webHidden/>
              </w:rPr>
              <w:tab/>
            </w:r>
            <w:r>
              <w:rPr>
                <w:noProof/>
                <w:webHidden/>
              </w:rPr>
              <w:fldChar w:fldCharType="begin"/>
            </w:r>
            <w:r>
              <w:rPr>
                <w:noProof/>
                <w:webHidden/>
              </w:rPr>
              <w:instrText xml:space="preserve"> PAGEREF _Toc220324675 \h </w:instrText>
            </w:r>
            <w:r>
              <w:rPr>
                <w:noProof/>
                <w:webHidden/>
              </w:rPr>
            </w:r>
            <w:r>
              <w:rPr>
                <w:noProof/>
                <w:webHidden/>
              </w:rPr>
              <w:fldChar w:fldCharType="separate"/>
            </w:r>
            <w:r>
              <w:rPr>
                <w:noProof/>
                <w:webHidden/>
              </w:rPr>
              <w:t>55</w:t>
            </w:r>
            <w:r>
              <w:rPr>
                <w:noProof/>
                <w:webHidden/>
              </w:rPr>
              <w:fldChar w:fldCharType="end"/>
            </w:r>
          </w:hyperlink>
        </w:p>
        <w:p w14:paraId="1503153D" w14:textId="5C9DC0BF" w:rsidR="00F83A65" w:rsidRDefault="00F83A65">
          <w:pPr>
            <w:pStyle w:val="TOC1"/>
            <w:tabs>
              <w:tab w:val="right" w:pos="9016"/>
            </w:tabs>
            <w:rPr>
              <w:noProof/>
            </w:rPr>
          </w:pPr>
          <w:hyperlink w:anchor="_Toc220324676" w:history="1">
            <w:r w:rsidRPr="003C04D0">
              <w:rPr>
                <w:rStyle w:val="Hyperlink"/>
                <w:noProof/>
              </w:rPr>
              <w:t>Chapter 6: Conclusion</w:t>
            </w:r>
            <w:r>
              <w:rPr>
                <w:noProof/>
                <w:webHidden/>
              </w:rPr>
              <w:tab/>
            </w:r>
            <w:r>
              <w:rPr>
                <w:noProof/>
                <w:webHidden/>
              </w:rPr>
              <w:fldChar w:fldCharType="begin"/>
            </w:r>
            <w:r>
              <w:rPr>
                <w:noProof/>
                <w:webHidden/>
              </w:rPr>
              <w:instrText xml:space="preserve"> PAGEREF _Toc220324676 \h </w:instrText>
            </w:r>
            <w:r>
              <w:rPr>
                <w:noProof/>
                <w:webHidden/>
              </w:rPr>
            </w:r>
            <w:r>
              <w:rPr>
                <w:noProof/>
                <w:webHidden/>
              </w:rPr>
              <w:fldChar w:fldCharType="separate"/>
            </w:r>
            <w:r>
              <w:rPr>
                <w:noProof/>
                <w:webHidden/>
              </w:rPr>
              <w:t>56</w:t>
            </w:r>
            <w:r>
              <w:rPr>
                <w:noProof/>
                <w:webHidden/>
              </w:rPr>
              <w:fldChar w:fldCharType="end"/>
            </w:r>
          </w:hyperlink>
        </w:p>
        <w:p w14:paraId="32528ED1" w14:textId="14A61EF9" w:rsidR="00F83A65" w:rsidRDefault="00F83A65">
          <w:pPr>
            <w:pStyle w:val="TOC2"/>
            <w:tabs>
              <w:tab w:val="right" w:pos="9016"/>
            </w:tabs>
            <w:rPr>
              <w:noProof/>
            </w:rPr>
          </w:pPr>
          <w:hyperlink w:anchor="_Toc220324677" w:history="1">
            <w:r w:rsidRPr="003C04D0">
              <w:rPr>
                <w:rStyle w:val="Hyperlink"/>
                <w:noProof/>
              </w:rPr>
              <w:t>6.1 Introduction</w:t>
            </w:r>
            <w:r>
              <w:rPr>
                <w:noProof/>
                <w:webHidden/>
              </w:rPr>
              <w:tab/>
            </w:r>
            <w:r>
              <w:rPr>
                <w:noProof/>
                <w:webHidden/>
              </w:rPr>
              <w:fldChar w:fldCharType="begin"/>
            </w:r>
            <w:r>
              <w:rPr>
                <w:noProof/>
                <w:webHidden/>
              </w:rPr>
              <w:instrText xml:space="preserve"> PAGEREF _Toc220324677 \h </w:instrText>
            </w:r>
            <w:r>
              <w:rPr>
                <w:noProof/>
                <w:webHidden/>
              </w:rPr>
            </w:r>
            <w:r>
              <w:rPr>
                <w:noProof/>
                <w:webHidden/>
              </w:rPr>
              <w:fldChar w:fldCharType="separate"/>
            </w:r>
            <w:r>
              <w:rPr>
                <w:noProof/>
                <w:webHidden/>
              </w:rPr>
              <w:t>56</w:t>
            </w:r>
            <w:r>
              <w:rPr>
                <w:noProof/>
                <w:webHidden/>
              </w:rPr>
              <w:fldChar w:fldCharType="end"/>
            </w:r>
          </w:hyperlink>
        </w:p>
        <w:p w14:paraId="243DB09C" w14:textId="246732C0" w:rsidR="00F83A65" w:rsidRDefault="00F83A65">
          <w:pPr>
            <w:pStyle w:val="TOC2"/>
            <w:tabs>
              <w:tab w:val="right" w:pos="9016"/>
            </w:tabs>
            <w:rPr>
              <w:noProof/>
            </w:rPr>
          </w:pPr>
          <w:hyperlink w:anchor="_Toc220324678" w:history="1">
            <w:r w:rsidRPr="003C04D0">
              <w:rPr>
                <w:rStyle w:val="Hyperlink"/>
                <w:noProof/>
              </w:rPr>
              <w:t>6.2 Answering the research question</w:t>
            </w:r>
            <w:r>
              <w:rPr>
                <w:noProof/>
                <w:webHidden/>
              </w:rPr>
              <w:tab/>
            </w:r>
            <w:r>
              <w:rPr>
                <w:noProof/>
                <w:webHidden/>
              </w:rPr>
              <w:fldChar w:fldCharType="begin"/>
            </w:r>
            <w:r>
              <w:rPr>
                <w:noProof/>
                <w:webHidden/>
              </w:rPr>
              <w:instrText xml:space="preserve"> PAGEREF _Toc220324678 \h </w:instrText>
            </w:r>
            <w:r>
              <w:rPr>
                <w:noProof/>
                <w:webHidden/>
              </w:rPr>
            </w:r>
            <w:r>
              <w:rPr>
                <w:noProof/>
                <w:webHidden/>
              </w:rPr>
              <w:fldChar w:fldCharType="separate"/>
            </w:r>
            <w:r>
              <w:rPr>
                <w:noProof/>
                <w:webHidden/>
              </w:rPr>
              <w:t>57</w:t>
            </w:r>
            <w:r>
              <w:rPr>
                <w:noProof/>
                <w:webHidden/>
              </w:rPr>
              <w:fldChar w:fldCharType="end"/>
            </w:r>
          </w:hyperlink>
        </w:p>
        <w:p w14:paraId="6DAD0B7D" w14:textId="35F843A1" w:rsidR="00F83A65" w:rsidRDefault="00F83A65">
          <w:pPr>
            <w:pStyle w:val="TOC2"/>
            <w:tabs>
              <w:tab w:val="right" w:pos="9016"/>
            </w:tabs>
            <w:rPr>
              <w:noProof/>
            </w:rPr>
          </w:pPr>
          <w:hyperlink w:anchor="_Toc220324679" w:history="1">
            <w:r w:rsidRPr="003C04D0">
              <w:rPr>
                <w:rStyle w:val="Hyperlink"/>
                <w:noProof/>
              </w:rPr>
              <w:t>6.3 Recommendations</w:t>
            </w:r>
            <w:r>
              <w:rPr>
                <w:noProof/>
                <w:webHidden/>
              </w:rPr>
              <w:tab/>
            </w:r>
            <w:r>
              <w:rPr>
                <w:noProof/>
                <w:webHidden/>
              </w:rPr>
              <w:fldChar w:fldCharType="begin"/>
            </w:r>
            <w:r>
              <w:rPr>
                <w:noProof/>
                <w:webHidden/>
              </w:rPr>
              <w:instrText xml:space="preserve"> PAGEREF _Toc220324679 \h </w:instrText>
            </w:r>
            <w:r>
              <w:rPr>
                <w:noProof/>
                <w:webHidden/>
              </w:rPr>
            </w:r>
            <w:r>
              <w:rPr>
                <w:noProof/>
                <w:webHidden/>
              </w:rPr>
              <w:fldChar w:fldCharType="separate"/>
            </w:r>
            <w:r>
              <w:rPr>
                <w:noProof/>
                <w:webHidden/>
              </w:rPr>
              <w:t>59</w:t>
            </w:r>
            <w:r>
              <w:rPr>
                <w:noProof/>
                <w:webHidden/>
              </w:rPr>
              <w:fldChar w:fldCharType="end"/>
            </w:r>
          </w:hyperlink>
        </w:p>
        <w:p w14:paraId="229EAACE" w14:textId="18D74E69" w:rsidR="00F83A65" w:rsidRDefault="00F83A65">
          <w:pPr>
            <w:pStyle w:val="TOC2"/>
            <w:tabs>
              <w:tab w:val="right" w:pos="9016"/>
            </w:tabs>
            <w:rPr>
              <w:noProof/>
            </w:rPr>
          </w:pPr>
          <w:hyperlink w:anchor="_Toc220324680" w:history="1">
            <w:r w:rsidRPr="003C04D0">
              <w:rPr>
                <w:rStyle w:val="Hyperlink"/>
                <w:noProof/>
              </w:rPr>
              <w:t>6.4 Scope for future research</w:t>
            </w:r>
            <w:r>
              <w:rPr>
                <w:noProof/>
                <w:webHidden/>
              </w:rPr>
              <w:tab/>
            </w:r>
            <w:r>
              <w:rPr>
                <w:noProof/>
                <w:webHidden/>
              </w:rPr>
              <w:fldChar w:fldCharType="begin"/>
            </w:r>
            <w:r>
              <w:rPr>
                <w:noProof/>
                <w:webHidden/>
              </w:rPr>
              <w:instrText xml:space="preserve"> PAGEREF _Toc220324680 \h </w:instrText>
            </w:r>
            <w:r>
              <w:rPr>
                <w:noProof/>
                <w:webHidden/>
              </w:rPr>
            </w:r>
            <w:r>
              <w:rPr>
                <w:noProof/>
                <w:webHidden/>
              </w:rPr>
              <w:fldChar w:fldCharType="separate"/>
            </w:r>
            <w:r>
              <w:rPr>
                <w:noProof/>
                <w:webHidden/>
              </w:rPr>
              <w:t>60</w:t>
            </w:r>
            <w:r>
              <w:rPr>
                <w:noProof/>
                <w:webHidden/>
              </w:rPr>
              <w:fldChar w:fldCharType="end"/>
            </w:r>
          </w:hyperlink>
        </w:p>
        <w:p w14:paraId="3C0B65FF" w14:textId="54365AB3" w:rsidR="00F83A65" w:rsidRDefault="00F83A65">
          <w:pPr>
            <w:pStyle w:val="TOC2"/>
            <w:tabs>
              <w:tab w:val="right" w:pos="9016"/>
            </w:tabs>
            <w:rPr>
              <w:noProof/>
            </w:rPr>
          </w:pPr>
          <w:hyperlink w:anchor="_Toc220324681" w:history="1">
            <w:r w:rsidRPr="003C04D0">
              <w:rPr>
                <w:rStyle w:val="Hyperlink"/>
                <w:noProof/>
              </w:rPr>
              <w:t>6.5 Contribution to Knowledge and Significance of the Study</w:t>
            </w:r>
            <w:r>
              <w:rPr>
                <w:noProof/>
                <w:webHidden/>
              </w:rPr>
              <w:tab/>
            </w:r>
            <w:r>
              <w:rPr>
                <w:noProof/>
                <w:webHidden/>
              </w:rPr>
              <w:fldChar w:fldCharType="begin"/>
            </w:r>
            <w:r>
              <w:rPr>
                <w:noProof/>
                <w:webHidden/>
              </w:rPr>
              <w:instrText xml:space="preserve"> PAGEREF _Toc220324681 \h </w:instrText>
            </w:r>
            <w:r>
              <w:rPr>
                <w:noProof/>
                <w:webHidden/>
              </w:rPr>
            </w:r>
            <w:r>
              <w:rPr>
                <w:noProof/>
                <w:webHidden/>
              </w:rPr>
              <w:fldChar w:fldCharType="separate"/>
            </w:r>
            <w:r>
              <w:rPr>
                <w:noProof/>
                <w:webHidden/>
              </w:rPr>
              <w:t>60</w:t>
            </w:r>
            <w:r>
              <w:rPr>
                <w:noProof/>
                <w:webHidden/>
              </w:rPr>
              <w:fldChar w:fldCharType="end"/>
            </w:r>
          </w:hyperlink>
        </w:p>
        <w:p w14:paraId="1C54B437" w14:textId="444EF904" w:rsidR="00F83A65" w:rsidRDefault="00F83A65">
          <w:pPr>
            <w:pStyle w:val="TOC2"/>
            <w:tabs>
              <w:tab w:val="right" w:pos="9016"/>
            </w:tabs>
            <w:rPr>
              <w:noProof/>
            </w:rPr>
          </w:pPr>
          <w:hyperlink w:anchor="_Toc220324682" w:history="1">
            <w:r w:rsidRPr="003C04D0">
              <w:rPr>
                <w:rStyle w:val="Hyperlink"/>
                <w:noProof/>
              </w:rPr>
              <w:t>6.6 Limitations</w:t>
            </w:r>
            <w:r>
              <w:rPr>
                <w:noProof/>
                <w:webHidden/>
              </w:rPr>
              <w:tab/>
            </w:r>
            <w:r>
              <w:rPr>
                <w:noProof/>
                <w:webHidden/>
              </w:rPr>
              <w:fldChar w:fldCharType="begin"/>
            </w:r>
            <w:r>
              <w:rPr>
                <w:noProof/>
                <w:webHidden/>
              </w:rPr>
              <w:instrText xml:space="preserve"> PAGEREF _Toc220324682 \h </w:instrText>
            </w:r>
            <w:r>
              <w:rPr>
                <w:noProof/>
                <w:webHidden/>
              </w:rPr>
            </w:r>
            <w:r>
              <w:rPr>
                <w:noProof/>
                <w:webHidden/>
              </w:rPr>
              <w:fldChar w:fldCharType="separate"/>
            </w:r>
            <w:r>
              <w:rPr>
                <w:noProof/>
                <w:webHidden/>
              </w:rPr>
              <w:t>61</w:t>
            </w:r>
            <w:r>
              <w:rPr>
                <w:noProof/>
                <w:webHidden/>
              </w:rPr>
              <w:fldChar w:fldCharType="end"/>
            </w:r>
          </w:hyperlink>
        </w:p>
        <w:p w14:paraId="78926DE1" w14:textId="22F20D4B" w:rsidR="00F83A65" w:rsidRDefault="00F83A65">
          <w:pPr>
            <w:pStyle w:val="TOC2"/>
            <w:tabs>
              <w:tab w:val="right" w:pos="9016"/>
            </w:tabs>
            <w:rPr>
              <w:noProof/>
            </w:rPr>
          </w:pPr>
          <w:hyperlink w:anchor="_Toc220324683" w:history="1">
            <w:r w:rsidRPr="003C04D0">
              <w:rPr>
                <w:rStyle w:val="Hyperlink"/>
                <w:noProof/>
              </w:rPr>
              <w:t>6.7 Conclusion</w:t>
            </w:r>
            <w:r>
              <w:rPr>
                <w:noProof/>
                <w:webHidden/>
              </w:rPr>
              <w:tab/>
            </w:r>
            <w:r>
              <w:rPr>
                <w:noProof/>
                <w:webHidden/>
              </w:rPr>
              <w:fldChar w:fldCharType="begin"/>
            </w:r>
            <w:r>
              <w:rPr>
                <w:noProof/>
                <w:webHidden/>
              </w:rPr>
              <w:instrText xml:space="preserve"> PAGEREF _Toc220324683 \h </w:instrText>
            </w:r>
            <w:r>
              <w:rPr>
                <w:noProof/>
                <w:webHidden/>
              </w:rPr>
            </w:r>
            <w:r>
              <w:rPr>
                <w:noProof/>
                <w:webHidden/>
              </w:rPr>
              <w:fldChar w:fldCharType="separate"/>
            </w:r>
            <w:r>
              <w:rPr>
                <w:noProof/>
                <w:webHidden/>
              </w:rPr>
              <w:t>62</w:t>
            </w:r>
            <w:r>
              <w:rPr>
                <w:noProof/>
                <w:webHidden/>
              </w:rPr>
              <w:fldChar w:fldCharType="end"/>
            </w:r>
          </w:hyperlink>
        </w:p>
        <w:p w14:paraId="248E5104" w14:textId="5A6A29FC" w:rsidR="00F83A65" w:rsidRDefault="00F83A65">
          <w:pPr>
            <w:pStyle w:val="TOC1"/>
            <w:tabs>
              <w:tab w:val="right" w:pos="9016"/>
            </w:tabs>
            <w:rPr>
              <w:noProof/>
            </w:rPr>
          </w:pPr>
          <w:hyperlink w:anchor="_Toc220324684" w:history="1">
            <w:r w:rsidRPr="003C04D0">
              <w:rPr>
                <w:rStyle w:val="Hyperlink"/>
                <w:noProof/>
              </w:rPr>
              <w:t>Reference list</w:t>
            </w:r>
            <w:r>
              <w:rPr>
                <w:noProof/>
                <w:webHidden/>
              </w:rPr>
              <w:tab/>
            </w:r>
            <w:r>
              <w:rPr>
                <w:noProof/>
                <w:webHidden/>
              </w:rPr>
              <w:fldChar w:fldCharType="begin"/>
            </w:r>
            <w:r>
              <w:rPr>
                <w:noProof/>
                <w:webHidden/>
              </w:rPr>
              <w:instrText xml:space="preserve"> PAGEREF _Toc220324684 \h </w:instrText>
            </w:r>
            <w:r>
              <w:rPr>
                <w:noProof/>
                <w:webHidden/>
              </w:rPr>
            </w:r>
            <w:r>
              <w:rPr>
                <w:noProof/>
                <w:webHidden/>
              </w:rPr>
              <w:fldChar w:fldCharType="separate"/>
            </w:r>
            <w:r>
              <w:rPr>
                <w:noProof/>
                <w:webHidden/>
              </w:rPr>
              <w:t>63</w:t>
            </w:r>
            <w:r>
              <w:rPr>
                <w:noProof/>
                <w:webHidden/>
              </w:rPr>
              <w:fldChar w:fldCharType="end"/>
            </w:r>
          </w:hyperlink>
        </w:p>
        <w:p w14:paraId="02C6DF19" w14:textId="775FDF9F" w:rsidR="00F83A65" w:rsidRDefault="00F83A65">
          <w:pPr>
            <w:pStyle w:val="TOC1"/>
            <w:tabs>
              <w:tab w:val="right" w:pos="9016"/>
            </w:tabs>
            <w:rPr>
              <w:noProof/>
            </w:rPr>
          </w:pPr>
          <w:hyperlink w:anchor="_Toc220324685" w:history="1">
            <w:r w:rsidRPr="003C04D0">
              <w:rPr>
                <w:rStyle w:val="Hyperlink"/>
                <w:noProof/>
              </w:rPr>
              <w:t>Appendix 1: Conceptual framework</w:t>
            </w:r>
            <w:r>
              <w:rPr>
                <w:noProof/>
                <w:webHidden/>
              </w:rPr>
              <w:tab/>
            </w:r>
            <w:r>
              <w:rPr>
                <w:noProof/>
                <w:webHidden/>
              </w:rPr>
              <w:fldChar w:fldCharType="begin"/>
            </w:r>
            <w:r>
              <w:rPr>
                <w:noProof/>
                <w:webHidden/>
              </w:rPr>
              <w:instrText xml:space="preserve"> PAGEREF _Toc220324685 \h </w:instrText>
            </w:r>
            <w:r>
              <w:rPr>
                <w:noProof/>
                <w:webHidden/>
              </w:rPr>
            </w:r>
            <w:r>
              <w:rPr>
                <w:noProof/>
                <w:webHidden/>
              </w:rPr>
              <w:fldChar w:fldCharType="separate"/>
            </w:r>
            <w:r>
              <w:rPr>
                <w:noProof/>
                <w:webHidden/>
              </w:rPr>
              <w:t>77</w:t>
            </w:r>
            <w:r>
              <w:rPr>
                <w:noProof/>
                <w:webHidden/>
              </w:rPr>
              <w:fldChar w:fldCharType="end"/>
            </w:r>
          </w:hyperlink>
        </w:p>
        <w:p w14:paraId="226970FD" w14:textId="504984DC" w:rsidR="00F83A65" w:rsidRDefault="00F83A65">
          <w:pPr>
            <w:pStyle w:val="TOC1"/>
            <w:tabs>
              <w:tab w:val="right" w:pos="9016"/>
            </w:tabs>
            <w:rPr>
              <w:noProof/>
            </w:rPr>
          </w:pPr>
          <w:hyperlink w:anchor="_Toc220324686" w:history="1">
            <w:r w:rsidRPr="003C04D0">
              <w:rPr>
                <w:rStyle w:val="Hyperlink"/>
                <w:noProof/>
              </w:rPr>
              <w:t>Appendix 2: CASP Checklist</w:t>
            </w:r>
            <w:r>
              <w:rPr>
                <w:noProof/>
                <w:webHidden/>
              </w:rPr>
              <w:tab/>
            </w:r>
            <w:r>
              <w:rPr>
                <w:noProof/>
                <w:webHidden/>
              </w:rPr>
              <w:fldChar w:fldCharType="begin"/>
            </w:r>
            <w:r>
              <w:rPr>
                <w:noProof/>
                <w:webHidden/>
              </w:rPr>
              <w:instrText xml:space="preserve"> PAGEREF _Toc220324686 \h </w:instrText>
            </w:r>
            <w:r>
              <w:rPr>
                <w:noProof/>
                <w:webHidden/>
              </w:rPr>
            </w:r>
            <w:r>
              <w:rPr>
                <w:noProof/>
                <w:webHidden/>
              </w:rPr>
              <w:fldChar w:fldCharType="separate"/>
            </w:r>
            <w:r>
              <w:rPr>
                <w:noProof/>
                <w:webHidden/>
              </w:rPr>
              <w:t>78</w:t>
            </w:r>
            <w:r>
              <w:rPr>
                <w:noProof/>
                <w:webHidden/>
              </w:rPr>
              <w:fldChar w:fldCharType="end"/>
            </w:r>
          </w:hyperlink>
        </w:p>
        <w:p w14:paraId="469D043D" w14:textId="42206883" w:rsidR="0038718A" w:rsidRDefault="00BF184A">
          <w:pPr>
            <w:spacing w:after="158"/>
          </w:pPr>
          <w:r>
            <w:fldChar w:fldCharType="end"/>
          </w:r>
        </w:p>
      </w:sdtContent>
    </w:sdt>
    <w:p w14:paraId="10B86DE2" w14:textId="77777777" w:rsidR="0038718A" w:rsidRDefault="00BF184A">
      <w:pPr>
        <w:spacing w:after="156"/>
        <w:ind w:left="59"/>
        <w:jc w:val="center"/>
      </w:pPr>
      <w:r>
        <w:rPr>
          <w:b/>
          <w:bCs/>
        </w:rPr>
        <w:t xml:space="preserve"> </w:t>
      </w:r>
    </w:p>
    <w:p w14:paraId="0E5C22CA" w14:textId="77777777" w:rsidR="0038718A" w:rsidRDefault="00BF184A">
      <w:pPr>
        <w:rPr>
          <w:b/>
          <w:bCs/>
        </w:rPr>
      </w:pPr>
      <w:r>
        <w:br w:type="page"/>
      </w:r>
    </w:p>
    <w:p w14:paraId="7FAF4EE2" w14:textId="77777777" w:rsidR="0038718A" w:rsidRDefault="00BF184A">
      <w:pPr>
        <w:pStyle w:val="Heading1"/>
      </w:pPr>
      <w:bookmarkStart w:id="6" w:name="_x6adcnwzzd07" w:colFirst="0" w:colLast="0"/>
      <w:bookmarkStart w:id="7" w:name="_Toc220324600"/>
      <w:bookmarkEnd w:id="6"/>
      <w:r>
        <w:t>List of tables</w:t>
      </w:r>
      <w:bookmarkEnd w:id="7"/>
      <w:r>
        <w:t xml:space="preserve"> </w:t>
      </w:r>
    </w:p>
    <w:sdt>
      <w:sdtPr>
        <w:id w:val="-1584728201"/>
        <w:docPartObj>
          <w:docPartGallery w:val="Table of Contents"/>
          <w:docPartUnique/>
        </w:docPartObj>
      </w:sdtPr>
      <w:sdtEndPr/>
      <w:sdtContent>
        <w:p w14:paraId="03723A74" w14:textId="77777777" w:rsidR="0038718A" w:rsidRDefault="00BF184A">
          <w:pPr>
            <w:pBdr>
              <w:top w:val="nil"/>
              <w:left w:val="nil"/>
              <w:bottom w:val="nil"/>
              <w:right w:val="nil"/>
              <w:between w:val="nil"/>
            </w:pBdr>
            <w:tabs>
              <w:tab w:val="right" w:pos="9016"/>
            </w:tabs>
            <w:spacing w:after="0"/>
            <w:rPr>
              <w:rFonts w:ascii="Calibri" w:eastAsia="Calibri" w:hAnsi="Calibri" w:cs="Calibri"/>
              <w:color w:val="000000"/>
            </w:rPr>
          </w:pPr>
          <w:r>
            <w:fldChar w:fldCharType="begin"/>
          </w:r>
          <w:r>
            <w:instrText xml:space="preserve"> TOC \h \u \z \t "Heading 1,1,Heading 2,2,Heading 3,3,Heading 4,4,Heading 5,5,Heading 6,6,"</w:instrText>
          </w:r>
          <w:r>
            <w:fldChar w:fldCharType="separate"/>
          </w:r>
          <w:hyperlink w:anchor="_c6krxl9rihru">
            <w:r>
              <w:rPr>
                <w:color w:val="000000"/>
              </w:rPr>
              <w:t>Table 3.1: Boolean Search Strings</w:t>
            </w:r>
            <w:r>
              <w:rPr>
                <w:color w:val="000000"/>
              </w:rPr>
              <w:tab/>
              <w:t>29</w:t>
            </w:r>
          </w:hyperlink>
        </w:p>
        <w:p w14:paraId="50391B7A" w14:textId="77777777" w:rsidR="0038718A" w:rsidRDefault="00BF184A">
          <w:pPr>
            <w:pBdr>
              <w:top w:val="nil"/>
              <w:left w:val="nil"/>
              <w:bottom w:val="nil"/>
              <w:right w:val="nil"/>
              <w:between w:val="nil"/>
            </w:pBdr>
            <w:tabs>
              <w:tab w:val="right" w:pos="9016"/>
            </w:tabs>
            <w:spacing w:after="0"/>
            <w:rPr>
              <w:rFonts w:ascii="Calibri" w:eastAsia="Calibri" w:hAnsi="Calibri" w:cs="Calibri"/>
              <w:color w:val="000000"/>
            </w:rPr>
          </w:pPr>
          <w:hyperlink w:anchor="_mxwjyo2j8wj0">
            <w:r>
              <w:rPr>
                <w:color w:val="000000"/>
              </w:rPr>
              <w:t>Table 3.2: Rationale for Database Inclusion</w:t>
            </w:r>
            <w:r>
              <w:rPr>
                <w:color w:val="000000"/>
              </w:rPr>
              <w:tab/>
              <w:t>30</w:t>
            </w:r>
          </w:hyperlink>
        </w:p>
        <w:p w14:paraId="39DFFF06" w14:textId="77777777" w:rsidR="0038718A" w:rsidRDefault="00BF184A">
          <w:pPr>
            <w:pBdr>
              <w:top w:val="nil"/>
              <w:left w:val="nil"/>
              <w:bottom w:val="nil"/>
              <w:right w:val="nil"/>
              <w:between w:val="nil"/>
            </w:pBdr>
            <w:tabs>
              <w:tab w:val="right" w:pos="9016"/>
            </w:tabs>
            <w:spacing w:after="0"/>
            <w:rPr>
              <w:rFonts w:ascii="Calibri" w:eastAsia="Calibri" w:hAnsi="Calibri" w:cs="Calibri"/>
              <w:color w:val="000000"/>
            </w:rPr>
          </w:pPr>
          <w:hyperlink w:anchor="_tu0w69sxe2xy">
            <w:r>
              <w:rPr>
                <w:color w:val="000000"/>
              </w:rPr>
              <w:t>Table 3.3: Inclusion and Exclusion Criteria</w:t>
            </w:r>
            <w:r>
              <w:rPr>
                <w:color w:val="000000"/>
              </w:rPr>
              <w:tab/>
              <w:t>30</w:t>
            </w:r>
          </w:hyperlink>
        </w:p>
        <w:p w14:paraId="61474BA4" w14:textId="77777777" w:rsidR="0038718A" w:rsidRDefault="00BF184A">
          <w:pPr>
            <w:pBdr>
              <w:top w:val="nil"/>
              <w:left w:val="nil"/>
              <w:bottom w:val="nil"/>
              <w:right w:val="nil"/>
              <w:between w:val="nil"/>
            </w:pBdr>
            <w:tabs>
              <w:tab w:val="right" w:pos="9016"/>
            </w:tabs>
            <w:spacing w:after="0"/>
            <w:rPr>
              <w:rFonts w:ascii="Calibri" w:eastAsia="Calibri" w:hAnsi="Calibri" w:cs="Calibri"/>
              <w:color w:val="000000"/>
            </w:rPr>
          </w:pPr>
          <w:hyperlink w:anchor="_652akh7bmys3">
            <w:r>
              <w:rPr>
                <w:color w:val="000000"/>
              </w:rPr>
              <w:t>Table 4.1: Data extraction table</w:t>
            </w:r>
            <w:r>
              <w:rPr>
                <w:color w:val="000000"/>
              </w:rPr>
              <w:tab/>
              <w:t>36</w:t>
            </w:r>
          </w:hyperlink>
          <w:r>
            <w:fldChar w:fldCharType="end"/>
          </w:r>
        </w:p>
      </w:sdtContent>
    </w:sdt>
    <w:p w14:paraId="072DB0D7" w14:textId="77777777" w:rsidR="0038718A" w:rsidRDefault="00BF184A">
      <w:pPr>
        <w:rPr>
          <w:b/>
          <w:bCs/>
        </w:rPr>
      </w:pPr>
      <w:r>
        <w:br w:type="page"/>
      </w:r>
    </w:p>
    <w:p w14:paraId="7EE5EEE9" w14:textId="77777777" w:rsidR="0038718A" w:rsidRDefault="0038718A">
      <w:pPr>
        <w:spacing w:after="0"/>
      </w:pPr>
    </w:p>
    <w:p w14:paraId="560B536F" w14:textId="77777777" w:rsidR="0038718A" w:rsidRDefault="00BF184A">
      <w:pPr>
        <w:pStyle w:val="Heading1"/>
      </w:pPr>
      <w:bookmarkStart w:id="8" w:name="_ozymej6zb5l1" w:colFirst="0" w:colLast="0"/>
      <w:bookmarkStart w:id="9" w:name="_Toc220324601"/>
      <w:bookmarkEnd w:id="8"/>
      <w:r>
        <w:t>Chapter 1: Introduction</w:t>
      </w:r>
      <w:bookmarkEnd w:id="9"/>
      <w:r>
        <w:t xml:space="preserve"> </w:t>
      </w:r>
    </w:p>
    <w:p w14:paraId="0B8CADA8" w14:textId="77777777" w:rsidR="0038718A" w:rsidRDefault="00BF184A">
      <w:pPr>
        <w:pStyle w:val="Heading2"/>
      </w:pPr>
      <w:bookmarkStart w:id="10" w:name="_64kiccce1lk9" w:colFirst="0" w:colLast="0"/>
      <w:bookmarkStart w:id="11" w:name="_Toc220324602"/>
      <w:bookmarkEnd w:id="10"/>
      <w:r>
        <w:t>1.1 Research background</w:t>
      </w:r>
      <w:bookmarkEnd w:id="11"/>
      <w:r>
        <w:t xml:space="preserve"> </w:t>
      </w:r>
    </w:p>
    <w:p w14:paraId="2EEEC1D3" w14:textId="77777777" w:rsidR="0038718A" w:rsidRDefault="00BF184A">
      <w:pPr>
        <w:spacing w:before="240" w:after="0"/>
      </w:pPr>
      <w:r>
        <w:t>Housing quality is a concept that holds a variety of meanings. For this research the internal quality is emphasised and includes the interior space, size of circulation space, internal services (purifiers), hygiene maintenance, and health and safety (</w:t>
      </w:r>
      <w:proofErr w:type="spellStart"/>
      <w:r>
        <w:t>Kucuktuvek</w:t>
      </w:r>
      <w:proofErr w:type="spellEnd"/>
      <w:r>
        <w:t>, 2024). Housing conditions, which include dampness, mould, poor ventilation, insufficient insulation, low indoor temperature, overcrowding, and structural disrepair, influence the air composition, pathogen viability, and the occupants' immune system's ability to respond to pathogen exposure (</w:t>
      </w:r>
      <w:proofErr w:type="spellStart"/>
      <w:r>
        <w:t>Coulburn</w:t>
      </w:r>
      <w:proofErr w:type="spellEnd"/>
      <w:r>
        <w:t xml:space="preserve"> and Miller, 2022). The exposures mentioned can have a significant impact on the incidence and severity of acute respiratory infections and exacerbations in chronic respiratory illnesses (such as asthma), leading to increased GP visits, emergency department admissions, and lost school days in children and adolescents (GOV.UK, 2025). More than 2 million people globally are seen in emergency departments for respiratory infection or asthma due to housing quality (NIH, 2025). </w:t>
      </w:r>
    </w:p>
    <w:p w14:paraId="188E938C" w14:textId="77777777" w:rsidR="0038718A" w:rsidRDefault="00BF184A">
      <w:pPr>
        <w:spacing w:before="240" w:after="0"/>
      </w:pPr>
      <w:r>
        <w:t xml:space="preserve">It has been indicated that 15% of UK dwellings fall below decent standards mainly due to poor energy efficiency (57%) and overcrowded conditions (20%), which create excellent conditions for microbiological risk factors such as mould and dampness. Substandard housing creates biological and environmental niches that contribute to increased microbiological threats. In the context of the UK, 2.6 million young adults are living. In damp, dirty and cramped housing conditions (GOV.UK, 2025). It has also been noticed that the worst-affected areas in the UK, based on the respiratory infection among people due to poor housing conditions, are London and the North East, as 52% and 35% of people suffer here (National Centre for Social Research, 2025). Aspects such as dampness and condensation expose a person to fungal growth (such as mould) and potentially the growth of dust-mite populations, both of which can produce spores, proteases, and volatile organic compounds that are irritating to airways and can impair mucosal defence (Upadhyay, 2023). Poor ventilation contributes to higher concentrations of potentially hazardous indoor gaseous contaminants (such as viruses, bacteria, allergens, and combustion by-products) while cold and poorly insulated housing can suppress immune function and increase the risk of respiratory infections (Kumar </w:t>
      </w:r>
      <w:r>
        <w:rPr>
          <w:i/>
          <w:iCs/>
        </w:rPr>
        <w:t>et al.,</w:t>
      </w:r>
      <w:r>
        <w:t xml:space="preserve"> 2021). Overcrowded housing increases the likelihood of transmission of viruses (Upadhyay, 2023). To focus more on adolescents this research will investigate the impact of poor housing quality on young people live.</w:t>
      </w:r>
    </w:p>
    <w:p w14:paraId="30BF17CF" w14:textId="27B75B05" w:rsidR="0038718A" w:rsidRDefault="00BF184A">
      <w:pPr>
        <w:spacing w:before="240" w:after="0"/>
      </w:pPr>
      <w:r>
        <w:t xml:space="preserve">The burden of the issue in the UK is large but unevenly distributed.  National surveys and public health analyses damp and mould problems are increasing recent data from the English Housing Survey indicated millions of homes experience low levels of insulation, and around 1.3 million households were reported to be living in homes with serious damp issues in 2023-2024. The UK Healthcare Security Agency suggests that exposure to dampness and mould in English homes was associated with 5000 additional asthma cases and 8500 additional lower respiratory infections in 2019, and the burden was higher in lower-income and minority ethnic households </w:t>
      </w:r>
      <w:r w:rsidR="002E1828" w:rsidRPr="002E1828">
        <w:t>(UK Health Security Agency, 2024</w:t>
      </w:r>
      <w:r w:rsidR="00B44DE5" w:rsidRPr="00B44DE5">
        <w:t>)</w:t>
      </w:r>
      <w:r>
        <w:t>. Respiratory disease is a major stressor on the NHS, treating childhood asthma and emergency admissions remain commonplace and respiratory conditions constitute a large portion of unplanned hospital admissions every year (Gov.uk, 202). Measuring this data collectively indicates that enhancing housing could reduce a quantifiable share of respiratory morbidity in young people age 10-18 years. </w:t>
      </w:r>
    </w:p>
    <w:p w14:paraId="2E0131A6" w14:textId="77777777" w:rsidR="0038718A" w:rsidRDefault="00BF184A">
      <w:pPr>
        <w:spacing w:before="240" w:after="0"/>
      </w:pPr>
      <w:r>
        <w:t xml:space="preserve">An integrated effort across microbiological, public health, and social care contexts is crucial. Microbiological approaches can include damp and mould removal, improved ventilation, and cleaning (Beswick </w:t>
      </w:r>
      <w:r>
        <w:rPr>
          <w:i/>
          <w:iCs/>
        </w:rPr>
        <w:t>et al.</w:t>
      </w:r>
      <w:r>
        <w:t xml:space="preserve"> 2025). Public health approaches can promote housing standards, develop insulation schemes and provide health education (Howden-Chapman </w:t>
      </w:r>
      <w:r>
        <w:rPr>
          <w:i/>
          <w:iCs/>
        </w:rPr>
        <w:t>et al.,</w:t>
      </w:r>
      <w:r>
        <w:t xml:space="preserve"> 2023). Social care can help vulnerable young people and their families by providing housing support, parenting support, and health checks in schools (Anderst </w:t>
      </w:r>
      <w:r>
        <w:rPr>
          <w:i/>
          <w:iCs/>
        </w:rPr>
        <w:t>et al.,</w:t>
      </w:r>
      <w:r>
        <w:t xml:space="preserve"> 2022). Efforts that combine regulation, clinical care, and social support can help to curb housing-related respiratory infections in young people in the UK.  </w:t>
      </w:r>
    </w:p>
    <w:p w14:paraId="7EDA71C9" w14:textId="77777777" w:rsidR="0038718A" w:rsidRDefault="00BF184A">
      <w:pPr>
        <w:pStyle w:val="Heading2"/>
      </w:pPr>
      <w:bookmarkStart w:id="12" w:name="_3jucaindg7s" w:colFirst="0" w:colLast="0"/>
      <w:bookmarkStart w:id="13" w:name="_Toc220324603"/>
      <w:bookmarkEnd w:id="12"/>
      <w:r>
        <w:t>1.2 Research rationale</w:t>
      </w:r>
      <w:bookmarkEnd w:id="13"/>
      <w:r>
        <w:t xml:space="preserve"> </w:t>
      </w:r>
    </w:p>
    <w:p w14:paraId="1D4C2CF9" w14:textId="77777777" w:rsidR="0038718A" w:rsidRDefault="00BF184A">
      <w:pPr>
        <w:spacing w:before="240" w:after="0"/>
      </w:pPr>
      <w:bookmarkStart w:id="14" w:name="_l7jdq71wn05t" w:colFirst="0" w:colLast="0"/>
      <w:bookmarkEnd w:id="14"/>
      <w:r>
        <w:t>In the UK, inadequate housing is a significant public health risk, particularly for children and young people. Approximately twenty-eight per cent of households within the UK report residing in homes which have damp, mould, or cold conditions (Health Equals, 2025). This corresponds to nearly 15 million individuals (Health Equals, 2025). There is established empirical evidence for the health consequences of exposure to damp and mould. There were an estimated 5,000 new cases of asthma and 8,500 cases of lower-respiratory infections in England attributable to damp and mould exposure in 2019. Inappropriate housing conditions have been exacerbated by rises in energy prices, a deteriorating housing stock, and increased pressures on the rental market, leading to more instances of dampness, less insulation, and, consequently, more moisture occurring within the housing stock (Galster and Lee, 2021). Young people are likely to be at greater risk, given that they spend greater amounts of time indoors and develop their lungs. To address these concerns, the report this dissertation will recommends approaches which explore combine interventions in improving housing conditions (remediating damp and mould, increasing ventilation); the implementing of minimum housing standards for renting; and the provisioning of targeted social care support (housing support, energy advice, to link to health services). The rationale for the framework is to reduce consultation for respiratory infections in households in children and young adults, and in planned care in the NHS, by considering improving housing, regulation, and vulnerable households together.</w:t>
      </w:r>
    </w:p>
    <w:p w14:paraId="0E66172A" w14:textId="77777777" w:rsidR="0038718A" w:rsidRDefault="00BF184A">
      <w:pPr>
        <w:pStyle w:val="Heading2"/>
      </w:pPr>
      <w:bookmarkStart w:id="15" w:name="_2ixlqrmzox0p" w:colFirst="0" w:colLast="0"/>
      <w:bookmarkStart w:id="16" w:name="_Toc220324604"/>
      <w:bookmarkEnd w:id="15"/>
      <w:r>
        <w:t>1.3 Research question</w:t>
      </w:r>
      <w:bookmarkEnd w:id="16"/>
      <w:r>
        <w:t xml:space="preserve"> </w:t>
      </w:r>
    </w:p>
    <w:p w14:paraId="7D935D67" w14:textId="77777777" w:rsidR="0038718A" w:rsidRDefault="00BF184A">
      <w:pPr>
        <w:spacing w:before="240" w:after="0"/>
      </w:pPr>
      <w:r>
        <w:t>How does poor housing quality contribute to respiratory infection in UK adolescent (10 to 18) and what integrated microbiological, public health, social care intervention can reduce this impact?</w:t>
      </w:r>
    </w:p>
    <w:p w14:paraId="19732CA2" w14:textId="77777777" w:rsidR="0038718A" w:rsidRDefault="00BF184A">
      <w:pPr>
        <w:pStyle w:val="Heading2"/>
      </w:pPr>
      <w:bookmarkStart w:id="17" w:name="_svubgeimmzuz" w:colFirst="0" w:colLast="0"/>
      <w:bookmarkStart w:id="18" w:name="_Toc220324605"/>
      <w:bookmarkEnd w:id="17"/>
      <w:r>
        <w:t>1.4 Research aim and objective</w:t>
      </w:r>
      <w:bookmarkEnd w:id="18"/>
      <w:r>
        <w:t xml:space="preserve"> </w:t>
      </w:r>
    </w:p>
    <w:p w14:paraId="72841233" w14:textId="77777777" w:rsidR="0038718A" w:rsidRDefault="00BF184A">
      <w:pPr>
        <w:spacing w:before="240" w:after="0"/>
        <w:rPr>
          <w:b/>
          <w:bCs/>
        </w:rPr>
      </w:pPr>
      <w:r>
        <w:rPr>
          <w:b/>
          <w:bCs/>
        </w:rPr>
        <w:t xml:space="preserve">Aim </w:t>
      </w:r>
    </w:p>
    <w:p w14:paraId="4FBB1614" w14:textId="77777777" w:rsidR="0038718A" w:rsidRDefault="00BF184A">
      <w:pPr>
        <w:spacing w:before="240" w:after="0"/>
      </w:pPr>
      <w:r>
        <w:t>To investigate housing quality affects the prevalence of respiratory infection in UK children (10-18years) and explore effective prevention and intervention strategies through microbiological, public health, social care practice.</w:t>
      </w:r>
    </w:p>
    <w:p w14:paraId="574AD827" w14:textId="77777777" w:rsidR="0038718A" w:rsidRDefault="00BF184A">
      <w:pPr>
        <w:spacing w:before="240" w:after="0"/>
        <w:rPr>
          <w:b/>
          <w:bCs/>
        </w:rPr>
      </w:pPr>
      <w:r>
        <w:rPr>
          <w:b/>
          <w:bCs/>
        </w:rPr>
        <w:t xml:space="preserve">Objectives </w:t>
      </w:r>
    </w:p>
    <w:p w14:paraId="6D5336AB" w14:textId="77777777" w:rsidR="0038718A" w:rsidRDefault="00BF184A">
      <w:pPr>
        <w:numPr>
          <w:ilvl w:val="0"/>
          <w:numId w:val="1"/>
        </w:numPr>
        <w:pBdr>
          <w:top w:val="nil"/>
          <w:left w:val="nil"/>
          <w:bottom w:val="nil"/>
          <w:right w:val="nil"/>
          <w:between w:val="nil"/>
        </w:pBdr>
        <w:spacing w:before="240" w:after="0"/>
        <w:rPr>
          <w:color w:val="000000"/>
        </w:rPr>
      </w:pPr>
      <w:r>
        <w:rPr>
          <w:color w:val="000000"/>
        </w:rPr>
        <w:t>To examine the microbiological risk like mould, dampness, bacteria, associated with substandard housing and their role in the microbiological perspective.</w:t>
      </w:r>
    </w:p>
    <w:p w14:paraId="2C652A8B" w14:textId="77777777" w:rsidR="0038718A" w:rsidRDefault="00BF184A">
      <w:pPr>
        <w:numPr>
          <w:ilvl w:val="0"/>
          <w:numId w:val="1"/>
        </w:numPr>
        <w:pBdr>
          <w:top w:val="nil"/>
          <w:left w:val="nil"/>
          <w:bottom w:val="nil"/>
          <w:right w:val="nil"/>
          <w:between w:val="nil"/>
        </w:pBdr>
        <w:spacing w:after="0"/>
        <w:rPr>
          <w:color w:val="000000"/>
        </w:rPr>
      </w:pPr>
      <w:r>
        <w:rPr>
          <w:color w:val="000000"/>
        </w:rPr>
        <w:t>To evaluate public health strategies currently available for housing related respiration health infection and identify the policy implementation</w:t>
      </w:r>
    </w:p>
    <w:p w14:paraId="401DEA0B" w14:textId="77777777" w:rsidR="0038718A" w:rsidRDefault="00BF184A">
      <w:pPr>
        <w:numPr>
          <w:ilvl w:val="0"/>
          <w:numId w:val="1"/>
        </w:numPr>
        <w:pBdr>
          <w:top w:val="nil"/>
          <w:left w:val="nil"/>
          <w:bottom w:val="nil"/>
          <w:right w:val="nil"/>
          <w:between w:val="nil"/>
        </w:pBdr>
        <w:rPr>
          <w:color w:val="000000"/>
        </w:rPr>
      </w:pPr>
      <w:r>
        <w:rPr>
          <w:color w:val="000000"/>
        </w:rPr>
        <w:t>To assess the role of social care services like parenting programmes, foster parenting programmes of the supposing vulnerable population (adolescent) affected by poor housing and recommend integrated intervention combination of microbiological, public health, social care support approaches.</w:t>
      </w:r>
    </w:p>
    <w:p w14:paraId="56A86FC7" w14:textId="77777777" w:rsidR="0038718A" w:rsidRDefault="00BF184A">
      <w:pPr>
        <w:pStyle w:val="Heading2"/>
      </w:pPr>
      <w:bookmarkStart w:id="19" w:name="_bw8xlujv0c49" w:colFirst="0" w:colLast="0"/>
      <w:bookmarkStart w:id="20" w:name="_Toc220324606"/>
      <w:bookmarkEnd w:id="19"/>
      <w:r>
        <w:t>1.5 Research significance</w:t>
      </w:r>
      <w:bookmarkEnd w:id="20"/>
      <w:r>
        <w:t xml:space="preserve"> </w:t>
      </w:r>
    </w:p>
    <w:p w14:paraId="16D4FF96" w14:textId="77777777" w:rsidR="0038718A" w:rsidRDefault="00BF184A">
      <w:pPr>
        <w:spacing w:before="240" w:after="0"/>
      </w:pPr>
      <w:r>
        <w:t>This considerable piece of research is a valuable contribution to the field of public health as it highlights a strong association between housing quality, housing conditions and respiratory health in adolescents in the UK, a vulnerable group in which housing and health needs are often overlooked in policy. Poor housing quality and condition, which encompasses dampness, mould and lack of proper ventilation, is a causative factor of increased respiratory infections and chronic conditions, such as asthma (</w:t>
      </w:r>
      <w:proofErr w:type="spellStart"/>
      <w:r>
        <w:t>Coulburn</w:t>
      </w:r>
      <w:proofErr w:type="spellEnd"/>
      <w:r>
        <w:t xml:space="preserve"> and Miller, 2022). Establishing the association between housing and respiratory health aligns with public health objectives for countries in reducing health inequalities and preventing disease related to poor environments (Howden-Chapman </w:t>
      </w:r>
      <w:r>
        <w:rPr>
          <w:i/>
          <w:iCs/>
        </w:rPr>
        <w:t>et al.,</w:t>
      </w:r>
      <w:r>
        <w:t xml:space="preserve"> 2023). This research is appropriate because of its multidisciplinary nature, as it brings together microbiological, public health and social care lenses to provide evidence for effective prevention and intervention approaches. Following any revision of housing tactics, health initiatives and social support programming, this research can help inform policymakers and clinicians about the best methods for reducing the burden of respiratory illness, health system charging, and inequalities in long-term health of these young populations in the UK to improve health and well-being across the UK.</w:t>
      </w:r>
    </w:p>
    <w:p w14:paraId="045DCC40" w14:textId="77777777" w:rsidR="0038718A" w:rsidRDefault="00BF184A">
      <w:pPr>
        <w:pStyle w:val="Heading2"/>
      </w:pPr>
      <w:bookmarkStart w:id="21" w:name="_fuxifkyxuahp" w:colFirst="0" w:colLast="0"/>
      <w:bookmarkStart w:id="22" w:name="_Toc220324607"/>
      <w:bookmarkEnd w:id="21"/>
      <w:r>
        <w:t>1.6 Literature based background discussion</w:t>
      </w:r>
      <w:bookmarkEnd w:id="22"/>
    </w:p>
    <w:p w14:paraId="1D7173EA" w14:textId="77777777" w:rsidR="0038718A" w:rsidRDefault="00BF184A">
      <w:pPr>
        <w:spacing w:before="240" w:after="0"/>
      </w:pPr>
      <w:bookmarkStart w:id="23" w:name="_txp8fttzxb7r" w:colFirst="0" w:colLast="0"/>
      <w:bookmarkEnd w:id="23"/>
      <w:r>
        <w:t xml:space="preserve">Residing in poor housing conditions exposes adolescents to many microbiological hazards, including dampness-related moulds or fungi and bacterial exposure, all of which can significantly affect respiratory health (Groot </w:t>
      </w:r>
      <w:r>
        <w:rPr>
          <w:i/>
          <w:iCs/>
        </w:rPr>
        <w:t>et al.,</w:t>
      </w:r>
      <w:r>
        <w:t xml:space="preserve"> 2023). Moulds, such as Aspergillus and Penicillium moulds, are a microbiological hazard that can thrive in an indoor space that is damp and when exposed to high humidity, and pertain to the common characteristics of fungi by producing spores and mycotoxins that irritate the respiratory tract and promote inflammatory processes. </w:t>
      </w:r>
      <w:proofErr w:type="spellStart"/>
      <w:r>
        <w:t>Omebeyinje</w:t>
      </w:r>
      <w:proofErr w:type="spellEnd"/>
      <w:r>
        <w:t xml:space="preserve"> </w:t>
      </w:r>
      <w:r>
        <w:rPr>
          <w:i/>
          <w:iCs/>
        </w:rPr>
        <w:t xml:space="preserve">et al., </w:t>
      </w:r>
      <w:r>
        <w:t xml:space="preserve">(2021) reported that the impact of this microbiological hazard was the modulation of the microbial ecology within the indoor air microbiome due to the dampness, and this is the reason why respiratory illness and Asp-Pen health issues developed in adolescents. It is also recognised that microbial and fungal ecological environments were also diminished by the microbiological hazard of dampness. Therefore, the reason why respiratory illness developed was due to the residential dwelling. </w:t>
      </w:r>
    </w:p>
    <w:p w14:paraId="2478A87C" w14:textId="77777777" w:rsidR="0038718A" w:rsidRDefault="00BF184A">
      <w:pPr>
        <w:spacing w:before="240" w:after="0"/>
      </w:pPr>
      <w:r>
        <w:t xml:space="preserve">However, many other additional health issues can also occur as a result of poor-quality housing, inadequate warmth and the dampness. The dampness-related microbial hazard, which is attributable to the increase of dust mites and fungi due to the dampness, and therefore adds to the sustained exposure of allergenic properties that diminish the immune response and increase other vulnerabilities to health, such as respiratory illness and RTIs (Respiratory tract inflections). Holden </w:t>
      </w:r>
      <w:r>
        <w:rPr>
          <w:i/>
          <w:iCs/>
        </w:rPr>
        <w:t xml:space="preserve">et al., </w:t>
      </w:r>
      <w:r>
        <w:t>(2023) suggest that the major impact of dampness on the health of adolescents is manifested by the creation of RTIs.</w:t>
      </w:r>
    </w:p>
    <w:p w14:paraId="43E453AB" w14:textId="77777777" w:rsidR="0038718A" w:rsidRDefault="00BF184A">
      <w:pPr>
        <w:spacing w:before="240" w:after="0"/>
      </w:pPr>
      <w:r>
        <w:t xml:space="preserve">Among the others, mould exposure is likely to pose the most dangerous microbiological risk. It grows profusely in sub-standard housing across the UK, and it constantly produces airborne spores that people can easily inhale, which can create prolonged respiratory irritation and further health problems (Holden </w:t>
      </w:r>
      <w:r>
        <w:rPr>
          <w:i/>
          <w:iCs/>
        </w:rPr>
        <w:t xml:space="preserve">et al., </w:t>
      </w:r>
      <w:r>
        <w:t>2023). Therefore, tackling mould with suitable ventilation, moisture control systems, and structural upkeep should become a major public health concern.</w:t>
      </w:r>
    </w:p>
    <w:p w14:paraId="296AB0EC" w14:textId="77777777" w:rsidR="0038718A" w:rsidRDefault="00BF184A">
      <w:pPr>
        <w:spacing w:before="240" w:after="0"/>
      </w:pPr>
      <w:bookmarkStart w:id="24" w:name="_2gp51o1bfij" w:colFirst="0" w:colLast="0"/>
      <w:bookmarkEnd w:id="24"/>
      <w:r>
        <w:t>Coordinated public health systems and social care services will be needed to address housing-related respiratory infections. An effective critical intervention is our housing public health-led housing improvement initiative (such as insulation upgrades, mould remediation and ventilation installation), which is critical because it will address the environmental antecedents for respiratory illness (McHugh and Macintyre, 2024). According to McHugh and Macintyre (2024), the intervention's main significance will be working on pathologies of adolescent people and impacting the risk factors associated with their respiratory vulnerability. Intervening with warm, dry and well-ventilated homes breaks the cycle of poor-quality housing, leading to respiratory morbidity.</w:t>
      </w:r>
    </w:p>
    <w:p w14:paraId="7D12137D" w14:textId="77777777" w:rsidR="0038718A" w:rsidRDefault="00BF184A">
      <w:pPr>
        <w:spacing w:before="240" w:after="0"/>
      </w:pPr>
      <w:r>
        <w:t xml:space="preserve">Furthermore, social care interventions, including parenting support, foster care programs, and housing support, can provide invaluable protection for teens who are in unsafe or overcrowded living conditions (Brown </w:t>
      </w:r>
      <w:r>
        <w:rPr>
          <w:i/>
          <w:iCs/>
        </w:rPr>
        <w:t>et al.,</w:t>
      </w:r>
      <w:r>
        <w:t xml:space="preserve"> 2024). These programs can build resilience at the level of the family, in addition to providing health education and greater access to health care. These programs are targeting the social and behavioural aspects of health, but their effectiveness will positively depend on integration with the environmental interventions. </w:t>
      </w:r>
    </w:p>
    <w:p w14:paraId="3982A6BC" w14:textId="77777777" w:rsidR="0038718A" w:rsidRDefault="00BF184A">
      <w:pPr>
        <w:spacing w:before="240" w:after="0"/>
      </w:pPr>
      <w:r>
        <w:t>Overall, housing improvement programs from a holistic approach have the biggest impact because they deal with the source of the problem, the unhealthy physical environment, but delivering certain social care programs which has a longer-lasting effort addressing public health problems.</w:t>
      </w:r>
    </w:p>
    <w:p w14:paraId="64434B98" w14:textId="77777777" w:rsidR="0038718A" w:rsidRDefault="00BF184A">
      <w:pPr>
        <w:pStyle w:val="Heading2"/>
      </w:pPr>
      <w:bookmarkStart w:id="25" w:name="_moes42z87vbx" w:colFirst="0" w:colLast="0"/>
      <w:bookmarkStart w:id="26" w:name="_Toc220324608"/>
      <w:bookmarkEnd w:id="25"/>
      <w:r>
        <w:t>1.7 Research gap</w:t>
      </w:r>
      <w:bookmarkEnd w:id="26"/>
      <w:r>
        <w:t xml:space="preserve"> </w:t>
      </w:r>
    </w:p>
    <w:p w14:paraId="04B7E322" w14:textId="77777777" w:rsidR="0038718A" w:rsidRDefault="00BF184A">
      <w:pPr>
        <w:spacing w:before="240" w:after="0"/>
      </w:pPr>
      <w:r>
        <w:t>While there is literature examining the link between housing difficulties and respiratory illness (</w:t>
      </w:r>
      <w:proofErr w:type="spellStart"/>
      <w:r>
        <w:t>Omebeyinje</w:t>
      </w:r>
      <w:proofErr w:type="spellEnd"/>
      <w:r>
        <w:t xml:space="preserve"> </w:t>
      </w:r>
      <w:r>
        <w:rPr>
          <w:i/>
          <w:iCs/>
        </w:rPr>
        <w:t xml:space="preserve">et al., </w:t>
      </w:r>
      <w:r>
        <w:t xml:space="preserve">2021; Holden </w:t>
      </w:r>
      <w:r>
        <w:rPr>
          <w:i/>
          <w:iCs/>
        </w:rPr>
        <w:t xml:space="preserve">et al., </w:t>
      </w:r>
      <w:r>
        <w:t>2023; Brown</w:t>
      </w:r>
      <w:r>
        <w:rPr>
          <w:i/>
          <w:iCs/>
        </w:rPr>
        <w:t xml:space="preserve"> et al</w:t>
      </w:r>
      <w:r>
        <w:t>., 2024), there is very little in the UK with a combined interdisciplinary microbiological, public health and social care focus on young people. In particular, there is an evidence gap for a combined interdisciplinary approach to assess in more holistic ways how interventions to housing quality can prevent respiratory infection among adolescents.</w:t>
      </w:r>
    </w:p>
    <w:p w14:paraId="1D914BD2" w14:textId="77777777" w:rsidR="0038718A" w:rsidRDefault="00BF184A">
      <w:pPr>
        <w:spacing w:before="240" w:after="0"/>
      </w:pPr>
      <w:r>
        <w:tab/>
        <w:t xml:space="preserve"> </w:t>
      </w:r>
    </w:p>
    <w:p w14:paraId="6A16812B" w14:textId="77777777" w:rsidR="0038718A" w:rsidRDefault="00BF184A">
      <w:pPr>
        <w:spacing w:before="240"/>
        <w:rPr>
          <w:b/>
          <w:bCs/>
        </w:rPr>
      </w:pPr>
      <w:r>
        <w:br w:type="page"/>
      </w:r>
    </w:p>
    <w:p w14:paraId="7C662C34" w14:textId="77777777" w:rsidR="0038718A" w:rsidRDefault="00BF184A">
      <w:pPr>
        <w:pStyle w:val="Heading1"/>
        <w:rPr>
          <w:sz w:val="24"/>
          <w:szCs w:val="24"/>
        </w:rPr>
      </w:pPr>
      <w:bookmarkStart w:id="27" w:name="_e2q4jimhjmyh" w:colFirst="0" w:colLast="0"/>
      <w:bookmarkStart w:id="28" w:name="_Toc220324609"/>
      <w:bookmarkEnd w:id="27"/>
      <w:r>
        <w:rPr>
          <w:sz w:val="24"/>
          <w:szCs w:val="24"/>
        </w:rPr>
        <w:t>Chapter 2: Literature review</w:t>
      </w:r>
      <w:bookmarkEnd w:id="28"/>
      <w:r>
        <w:rPr>
          <w:sz w:val="24"/>
          <w:szCs w:val="24"/>
        </w:rPr>
        <w:t xml:space="preserve">  </w:t>
      </w:r>
    </w:p>
    <w:p w14:paraId="76BAC212" w14:textId="77777777" w:rsidR="0038718A" w:rsidRDefault="0038718A">
      <w:pPr>
        <w:pStyle w:val="Heading2"/>
      </w:pPr>
    </w:p>
    <w:p w14:paraId="75B41E0D" w14:textId="77777777" w:rsidR="0038718A" w:rsidRDefault="00BF184A">
      <w:pPr>
        <w:pStyle w:val="Heading2"/>
      </w:pPr>
      <w:bookmarkStart w:id="29" w:name="_67zdzgxy4unc" w:colFirst="0" w:colLast="0"/>
      <w:bookmarkStart w:id="30" w:name="_Toc220324610"/>
      <w:bookmarkEnd w:id="29"/>
      <w:r>
        <w:t>2.1 Introduction</w:t>
      </w:r>
      <w:bookmarkEnd w:id="30"/>
      <w:r>
        <w:t xml:space="preserve"> </w:t>
      </w:r>
    </w:p>
    <w:p w14:paraId="19F1E01F" w14:textId="77777777" w:rsidR="0038718A" w:rsidRDefault="00BF184A">
      <w:r>
        <w:t>This literature review investigates the literature on the effects of inadequate housing conditions on respiratory infections in the UK through microbiological hazards such as damp and mould. It reviews public health consequences, interventions and assesses social care support for the vulnerable population, and the theoretical framework that underpins this research. It presents a synthesis of the evidence available to date, highlights research gaps, and will contribute to the development of an integrated public health prevention framework.</w:t>
      </w:r>
    </w:p>
    <w:p w14:paraId="6F2FC16D" w14:textId="77777777" w:rsidR="0038718A" w:rsidRDefault="00BF184A">
      <w:pPr>
        <w:pStyle w:val="Heading3"/>
        <w:rPr>
          <w:b/>
          <w:bCs/>
          <w:u w:val="none"/>
        </w:rPr>
      </w:pPr>
      <w:bookmarkStart w:id="31" w:name="_w00key9go36i" w:colFirst="0" w:colLast="0"/>
      <w:bookmarkStart w:id="32" w:name="_Toc220324611"/>
      <w:bookmarkEnd w:id="31"/>
      <w:r>
        <w:rPr>
          <w:b/>
          <w:bCs/>
          <w:u w:val="none"/>
        </w:rPr>
        <w:t>2.2. Decent Home Standard for young people and their families</w:t>
      </w:r>
      <w:bookmarkEnd w:id="32"/>
    </w:p>
    <w:p w14:paraId="161C6D55" w14:textId="77777777" w:rsidR="0038718A" w:rsidRDefault="00BF184A">
      <w:r>
        <w:t>Globally, housing is viewed as a major determinant of an individual’s health, social mobility and overall health and social well-being. The international community, led by bodies such as UN-Habitat, has developed frameworks that articulate the need for decent housing, which includes; the provision of safety, the ability to reside in a healthy environment, affordability and the ability to access a range of public services (de Madariaga and Boccia, 2025). However, many governments struggle to provide this level of housing to certain groups of people, especially vulnerable people, which includes those experiencing financial hardship and people in the younger age group.</w:t>
      </w:r>
    </w:p>
    <w:p w14:paraId="5B9B1D95" w14:textId="77777777" w:rsidR="0038718A" w:rsidRDefault="00BF184A">
      <w:r>
        <w:t>In the UK, the Decent Homes Standard was developed to provide criteria for ensuring that all social housing meets certain standards. The DHS has made improvements to housing conditions, however, there continues to be criticism regarding the DHS being limited in its focus to the physical aspects of housing and not taking into account other factors such as affordability, overcrowding, and security of tenure (</w:t>
      </w:r>
      <w:proofErr w:type="spellStart"/>
      <w:r>
        <w:t>Iddi</w:t>
      </w:r>
      <w:proofErr w:type="spellEnd"/>
      <w:r>
        <w:t xml:space="preserve"> </w:t>
      </w:r>
      <w:r>
        <w:rPr>
          <w:i/>
          <w:iCs/>
        </w:rPr>
        <w:t>et al’</w:t>
      </w:r>
      <w:r>
        <w:t>, 2022). Many of the younger households and families are facing significant differences between the availability of housing and their ability to afford it due to increasing rents and decreasing availability of affordable housing stock that weakens the effectiveness of the Decent Homes Standard.</w:t>
      </w:r>
    </w:p>
    <w:p w14:paraId="68CAD6CF" w14:textId="77777777" w:rsidR="0038718A" w:rsidRDefault="00BF184A">
      <w:r>
        <w:t>A decent home for younger households therefore must be more than just meeting the Decent Homes Standard, it should also provide emotional security for young people, opportunities for young people to create community and life-style stability and access to educational and employment opportunities as well as create opportunities for young people to actively engage in their community.</w:t>
      </w:r>
    </w:p>
    <w:p w14:paraId="489FC2CD" w14:textId="77777777" w:rsidR="0038718A" w:rsidRDefault="0038718A">
      <w:pPr>
        <w:pStyle w:val="Heading3"/>
      </w:pPr>
    </w:p>
    <w:p w14:paraId="34011920" w14:textId="77777777" w:rsidR="0038718A" w:rsidRDefault="00BF184A">
      <w:pPr>
        <w:rPr>
          <w:b/>
          <w:bCs/>
        </w:rPr>
      </w:pPr>
      <w:r>
        <w:rPr>
          <w:b/>
          <w:bCs/>
        </w:rPr>
        <w:t>2.3 Microbiological Hazards in Substandard Housing</w:t>
      </w:r>
    </w:p>
    <w:p w14:paraId="292DB49F" w14:textId="77777777" w:rsidR="0038718A" w:rsidRDefault="00BF184A">
      <w:pPr>
        <w:pStyle w:val="Heading3"/>
      </w:pPr>
      <w:bookmarkStart w:id="33" w:name="_lkmh63ui590j" w:colFirst="0" w:colLast="0"/>
      <w:bookmarkStart w:id="34" w:name="_Toc220324612"/>
      <w:bookmarkEnd w:id="33"/>
      <w:r>
        <w:t>2.3.2 Overview of Microbiological Research on Housing Quality</w:t>
      </w:r>
      <w:bookmarkEnd w:id="34"/>
    </w:p>
    <w:p w14:paraId="597702FD" w14:textId="77777777" w:rsidR="0038718A" w:rsidRDefault="00BF184A">
      <w:r>
        <w:t xml:space="preserve">Microbiological studies have consistently shown a considerable association between poor housing conditions and respiratory risk, but the depth and coverage of existing research are disputed. Groot </w:t>
      </w:r>
      <w:r>
        <w:rPr>
          <w:i/>
          <w:iCs/>
        </w:rPr>
        <w:t>et al.,</w:t>
      </w:r>
      <w:r>
        <w:t xml:space="preserve"> (2023) noticed that dampness and mould are among the most significant microbiological causes of respiratory infection, noting there are clear causal pathways through airborne spores and bacterial growth. Conversely, Hil and Gilbert (2023) dispute the simplicity of this relationship, suggesting several studies ignore interacting environmental and behavioural variables, practices relating to ventilation and occupant density, that moderate microbial exposure. While a strong body of evidence links mould and dampness to asthma, bronchitis and recurrent infections, much of the literature presents cross-sectional designs, which limit making causal interpretations. In addition, some research is weighted towards mould, and the rest ignores bacterial contaminants and novel pathogens in overcrowded or poorly insulated homes. This raises a further issue, a substantial deficiency of multidisciplinary, microbiological studies that account for housing-related respiratory risk.</w:t>
      </w:r>
    </w:p>
    <w:p w14:paraId="45BA8BD6" w14:textId="77777777" w:rsidR="0038718A" w:rsidRDefault="00BF184A">
      <w:pPr>
        <w:pStyle w:val="Heading3"/>
      </w:pPr>
      <w:bookmarkStart w:id="35" w:name="_nf64p0jcdq18" w:colFirst="0" w:colLast="0"/>
      <w:bookmarkStart w:id="36" w:name="_Toc220324613"/>
      <w:bookmarkEnd w:id="35"/>
      <w:r>
        <w:t>2.3.3 Dampness, Mould and Fungal Contaminants</w:t>
      </w:r>
      <w:bookmarkEnd w:id="36"/>
    </w:p>
    <w:p w14:paraId="2093681C" w14:textId="77777777" w:rsidR="0038718A" w:rsidRDefault="00BF184A">
      <w:r>
        <w:t xml:space="preserve">Dampness and mould are frequently considered a very significant contributor to respiratory illness in children, but the degree to which they contribute has been debated. Andrup </w:t>
      </w:r>
      <w:r>
        <w:rPr>
          <w:i/>
          <w:iCs/>
        </w:rPr>
        <w:t xml:space="preserve">et al. </w:t>
      </w:r>
      <w:r>
        <w:t xml:space="preserve">(2024) say that there is “consistent and persuasive” evidence to indicate increases in respiratory symptoms, asthma, and repeated infections following persistent damp, indoor environments. Their analysis of the selected literature suggests that some strains of fungi, such as Aspergillus and Penicillium, pose a microbiological threat to humans through the inhalation of spores and the release of toxins (Alam </w:t>
      </w:r>
      <w:r>
        <w:rPr>
          <w:i/>
          <w:iCs/>
        </w:rPr>
        <w:t>et al.,</w:t>
      </w:r>
      <w:r>
        <w:t xml:space="preserve"> 2022). However, the strength of the causal position is not supported by </w:t>
      </w:r>
      <w:proofErr w:type="spellStart"/>
      <w:r>
        <w:t>Coulburn</w:t>
      </w:r>
      <w:proofErr w:type="spellEnd"/>
      <w:r>
        <w:t xml:space="preserve"> and Miller (2022), who argue that many findings link dampness and mould with respiratory illness while ignoring other confounding influences related to living conditions, such as socio-economic disadvantage, inadequate heating, and the actions of household members in relation to indoor humidity. Banerji </w:t>
      </w:r>
      <w:r>
        <w:rPr>
          <w:i/>
          <w:iCs/>
        </w:rPr>
        <w:t xml:space="preserve">et al. </w:t>
      </w:r>
      <w:r>
        <w:t xml:space="preserve">(2024) warn that ascribing respiratory illness to fungal exposure alone could lead to inappropriate inferences regarding the solution to a multifactorial problem, such as building or living conditions. </w:t>
      </w:r>
    </w:p>
    <w:p w14:paraId="520DCC11" w14:textId="77777777" w:rsidR="0038718A" w:rsidRDefault="00BF184A">
      <w:pPr>
        <w:pStyle w:val="Heading3"/>
      </w:pPr>
      <w:bookmarkStart w:id="37" w:name="_kr1f09bp57tf" w:colFirst="0" w:colLast="0"/>
      <w:bookmarkStart w:id="38" w:name="_Toc220324614"/>
      <w:bookmarkEnd w:id="37"/>
      <w:r>
        <w:t>2.3.4 Bacterial Contaminants and Indoor Air Quality</w:t>
      </w:r>
      <w:bookmarkEnd w:id="38"/>
    </w:p>
    <w:p w14:paraId="765A9678" w14:textId="77777777" w:rsidR="0038718A" w:rsidRDefault="00BF184A">
      <w:r>
        <w:t xml:space="preserve">It is becoming increasingly clear that bacterial contaminants (Legionella, Mycobacteria, and organisms producing endotoxins) in poorly constructed housing are emerging factors associated with respiratory infections, yet the literature does not afford them the same level of importance in their interpretation (Yao </w:t>
      </w:r>
      <w:r>
        <w:rPr>
          <w:i/>
          <w:iCs/>
        </w:rPr>
        <w:t>et al.,</w:t>
      </w:r>
      <w:r>
        <w:t xml:space="preserve"> 2024). For example, Kumar and Singh</w:t>
      </w:r>
      <w:r>
        <w:rPr>
          <w:i/>
          <w:iCs/>
        </w:rPr>
        <w:t xml:space="preserve"> </w:t>
      </w:r>
      <w:r>
        <w:t>(2025) argued that bacterial load in indoor settings is an underlying and likely underestimated factor in respiratory morbidity, claiming there are poorly ventilated homes which create micro-environments where pathogenic bacteria proliferate in quantity. In their paper, they showed a link between the number of endotoxins in the home and increased exacerbations of asthma, and concluded that poor indoor air quality represents a public health risk.</w:t>
      </w:r>
    </w:p>
    <w:p w14:paraId="0C4B61D3" w14:textId="77777777" w:rsidR="0038718A" w:rsidRDefault="00BF184A">
      <w:pPr>
        <w:pStyle w:val="Heading2"/>
      </w:pPr>
      <w:bookmarkStart w:id="39" w:name="_cfxms8bmm4rl" w:colFirst="0" w:colLast="0"/>
      <w:bookmarkStart w:id="40" w:name="_Toc220324615"/>
      <w:bookmarkEnd w:id="39"/>
      <w:r>
        <w:t>2.4 Public Health Consequences of Poor Housing in the UK</w:t>
      </w:r>
      <w:bookmarkEnd w:id="40"/>
    </w:p>
    <w:p w14:paraId="42F4823E" w14:textId="77777777" w:rsidR="0038718A" w:rsidRDefault="00BF184A">
      <w:pPr>
        <w:pStyle w:val="Heading3"/>
      </w:pPr>
      <w:bookmarkStart w:id="41" w:name="_o4e21666wv0q" w:colFirst="0" w:colLast="0"/>
      <w:bookmarkStart w:id="42" w:name="_Toc220324616"/>
      <w:bookmarkEnd w:id="41"/>
      <w:r>
        <w:t>2.4.1 Respiratory Health Burden in the UK</w:t>
      </w:r>
      <w:bookmarkEnd w:id="42"/>
    </w:p>
    <w:p w14:paraId="39354CE8" w14:textId="77777777" w:rsidR="0038718A" w:rsidRDefault="00BF184A">
      <w:r>
        <w:t>The burden of respiratory illness associated with bad housing remains a considerable public health issue in the UK, but the degree to which housing conditions drive this burden is less clear. Clark</w:t>
      </w:r>
      <w:r>
        <w:rPr>
          <w:i/>
          <w:iCs/>
        </w:rPr>
        <w:t xml:space="preserve"> et al</w:t>
      </w:r>
      <w:r>
        <w:t xml:space="preserve">. (2023) highlight that the inadequate housing system in the UK generates the residential exposure categories of formaldehyde, damp and mould, which affect 10-18-year-old people and account for over 8500 lower respiratory infections. The article also reports that the risk of asthma and chronic obstructive pulmonary disease exacerbations and recurrent infections is also estimated based on the inadequate housing process. The high rates of respiratory illness align with the type of housing. Tweed and </w:t>
      </w:r>
      <w:proofErr w:type="spellStart"/>
      <w:r>
        <w:t>Katikireddi</w:t>
      </w:r>
      <w:proofErr w:type="spellEnd"/>
      <w:r>
        <w:t xml:space="preserve"> (2023) argue respiratory health outcomes shouldn't be attributed to housing conditions alone, but the implication of co-occurring determinants like fuel poverty, smoking prevalence and urban air pollution, but warn, again, that attributing causation to housing alone may remove broader socio-economic influences that explain vulnerabilities. </w:t>
      </w:r>
    </w:p>
    <w:p w14:paraId="4CD42597" w14:textId="2CEAC0C5" w:rsidR="0038718A" w:rsidRDefault="00BF184A">
      <w:r>
        <w:t xml:space="preserve">The disagreements reinforce an understanding that either can lead to a complex, multi-factorial burden when assessing housing as a determinant of health, supporting the need for more robust, multi-dimensional research in the UK and other contexts (Sikder </w:t>
      </w:r>
      <w:r>
        <w:rPr>
          <w:i/>
          <w:iCs/>
        </w:rPr>
        <w:t>et al.,</w:t>
      </w:r>
      <w:r>
        <w:t xml:space="preserve"> 202</w:t>
      </w:r>
      <w:r w:rsidR="009B47EB">
        <w:t>5</w:t>
      </w:r>
      <w:r>
        <w:t xml:space="preserve">). </w:t>
      </w:r>
    </w:p>
    <w:p w14:paraId="01B2EC5F" w14:textId="77777777" w:rsidR="0038718A" w:rsidRDefault="00BF184A">
      <w:pPr>
        <w:pStyle w:val="Heading3"/>
      </w:pPr>
      <w:bookmarkStart w:id="43" w:name="_ofx272x3opkm" w:colFirst="0" w:colLast="0"/>
      <w:bookmarkStart w:id="44" w:name="_Toc220324617"/>
      <w:bookmarkEnd w:id="43"/>
      <w:r>
        <w:t>2.4.2 Determinants of Housing-Related Respiratory Illness</w:t>
      </w:r>
      <w:bookmarkEnd w:id="44"/>
    </w:p>
    <w:p w14:paraId="4822BC2C" w14:textId="77777777" w:rsidR="0038718A" w:rsidRDefault="00BF184A">
      <w:r>
        <w:t xml:space="preserve">Determining the extent of respiratory illness associated with housing goes beyond simply the elements of physical housing deficiency relative to a structure and its condition. Nevertheless, the relative importance of environmental issues versus underlying socio-economic factors in shaping outcomes remains unchanged. Howden-Chapman </w:t>
      </w:r>
      <w:r>
        <w:rPr>
          <w:i/>
          <w:iCs/>
        </w:rPr>
        <w:t xml:space="preserve">et al. </w:t>
      </w:r>
      <w:r>
        <w:t>(2023) suggest that social determinants related to structural factors (particularly overcrowding, inadequate ventilation, and fuel poverty) are determinants of exposure to respiratory risk. They present housing, and its related deficiencies, as a principal social determinant of health.</w:t>
      </w:r>
    </w:p>
    <w:p w14:paraId="7799BEA6" w14:textId="77777777" w:rsidR="0038718A" w:rsidRDefault="00BF184A">
      <w:r>
        <w:t xml:space="preserve">On the other hand, </w:t>
      </w:r>
      <w:proofErr w:type="spellStart"/>
      <w:r>
        <w:t>Shwashreh</w:t>
      </w:r>
      <w:proofErr w:type="spellEnd"/>
      <w:r>
        <w:rPr>
          <w:i/>
          <w:iCs/>
        </w:rPr>
        <w:t xml:space="preserve"> et al</w:t>
      </w:r>
      <w:r>
        <w:t>. (2024) argue that focusing primarily on structural deficiencies ignores other behavioural and contextual influences, such as heating habits, smoking indoors, and even humidity levels in households. They argue that behavioural determinants, too, moderate and compound the health effects of poor housing. These behavioural determinants complicate simplistic assumptions of causation.</w:t>
      </w:r>
    </w:p>
    <w:p w14:paraId="6033CEE7" w14:textId="77777777" w:rsidR="0038718A" w:rsidRDefault="00BF184A">
      <w:r>
        <w:t>This tension illustrates a disjointed field of evidence, such as structural deficiencies will always nearly guarantee an increase in risk; however, behavioural and socio-economic influences interact with the physical environment in complex ways. Current research lacks a more integrated model that accounts for how layers of determinants come together to inform respiratory health outcomes in UK housing.</w:t>
      </w:r>
    </w:p>
    <w:p w14:paraId="3E9563A3" w14:textId="77777777" w:rsidR="0038718A" w:rsidRDefault="00BF184A">
      <w:pPr>
        <w:pStyle w:val="Heading3"/>
      </w:pPr>
      <w:bookmarkStart w:id="45" w:name="_jhv0kexawttj" w:colFirst="0" w:colLast="0"/>
      <w:bookmarkStart w:id="46" w:name="_Toc220324618"/>
      <w:bookmarkEnd w:id="45"/>
      <w:r>
        <w:t>2.4.3 Public Health Strategies Addressing Housing Hazards</w:t>
      </w:r>
      <w:bookmarkEnd w:id="46"/>
    </w:p>
    <w:p w14:paraId="041C3764" w14:textId="77777777" w:rsidR="0038718A" w:rsidRDefault="00BF184A">
      <w:r>
        <w:t>The diagram shows (Figure 2.1) how poor housing conditions—such as inadequate ventilation, harmful substances, and overcrowding—produce health hazards affecting young families. These pathways support “Public Health Strategies, which target structural improvements, environmental hazard reduction, and affordability measures to prevent the cascading risks illustrated in the image”.</w:t>
      </w:r>
    </w:p>
    <w:p w14:paraId="49859C44" w14:textId="77777777" w:rsidR="0038718A" w:rsidRDefault="00BF184A">
      <w:pPr>
        <w:jc w:val="center"/>
      </w:pPr>
      <w:r>
        <w:rPr>
          <w:noProof/>
        </w:rPr>
        <w:drawing>
          <wp:inline distT="114300" distB="114300" distL="114300" distR="114300" wp14:anchorId="6BAEE8B6" wp14:editId="30228BEC">
            <wp:extent cx="4633913" cy="2378536"/>
            <wp:effectExtent l="25400" t="25400" r="25400" b="25400"/>
            <wp:docPr id="3"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3"/>
                    <a:srcRect/>
                    <a:stretch>
                      <a:fillRect/>
                    </a:stretch>
                  </pic:blipFill>
                  <pic:spPr>
                    <a:xfrm>
                      <a:off x="0" y="0"/>
                      <a:ext cx="4633913" cy="2378536"/>
                    </a:xfrm>
                    <a:prstGeom prst="rect">
                      <a:avLst/>
                    </a:prstGeom>
                    <a:ln w="25400">
                      <a:solidFill>
                        <a:srgbClr val="000000"/>
                      </a:solidFill>
                      <a:prstDash val="solid"/>
                    </a:ln>
                  </pic:spPr>
                </pic:pic>
              </a:graphicData>
            </a:graphic>
          </wp:inline>
        </w:drawing>
      </w:r>
    </w:p>
    <w:p w14:paraId="25C8CB99" w14:textId="77777777" w:rsidR="0038718A" w:rsidRDefault="00BF184A">
      <w:pPr>
        <w:pStyle w:val="Heading4"/>
      </w:pPr>
      <w:bookmarkStart w:id="47" w:name="_Toc220324619"/>
      <w:r>
        <w:t>Figure 2.1: Housing pathways to health</w:t>
      </w:r>
      <w:bookmarkEnd w:id="47"/>
    </w:p>
    <w:p w14:paraId="23377FD4" w14:textId="77777777" w:rsidR="0038718A" w:rsidRDefault="00BF184A">
      <w:pPr>
        <w:jc w:val="center"/>
      </w:pPr>
      <w:r>
        <w:t xml:space="preserve">(Source: Howden-Chapman </w:t>
      </w:r>
      <w:r>
        <w:rPr>
          <w:i/>
          <w:iCs/>
        </w:rPr>
        <w:t>et al.,</w:t>
      </w:r>
      <w:r>
        <w:t xml:space="preserve"> 2023)</w:t>
      </w:r>
    </w:p>
    <w:p w14:paraId="232FBA4A" w14:textId="77777777" w:rsidR="0038718A" w:rsidRDefault="00BF184A">
      <w:r>
        <w:t xml:space="preserve">In the UK, public health approaches to address housing-related respiratory risks are focused primarily on regulatory approaches, especially the Housing Health and Safety Rating System (HHSRS) and Decent Homes Standard, which are nevertheless debated (Heeney, 2024). For example, </w:t>
      </w:r>
      <w:proofErr w:type="spellStart"/>
      <w:r>
        <w:t>Dimitroulopoulou</w:t>
      </w:r>
      <w:proofErr w:type="spellEnd"/>
      <w:r>
        <w:t xml:space="preserve"> </w:t>
      </w:r>
      <w:r>
        <w:rPr>
          <w:i/>
          <w:iCs/>
        </w:rPr>
        <w:t xml:space="preserve">et al. </w:t>
      </w:r>
      <w:r>
        <w:t>(2023) contend that these policy frameworks provided enforceable criteria for a range of hazards (dampness, ventilation, structural risks) that have produced measurable improvements in indoor environmental quality. They argue that environmental health teams conduct inspections and enforce hazards to reduce exposure to microbial hazards, so regulation should be portrayed as an important public health intervention.</w:t>
      </w:r>
    </w:p>
    <w:p w14:paraId="790A6D4A" w14:textId="77777777" w:rsidR="0038718A" w:rsidRDefault="00BF184A">
      <w:r>
        <w:t>Being an obvious public health strategy selling itself as an accepted approach, the public health strategies are unlikely to have all their strengths to adequately deal with housing-related respiratory risks and will require some evidence incorporation and equalised returns.</w:t>
      </w:r>
    </w:p>
    <w:p w14:paraId="200FA9DE" w14:textId="77777777" w:rsidR="0038718A" w:rsidRDefault="00BF184A">
      <w:pPr>
        <w:pStyle w:val="Heading3"/>
      </w:pPr>
      <w:bookmarkStart w:id="48" w:name="_hcx8wq7dhqy4" w:colFirst="0" w:colLast="0"/>
      <w:bookmarkStart w:id="49" w:name="_Toc220324620"/>
      <w:bookmarkEnd w:id="48"/>
      <w:r>
        <w:t>2.4.4 Effectiveness of Current Public Health Intervention</w:t>
      </w:r>
      <w:bookmarkEnd w:id="49"/>
    </w:p>
    <w:p w14:paraId="13F47867" w14:textId="77777777" w:rsidR="0038718A" w:rsidRDefault="00BF184A">
      <w:r>
        <w:t xml:space="preserve">The effectiveness of public health interventions aimed specifically at housing-related respiratory risks in the UK is still contested. McGowan </w:t>
      </w:r>
      <w:r>
        <w:rPr>
          <w:i/>
          <w:iCs/>
        </w:rPr>
        <w:t>et al.</w:t>
      </w:r>
      <w:r>
        <w:t xml:space="preserve"> (2021) observe that the utmost importance of public health interventions is simply to provide greater focus and support to public health as a vehicle for developing and enhancing health outcomes and addressing health inequalities as they are recognised. This article identifies that public health interventions continue to provide housing modifications, access to improved public space, parks and play spaces, supermarkets, transport, cycling routes, walkways, and outdoor exercise space, all amid a possible improvement to health outcomes. Well-thought-out public health interventions are effective at improving the indoor environment and reducing health consumption (</w:t>
      </w:r>
      <w:proofErr w:type="spellStart"/>
      <w:r>
        <w:t>Tsarkov</w:t>
      </w:r>
      <w:proofErr w:type="spellEnd"/>
      <w:r>
        <w:t xml:space="preserve"> </w:t>
      </w:r>
      <w:r>
        <w:rPr>
          <w:i/>
          <w:iCs/>
        </w:rPr>
        <w:t>et al.,</w:t>
      </w:r>
      <w:r>
        <w:t xml:space="preserve"> 2024). It does find, however, that the interventions are not necessarily successful in a long-term sense; they can be enforced inconsistently, introduced through fragmented local authority channels, and are often unfunded altogether. </w:t>
      </w:r>
    </w:p>
    <w:p w14:paraId="24BBB739" w14:textId="77777777" w:rsidR="0038718A" w:rsidRDefault="00BF184A">
      <w:pPr>
        <w:pStyle w:val="Heading2"/>
      </w:pPr>
      <w:bookmarkStart w:id="50" w:name="_39173jtbd4l4" w:colFirst="0" w:colLast="0"/>
      <w:bookmarkStart w:id="51" w:name="_Toc220324621"/>
      <w:bookmarkEnd w:id="50"/>
      <w:r>
        <w:t>2.5 Social Care Responses for Vulnerable Populations</w:t>
      </w:r>
      <w:bookmarkEnd w:id="51"/>
    </w:p>
    <w:p w14:paraId="5070DB33" w14:textId="77777777" w:rsidR="0038718A" w:rsidRDefault="00BF184A">
      <w:pPr>
        <w:pStyle w:val="Heading3"/>
      </w:pPr>
      <w:bookmarkStart w:id="52" w:name="_kqydrc6f42sw" w:colFirst="0" w:colLast="0"/>
      <w:bookmarkStart w:id="53" w:name="_Toc220324622"/>
      <w:bookmarkEnd w:id="52"/>
      <w:r>
        <w:t>2.5.1 Housing Instability and Vulnerability in Adolescents</w:t>
      </w:r>
      <w:bookmarkEnd w:id="53"/>
    </w:p>
    <w:p w14:paraId="14961709" w14:textId="77777777" w:rsidR="0038718A" w:rsidRDefault="00BF184A">
      <w:r>
        <w:t xml:space="preserve">Young people experiencing housing instability are more likely to exhibit symptoms of respiratory disease, but it is contested whether housing instability is a principal causal pathway for poorer health (Hock </w:t>
      </w:r>
      <w:r>
        <w:rPr>
          <w:i/>
          <w:iCs/>
        </w:rPr>
        <w:t>et al.,</w:t>
      </w:r>
      <w:r>
        <w:t xml:space="preserve"> 2023). Soltan </w:t>
      </w:r>
      <w:r>
        <w:rPr>
          <w:i/>
          <w:iCs/>
        </w:rPr>
        <w:t xml:space="preserve">et al. </w:t>
      </w:r>
      <w:r>
        <w:t xml:space="preserve">(2021) propose that housing instability could contribute primarily to respiratory illness and associated poor health outcomes through more frequent changes in housing, overcrowded living conditions, or living in temporary housing, which is often linked to chronic stress, exposure to dampness and mould, and poor ventilation, all of which expose adolescents to greater respiratory illness risk. In contrast, Chen </w:t>
      </w:r>
      <w:r>
        <w:rPr>
          <w:i/>
          <w:iCs/>
        </w:rPr>
        <w:t>et al.,</w:t>
      </w:r>
      <w:r>
        <w:t xml:space="preserve"> (2022) dispute the linear relationship and claim housing instability is often associated with more entrenched circumstances of structural disadvantage, such as poverty, family conflict, and limited access to appropriate health services, with the burden of housing instability. This debate reflects an area of research that is missing: findings from current research rarely disentangle housing instability or some combination of instability and structural disadvantage alongside each other as a mechanism for shaping adolescent vulnerability.</w:t>
      </w:r>
    </w:p>
    <w:p w14:paraId="5CFE7023" w14:textId="77777777" w:rsidR="0038718A" w:rsidRDefault="00BF184A">
      <w:pPr>
        <w:pStyle w:val="Heading3"/>
      </w:pPr>
      <w:bookmarkStart w:id="54" w:name="_du2fqsacjfrg" w:colFirst="0" w:colLast="0"/>
      <w:bookmarkStart w:id="55" w:name="_Toc220324623"/>
      <w:bookmarkEnd w:id="54"/>
      <w:r>
        <w:t>2.5.2 Role of Social Care Service</w:t>
      </w:r>
      <w:bookmarkEnd w:id="55"/>
    </w:p>
    <w:p w14:paraId="2820CD93" w14:textId="77777777" w:rsidR="0038718A" w:rsidRDefault="00BF184A">
      <w:r>
        <w:t>The importance of social care services is well-recognised in addressing housing-related respiratory risk for adolescents, but it is unclear how effective it is (</w:t>
      </w:r>
      <w:proofErr w:type="spellStart"/>
      <w:r>
        <w:t>Bucelli</w:t>
      </w:r>
      <w:proofErr w:type="spellEnd"/>
      <w:r>
        <w:t xml:space="preserve"> and Henderson, 2025). Cross (2022) argues that any intervention by social care, family support, parenting interventions, or safeguarding assessments is necessary because inadequate housing can compound vulnerabilities, and young people's health appears to worsen under conditions of inadequate housing. However, Beach </w:t>
      </w:r>
      <w:r>
        <w:rPr>
          <w:i/>
          <w:iCs/>
        </w:rPr>
        <w:t xml:space="preserve">et al., </w:t>
      </w:r>
      <w:r>
        <w:t xml:space="preserve">(2022) argue that social care can have a limited impact in isolation from public health or housing teams. Social care is by its very nature crisis-driven and fragmented, many of the challenges that government might "offload" onto social care are related to structural issues around housing that, for the most part, remain unaddressed, thereby obstructing sustainable health outcomes (Collier and </w:t>
      </w:r>
      <w:proofErr w:type="spellStart"/>
      <w:r>
        <w:t>Nidam</w:t>
      </w:r>
      <w:proofErr w:type="spellEnd"/>
      <w:r>
        <w:t xml:space="preserve"> </w:t>
      </w:r>
      <w:proofErr w:type="spellStart"/>
      <w:r>
        <w:t>Kirsht</w:t>
      </w:r>
      <w:proofErr w:type="spellEnd"/>
      <w:r>
        <w:t xml:space="preserve">, 2025). Social care services from local authorities are responsible for home inspections, assessments and outcomes as well as providing financial assistance for repairs (Chinn </w:t>
      </w:r>
      <w:r>
        <w:rPr>
          <w:i/>
          <w:iCs/>
        </w:rPr>
        <w:t>et al.,</w:t>
      </w:r>
      <w:r>
        <w:t xml:space="preserve"> 2024).</w:t>
      </w:r>
    </w:p>
    <w:p w14:paraId="0D7B5899" w14:textId="77777777" w:rsidR="0038718A" w:rsidRDefault="00BF184A">
      <w:pPr>
        <w:pStyle w:val="Heading3"/>
      </w:pPr>
      <w:bookmarkStart w:id="56" w:name="_bolxhl1hc9w7" w:colFirst="0" w:colLast="0"/>
      <w:bookmarkStart w:id="57" w:name="_Toc220324624"/>
      <w:bookmarkEnd w:id="56"/>
      <w:r>
        <w:t>2.5.3 Interagency Collaboration Models</w:t>
      </w:r>
      <w:bookmarkEnd w:id="57"/>
    </w:p>
    <w:p w14:paraId="5002910A" w14:textId="77777777" w:rsidR="0038718A" w:rsidRDefault="00BF184A">
      <w:r>
        <w:t xml:space="preserve">Collaboration between agencies is frequently proposed as a requisite response to housing-related respiratory risks for at-risk adolescents, but its utility remains contested. Reed </w:t>
      </w:r>
      <w:r>
        <w:rPr>
          <w:i/>
          <w:iCs/>
        </w:rPr>
        <w:t>et al.,</w:t>
      </w:r>
      <w:r>
        <w:t xml:space="preserve"> (2021) argue that agreed forms of coordinated working between social care, public health, and housing service delivery support case management and reduce potential repeat service delivery. In contrast, Daou </w:t>
      </w:r>
      <w:r>
        <w:rPr>
          <w:i/>
          <w:iCs/>
        </w:rPr>
        <w:t xml:space="preserve">et al. </w:t>
      </w:r>
      <w:r>
        <w:t>(2025) argue that the model of working is inconsistent and poorly operationalised, maintaining that information sharing and a lack of clarity in professional boundaries can negatively affect outcomes. In general, collaboration is discussed as conceptually meaningful but practically limited by organisational fragmentation and imbalance of resources.</w:t>
      </w:r>
    </w:p>
    <w:p w14:paraId="0D8313F6" w14:textId="77777777" w:rsidR="0038718A" w:rsidRDefault="00BF184A">
      <w:pPr>
        <w:pStyle w:val="Heading3"/>
      </w:pPr>
      <w:bookmarkStart w:id="58" w:name="_9fw2al8svz62" w:colFirst="0" w:colLast="0"/>
      <w:bookmarkStart w:id="59" w:name="_Toc220324625"/>
      <w:bookmarkEnd w:id="58"/>
      <w:r>
        <w:t>2.5.4 Effectiveness of Social Care Interventions</w:t>
      </w:r>
      <w:bookmarkEnd w:id="59"/>
    </w:p>
    <w:p w14:paraId="78A18A59" w14:textId="77777777" w:rsidR="0038718A" w:rsidRDefault="00BF184A">
      <w:r>
        <w:t xml:space="preserve">There continues to be some contention around the extent to which social care interventions can address housing-related respiratory vulnerability for young people. Gardner </w:t>
      </w:r>
      <w:r>
        <w:rPr>
          <w:i/>
          <w:iCs/>
        </w:rPr>
        <w:t xml:space="preserve">et al., </w:t>
      </w:r>
      <w:r>
        <w:t xml:space="preserve">(2023) contend that 'targeted programmes', such as family support interventions, parenting programmes and adolescent case management, seek to reduce adverse exposures while promoting ongoing health stability. On the other hand, Miller </w:t>
      </w:r>
      <w:r>
        <w:rPr>
          <w:i/>
          <w:iCs/>
        </w:rPr>
        <w:t xml:space="preserve">et al., </w:t>
      </w:r>
      <w:r>
        <w:t>(2021) state that these types of interventions are likely to lack consistency in delivery, adequate funding, and to rarely link to either housing services or the public health sector. This disconnects compromises sustainability across long-term outcomes, and without programmatic alignment across funding and activity of multiple agencies, social care will not develop meaningful opportunities to mitigate housing-related respiratory vulnerability.</w:t>
      </w:r>
    </w:p>
    <w:p w14:paraId="68456B32" w14:textId="77777777" w:rsidR="0038718A" w:rsidRDefault="00BF184A">
      <w:pPr>
        <w:pStyle w:val="Heading2"/>
      </w:pPr>
      <w:bookmarkStart w:id="60" w:name="_us5utjoqamni" w:colFirst="0" w:colLast="0"/>
      <w:bookmarkStart w:id="61" w:name="_Toc220324626"/>
      <w:bookmarkEnd w:id="60"/>
      <w:r>
        <w:t>2.6 Theoretical framework</w:t>
      </w:r>
      <w:bookmarkEnd w:id="61"/>
      <w:r>
        <w:t xml:space="preserve"> </w:t>
      </w:r>
    </w:p>
    <w:p w14:paraId="4A2E4889" w14:textId="77777777" w:rsidR="0038718A" w:rsidRDefault="00BF184A">
      <w:pPr>
        <w:spacing w:before="240" w:after="158"/>
        <w:rPr>
          <w:b/>
          <w:bCs/>
          <w:i/>
          <w:iCs/>
        </w:rPr>
      </w:pPr>
      <w:r>
        <w:rPr>
          <w:b/>
          <w:bCs/>
          <w:i/>
          <w:iCs/>
        </w:rPr>
        <w:t>Ecological systems theory</w:t>
      </w:r>
    </w:p>
    <w:p w14:paraId="6CA194C5" w14:textId="77777777" w:rsidR="0038718A" w:rsidRDefault="00BF184A">
      <w:pPr>
        <w:spacing w:before="240" w:after="158"/>
      </w:pPr>
      <w:r>
        <w:t>The image highlights (Figure 2.2) how building characteristics mediate outdoor and indoor environmental quality, shaping residents’ health through air quality and occupant behaviours. This reinforces that decent housing for young families must address structural design, ventilation, and organisational responsibilities to reduce indoor pollutants and support healthier living conditions.</w:t>
      </w:r>
    </w:p>
    <w:p w14:paraId="0DD54414" w14:textId="77777777" w:rsidR="0038718A" w:rsidRDefault="00BF184A">
      <w:pPr>
        <w:spacing w:before="240" w:after="158"/>
        <w:jc w:val="center"/>
      </w:pPr>
      <w:r>
        <w:rPr>
          <w:noProof/>
        </w:rPr>
        <w:drawing>
          <wp:inline distT="0" distB="0" distL="0" distR="0" wp14:anchorId="385EB5AD" wp14:editId="246C78A1">
            <wp:extent cx="4137660" cy="2103120"/>
            <wp:effectExtent l="38100" t="38100" r="38100" b="38100"/>
            <wp:docPr id="2"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4"/>
                    <a:srcRect/>
                    <a:stretch>
                      <a:fillRect/>
                    </a:stretch>
                  </pic:blipFill>
                  <pic:spPr>
                    <a:xfrm>
                      <a:off x="0" y="0"/>
                      <a:ext cx="4137660" cy="2103120"/>
                    </a:xfrm>
                    <a:prstGeom prst="rect">
                      <a:avLst/>
                    </a:prstGeom>
                    <a:ln w="38100">
                      <a:solidFill>
                        <a:srgbClr val="000000"/>
                      </a:solidFill>
                      <a:prstDash val="solid"/>
                    </a:ln>
                  </pic:spPr>
                </pic:pic>
              </a:graphicData>
            </a:graphic>
          </wp:inline>
        </w:drawing>
      </w:r>
    </w:p>
    <w:p w14:paraId="49A16624" w14:textId="77777777" w:rsidR="0038718A" w:rsidRDefault="00BF184A">
      <w:pPr>
        <w:pStyle w:val="Heading4"/>
      </w:pPr>
      <w:bookmarkStart w:id="62" w:name="_Toc220324627"/>
      <w:r>
        <w:t>Figure 2.2: Social ecological system of indoor housing environment</w:t>
      </w:r>
      <w:bookmarkEnd w:id="62"/>
    </w:p>
    <w:p w14:paraId="4FD859BB" w14:textId="77777777" w:rsidR="0038718A" w:rsidRDefault="00BF184A">
      <w:pPr>
        <w:spacing w:before="240" w:after="158"/>
        <w:jc w:val="center"/>
      </w:pPr>
      <w:r>
        <w:t>(</w:t>
      </w:r>
      <w:proofErr w:type="spellStart"/>
      <w:r>
        <w:t>Tsoulou</w:t>
      </w:r>
      <w:proofErr w:type="spellEnd"/>
      <w:r>
        <w:t xml:space="preserve"> </w:t>
      </w:r>
      <w:r>
        <w:rPr>
          <w:i/>
          <w:iCs/>
        </w:rPr>
        <w:t>et al.,</w:t>
      </w:r>
      <w:r>
        <w:t xml:space="preserve"> 2021)</w:t>
      </w:r>
    </w:p>
    <w:p w14:paraId="39F72EEE" w14:textId="77777777" w:rsidR="0038718A" w:rsidRDefault="00BF184A">
      <w:pPr>
        <w:spacing w:before="240" w:after="158"/>
      </w:pPr>
      <w:r>
        <w:t>Urie Bronfenbrenner's Ecological Systems Theory provides a useful framework to conceptually explore how housing quality relates to respiratory health through different layers of environmental influences that are interlinked (</w:t>
      </w:r>
      <w:proofErr w:type="spellStart"/>
      <w:r>
        <w:t>Tsoulou</w:t>
      </w:r>
      <w:proofErr w:type="spellEnd"/>
      <w:r>
        <w:t xml:space="preserve"> </w:t>
      </w:r>
      <w:r>
        <w:rPr>
          <w:i/>
          <w:iCs/>
        </w:rPr>
        <w:t>et al.,</w:t>
      </w:r>
      <w:r>
        <w:t xml:space="preserve"> 2021). Moving from the ecological levels, at the level of the microsystem, dampness, mould, indoor ventilation and air quality are pertinent to people's daily environmental exposure to respiratory risk. At the mesosystem level, the interconnections across home, school and health services, where poor housing may lead to school absence and more frequent use of health services at a practice level, are also contextualised. At the </w:t>
      </w:r>
      <w:proofErr w:type="spellStart"/>
      <w:r>
        <w:t>exosystem</w:t>
      </w:r>
      <w:proofErr w:type="spellEnd"/>
      <w:r>
        <w:t xml:space="preserve"> level, housing policy set by local government, inspections by environmental health and the addition to social care provision may indirectly influence families' rights to housing (Easton </w:t>
      </w:r>
      <w:r>
        <w:rPr>
          <w:i/>
          <w:iCs/>
        </w:rPr>
        <w:t>et al.,</w:t>
      </w:r>
      <w:r>
        <w:t xml:space="preserve"> 2024). Finally, the macrosystem, social inequality, national standards for housing, and public health legislation ultimately influence how structures operate to shape living conditions and their associated risks of respiratory harm. In this approach, it attends to the notion of coproduction from different functional domains of microbiological, social and policy domains which come together to relate to respiratory infections rather than putting full culpability on poorer housing. </w:t>
      </w:r>
    </w:p>
    <w:p w14:paraId="5AD02BB0" w14:textId="77777777" w:rsidR="0038718A" w:rsidRDefault="00BF184A">
      <w:pPr>
        <w:pStyle w:val="Heading2"/>
      </w:pPr>
      <w:bookmarkStart w:id="63" w:name="_celx4dr76j3n" w:colFirst="0" w:colLast="0"/>
      <w:bookmarkStart w:id="64" w:name="_Toc220324628"/>
      <w:bookmarkEnd w:id="63"/>
      <w:r>
        <w:t>2.7 Identified Research Gaps</w:t>
      </w:r>
      <w:bookmarkEnd w:id="64"/>
      <w:r>
        <w:t> </w:t>
      </w:r>
    </w:p>
    <w:p w14:paraId="7F28E6DC" w14:textId="77777777" w:rsidR="0038718A" w:rsidRDefault="00BF184A">
      <w:pPr>
        <w:spacing w:before="240" w:after="158"/>
      </w:pPr>
      <w:r>
        <w:t>There are significant gaps in the literature, consisting of inconsistent methods of microbial exposures, limited evidence about UK bacterial ecology, and a failure to consider structural, behavioural and socio-economic factors (Aveyard</w:t>
      </w:r>
      <w:r>
        <w:rPr>
          <w:i/>
          <w:iCs/>
        </w:rPr>
        <w:t xml:space="preserve"> et al., </w:t>
      </w:r>
      <w:r>
        <w:t xml:space="preserve">2021; Brackley </w:t>
      </w:r>
      <w:r>
        <w:rPr>
          <w:i/>
          <w:iCs/>
        </w:rPr>
        <w:t xml:space="preserve">et al., </w:t>
      </w:r>
      <w:r>
        <w:t>2021). To date, studies rarely take an integrated approach and consider the microbiological, public health and social care lenses and thus only provide a partial view of the public health issue. We require multi-disciplinary, context-specific models which enable us to explore the relationship between housing conditions, behaviour, and policy to respiratory infections, particularly in high-risk populations.</w:t>
      </w:r>
    </w:p>
    <w:p w14:paraId="5F2D83A6" w14:textId="77777777" w:rsidR="0038718A" w:rsidRDefault="00BF184A">
      <w:pPr>
        <w:pStyle w:val="Heading2"/>
      </w:pPr>
      <w:bookmarkStart w:id="65" w:name="_acv8lkfa4nzd" w:colFirst="0" w:colLast="0"/>
      <w:bookmarkStart w:id="66" w:name="_Toc220324629"/>
      <w:bookmarkEnd w:id="65"/>
      <w:r>
        <w:t>2.8 Summary of Findings</w:t>
      </w:r>
      <w:bookmarkEnd w:id="66"/>
    </w:p>
    <w:p w14:paraId="70206F90" w14:textId="77777777" w:rsidR="0038718A" w:rsidRDefault="00BF184A">
      <w:pPr>
        <w:spacing w:before="240" w:after="158"/>
      </w:pPr>
      <w:r>
        <w:t>This exploration demonstrates how inadequate housing impacts respiratory infections in the UK through the coalescence of environmental microbiological, public health, and social care perspectives. It highlights the dissimilar state of evidence, inadequately examined risk approaches, policy strands that are not associated with one another and limitations in support provided for vulnerable young people which demonstrates the need for integrated multidisciplinary approaches that acknowledge the intersections of environmental, behavioural, and structural determinants in a holistic way to address overarching themes.</w:t>
      </w:r>
      <w:r>
        <w:tab/>
        <w:t xml:space="preserve"> </w:t>
      </w:r>
      <w:r>
        <w:br w:type="page"/>
      </w:r>
    </w:p>
    <w:p w14:paraId="2764D59C" w14:textId="77777777" w:rsidR="0038718A" w:rsidRDefault="00BF184A">
      <w:pPr>
        <w:pStyle w:val="Heading1"/>
        <w:rPr>
          <w:sz w:val="24"/>
          <w:szCs w:val="24"/>
        </w:rPr>
      </w:pPr>
      <w:bookmarkStart w:id="67" w:name="_n51clh5vos6b" w:colFirst="0" w:colLast="0"/>
      <w:bookmarkStart w:id="68" w:name="_Toc220324630"/>
      <w:bookmarkEnd w:id="67"/>
      <w:r>
        <w:rPr>
          <w:sz w:val="24"/>
          <w:szCs w:val="24"/>
        </w:rPr>
        <w:t>Chapter 3: Research Methodology</w:t>
      </w:r>
      <w:bookmarkEnd w:id="68"/>
      <w:r>
        <w:rPr>
          <w:sz w:val="24"/>
          <w:szCs w:val="24"/>
        </w:rPr>
        <w:t xml:space="preserve"> </w:t>
      </w:r>
    </w:p>
    <w:p w14:paraId="62638388" w14:textId="77777777" w:rsidR="0038718A" w:rsidRDefault="00BF184A">
      <w:pPr>
        <w:pStyle w:val="Heading2"/>
      </w:pPr>
      <w:bookmarkStart w:id="69" w:name="_bpeoisas7y2m" w:colFirst="0" w:colLast="0"/>
      <w:bookmarkStart w:id="70" w:name="_Toc220324631"/>
      <w:bookmarkEnd w:id="69"/>
      <w:r>
        <w:t>3.1Introduction</w:t>
      </w:r>
      <w:bookmarkEnd w:id="70"/>
    </w:p>
    <w:p w14:paraId="1EB9EBA6" w14:textId="77777777" w:rsidR="0038718A" w:rsidRDefault="00BF184A">
      <w:pPr>
        <w:spacing w:before="200"/>
      </w:pPr>
      <w:r>
        <w:t>This research utilises a secondary research methodology to strategically evaluate and analyse the impact of housing quality on respiratory infection in the context of the UK environment. The studies focus on microbiological effects on public health and interventions associated with social care and prevention. It requires a careful and detailed investigation of what factors contribute towards linking housing quality and respiratory challenges, and what interventions exist to address the public health concern. The following chapter first identifies the philosophical as well as design related paradigms of this research, justifying his choice before moving on to detailing the exact process of data collection, appraisal and synthesis that has been utilised to complete the research findings.</w:t>
      </w:r>
    </w:p>
    <w:p w14:paraId="5D9200B7" w14:textId="77777777" w:rsidR="0038718A" w:rsidRDefault="00BF184A">
      <w:pPr>
        <w:pStyle w:val="Heading2"/>
      </w:pPr>
      <w:bookmarkStart w:id="71" w:name="_s02b17xp47yl" w:colFirst="0" w:colLast="0"/>
      <w:bookmarkStart w:id="72" w:name="_Toc220324632"/>
      <w:bookmarkEnd w:id="71"/>
      <w:r>
        <w:t>3.2 Research Method Design</w:t>
      </w:r>
      <w:bookmarkEnd w:id="72"/>
    </w:p>
    <w:p w14:paraId="45325C46" w14:textId="77777777" w:rsidR="0038718A" w:rsidRDefault="00BF184A">
      <w:pPr>
        <w:pStyle w:val="Heading3"/>
      </w:pPr>
      <w:bookmarkStart w:id="73" w:name="_6r7f8ia0ux1f" w:colFirst="0" w:colLast="0"/>
      <w:bookmarkStart w:id="74" w:name="_Toc220324633"/>
      <w:bookmarkEnd w:id="73"/>
      <w:r>
        <w:t>3.2.1 Philosophy</w:t>
      </w:r>
      <w:bookmarkEnd w:id="74"/>
    </w:p>
    <w:p w14:paraId="380AC392" w14:textId="77777777" w:rsidR="0038718A" w:rsidRDefault="00BF184A">
      <w:pPr>
        <w:spacing w:before="200"/>
      </w:pPr>
      <w:r>
        <w:t>This research has proposed an interpretivism philosophy of research. The philosophy of the research refers to the belief system of the researcher that dictates the argument and the study's focus on the subject matter (Holden and Lynch, 2004). This research has selected an Interpretivism philosophy due to interpretivism's focus on detailed investigation of human experience (</w:t>
      </w:r>
      <w:proofErr w:type="spellStart"/>
      <w:r>
        <w:t>Alharahsheh</w:t>
      </w:r>
      <w:proofErr w:type="spellEnd"/>
      <w:r>
        <w:t xml:space="preserve"> and Pius, 2020; Pandey </w:t>
      </w:r>
      <w:r>
        <w:rPr>
          <w:i/>
          <w:iCs/>
        </w:rPr>
        <w:t>et al.</w:t>
      </w:r>
      <w:r>
        <w:t xml:space="preserve"> 2025). Conducting research on the subject of respiratory infection being linked to housing quality, detailed observations were required to report on what findings in the current subject domain supported or disproved the relations. This required a multi-perspective angle to be reviewed in detail, instead of a statistical relationship between the two (Pervin and Mokhtar, 2022). With the help of the interpretivist philosophy, this research has identified not only the contextual evidence that links housing quality to respiratory infections but has also brought attention to the implications of social and care species intervention needs behind the health concern.</w:t>
      </w:r>
    </w:p>
    <w:p w14:paraId="0FFD7F39" w14:textId="77777777" w:rsidR="0038718A" w:rsidRDefault="00BF184A">
      <w:pPr>
        <w:pStyle w:val="Heading3"/>
      </w:pPr>
      <w:bookmarkStart w:id="75" w:name="_56wuomi16x5v" w:colFirst="0" w:colLast="0"/>
      <w:bookmarkStart w:id="76" w:name="_Toc220324634"/>
      <w:bookmarkEnd w:id="75"/>
      <w:r>
        <w:t>3.2.2 Approach</w:t>
      </w:r>
      <w:bookmarkEnd w:id="76"/>
    </w:p>
    <w:p w14:paraId="0B06769E" w14:textId="77777777" w:rsidR="0038718A" w:rsidRDefault="00BF184A">
      <w:pPr>
        <w:spacing w:before="200"/>
      </w:pPr>
      <w:r>
        <w:t>This research follows a secondary research approach which has been finalised for this investigation into the link between housing quality and respiratory infection. This research used the approach due to having the freedom to first interpret the research findings and then analyse the findings to build its theoretical implications (Ralph and Baltes, 2022; Liu, 2016). Had this research focused on deductive reasoning, the research would have required a predetermined set of theoretical principles before collecting the data to test the same (</w:t>
      </w:r>
      <w:proofErr w:type="spellStart"/>
      <w:r>
        <w:t>Azungah</w:t>
      </w:r>
      <w:proofErr w:type="spellEnd"/>
      <w:r>
        <w:t>, 2018). This would have limited the capacity of this research to examine deeper into the subject (</w:t>
      </w:r>
      <w:proofErr w:type="spellStart"/>
      <w:r>
        <w:t>Yuwono</w:t>
      </w:r>
      <w:proofErr w:type="spellEnd"/>
      <w:r>
        <w:t xml:space="preserve"> and </w:t>
      </w:r>
      <w:proofErr w:type="spellStart"/>
      <w:r>
        <w:t>Rachmawati</w:t>
      </w:r>
      <w:proofErr w:type="spellEnd"/>
      <w:r>
        <w:t>, 2023). As a result, the interpretivism philosophy offered the required flexibility to analyse the research findings from a bottom-up approach and conclude on the impact of housing quality on respiratory infection first before coming up with any theoretical implications worth noting, reflecting the secondary methodology far more meaningly (Tsui, 2022).</w:t>
      </w:r>
    </w:p>
    <w:p w14:paraId="120134C3" w14:textId="77777777" w:rsidR="0038718A" w:rsidRDefault="00BF184A">
      <w:pPr>
        <w:pStyle w:val="Heading3"/>
      </w:pPr>
      <w:bookmarkStart w:id="77" w:name="_s8vhgs54h58r" w:colFirst="0" w:colLast="0"/>
      <w:bookmarkStart w:id="78" w:name="_Toc220324635"/>
      <w:bookmarkEnd w:id="77"/>
      <w:r>
        <w:t>3.2.3 Design</w:t>
      </w:r>
      <w:bookmarkEnd w:id="78"/>
    </w:p>
    <w:p w14:paraId="5351DA81" w14:textId="77777777" w:rsidR="0038718A" w:rsidRDefault="00BF184A">
      <w:pPr>
        <w:spacing w:before="200"/>
      </w:pPr>
      <w:r>
        <w:t xml:space="preserve">This research has decidedly adopted a secondary research design by virtue of conducting a comprehensive public health concern issue, such as respiratory infection-related challenges and complexities, under the influence of housing quality factors. This study has immensely limited the opportunity for examining first-hand clinician and patient data without conducting a longitudinal study to explore its effect nationwide, and not isolated into a single region or a healthcare centre (von Maurice </w:t>
      </w:r>
      <w:r>
        <w:rPr>
          <w:i/>
          <w:iCs/>
        </w:rPr>
        <w:t>et al.,</w:t>
      </w:r>
      <w:r>
        <w:t xml:space="preserve"> 2017; Ghafar, 2024). The scale and complexity of such a longitudinal study have meant that a secondary systematic review option was required to offer both detailed interpretations supporting the discussion between housing quality and respiratory infection-related challenges, while also being of a limited scale that could be addressed through an academic research setting (</w:t>
      </w:r>
      <w:proofErr w:type="spellStart"/>
      <w:r>
        <w:t>Gusenbauer</w:t>
      </w:r>
      <w:proofErr w:type="spellEnd"/>
      <w:r>
        <w:t xml:space="preserve"> and </w:t>
      </w:r>
      <w:proofErr w:type="spellStart"/>
      <w:r>
        <w:t>Gauster</w:t>
      </w:r>
      <w:proofErr w:type="spellEnd"/>
      <w:r>
        <w:t>, 2025).</w:t>
      </w:r>
    </w:p>
    <w:p w14:paraId="06387383" w14:textId="77777777" w:rsidR="0038718A" w:rsidRDefault="00BF184A">
      <w:pPr>
        <w:pStyle w:val="Heading2"/>
      </w:pPr>
      <w:bookmarkStart w:id="79" w:name="_hb49lnqi5f84" w:colFirst="0" w:colLast="0"/>
      <w:bookmarkStart w:id="80" w:name="_Toc220324636"/>
      <w:bookmarkEnd w:id="79"/>
      <w:r>
        <w:t>3.3 Data Collection</w:t>
      </w:r>
      <w:bookmarkEnd w:id="80"/>
    </w:p>
    <w:p w14:paraId="3EB42A9A" w14:textId="77777777" w:rsidR="0038718A" w:rsidRDefault="00BF184A">
      <w:pPr>
        <w:pStyle w:val="Heading3"/>
      </w:pPr>
      <w:bookmarkStart w:id="81" w:name="_o1uhy4p224j8" w:colFirst="0" w:colLast="0"/>
      <w:bookmarkStart w:id="82" w:name="_Toc220324637"/>
      <w:bookmarkEnd w:id="81"/>
      <w:r>
        <w:t>3.3.1 Boolean Operators</w:t>
      </w:r>
      <w:bookmarkEnd w:id="82"/>
    </w:p>
    <w:p w14:paraId="20D330C3" w14:textId="000F6799" w:rsidR="0038718A" w:rsidRDefault="00BF184A">
      <w:pPr>
        <w:spacing w:before="200"/>
      </w:pPr>
      <w:r>
        <w:t>This research utilised a secondary data collection process with a systematic review method of data analysis to conduct the study (</w:t>
      </w:r>
      <w:r w:rsidR="00714CF6" w:rsidRPr="00714CF6">
        <w:t>Snyder, 2019</w:t>
      </w:r>
      <w:r>
        <w:t>). As such, the research data collection process required a clear outline of the article selection screening and synthesis process to inform the reliability and validity of the research. The first step of achieving this has been establishing the Boolean operators. Boolean operators are a string of search terms combined with “AND” along “OR” to specify the research focus (Aliyu, 2017). As such, the following Table 3.1 showcases the Boolean operator-based search strings utilised for searching the databases.</w:t>
      </w:r>
    </w:p>
    <w:tbl>
      <w:tblPr>
        <w:tblStyle w:val="a"/>
        <w:tblW w:w="9000" w:type="dxa"/>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640"/>
        <w:gridCol w:w="675"/>
        <w:gridCol w:w="2340"/>
        <w:gridCol w:w="840"/>
        <w:gridCol w:w="2505"/>
      </w:tblGrid>
      <w:tr w:rsidR="0038718A" w14:paraId="36C0C4F5" w14:textId="77777777">
        <w:trPr>
          <w:jc w:val="center"/>
        </w:trPr>
        <w:tc>
          <w:tcPr>
            <w:tcW w:w="2640" w:type="dxa"/>
            <w:tcMar>
              <w:top w:w="100" w:type="dxa"/>
              <w:left w:w="100" w:type="dxa"/>
              <w:bottom w:w="100" w:type="dxa"/>
              <w:right w:w="100" w:type="dxa"/>
            </w:tcMar>
            <w:vAlign w:val="center"/>
          </w:tcPr>
          <w:p w14:paraId="61026202" w14:textId="77777777" w:rsidR="0038718A" w:rsidRDefault="00BF184A">
            <w:pPr>
              <w:widowControl w:val="0"/>
              <w:pBdr>
                <w:top w:val="nil"/>
                <w:left w:val="nil"/>
                <w:bottom w:val="nil"/>
                <w:right w:val="nil"/>
                <w:between w:val="nil"/>
              </w:pBdr>
              <w:spacing w:line="240" w:lineRule="auto"/>
              <w:jc w:val="center"/>
            </w:pPr>
            <w:r>
              <w:t>“Housing Quality” OR “Housing Conditions” OR “</w:t>
            </w:r>
            <w:r>
              <w:rPr>
                <w:i/>
                <w:iCs/>
              </w:rPr>
              <w:t>Indoor Air Quality</w:t>
            </w:r>
            <w:r>
              <w:t>” OR “</w:t>
            </w:r>
            <w:r>
              <w:rPr>
                <w:i/>
                <w:iCs/>
              </w:rPr>
              <w:t>Mould</w:t>
            </w:r>
            <w:r>
              <w:t>” OR “</w:t>
            </w:r>
            <w:r>
              <w:rPr>
                <w:i/>
                <w:iCs/>
              </w:rPr>
              <w:t>Ventilation</w:t>
            </w:r>
            <w:r>
              <w:t>”</w:t>
            </w:r>
          </w:p>
        </w:tc>
        <w:tc>
          <w:tcPr>
            <w:tcW w:w="675" w:type="dxa"/>
            <w:tcMar>
              <w:top w:w="100" w:type="dxa"/>
              <w:left w:w="100" w:type="dxa"/>
              <w:bottom w:w="100" w:type="dxa"/>
              <w:right w:w="100" w:type="dxa"/>
            </w:tcMar>
            <w:vAlign w:val="center"/>
          </w:tcPr>
          <w:p w14:paraId="3376D745" w14:textId="77777777" w:rsidR="0038718A" w:rsidRDefault="00BF184A">
            <w:pPr>
              <w:widowControl w:val="0"/>
              <w:pBdr>
                <w:top w:val="nil"/>
                <w:left w:val="nil"/>
                <w:bottom w:val="nil"/>
                <w:right w:val="nil"/>
                <w:between w:val="nil"/>
              </w:pBdr>
              <w:spacing w:line="240" w:lineRule="auto"/>
              <w:jc w:val="center"/>
            </w:pPr>
            <w:r>
              <w:t>AND</w:t>
            </w:r>
          </w:p>
        </w:tc>
        <w:tc>
          <w:tcPr>
            <w:tcW w:w="2340" w:type="dxa"/>
            <w:tcMar>
              <w:top w:w="100" w:type="dxa"/>
              <w:left w:w="100" w:type="dxa"/>
              <w:bottom w:w="100" w:type="dxa"/>
              <w:right w:w="100" w:type="dxa"/>
            </w:tcMar>
            <w:vAlign w:val="center"/>
          </w:tcPr>
          <w:p w14:paraId="712D4529" w14:textId="77777777" w:rsidR="0038718A" w:rsidRDefault="00BF184A">
            <w:pPr>
              <w:widowControl w:val="0"/>
              <w:pBdr>
                <w:top w:val="nil"/>
                <w:left w:val="nil"/>
                <w:bottom w:val="nil"/>
                <w:right w:val="nil"/>
                <w:between w:val="nil"/>
              </w:pBdr>
              <w:spacing w:line="240" w:lineRule="auto"/>
              <w:jc w:val="center"/>
            </w:pPr>
            <w:r>
              <w:t>“Respiratory Infection” OR “respiratory disease” OR "Acute</w:t>
            </w:r>
            <w:r>
              <w:rPr>
                <w:i/>
                <w:iCs/>
              </w:rPr>
              <w:t xml:space="preserve"> Respiratory Infection</w:t>
            </w:r>
            <w:r>
              <w:t>” OR “</w:t>
            </w:r>
            <w:r>
              <w:rPr>
                <w:i/>
                <w:iCs/>
              </w:rPr>
              <w:t>ARI</w:t>
            </w:r>
            <w:r>
              <w:t>” OR “</w:t>
            </w:r>
            <w:r>
              <w:rPr>
                <w:i/>
                <w:iCs/>
              </w:rPr>
              <w:t>Asthma</w:t>
            </w:r>
            <w:r>
              <w:t>” OR “</w:t>
            </w:r>
            <w:r>
              <w:rPr>
                <w:i/>
                <w:iCs/>
              </w:rPr>
              <w:t>Bronchitis</w:t>
            </w:r>
            <w:r>
              <w:t>”</w:t>
            </w:r>
          </w:p>
        </w:tc>
        <w:tc>
          <w:tcPr>
            <w:tcW w:w="840" w:type="dxa"/>
            <w:tcMar>
              <w:top w:w="100" w:type="dxa"/>
              <w:left w:w="100" w:type="dxa"/>
              <w:bottom w:w="100" w:type="dxa"/>
              <w:right w:w="100" w:type="dxa"/>
            </w:tcMar>
            <w:vAlign w:val="center"/>
          </w:tcPr>
          <w:p w14:paraId="70C32097" w14:textId="77777777" w:rsidR="0038718A" w:rsidRDefault="00BF184A">
            <w:pPr>
              <w:widowControl w:val="0"/>
              <w:pBdr>
                <w:top w:val="nil"/>
                <w:left w:val="nil"/>
                <w:bottom w:val="nil"/>
                <w:right w:val="nil"/>
                <w:between w:val="nil"/>
              </w:pBdr>
              <w:spacing w:line="240" w:lineRule="auto"/>
              <w:jc w:val="center"/>
            </w:pPr>
            <w:r>
              <w:t>AND</w:t>
            </w:r>
          </w:p>
        </w:tc>
        <w:tc>
          <w:tcPr>
            <w:tcW w:w="2505" w:type="dxa"/>
            <w:tcMar>
              <w:top w:w="100" w:type="dxa"/>
              <w:left w:w="100" w:type="dxa"/>
              <w:bottom w:w="100" w:type="dxa"/>
              <w:right w:w="100" w:type="dxa"/>
            </w:tcMar>
            <w:vAlign w:val="center"/>
          </w:tcPr>
          <w:p w14:paraId="08C633E0" w14:textId="77777777" w:rsidR="0038718A" w:rsidRDefault="00BF184A">
            <w:pPr>
              <w:widowControl w:val="0"/>
              <w:pBdr>
                <w:top w:val="nil"/>
                <w:left w:val="nil"/>
                <w:bottom w:val="nil"/>
                <w:right w:val="nil"/>
                <w:between w:val="nil"/>
              </w:pBdr>
              <w:spacing w:line="240" w:lineRule="auto"/>
              <w:jc w:val="center"/>
            </w:pPr>
            <w:r>
              <w:t>“UK” OR “United Kingdom” OR “England” OR “</w:t>
            </w:r>
            <w:r>
              <w:rPr>
                <w:i/>
                <w:iCs/>
              </w:rPr>
              <w:t>Scotland</w:t>
            </w:r>
            <w:r>
              <w:t>” OR “</w:t>
            </w:r>
            <w:r>
              <w:rPr>
                <w:i/>
                <w:iCs/>
              </w:rPr>
              <w:t>Wales</w:t>
            </w:r>
            <w:r>
              <w:t>”</w:t>
            </w:r>
          </w:p>
        </w:tc>
      </w:tr>
    </w:tbl>
    <w:p w14:paraId="1C50C7C5" w14:textId="77777777" w:rsidR="0038718A" w:rsidRDefault="00BF184A">
      <w:pPr>
        <w:pStyle w:val="Heading5"/>
      </w:pPr>
      <w:bookmarkStart w:id="83" w:name="_c6krxl9rihru" w:colFirst="0" w:colLast="0"/>
      <w:bookmarkStart w:id="84" w:name="_Toc220324638"/>
      <w:bookmarkEnd w:id="83"/>
      <w:r>
        <w:t>Table 3.1: Boolean Search Strings</w:t>
      </w:r>
      <w:bookmarkEnd w:id="84"/>
    </w:p>
    <w:p w14:paraId="620C7F18" w14:textId="77777777" w:rsidR="0038718A" w:rsidRDefault="00BF184A">
      <w:pPr>
        <w:spacing w:before="200"/>
      </w:pPr>
      <w:r>
        <w:t xml:space="preserve">The Boolean operator initially identified key strings like housing quality, respiratory infection, and UK, along with a few more synonyms, to initially search for articles. Later on, additional articles were screened using more synonyms and a similar range of keywords (highlighted in </w:t>
      </w:r>
      <w:r>
        <w:rPr>
          <w:i/>
          <w:iCs/>
        </w:rPr>
        <w:t xml:space="preserve">italics </w:t>
      </w:r>
      <w:r>
        <w:t>in Table 3.1).</w:t>
      </w:r>
    </w:p>
    <w:p w14:paraId="1474B435" w14:textId="77777777" w:rsidR="0038718A" w:rsidRDefault="00BF184A">
      <w:pPr>
        <w:spacing w:before="200"/>
      </w:pPr>
      <w:r>
        <w:t>Once the inclusion and exclusion criteria have been set and the Boolean operators have been established, the databases selected for the article screening and filtering process were also chosen. The research has acknowledged the potential for Grey literary databases to contribute towards the research domain immensely. According to Paez (2017), grey literary databases offer a broader scope for information search that may not be possible in academic databases like Scopus, Medline and PubMed. As such, the database searching criteria have incorporated both traditional academic journal databases as well as more grey search sites like Google Scholar and PubMed. The following Table 3.2 showcases the rationale for each of the databases utilised.</w:t>
      </w:r>
    </w:p>
    <w:tbl>
      <w:tblPr>
        <w:tblStyle w:val="a0"/>
        <w:tblW w:w="8235" w:type="dxa"/>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775"/>
        <w:gridCol w:w="5460"/>
      </w:tblGrid>
      <w:tr w:rsidR="0038718A" w14:paraId="0F150254" w14:textId="77777777">
        <w:trPr>
          <w:jc w:val="center"/>
        </w:trPr>
        <w:tc>
          <w:tcPr>
            <w:tcW w:w="2775" w:type="dxa"/>
            <w:tcMar>
              <w:top w:w="100" w:type="dxa"/>
              <w:left w:w="100" w:type="dxa"/>
              <w:bottom w:w="100" w:type="dxa"/>
              <w:right w:w="100" w:type="dxa"/>
            </w:tcMar>
            <w:vAlign w:val="center"/>
          </w:tcPr>
          <w:p w14:paraId="5C320BBA" w14:textId="77777777" w:rsidR="0038718A" w:rsidRDefault="00BF184A">
            <w:pPr>
              <w:widowControl w:val="0"/>
              <w:pBdr>
                <w:top w:val="nil"/>
                <w:left w:val="nil"/>
                <w:bottom w:val="nil"/>
                <w:right w:val="nil"/>
                <w:between w:val="nil"/>
              </w:pBdr>
              <w:spacing w:line="240" w:lineRule="auto"/>
              <w:jc w:val="center"/>
              <w:rPr>
                <w:b/>
                <w:bCs/>
                <w:i/>
                <w:iCs/>
              </w:rPr>
            </w:pPr>
            <w:r>
              <w:rPr>
                <w:b/>
                <w:bCs/>
                <w:i/>
                <w:iCs/>
              </w:rPr>
              <w:t>Database</w:t>
            </w:r>
          </w:p>
        </w:tc>
        <w:tc>
          <w:tcPr>
            <w:tcW w:w="5460" w:type="dxa"/>
            <w:tcMar>
              <w:top w:w="100" w:type="dxa"/>
              <w:left w:w="100" w:type="dxa"/>
              <w:bottom w:w="100" w:type="dxa"/>
              <w:right w:w="100" w:type="dxa"/>
            </w:tcMar>
            <w:vAlign w:val="center"/>
          </w:tcPr>
          <w:p w14:paraId="06F8BA70" w14:textId="77777777" w:rsidR="0038718A" w:rsidRDefault="00BF184A">
            <w:pPr>
              <w:widowControl w:val="0"/>
              <w:pBdr>
                <w:top w:val="nil"/>
                <w:left w:val="nil"/>
                <w:bottom w:val="nil"/>
                <w:right w:val="nil"/>
                <w:between w:val="nil"/>
              </w:pBdr>
              <w:spacing w:line="240" w:lineRule="auto"/>
              <w:jc w:val="center"/>
              <w:rPr>
                <w:b/>
                <w:bCs/>
              </w:rPr>
            </w:pPr>
            <w:r>
              <w:rPr>
                <w:b/>
                <w:bCs/>
              </w:rPr>
              <w:t>Reason</w:t>
            </w:r>
          </w:p>
        </w:tc>
      </w:tr>
      <w:tr w:rsidR="0038718A" w14:paraId="302BD262" w14:textId="77777777">
        <w:trPr>
          <w:jc w:val="center"/>
        </w:trPr>
        <w:tc>
          <w:tcPr>
            <w:tcW w:w="2775" w:type="dxa"/>
            <w:tcMar>
              <w:top w:w="100" w:type="dxa"/>
              <w:left w:w="100" w:type="dxa"/>
              <w:bottom w:w="100" w:type="dxa"/>
              <w:right w:w="100" w:type="dxa"/>
            </w:tcMar>
            <w:vAlign w:val="center"/>
          </w:tcPr>
          <w:p w14:paraId="3407075D" w14:textId="77777777" w:rsidR="0038718A" w:rsidRDefault="00BF184A">
            <w:pPr>
              <w:widowControl w:val="0"/>
              <w:pBdr>
                <w:top w:val="nil"/>
                <w:left w:val="nil"/>
                <w:bottom w:val="nil"/>
                <w:right w:val="nil"/>
                <w:between w:val="nil"/>
              </w:pBdr>
              <w:spacing w:line="240" w:lineRule="auto"/>
            </w:pPr>
            <w:r>
              <w:t>Google Scholar</w:t>
            </w:r>
          </w:p>
        </w:tc>
        <w:tc>
          <w:tcPr>
            <w:tcW w:w="5460" w:type="dxa"/>
            <w:tcMar>
              <w:top w:w="100" w:type="dxa"/>
              <w:left w:w="100" w:type="dxa"/>
              <w:bottom w:w="100" w:type="dxa"/>
              <w:right w:w="100" w:type="dxa"/>
            </w:tcMar>
            <w:vAlign w:val="center"/>
          </w:tcPr>
          <w:p w14:paraId="0CB25321" w14:textId="77777777" w:rsidR="0038718A" w:rsidRDefault="00BF184A">
            <w:pPr>
              <w:widowControl w:val="0"/>
              <w:pBdr>
                <w:top w:val="nil"/>
                <w:left w:val="nil"/>
                <w:bottom w:val="nil"/>
                <w:right w:val="nil"/>
                <w:between w:val="nil"/>
              </w:pBdr>
              <w:spacing w:line="240" w:lineRule="auto"/>
            </w:pPr>
            <w:r>
              <w:t>Ideal for broader search coverage and accessing otherwise paywalled research articles.</w:t>
            </w:r>
          </w:p>
        </w:tc>
      </w:tr>
      <w:tr w:rsidR="0038718A" w14:paraId="1D66F1F2" w14:textId="77777777">
        <w:trPr>
          <w:trHeight w:val="660"/>
          <w:jc w:val="center"/>
        </w:trPr>
        <w:tc>
          <w:tcPr>
            <w:tcW w:w="2775" w:type="dxa"/>
            <w:tcMar>
              <w:top w:w="100" w:type="dxa"/>
              <w:left w:w="100" w:type="dxa"/>
              <w:bottom w:w="100" w:type="dxa"/>
              <w:right w:w="100" w:type="dxa"/>
            </w:tcMar>
            <w:vAlign w:val="center"/>
          </w:tcPr>
          <w:p w14:paraId="1C32D8B0" w14:textId="77777777" w:rsidR="0038718A" w:rsidRDefault="00BF184A">
            <w:pPr>
              <w:widowControl w:val="0"/>
              <w:pBdr>
                <w:top w:val="nil"/>
                <w:left w:val="nil"/>
                <w:bottom w:val="nil"/>
                <w:right w:val="nil"/>
                <w:between w:val="nil"/>
              </w:pBdr>
              <w:spacing w:line="240" w:lineRule="auto"/>
            </w:pPr>
            <w:r>
              <w:t>PubMed</w:t>
            </w:r>
          </w:p>
        </w:tc>
        <w:tc>
          <w:tcPr>
            <w:tcW w:w="5460" w:type="dxa"/>
            <w:tcMar>
              <w:top w:w="100" w:type="dxa"/>
              <w:left w:w="100" w:type="dxa"/>
              <w:bottom w:w="100" w:type="dxa"/>
              <w:right w:w="100" w:type="dxa"/>
            </w:tcMar>
            <w:vAlign w:val="center"/>
          </w:tcPr>
          <w:p w14:paraId="65AF9EAB" w14:textId="77777777" w:rsidR="0038718A" w:rsidRDefault="00BF184A">
            <w:pPr>
              <w:widowControl w:val="0"/>
              <w:pBdr>
                <w:top w:val="nil"/>
                <w:left w:val="nil"/>
                <w:bottom w:val="nil"/>
                <w:right w:val="nil"/>
                <w:between w:val="nil"/>
              </w:pBdr>
              <w:spacing w:line="240" w:lineRule="auto"/>
            </w:pPr>
            <w:r>
              <w:t>Relevant for specifically searching medical research contributions.</w:t>
            </w:r>
          </w:p>
        </w:tc>
      </w:tr>
    </w:tbl>
    <w:p w14:paraId="115C9301" w14:textId="77777777" w:rsidR="0038718A" w:rsidRDefault="0038718A"/>
    <w:p w14:paraId="278048C9" w14:textId="77777777" w:rsidR="0038718A" w:rsidRDefault="00BF184A">
      <w:pPr>
        <w:pStyle w:val="Heading5"/>
      </w:pPr>
      <w:bookmarkStart w:id="85" w:name="_mxwjyo2j8wj0" w:colFirst="0" w:colLast="0"/>
      <w:bookmarkStart w:id="86" w:name="_Toc220324639"/>
      <w:bookmarkEnd w:id="85"/>
      <w:r>
        <w:t>Table 3.2: Rationale for Database Inclusion</w:t>
      </w:r>
      <w:bookmarkEnd w:id="86"/>
    </w:p>
    <w:p w14:paraId="7F74FC11" w14:textId="77777777" w:rsidR="0038718A" w:rsidRDefault="00BF184A">
      <w:pPr>
        <w:pStyle w:val="Heading3"/>
      </w:pPr>
      <w:bookmarkStart w:id="87" w:name="_pkprcq7flxf6" w:colFirst="0" w:colLast="0"/>
      <w:bookmarkStart w:id="88" w:name="_Toc220324640"/>
      <w:bookmarkEnd w:id="87"/>
      <w:r>
        <w:t>3.3.2 Inclusion and Exclusion Criteria</w:t>
      </w:r>
      <w:bookmarkEnd w:id="88"/>
    </w:p>
    <w:p w14:paraId="45F70918" w14:textId="77777777" w:rsidR="0038718A" w:rsidRDefault="00BF184A">
      <w:pPr>
        <w:spacing w:before="200"/>
      </w:pPr>
      <w:r>
        <w:t>The inclusion and exclusion criteria were set to ensure further validity and reliability of research and added clarification behind the search result filtering process (Meline, 2006). Based on the research inquiry of housing quality and its impact on respiratory infection-related challenges, the following inclusion and exclusion criteria were chosen (See Table 3.3).</w:t>
      </w:r>
    </w:p>
    <w:tbl>
      <w:tblPr>
        <w:tblStyle w:val="a1"/>
        <w:tblW w:w="9029" w:type="dxa"/>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38718A" w14:paraId="3075FE06" w14:textId="77777777">
        <w:trPr>
          <w:jc w:val="center"/>
        </w:trPr>
        <w:tc>
          <w:tcPr>
            <w:tcW w:w="4514" w:type="dxa"/>
            <w:tcMar>
              <w:top w:w="100" w:type="dxa"/>
              <w:left w:w="100" w:type="dxa"/>
              <w:bottom w:w="100" w:type="dxa"/>
              <w:right w:w="100" w:type="dxa"/>
            </w:tcMar>
            <w:vAlign w:val="center"/>
          </w:tcPr>
          <w:p w14:paraId="3124AD5E" w14:textId="77777777" w:rsidR="0038718A" w:rsidRDefault="00BF184A">
            <w:pPr>
              <w:widowControl w:val="0"/>
              <w:pBdr>
                <w:top w:val="nil"/>
                <w:left w:val="nil"/>
                <w:bottom w:val="nil"/>
                <w:right w:val="nil"/>
                <w:between w:val="nil"/>
              </w:pBdr>
              <w:spacing w:line="240" w:lineRule="auto"/>
              <w:jc w:val="center"/>
              <w:rPr>
                <w:b/>
                <w:bCs/>
                <w:i/>
                <w:iCs/>
              </w:rPr>
            </w:pPr>
            <w:r>
              <w:rPr>
                <w:b/>
                <w:bCs/>
                <w:i/>
                <w:iCs/>
              </w:rPr>
              <w:t>Inclusion Conditions</w:t>
            </w:r>
          </w:p>
        </w:tc>
        <w:tc>
          <w:tcPr>
            <w:tcW w:w="4515" w:type="dxa"/>
            <w:tcMar>
              <w:top w:w="100" w:type="dxa"/>
              <w:left w:w="100" w:type="dxa"/>
              <w:bottom w:w="100" w:type="dxa"/>
              <w:right w:w="100" w:type="dxa"/>
            </w:tcMar>
            <w:vAlign w:val="center"/>
          </w:tcPr>
          <w:p w14:paraId="671BCC35" w14:textId="77777777" w:rsidR="0038718A" w:rsidRDefault="00BF184A">
            <w:pPr>
              <w:widowControl w:val="0"/>
              <w:pBdr>
                <w:top w:val="nil"/>
                <w:left w:val="nil"/>
                <w:bottom w:val="nil"/>
                <w:right w:val="nil"/>
                <w:between w:val="nil"/>
              </w:pBdr>
              <w:spacing w:line="240" w:lineRule="auto"/>
              <w:jc w:val="center"/>
              <w:rPr>
                <w:b/>
                <w:bCs/>
                <w:i/>
                <w:iCs/>
              </w:rPr>
            </w:pPr>
            <w:r>
              <w:rPr>
                <w:b/>
                <w:bCs/>
                <w:i/>
                <w:iCs/>
              </w:rPr>
              <w:t>Exclusion Condition</w:t>
            </w:r>
          </w:p>
        </w:tc>
      </w:tr>
      <w:tr w:rsidR="0038718A" w14:paraId="7620038A" w14:textId="77777777">
        <w:trPr>
          <w:jc w:val="center"/>
        </w:trPr>
        <w:tc>
          <w:tcPr>
            <w:tcW w:w="4514" w:type="dxa"/>
            <w:tcMar>
              <w:top w:w="100" w:type="dxa"/>
              <w:left w:w="100" w:type="dxa"/>
              <w:bottom w:w="100" w:type="dxa"/>
              <w:right w:w="100" w:type="dxa"/>
            </w:tcMar>
            <w:vAlign w:val="center"/>
          </w:tcPr>
          <w:p w14:paraId="399EEDD1" w14:textId="77777777" w:rsidR="0038718A" w:rsidRDefault="00BF184A">
            <w:pPr>
              <w:widowControl w:val="0"/>
              <w:numPr>
                <w:ilvl w:val="0"/>
                <w:numId w:val="2"/>
              </w:numPr>
              <w:pBdr>
                <w:top w:val="nil"/>
                <w:left w:val="nil"/>
                <w:bottom w:val="nil"/>
                <w:right w:val="nil"/>
                <w:between w:val="nil"/>
              </w:pBdr>
              <w:spacing w:after="0" w:line="240" w:lineRule="auto"/>
            </w:pPr>
            <w:r>
              <w:t>Published from 2015 to 2025 (10 years)</w:t>
            </w:r>
          </w:p>
          <w:p w14:paraId="21164943" w14:textId="77777777" w:rsidR="0038718A" w:rsidRDefault="00BF184A">
            <w:pPr>
              <w:widowControl w:val="0"/>
              <w:numPr>
                <w:ilvl w:val="0"/>
                <w:numId w:val="2"/>
              </w:numPr>
              <w:pBdr>
                <w:top w:val="nil"/>
                <w:left w:val="nil"/>
                <w:bottom w:val="nil"/>
                <w:right w:val="nil"/>
                <w:between w:val="nil"/>
              </w:pBdr>
              <w:spacing w:after="0" w:line="240" w:lineRule="auto"/>
            </w:pPr>
            <w:r>
              <w:t>In English or Translated to English</w:t>
            </w:r>
          </w:p>
          <w:p w14:paraId="6F055D1D" w14:textId="77777777" w:rsidR="0038718A" w:rsidRDefault="00BF184A">
            <w:pPr>
              <w:widowControl w:val="0"/>
              <w:numPr>
                <w:ilvl w:val="0"/>
                <w:numId w:val="2"/>
              </w:numPr>
              <w:pBdr>
                <w:top w:val="nil"/>
                <w:left w:val="nil"/>
                <w:bottom w:val="nil"/>
                <w:right w:val="nil"/>
                <w:between w:val="nil"/>
              </w:pBdr>
              <w:spacing w:after="0" w:line="240" w:lineRule="auto"/>
            </w:pPr>
            <w:r>
              <w:t>Available in Full PDF Format</w:t>
            </w:r>
          </w:p>
          <w:p w14:paraId="3BD21034" w14:textId="77777777" w:rsidR="0038718A" w:rsidRDefault="00BF184A">
            <w:pPr>
              <w:widowControl w:val="0"/>
              <w:numPr>
                <w:ilvl w:val="0"/>
                <w:numId w:val="2"/>
              </w:numPr>
              <w:pBdr>
                <w:top w:val="nil"/>
                <w:left w:val="nil"/>
                <w:bottom w:val="nil"/>
                <w:right w:val="nil"/>
                <w:between w:val="nil"/>
              </w:pBdr>
              <w:spacing w:after="0" w:line="240" w:lineRule="auto"/>
            </w:pPr>
            <w:r>
              <w:t>Peer Reviewed</w:t>
            </w:r>
          </w:p>
          <w:p w14:paraId="04C47FAC" w14:textId="77777777" w:rsidR="0038718A" w:rsidRDefault="00BF184A">
            <w:pPr>
              <w:widowControl w:val="0"/>
              <w:numPr>
                <w:ilvl w:val="0"/>
                <w:numId w:val="2"/>
              </w:numPr>
              <w:pBdr>
                <w:top w:val="nil"/>
                <w:left w:val="nil"/>
                <w:bottom w:val="nil"/>
                <w:right w:val="nil"/>
                <w:between w:val="nil"/>
              </w:pBdr>
              <w:spacing w:after="0" w:line="240" w:lineRule="auto"/>
            </w:pPr>
            <w:r>
              <w:t>Research papers on housing quality and its impact on respiratory infection-related in adolescents</w:t>
            </w:r>
          </w:p>
          <w:p w14:paraId="0162A8BA" w14:textId="77777777" w:rsidR="0038718A" w:rsidRDefault="00BF184A">
            <w:pPr>
              <w:widowControl w:val="0"/>
              <w:numPr>
                <w:ilvl w:val="0"/>
                <w:numId w:val="2"/>
              </w:numPr>
              <w:pBdr>
                <w:top w:val="nil"/>
                <w:left w:val="nil"/>
                <w:bottom w:val="nil"/>
                <w:right w:val="nil"/>
                <w:between w:val="nil"/>
              </w:pBdr>
              <w:spacing w:after="0" w:line="240" w:lineRule="auto"/>
            </w:pPr>
            <w:r>
              <w:t>All types of studies are regarded.</w:t>
            </w:r>
          </w:p>
        </w:tc>
        <w:tc>
          <w:tcPr>
            <w:tcW w:w="4515" w:type="dxa"/>
            <w:tcMar>
              <w:top w:w="100" w:type="dxa"/>
              <w:left w:w="100" w:type="dxa"/>
              <w:bottom w:w="100" w:type="dxa"/>
              <w:right w:w="100" w:type="dxa"/>
            </w:tcMar>
            <w:vAlign w:val="center"/>
          </w:tcPr>
          <w:p w14:paraId="40EFA6BC" w14:textId="77777777" w:rsidR="0038718A" w:rsidRDefault="00BF184A">
            <w:pPr>
              <w:widowControl w:val="0"/>
              <w:numPr>
                <w:ilvl w:val="0"/>
                <w:numId w:val="2"/>
              </w:numPr>
              <w:pBdr>
                <w:top w:val="nil"/>
                <w:left w:val="nil"/>
                <w:bottom w:val="nil"/>
                <w:right w:val="nil"/>
                <w:between w:val="nil"/>
              </w:pBdr>
              <w:spacing w:after="0" w:line="240" w:lineRule="auto"/>
            </w:pPr>
            <w:r>
              <w:t>Published before 2015</w:t>
            </w:r>
          </w:p>
          <w:p w14:paraId="44DC58DC" w14:textId="77777777" w:rsidR="0038718A" w:rsidRDefault="00BF184A">
            <w:pPr>
              <w:widowControl w:val="0"/>
              <w:numPr>
                <w:ilvl w:val="0"/>
                <w:numId w:val="2"/>
              </w:numPr>
              <w:pBdr>
                <w:top w:val="nil"/>
                <w:left w:val="nil"/>
                <w:bottom w:val="nil"/>
                <w:right w:val="nil"/>
                <w:between w:val="nil"/>
              </w:pBdr>
              <w:spacing w:after="0" w:line="240" w:lineRule="auto"/>
            </w:pPr>
            <w:r>
              <w:t>Written in Foreign Languages other than English.</w:t>
            </w:r>
          </w:p>
          <w:p w14:paraId="5449B7B4" w14:textId="77777777" w:rsidR="0038718A" w:rsidRDefault="00BF184A">
            <w:pPr>
              <w:widowControl w:val="0"/>
              <w:numPr>
                <w:ilvl w:val="0"/>
                <w:numId w:val="2"/>
              </w:numPr>
              <w:pBdr>
                <w:top w:val="nil"/>
                <w:left w:val="nil"/>
                <w:bottom w:val="nil"/>
                <w:right w:val="nil"/>
                <w:between w:val="nil"/>
              </w:pBdr>
              <w:spacing w:after="0" w:line="240" w:lineRule="auto"/>
            </w:pPr>
            <w:r>
              <w:t>Not Peer Reviewed</w:t>
            </w:r>
          </w:p>
          <w:p w14:paraId="2B194EAE" w14:textId="77777777" w:rsidR="0038718A" w:rsidRDefault="00BF184A">
            <w:pPr>
              <w:widowControl w:val="0"/>
              <w:numPr>
                <w:ilvl w:val="0"/>
                <w:numId w:val="2"/>
              </w:numPr>
              <w:pBdr>
                <w:top w:val="nil"/>
                <w:left w:val="nil"/>
                <w:bottom w:val="nil"/>
                <w:right w:val="nil"/>
                <w:between w:val="nil"/>
              </w:pBdr>
              <w:spacing w:after="0" w:line="240" w:lineRule="auto"/>
            </w:pPr>
            <w:r>
              <w:t>Research papers on housing quality and its impact on respiratory infection-related in all other age groups and other illnesses</w:t>
            </w:r>
          </w:p>
          <w:p w14:paraId="04EC3E55" w14:textId="77777777" w:rsidR="0038718A" w:rsidRDefault="00BF184A">
            <w:pPr>
              <w:widowControl w:val="0"/>
              <w:numPr>
                <w:ilvl w:val="0"/>
                <w:numId w:val="2"/>
              </w:numPr>
              <w:pBdr>
                <w:top w:val="nil"/>
                <w:left w:val="nil"/>
                <w:bottom w:val="nil"/>
                <w:right w:val="nil"/>
                <w:between w:val="nil"/>
              </w:pBdr>
              <w:spacing w:after="0" w:line="240" w:lineRule="auto"/>
            </w:pPr>
            <w:r>
              <w:t>Opinion papers</w:t>
            </w:r>
          </w:p>
        </w:tc>
      </w:tr>
    </w:tbl>
    <w:p w14:paraId="4534BBF8" w14:textId="77777777" w:rsidR="0038718A" w:rsidRDefault="00BF184A">
      <w:pPr>
        <w:pStyle w:val="Heading5"/>
      </w:pPr>
      <w:bookmarkStart w:id="89" w:name="_tu0w69sxe2xy" w:colFirst="0" w:colLast="0"/>
      <w:bookmarkStart w:id="90" w:name="_Toc220324641"/>
      <w:bookmarkEnd w:id="89"/>
      <w:r>
        <w:t>Table 3.3: Inclusion and Exclusion Criteria</w:t>
      </w:r>
      <w:bookmarkEnd w:id="90"/>
    </w:p>
    <w:p w14:paraId="131BF615" w14:textId="77777777" w:rsidR="0038718A" w:rsidRDefault="00BF184A">
      <w:pPr>
        <w:spacing w:before="200"/>
      </w:pPr>
      <w:r>
        <w:t xml:space="preserve">The inclusion criteria's choice to include articles from the past 10 years has allowed broader search potential and successful inclusion of established research contributions before and after the events of COVID-19 impacted respiratory complication-related research. Similarly, the research has acknowledged the potential limitation of avoiding research contributions written in foreign languages, which could have carried significant contributing evidence to the domain. However, the interpretation of foreign languages may have added additional concerns of subjectivity and erroneous input, leading to reliability concerns (Morrison </w:t>
      </w:r>
      <w:r>
        <w:rPr>
          <w:i/>
          <w:iCs/>
        </w:rPr>
        <w:t>et al.</w:t>
      </w:r>
      <w:r>
        <w:t xml:space="preserve"> 2012).</w:t>
      </w:r>
    </w:p>
    <w:p w14:paraId="32BC4711" w14:textId="77777777" w:rsidR="0038718A" w:rsidRDefault="00BF184A">
      <w:pPr>
        <w:pStyle w:val="Heading3"/>
      </w:pPr>
      <w:bookmarkStart w:id="91" w:name="_g92pwhcf4sqs" w:colFirst="0" w:colLast="0"/>
      <w:bookmarkStart w:id="92" w:name="_Toc220324642"/>
      <w:bookmarkEnd w:id="91"/>
      <w:r>
        <w:t>3.3.3 Search Strategy</w:t>
      </w:r>
      <w:bookmarkEnd w:id="92"/>
    </w:p>
    <w:p w14:paraId="7BFF1CEE" w14:textId="77777777" w:rsidR="0038718A" w:rsidRDefault="00BF184A">
      <w:pPr>
        <w:spacing w:before="200"/>
      </w:pPr>
      <w:r>
        <w:t>1st, an initial screening using the title of the research where conducted, where the research scope was investigated using the title to identify whether the research contributes to the same domain as the proposed study, investigating the link between housing quality impact on respiratory infections. After the following screening, a second layer of screening was conducted using the abstracts of the relevant articles, establishing further clarification on the research contribution and key findings, along with the preferred method. Once the articles have been screened, duplicates across the database have been removed.</w:t>
      </w:r>
    </w:p>
    <w:p w14:paraId="0505DACA" w14:textId="77777777" w:rsidR="0038718A" w:rsidRDefault="00BF184A">
      <w:pPr>
        <w:pStyle w:val="Heading3"/>
      </w:pPr>
      <w:bookmarkStart w:id="93" w:name="_sv147iyhhwkt" w:colFirst="0" w:colLast="0"/>
      <w:bookmarkStart w:id="94" w:name="_Toc220324643"/>
      <w:bookmarkEnd w:id="93"/>
      <w:r>
        <w:t>3.3.4 Quality Evaluation</w:t>
      </w:r>
      <w:bookmarkEnd w:id="94"/>
    </w:p>
    <w:p w14:paraId="4CA72251" w14:textId="77777777" w:rsidR="0038718A" w:rsidRDefault="00BF184A">
      <w:pPr>
        <w:spacing w:before="200"/>
      </w:pPr>
      <w:r>
        <w:t xml:space="preserve">In order to evaluate the quality of the research, articles finalized the CASP qualitative appraisal has been applied to critique and navigate the research articles' potential relevance and validity in contributing to the research domain. According to Long </w:t>
      </w:r>
      <w:r>
        <w:rPr>
          <w:i/>
          <w:iCs/>
        </w:rPr>
        <w:t>et al.</w:t>
      </w:r>
      <w:r>
        <w:t xml:space="preserve"> (2020), a CASP qualitative appraisal tool offers 10 checkpoint-based screens that help to ascertain whether a research paper included in the study meets more of the selected quality parameters or fewer (See Appendix 4).</w:t>
      </w:r>
    </w:p>
    <w:p w14:paraId="42DC5A56" w14:textId="77777777" w:rsidR="0038718A" w:rsidRDefault="00BF184A">
      <w:pPr>
        <w:spacing w:before="200"/>
        <w:jc w:val="center"/>
      </w:pPr>
      <w:r>
        <w:rPr>
          <w:noProof/>
        </w:rPr>
        <w:drawing>
          <wp:inline distT="114300" distB="114300" distL="114300" distR="114300" wp14:anchorId="705C769A" wp14:editId="263EE20A">
            <wp:extent cx="3726535" cy="3604603"/>
            <wp:effectExtent l="0" t="0" r="0" b="0"/>
            <wp:docPr id="5"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5"/>
                    <a:srcRect/>
                    <a:stretch>
                      <a:fillRect/>
                    </a:stretch>
                  </pic:blipFill>
                  <pic:spPr>
                    <a:xfrm>
                      <a:off x="0" y="0"/>
                      <a:ext cx="3726535" cy="3604603"/>
                    </a:xfrm>
                    <a:prstGeom prst="rect">
                      <a:avLst/>
                    </a:prstGeom>
                    <a:ln/>
                  </pic:spPr>
                </pic:pic>
              </a:graphicData>
            </a:graphic>
          </wp:inline>
        </w:drawing>
      </w:r>
    </w:p>
    <w:p w14:paraId="1A827813" w14:textId="77777777" w:rsidR="0038718A" w:rsidRDefault="00BF184A">
      <w:pPr>
        <w:pStyle w:val="Heading4"/>
      </w:pPr>
      <w:bookmarkStart w:id="95" w:name="_Toc220324644"/>
      <w:r>
        <w:t>Figure 3.2: CASP Qualitative Checklist</w:t>
      </w:r>
      <w:bookmarkEnd w:id="95"/>
    </w:p>
    <w:p w14:paraId="1A453AC9" w14:textId="77777777" w:rsidR="0038718A" w:rsidRDefault="00BF184A">
      <w:pPr>
        <w:spacing w:before="200"/>
        <w:jc w:val="center"/>
      </w:pPr>
      <w:r>
        <w:t xml:space="preserve">(Long </w:t>
      </w:r>
      <w:r>
        <w:rPr>
          <w:i/>
          <w:iCs/>
        </w:rPr>
        <w:t>et al</w:t>
      </w:r>
      <w:r>
        <w:t>. 2020)</w:t>
      </w:r>
    </w:p>
    <w:p w14:paraId="6CECE83D" w14:textId="77777777" w:rsidR="0038718A" w:rsidRDefault="00BF184A">
      <w:pPr>
        <w:spacing w:before="200"/>
      </w:pPr>
      <w:r>
        <w:t>Utilising these ten enquiries, the following Table 3.4 measures and outlines the qualitative relevance of the included 10 articles for the research findings. PRISMA reporting will be followed for the discussion of the research findings.</w:t>
      </w:r>
    </w:p>
    <w:p w14:paraId="57966757" w14:textId="77777777" w:rsidR="0038718A" w:rsidRDefault="00BF184A">
      <w:pPr>
        <w:pStyle w:val="Heading2"/>
      </w:pPr>
      <w:bookmarkStart w:id="96" w:name="_ydw2dq4ehfqi" w:colFirst="0" w:colLast="0"/>
      <w:bookmarkStart w:id="97" w:name="_Toc220324645"/>
      <w:bookmarkEnd w:id="96"/>
      <w:r>
        <w:t>3.4 Data Analysis</w:t>
      </w:r>
      <w:bookmarkEnd w:id="97"/>
    </w:p>
    <w:p w14:paraId="4007661F" w14:textId="77777777" w:rsidR="0038718A" w:rsidRDefault="00BF184A">
      <w:pPr>
        <w:spacing w:before="200"/>
      </w:pPr>
      <w:r>
        <w:t>Due to the research design and secondary qualitative data collection, this research has adopted a thematic literature review method as its preferred data analysis technique. Utilising the systematic literature, the thematic analysis has offered a way for this study to first interpret the evidence and then assign codes to the key observations and then group them into relevant subthemes and interpret the most dominant and recurring themes to producible evidence on the subject of UK housing quality, having an impact on respiratory infection-related complexities, and supporting research contributions for further public healthcare intervention regarding the same (Braun and Clarke, 2019).</w:t>
      </w:r>
    </w:p>
    <w:p w14:paraId="76E59437" w14:textId="77777777" w:rsidR="0038718A" w:rsidRDefault="00BF184A">
      <w:pPr>
        <w:pStyle w:val="Heading2"/>
      </w:pPr>
      <w:bookmarkStart w:id="98" w:name="_4fimkuhgnqh5" w:colFirst="0" w:colLast="0"/>
      <w:bookmarkStart w:id="99" w:name="_Toc220324646"/>
      <w:bookmarkEnd w:id="98"/>
      <w:r>
        <w:t>3.5 Ethical Considerations</w:t>
      </w:r>
      <w:bookmarkEnd w:id="99"/>
    </w:p>
    <w:p w14:paraId="607403D4" w14:textId="77777777" w:rsidR="0038718A" w:rsidRDefault="00BF184A">
      <w:pPr>
        <w:spacing w:before="200"/>
      </w:pPr>
      <w:r>
        <w:t xml:space="preserve">On account of incorporating secondary qualitative research articles for a systematic literature review synthesis, this research abides by the critical ethical considerations, Fair use of public information, and due diligence on preventing researcher bias in its interpretation by cross-referencing and critical evaluation of the research against the stated objectives (Suri, 2020). As for GDPR compliance, the research has secured the relevant documentation and datasets in an encrypted device and is awaiting disposal as the research has been successfully submitted (Peloquin </w:t>
      </w:r>
      <w:r>
        <w:rPr>
          <w:i/>
          <w:iCs/>
        </w:rPr>
        <w:t>et al.</w:t>
      </w:r>
      <w:r>
        <w:t xml:space="preserve"> 2020).</w:t>
      </w:r>
    </w:p>
    <w:p w14:paraId="5DC3D3F9" w14:textId="77777777" w:rsidR="0038718A" w:rsidRDefault="00BF184A">
      <w:pPr>
        <w:pStyle w:val="Heading2"/>
      </w:pPr>
      <w:bookmarkStart w:id="100" w:name="_qrj6vatvmme2" w:colFirst="0" w:colLast="0"/>
      <w:bookmarkStart w:id="101" w:name="_Toc220324647"/>
      <w:bookmarkEnd w:id="100"/>
      <w:r>
        <w:t>3.6 Methodical Limitations</w:t>
      </w:r>
      <w:bookmarkEnd w:id="101"/>
    </w:p>
    <w:p w14:paraId="3CA7F03E" w14:textId="77777777" w:rsidR="0038718A" w:rsidRDefault="00BF184A">
      <w:r>
        <w:t>Despite contributing towards a more robust subject of healthcare intervention by contextualising housing quality with respiratory infection-related challenges in the UK, this research is methodologically limited in its ability to contribute to the research domain by utilising primary participant data. This research has observed limitations in the scope of synthesis, incorporating a final sample of 10 articles, which affects generalizability and reliability.</w:t>
      </w:r>
    </w:p>
    <w:p w14:paraId="11B84CDF" w14:textId="7C2EC190" w:rsidR="0038718A" w:rsidRDefault="0038718A">
      <w:pPr>
        <w:rPr>
          <w:b/>
          <w:bCs/>
        </w:rPr>
      </w:pPr>
    </w:p>
    <w:p w14:paraId="6669D263" w14:textId="77777777" w:rsidR="0038718A" w:rsidRDefault="00BF184A">
      <w:pPr>
        <w:pStyle w:val="Heading1"/>
        <w:ind w:left="0" w:firstLine="0"/>
        <w:rPr>
          <w:sz w:val="24"/>
          <w:szCs w:val="24"/>
        </w:rPr>
      </w:pPr>
      <w:bookmarkStart w:id="102" w:name="_qmqmy1y0b2hv" w:colFirst="0" w:colLast="0"/>
      <w:bookmarkStart w:id="103" w:name="_Toc220324648"/>
      <w:bookmarkEnd w:id="102"/>
      <w:r>
        <w:rPr>
          <w:sz w:val="24"/>
          <w:szCs w:val="24"/>
        </w:rPr>
        <w:t>Chapter 4: Results</w:t>
      </w:r>
      <w:bookmarkEnd w:id="103"/>
    </w:p>
    <w:p w14:paraId="04B915D5" w14:textId="77777777" w:rsidR="0038718A" w:rsidRDefault="00BF184A">
      <w:pPr>
        <w:pStyle w:val="Heading2"/>
      </w:pPr>
      <w:bookmarkStart w:id="104" w:name="_wbwo92wr5yv4" w:colFirst="0" w:colLast="0"/>
      <w:bookmarkStart w:id="105" w:name="_Toc220324649"/>
      <w:bookmarkEnd w:id="104"/>
      <w:r>
        <w:t>4.1 Introduction</w:t>
      </w:r>
      <w:bookmarkEnd w:id="105"/>
    </w:p>
    <w:p w14:paraId="4B873524" w14:textId="77777777" w:rsidR="0038718A" w:rsidRDefault="00BF184A">
      <w:r>
        <w:t>The results in this section describe the findings about inadequate housing and Respiratory Infections in adolescents living in the UK. Emerging themes are presented in terms of microbiological risk, public health and social care implications. Characteristics from the selected research papers are presented in discussing how housing affects residents' health; they consist of repeating patterns, issues of concern, and linked factors that affect families and adolescent residents' risk of exposure to illnesses related to housing. To start, the results from the systematic review using the PRISMA flow diagram are discussed.</w:t>
      </w:r>
    </w:p>
    <w:p w14:paraId="1D0E78BA" w14:textId="77777777" w:rsidR="0038718A" w:rsidRDefault="00BF184A">
      <w:pPr>
        <w:pStyle w:val="Heading2"/>
      </w:pPr>
      <w:bookmarkStart w:id="106" w:name="_svx1tqm1k3ox" w:colFirst="0" w:colLast="0"/>
      <w:bookmarkStart w:id="107" w:name="_Toc220324650"/>
      <w:bookmarkEnd w:id="106"/>
      <w:r>
        <w:t>4.2 Overview of Prisma</w:t>
      </w:r>
      <w:bookmarkEnd w:id="107"/>
    </w:p>
    <w:p w14:paraId="4F3A3875" w14:textId="77777777" w:rsidR="0038718A" w:rsidRDefault="00BF184A">
      <w:pPr>
        <w:spacing w:before="200"/>
      </w:pPr>
      <w:r>
        <w:t xml:space="preserve">This is where the Prisma framework offers valuable clarity in outlining the data collection, filtration, and screening process in the search strategy (Sarkis-Onofre </w:t>
      </w:r>
      <w:r>
        <w:rPr>
          <w:i/>
          <w:iCs/>
        </w:rPr>
        <w:t>et al.</w:t>
      </w:r>
      <w:r>
        <w:t xml:space="preserve"> 2021). The PRISMA framework outlined in Figure 4.1 below showcases an overview of how the articles were reduced to the final set of 10 papers using the set of inclusion and exclusion criteria, as well as further observational screening of other literature. </w:t>
      </w:r>
    </w:p>
    <w:p w14:paraId="0794C5E3" w14:textId="77777777" w:rsidR="0038718A" w:rsidRDefault="00BF184A">
      <w:pPr>
        <w:spacing w:after="169"/>
      </w:pPr>
      <w:r>
        <w:t>The initial screening accepted 172 articles that could be realistically screened for further refinement to a manageable number of articles to be reviewed systematically. This led to the removal of duplicates of around 38 papers, which were found commonly across the databases. 11 records were found with irrelevant contributions not relevant to the research findings, despite having an initial scope-specific relevance. Paywall-related restrictions impacted eight articles, while 23 articles could not be retrieved in their full PDF version due to either technical errors or publication site-related issues. This left 90 articles, which could be further processed through the eligibility criteria, where 64 articles had to be removed due to their publication date being before 2015, while eleven had incorrect methodology that did not align with the qualitative research focus of the study. After removing the seven articles that were written in foreign languages, this left the final 10 articles that were reviewed for the research findings.</w:t>
      </w:r>
    </w:p>
    <w:p w14:paraId="71783FB9" w14:textId="77777777" w:rsidR="0038718A" w:rsidRDefault="0038718A">
      <w:pPr>
        <w:spacing w:before="200"/>
      </w:pPr>
    </w:p>
    <w:p w14:paraId="2D318722" w14:textId="77777777" w:rsidR="0038718A" w:rsidRDefault="00BF184A">
      <w:pPr>
        <w:spacing w:before="200"/>
        <w:jc w:val="center"/>
      </w:pPr>
      <w:r>
        <w:rPr>
          <w:noProof/>
        </w:rPr>
        <w:drawing>
          <wp:inline distT="114300" distB="114300" distL="114300" distR="114300" wp14:anchorId="55726948" wp14:editId="213DCC38">
            <wp:extent cx="5731200" cy="6261100"/>
            <wp:effectExtent l="0" t="0" r="0" b="0"/>
            <wp:docPr id="4"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6"/>
                    <a:srcRect/>
                    <a:stretch>
                      <a:fillRect/>
                    </a:stretch>
                  </pic:blipFill>
                  <pic:spPr>
                    <a:xfrm>
                      <a:off x="0" y="0"/>
                      <a:ext cx="5731200" cy="6261100"/>
                    </a:xfrm>
                    <a:prstGeom prst="rect">
                      <a:avLst/>
                    </a:prstGeom>
                    <a:ln/>
                  </pic:spPr>
                </pic:pic>
              </a:graphicData>
            </a:graphic>
          </wp:inline>
        </w:drawing>
      </w:r>
    </w:p>
    <w:p w14:paraId="6019DE9E" w14:textId="77777777" w:rsidR="0038718A" w:rsidRDefault="00BF184A">
      <w:pPr>
        <w:pStyle w:val="Heading4"/>
      </w:pPr>
      <w:bookmarkStart w:id="108" w:name="_Toc220324651"/>
      <w:r>
        <w:t>Figure 4.1: PRISMA Framework</w:t>
      </w:r>
      <w:bookmarkEnd w:id="108"/>
    </w:p>
    <w:p w14:paraId="5B7E473C" w14:textId="77777777" w:rsidR="0038718A" w:rsidRDefault="00BF184A">
      <w:pPr>
        <w:pStyle w:val="Heading2"/>
      </w:pPr>
      <w:bookmarkStart w:id="109" w:name="_y0e1w67ue4e9" w:colFirst="0" w:colLast="0"/>
      <w:bookmarkStart w:id="110" w:name="_Toc220324652"/>
      <w:bookmarkEnd w:id="109"/>
      <w:r>
        <w:t>4.6 Systematic literature review table for data extraction</w:t>
      </w:r>
      <w:bookmarkEnd w:id="110"/>
    </w:p>
    <w:p w14:paraId="167FC1F5" w14:textId="77777777" w:rsidR="0038718A" w:rsidRDefault="00BF184A">
      <w:r>
        <w:t>The table presents a summary of the qualitative studies included in this review, outlining their authorship, research focus, study design, sample characteristics, data collection methods, and key outcomes related to housing conditions, vulnerability, and health and well-being.</w:t>
      </w:r>
    </w:p>
    <w:tbl>
      <w:tblPr>
        <w:tblStyle w:val="a2"/>
        <w:tblW w:w="9016"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521"/>
        <w:gridCol w:w="1491"/>
        <w:gridCol w:w="1491"/>
        <w:gridCol w:w="1365"/>
        <w:gridCol w:w="1392"/>
        <w:gridCol w:w="1756"/>
      </w:tblGrid>
      <w:tr w:rsidR="0038718A" w14:paraId="11B12BA3" w14:textId="77777777">
        <w:trPr>
          <w:trHeight w:val="20"/>
        </w:trPr>
        <w:tc>
          <w:tcPr>
            <w:tcW w:w="1521" w:type="dxa"/>
            <w:tcBorders>
              <w:top w:val="single" w:sz="4" w:space="0" w:color="000000"/>
              <w:left w:val="single" w:sz="4" w:space="0" w:color="000000"/>
              <w:bottom w:val="single" w:sz="4" w:space="0" w:color="000000"/>
              <w:right w:val="single" w:sz="4" w:space="0" w:color="000000"/>
            </w:tcBorders>
            <w:shd w:val="clear" w:color="auto" w:fill="FFFFFF"/>
            <w:tcMar>
              <w:top w:w="0" w:type="dxa"/>
              <w:left w:w="100" w:type="dxa"/>
              <w:bottom w:w="0" w:type="dxa"/>
              <w:right w:w="100" w:type="dxa"/>
            </w:tcMar>
          </w:tcPr>
          <w:p w14:paraId="3E40A2D4" w14:textId="77777777" w:rsidR="0038718A" w:rsidRDefault="00BF184A">
            <w:pPr>
              <w:spacing w:after="0" w:line="276" w:lineRule="auto"/>
              <w:rPr>
                <w:b/>
                <w:bCs/>
                <w:i/>
                <w:iCs/>
                <w:sz w:val="16"/>
                <w:szCs w:val="16"/>
              </w:rPr>
            </w:pPr>
            <w:r>
              <w:rPr>
                <w:b/>
                <w:bCs/>
                <w:i/>
                <w:iCs/>
                <w:sz w:val="16"/>
                <w:szCs w:val="16"/>
              </w:rPr>
              <w:t>Author(s) &amp; Year and Title</w:t>
            </w:r>
          </w:p>
        </w:tc>
        <w:tc>
          <w:tcPr>
            <w:tcW w:w="1491" w:type="dxa"/>
            <w:tcBorders>
              <w:top w:val="single" w:sz="4" w:space="0" w:color="000000"/>
              <w:left w:val="nil"/>
              <w:bottom w:val="single" w:sz="4" w:space="0" w:color="000000"/>
              <w:right w:val="single" w:sz="4" w:space="0" w:color="000000"/>
            </w:tcBorders>
            <w:shd w:val="clear" w:color="auto" w:fill="FFFFFF"/>
            <w:tcMar>
              <w:top w:w="0" w:type="dxa"/>
              <w:left w:w="100" w:type="dxa"/>
              <w:bottom w:w="0" w:type="dxa"/>
              <w:right w:w="100" w:type="dxa"/>
            </w:tcMar>
          </w:tcPr>
          <w:p w14:paraId="50B37C27" w14:textId="77777777" w:rsidR="0038718A" w:rsidRDefault="00BF184A">
            <w:pPr>
              <w:spacing w:after="0" w:line="276" w:lineRule="auto"/>
              <w:rPr>
                <w:b/>
                <w:bCs/>
                <w:i/>
                <w:iCs/>
                <w:sz w:val="16"/>
                <w:szCs w:val="16"/>
              </w:rPr>
            </w:pPr>
            <w:r>
              <w:rPr>
                <w:b/>
                <w:bCs/>
                <w:i/>
                <w:iCs/>
                <w:sz w:val="16"/>
                <w:szCs w:val="16"/>
              </w:rPr>
              <w:t>Article name</w:t>
            </w:r>
          </w:p>
        </w:tc>
        <w:tc>
          <w:tcPr>
            <w:tcW w:w="1491" w:type="dxa"/>
            <w:tcBorders>
              <w:top w:val="single" w:sz="4" w:space="0" w:color="000000"/>
              <w:left w:val="nil"/>
              <w:bottom w:val="single" w:sz="4" w:space="0" w:color="000000"/>
              <w:right w:val="single" w:sz="4" w:space="0" w:color="000000"/>
            </w:tcBorders>
            <w:shd w:val="clear" w:color="auto" w:fill="FFFFFF"/>
            <w:tcMar>
              <w:top w:w="0" w:type="dxa"/>
              <w:left w:w="100" w:type="dxa"/>
              <w:bottom w:w="0" w:type="dxa"/>
              <w:right w:w="100" w:type="dxa"/>
            </w:tcMar>
          </w:tcPr>
          <w:p w14:paraId="10AEB58B" w14:textId="77777777" w:rsidR="0038718A" w:rsidRDefault="00BF184A">
            <w:pPr>
              <w:spacing w:after="0" w:line="276" w:lineRule="auto"/>
              <w:rPr>
                <w:b/>
                <w:bCs/>
                <w:i/>
                <w:iCs/>
                <w:sz w:val="16"/>
                <w:szCs w:val="16"/>
              </w:rPr>
            </w:pPr>
            <w:r>
              <w:rPr>
                <w:b/>
                <w:bCs/>
                <w:i/>
                <w:iCs/>
                <w:sz w:val="16"/>
                <w:szCs w:val="16"/>
              </w:rPr>
              <w:t>Study design</w:t>
            </w:r>
          </w:p>
        </w:tc>
        <w:tc>
          <w:tcPr>
            <w:tcW w:w="1365" w:type="dxa"/>
            <w:tcBorders>
              <w:top w:val="single" w:sz="4" w:space="0" w:color="000000"/>
              <w:left w:val="nil"/>
              <w:bottom w:val="single" w:sz="4" w:space="0" w:color="000000"/>
              <w:right w:val="single" w:sz="4" w:space="0" w:color="000000"/>
            </w:tcBorders>
            <w:shd w:val="clear" w:color="auto" w:fill="FFFFFF"/>
            <w:tcMar>
              <w:top w:w="0" w:type="dxa"/>
              <w:left w:w="100" w:type="dxa"/>
              <w:bottom w:w="0" w:type="dxa"/>
              <w:right w:w="100" w:type="dxa"/>
            </w:tcMar>
          </w:tcPr>
          <w:p w14:paraId="19775304" w14:textId="77777777" w:rsidR="0038718A" w:rsidRDefault="00BF184A">
            <w:pPr>
              <w:spacing w:after="0" w:line="276" w:lineRule="auto"/>
              <w:rPr>
                <w:b/>
                <w:bCs/>
                <w:i/>
                <w:iCs/>
                <w:sz w:val="16"/>
                <w:szCs w:val="16"/>
              </w:rPr>
            </w:pPr>
            <w:r>
              <w:rPr>
                <w:b/>
                <w:bCs/>
                <w:i/>
                <w:iCs/>
                <w:sz w:val="16"/>
                <w:szCs w:val="16"/>
              </w:rPr>
              <w:t>Sample</w:t>
            </w:r>
          </w:p>
        </w:tc>
        <w:tc>
          <w:tcPr>
            <w:tcW w:w="1392" w:type="dxa"/>
            <w:tcBorders>
              <w:top w:val="single" w:sz="4" w:space="0" w:color="000000"/>
              <w:left w:val="nil"/>
              <w:bottom w:val="single" w:sz="4" w:space="0" w:color="000000"/>
              <w:right w:val="single" w:sz="4" w:space="0" w:color="000000"/>
            </w:tcBorders>
            <w:shd w:val="clear" w:color="auto" w:fill="FFFFFF"/>
            <w:tcMar>
              <w:top w:w="0" w:type="dxa"/>
              <w:left w:w="100" w:type="dxa"/>
              <w:bottom w:w="0" w:type="dxa"/>
              <w:right w:w="100" w:type="dxa"/>
            </w:tcMar>
          </w:tcPr>
          <w:p w14:paraId="11B878CD" w14:textId="77777777" w:rsidR="0038718A" w:rsidRDefault="00BF184A">
            <w:pPr>
              <w:spacing w:after="0" w:line="276" w:lineRule="auto"/>
              <w:rPr>
                <w:b/>
                <w:bCs/>
                <w:i/>
                <w:iCs/>
                <w:sz w:val="16"/>
                <w:szCs w:val="16"/>
              </w:rPr>
            </w:pPr>
            <w:r>
              <w:rPr>
                <w:b/>
                <w:bCs/>
                <w:i/>
                <w:iCs/>
                <w:sz w:val="16"/>
                <w:szCs w:val="16"/>
              </w:rPr>
              <w:t>Data Collection Method</w:t>
            </w:r>
          </w:p>
        </w:tc>
        <w:tc>
          <w:tcPr>
            <w:tcW w:w="1756" w:type="dxa"/>
            <w:tcBorders>
              <w:top w:val="single" w:sz="4" w:space="0" w:color="000000"/>
              <w:left w:val="nil"/>
              <w:bottom w:val="single" w:sz="4" w:space="0" w:color="000000"/>
              <w:right w:val="single" w:sz="4" w:space="0" w:color="000000"/>
            </w:tcBorders>
            <w:shd w:val="clear" w:color="auto" w:fill="FFFFFF"/>
            <w:tcMar>
              <w:top w:w="0" w:type="dxa"/>
              <w:left w:w="100" w:type="dxa"/>
              <w:bottom w:w="0" w:type="dxa"/>
              <w:right w:w="100" w:type="dxa"/>
            </w:tcMar>
          </w:tcPr>
          <w:p w14:paraId="6CFF1AB9" w14:textId="77777777" w:rsidR="0038718A" w:rsidRDefault="00BF184A">
            <w:pPr>
              <w:spacing w:after="0" w:line="276" w:lineRule="auto"/>
              <w:rPr>
                <w:b/>
                <w:bCs/>
                <w:i/>
                <w:iCs/>
                <w:sz w:val="16"/>
                <w:szCs w:val="16"/>
              </w:rPr>
            </w:pPr>
            <w:r>
              <w:rPr>
                <w:b/>
                <w:bCs/>
                <w:i/>
                <w:iCs/>
                <w:sz w:val="16"/>
                <w:szCs w:val="16"/>
              </w:rPr>
              <w:t>Outcome</w:t>
            </w:r>
          </w:p>
        </w:tc>
      </w:tr>
      <w:tr w:rsidR="0038718A" w14:paraId="608D2AC9" w14:textId="77777777">
        <w:trPr>
          <w:trHeight w:val="20"/>
        </w:trPr>
        <w:tc>
          <w:tcPr>
            <w:tcW w:w="1521" w:type="dxa"/>
            <w:tcBorders>
              <w:top w:val="nil"/>
              <w:left w:val="single" w:sz="4" w:space="0" w:color="000000"/>
              <w:bottom w:val="single" w:sz="4" w:space="0" w:color="000000"/>
              <w:right w:val="single" w:sz="4" w:space="0" w:color="000000"/>
            </w:tcBorders>
            <w:tcMar>
              <w:top w:w="100" w:type="dxa"/>
              <w:left w:w="100" w:type="dxa"/>
              <w:bottom w:w="100" w:type="dxa"/>
              <w:right w:w="100" w:type="dxa"/>
            </w:tcMar>
          </w:tcPr>
          <w:p w14:paraId="54E3CC6D" w14:textId="77777777" w:rsidR="0038718A" w:rsidRDefault="00BF184A">
            <w:pPr>
              <w:spacing w:after="0" w:line="276" w:lineRule="auto"/>
              <w:rPr>
                <w:sz w:val="16"/>
                <w:szCs w:val="16"/>
              </w:rPr>
            </w:pPr>
            <w:r>
              <w:rPr>
                <w:sz w:val="16"/>
                <w:szCs w:val="16"/>
              </w:rPr>
              <w:t>Butler and Sherriff (2017)</w:t>
            </w:r>
          </w:p>
        </w:tc>
        <w:tc>
          <w:tcPr>
            <w:tcW w:w="1491" w:type="dxa"/>
            <w:tcBorders>
              <w:top w:val="nil"/>
              <w:left w:val="nil"/>
              <w:bottom w:val="single" w:sz="4" w:space="0" w:color="000000"/>
              <w:right w:val="single" w:sz="4" w:space="0" w:color="000000"/>
            </w:tcBorders>
            <w:tcMar>
              <w:top w:w="100" w:type="dxa"/>
              <w:left w:w="100" w:type="dxa"/>
              <w:bottom w:w="100" w:type="dxa"/>
              <w:right w:w="100" w:type="dxa"/>
            </w:tcMar>
          </w:tcPr>
          <w:p w14:paraId="422664FD" w14:textId="77777777" w:rsidR="0038718A" w:rsidRDefault="00BF184A">
            <w:pPr>
              <w:spacing w:after="0" w:line="276" w:lineRule="auto"/>
              <w:rPr>
                <w:sz w:val="16"/>
                <w:szCs w:val="16"/>
              </w:rPr>
            </w:pPr>
            <w:r>
              <w:rPr>
                <w:sz w:val="16"/>
                <w:szCs w:val="16"/>
              </w:rPr>
              <w:t>'It's normal to have damp': Using a qualitative psychological approach to analyse the lived experience of energy vulnerability among young adult households.</w:t>
            </w:r>
          </w:p>
        </w:tc>
        <w:tc>
          <w:tcPr>
            <w:tcW w:w="1491" w:type="dxa"/>
            <w:tcBorders>
              <w:top w:val="nil"/>
              <w:left w:val="nil"/>
              <w:bottom w:val="single" w:sz="4" w:space="0" w:color="000000"/>
              <w:right w:val="single" w:sz="4" w:space="0" w:color="000000"/>
            </w:tcBorders>
            <w:tcMar>
              <w:top w:w="100" w:type="dxa"/>
              <w:left w:w="100" w:type="dxa"/>
              <w:bottom w:w="100" w:type="dxa"/>
              <w:right w:w="100" w:type="dxa"/>
            </w:tcMar>
          </w:tcPr>
          <w:p w14:paraId="55FD0D42" w14:textId="77777777" w:rsidR="0038718A" w:rsidRDefault="00BF184A">
            <w:pPr>
              <w:spacing w:after="0" w:line="276" w:lineRule="auto"/>
              <w:rPr>
                <w:sz w:val="16"/>
                <w:szCs w:val="16"/>
              </w:rPr>
            </w:pPr>
            <w:r>
              <w:rPr>
                <w:sz w:val="16"/>
                <w:szCs w:val="16"/>
              </w:rPr>
              <w:t xml:space="preserve">Qualitative interview study </w:t>
            </w:r>
          </w:p>
        </w:tc>
        <w:tc>
          <w:tcPr>
            <w:tcW w:w="1365" w:type="dxa"/>
            <w:tcBorders>
              <w:top w:val="nil"/>
              <w:left w:val="nil"/>
              <w:bottom w:val="single" w:sz="4" w:space="0" w:color="000000"/>
              <w:right w:val="single" w:sz="4" w:space="0" w:color="000000"/>
            </w:tcBorders>
            <w:tcMar>
              <w:top w:w="100" w:type="dxa"/>
              <w:left w:w="100" w:type="dxa"/>
              <w:bottom w:w="100" w:type="dxa"/>
              <w:right w:w="100" w:type="dxa"/>
            </w:tcMar>
          </w:tcPr>
          <w:p w14:paraId="67F28486" w14:textId="77777777" w:rsidR="0038718A" w:rsidRDefault="00BF184A">
            <w:pPr>
              <w:spacing w:after="0" w:line="276" w:lineRule="auto"/>
              <w:rPr>
                <w:sz w:val="16"/>
                <w:szCs w:val="16"/>
              </w:rPr>
            </w:pPr>
            <w:r>
              <w:rPr>
                <w:sz w:val="16"/>
                <w:szCs w:val="16"/>
              </w:rPr>
              <w:t>30 people</w:t>
            </w:r>
          </w:p>
        </w:tc>
        <w:tc>
          <w:tcPr>
            <w:tcW w:w="1392" w:type="dxa"/>
            <w:tcBorders>
              <w:top w:val="nil"/>
              <w:left w:val="nil"/>
              <w:bottom w:val="single" w:sz="4" w:space="0" w:color="000000"/>
              <w:right w:val="single" w:sz="4" w:space="0" w:color="000000"/>
            </w:tcBorders>
            <w:tcMar>
              <w:top w:w="100" w:type="dxa"/>
              <w:left w:w="100" w:type="dxa"/>
              <w:bottom w:w="100" w:type="dxa"/>
              <w:right w:w="100" w:type="dxa"/>
            </w:tcMar>
          </w:tcPr>
          <w:p w14:paraId="5DD309EE" w14:textId="77777777" w:rsidR="0038718A" w:rsidRDefault="00BF184A">
            <w:pPr>
              <w:spacing w:after="0" w:line="276" w:lineRule="auto"/>
              <w:rPr>
                <w:sz w:val="16"/>
                <w:szCs w:val="16"/>
              </w:rPr>
            </w:pPr>
            <w:r>
              <w:rPr>
                <w:sz w:val="16"/>
                <w:szCs w:val="16"/>
              </w:rPr>
              <w:t>Primary qualitative</w:t>
            </w:r>
          </w:p>
        </w:tc>
        <w:tc>
          <w:tcPr>
            <w:tcW w:w="1756" w:type="dxa"/>
            <w:tcBorders>
              <w:top w:val="nil"/>
              <w:left w:val="nil"/>
              <w:bottom w:val="single" w:sz="4" w:space="0" w:color="000000"/>
              <w:right w:val="single" w:sz="4" w:space="0" w:color="000000"/>
            </w:tcBorders>
            <w:tcMar>
              <w:top w:w="100" w:type="dxa"/>
              <w:left w:w="100" w:type="dxa"/>
              <w:bottom w:w="100" w:type="dxa"/>
              <w:right w:w="100" w:type="dxa"/>
            </w:tcMar>
          </w:tcPr>
          <w:p w14:paraId="0430D5F8" w14:textId="77777777" w:rsidR="0038718A" w:rsidRDefault="00BF184A">
            <w:pPr>
              <w:spacing w:after="0" w:line="276" w:lineRule="auto"/>
              <w:rPr>
                <w:sz w:val="16"/>
                <w:szCs w:val="16"/>
              </w:rPr>
            </w:pPr>
            <w:r>
              <w:rPr>
                <w:sz w:val="16"/>
                <w:szCs w:val="16"/>
              </w:rPr>
              <w:t>Participants accepted poor conditions (damp, cold, disconnection) due to fuel poverty and housing insecurity/precarity.</w:t>
            </w:r>
          </w:p>
        </w:tc>
      </w:tr>
      <w:tr w:rsidR="0038718A" w14:paraId="1EAB09AF" w14:textId="77777777">
        <w:trPr>
          <w:trHeight w:val="20"/>
        </w:trPr>
        <w:tc>
          <w:tcPr>
            <w:tcW w:w="1521" w:type="dxa"/>
            <w:tcBorders>
              <w:top w:val="nil"/>
              <w:left w:val="single" w:sz="4" w:space="0" w:color="000000"/>
              <w:bottom w:val="single" w:sz="4" w:space="0" w:color="000000"/>
              <w:right w:val="single" w:sz="4" w:space="0" w:color="000000"/>
            </w:tcBorders>
            <w:tcMar>
              <w:top w:w="100" w:type="dxa"/>
              <w:left w:w="100" w:type="dxa"/>
              <w:bottom w:w="100" w:type="dxa"/>
              <w:right w:w="100" w:type="dxa"/>
            </w:tcMar>
          </w:tcPr>
          <w:p w14:paraId="22AF5ADB" w14:textId="77777777" w:rsidR="0038718A" w:rsidRDefault="00BF184A">
            <w:pPr>
              <w:spacing w:after="0" w:line="276" w:lineRule="auto"/>
              <w:rPr>
                <w:sz w:val="16"/>
                <w:szCs w:val="16"/>
              </w:rPr>
            </w:pPr>
            <w:r>
              <w:rPr>
                <w:sz w:val="16"/>
                <w:szCs w:val="16"/>
              </w:rPr>
              <w:t>Dawes et al. (2022)</w:t>
            </w:r>
          </w:p>
        </w:tc>
        <w:tc>
          <w:tcPr>
            <w:tcW w:w="1491" w:type="dxa"/>
            <w:tcBorders>
              <w:top w:val="nil"/>
              <w:left w:val="nil"/>
              <w:bottom w:val="single" w:sz="4" w:space="0" w:color="000000"/>
              <w:right w:val="single" w:sz="4" w:space="0" w:color="000000"/>
            </w:tcBorders>
            <w:tcMar>
              <w:top w:w="100" w:type="dxa"/>
              <w:left w:w="100" w:type="dxa"/>
              <w:bottom w:w="100" w:type="dxa"/>
              <w:right w:w="100" w:type="dxa"/>
            </w:tcMar>
          </w:tcPr>
          <w:p w14:paraId="3C3D445F" w14:textId="77777777" w:rsidR="0038718A" w:rsidRDefault="00BF184A">
            <w:pPr>
              <w:spacing w:after="0" w:line="276" w:lineRule="auto"/>
              <w:rPr>
                <w:sz w:val="16"/>
                <w:szCs w:val="16"/>
              </w:rPr>
            </w:pPr>
            <w:r>
              <w:rPr>
                <w:sz w:val="16"/>
                <w:szCs w:val="16"/>
              </w:rPr>
              <w:t>The Impact of the COVID-19 Pandemic and Associated Societal Restrictions on People Experiencing Homelessness (PEH): A Qualitative Interview Study with PEH and Service Providers in the UK.</w:t>
            </w:r>
          </w:p>
        </w:tc>
        <w:tc>
          <w:tcPr>
            <w:tcW w:w="1491" w:type="dxa"/>
            <w:tcBorders>
              <w:top w:val="nil"/>
              <w:left w:val="nil"/>
              <w:bottom w:val="single" w:sz="4" w:space="0" w:color="000000"/>
              <w:right w:val="single" w:sz="4" w:space="0" w:color="000000"/>
            </w:tcBorders>
            <w:tcMar>
              <w:top w:w="100" w:type="dxa"/>
              <w:left w:w="100" w:type="dxa"/>
              <w:bottom w:w="100" w:type="dxa"/>
              <w:right w:w="100" w:type="dxa"/>
            </w:tcMar>
          </w:tcPr>
          <w:p w14:paraId="1574CEED" w14:textId="77777777" w:rsidR="0038718A" w:rsidRDefault="00BF184A">
            <w:pPr>
              <w:spacing w:after="0" w:line="276" w:lineRule="auto"/>
              <w:rPr>
                <w:sz w:val="16"/>
                <w:szCs w:val="16"/>
              </w:rPr>
            </w:pPr>
            <w:r>
              <w:rPr>
                <w:sz w:val="16"/>
                <w:szCs w:val="16"/>
              </w:rPr>
              <w:t xml:space="preserve">Qualitative interview study </w:t>
            </w:r>
          </w:p>
        </w:tc>
        <w:tc>
          <w:tcPr>
            <w:tcW w:w="1365" w:type="dxa"/>
            <w:tcBorders>
              <w:top w:val="nil"/>
              <w:left w:val="nil"/>
              <w:bottom w:val="single" w:sz="4" w:space="0" w:color="000000"/>
              <w:right w:val="single" w:sz="4" w:space="0" w:color="000000"/>
            </w:tcBorders>
            <w:tcMar>
              <w:top w:w="100" w:type="dxa"/>
              <w:left w:w="100" w:type="dxa"/>
              <w:bottom w:w="100" w:type="dxa"/>
              <w:right w:w="100" w:type="dxa"/>
            </w:tcMar>
          </w:tcPr>
          <w:p w14:paraId="3D33087B" w14:textId="77777777" w:rsidR="0038718A" w:rsidRDefault="00BF184A">
            <w:pPr>
              <w:spacing w:after="0" w:line="276" w:lineRule="auto"/>
              <w:rPr>
                <w:sz w:val="16"/>
                <w:szCs w:val="16"/>
              </w:rPr>
            </w:pPr>
            <w:r>
              <w:rPr>
                <w:sz w:val="16"/>
                <w:szCs w:val="16"/>
              </w:rPr>
              <w:t xml:space="preserve">15 people and 11 service providers </w:t>
            </w:r>
          </w:p>
        </w:tc>
        <w:tc>
          <w:tcPr>
            <w:tcW w:w="1392" w:type="dxa"/>
            <w:tcBorders>
              <w:top w:val="nil"/>
              <w:left w:val="nil"/>
              <w:bottom w:val="single" w:sz="4" w:space="0" w:color="000000"/>
              <w:right w:val="single" w:sz="4" w:space="0" w:color="000000"/>
            </w:tcBorders>
            <w:tcMar>
              <w:top w:w="100" w:type="dxa"/>
              <w:left w:w="100" w:type="dxa"/>
              <w:bottom w:w="100" w:type="dxa"/>
              <w:right w:w="100" w:type="dxa"/>
            </w:tcMar>
          </w:tcPr>
          <w:p w14:paraId="69D91ADE" w14:textId="77777777" w:rsidR="0038718A" w:rsidRDefault="00BF184A">
            <w:pPr>
              <w:spacing w:after="0" w:line="276" w:lineRule="auto"/>
              <w:rPr>
                <w:sz w:val="16"/>
                <w:szCs w:val="16"/>
              </w:rPr>
            </w:pPr>
            <w:r>
              <w:rPr>
                <w:sz w:val="16"/>
                <w:szCs w:val="16"/>
              </w:rPr>
              <w:t>Primary qualitative</w:t>
            </w:r>
          </w:p>
        </w:tc>
        <w:tc>
          <w:tcPr>
            <w:tcW w:w="1756" w:type="dxa"/>
            <w:tcBorders>
              <w:top w:val="nil"/>
              <w:left w:val="nil"/>
              <w:bottom w:val="single" w:sz="4" w:space="0" w:color="000000"/>
              <w:right w:val="single" w:sz="4" w:space="0" w:color="000000"/>
            </w:tcBorders>
            <w:tcMar>
              <w:top w:w="100" w:type="dxa"/>
              <w:left w:w="100" w:type="dxa"/>
              <w:bottom w:w="100" w:type="dxa"/>
              <w:right w:w="100" w:type="dxa"/>
            </w:tcMar>
          </w:tcPr>
          <w:p w14:paraId="48E89BBA" w14:textId="77777777" w:rsidR="0038718A" w:rsidRDefault="00BF184A">
            <w:pPr>
              <w:spacing w:after="0" w:line="276" w:lineRule="auto"/>
              <w:rPr>
                <w:sz w:val="16"/>
                <w:szCs w:val="16"/>
              </w:rPr>
            </w:pPr>
            <w:r>
              <w:rPr>
                <w:sz w:val="16"/>
                <w:szCs w:val="16"/>
              </w:rPr>
              <w:t>COVID-19 worsened mental health, isolation, and access to support for people experiencing homelessness (PEH).</w:t>
            </w:r>
          </w:p>
        </w:tc>
      </w:tr>
      <w:tr w:rsidR="0038718A" w14:paraId="271AC0B7" w14:textId="77777777">
        <w:trPr>
          <w:trHeight w:val="20"/>
        </w:trPr>
        <w:tc>
          <w:tcPr>
            <w:tcW w:w="1521" w:type="dxa"/>
            <w:tcBorders>
              <w:top w:val="nil"/>
              <w:left w:val="single" w:sz="4" w:space="0" w:color="000000"/>
              <w:bottom w:val="single" w:sz="4" w:space="0" w:color="000000"/>
              <w:right w:val="single" w:sz="4" w:space="0" w:color="000000"/>
            </w:tcBorders>
            <w:tcMar>
              <w:top w:w="100" w:type="dxa"/>
              <w:left w:w="100" w:type="dxa"/>
              <w:bottom w:w="100" w:type="dxa"/>
              <w:right w:w="100" w:type="dxa"/>
            </w:tcMar>
          </w:tcPr>
          <w:p w14:paraId="229F539F" w14:textId="77777777" w:rsidR="0038718A" w:rsidRDefault="00BF184A">
            <w:pPr>
              <w:spacing w:after="0" w:line="276" w:lineRule="auto"/>
              <w:rPr>
                <w:sz w:val="16"/>
                <w:szCs w:val="16"/>
              </w:rPr>
            </w:pPr>
            <w:r>
              <w:rPr>
                <w:sz w:val="16"/>
                <w:szCs w:val="16"/>
              </w:rPr>
              <w:t>El-Hoss et al. (2024)</w:t>
            </w:r>
          </w:p>
        </w:tc>
        <w:tc>
          <w:tcPr>
            <w:tcW w:w="1491" w:type="dxa"/>
            <w:tcBorders>
              <w:top w:val="nil"/>
              <w:left w:val="nil"/>
              <w:bottom w:val="single" w:sz="4" w:space="0" w:color="000000"/>
              <w:right w:val="single" w:sz="4" w:space="0" w:color="000000"/>
            </w:tcBorders>
            <w:tcMar>
              <w:top w:w="100" w:type="dxa"/>
              <w:left w:w="100" w:type="dxa"/>
              <w:bottom w:w="100" w:type="dxa"/>
              <w:right w:w="100" w:type="dxa"/>
            </w:tcMar>
          </w:tcPr>
          <w:p w14:paraId="5557B475" w14:textId="77777777" w:rsidR="0038718A" w:rsidRDefault="00BF184A">
            <w:pPr>
              <w:spacing w:after="0" w:line="276" w:lineRule="auto"/>
              <w:rPr>
                <w:sz w:val="16"/>
                <w:szCs w:val="16"/>
              </w:rPr>
            </w:pPr>
            <w:r>
              <w:rPr>
                <w:sz w:val="16"/>
                <w:szCs w:val="16"/>
              </w:rPr>
              <w:t>Housing and children's social care in England: learning from embedded research.</w:t>
            </w:r>
          </w:p>
        </w:tc>
        <w:tc>
          <w:tcPr>
            <w:tcW w:w="1491" w:type="dxa"/>
            <w:tcBorders>
              <w:top w:val="nil"/>
              <w:left w:val="nil"/>
              <w:bottom w:val="single" w:sz="4" w:space="0" w:color="000000"/>
              <w:right w:val="single" w:sz="4" w:space="0" w:color="000000"/>
            </w:tcBorders>
            <w:tcMar>
              <w:top w:w="100" w:type="dxa"/>
              <w:left w:w="100" w:type="dxa"/>
              <w:bottom w:w="100" w:type="dxa"/>
              <w:right w:w="100" w:type="dxa"/>
            </w:tcMar>
          </w:tcPr>
          <w:p w14:paraId="20B2C11A" w14:textId="77777777" w:rsidR="0038718A" w:rsidRDefault="00BF184A">
            <w:pPr>
              <w:spacing w:after="0" w:line="276" w:lineRule="auto"/>
              <w:rPr>
                <w:sz w:val="16"/>
                <w:szCs w:val="16"/>
              </w:rPr>
            </w:pPr>
            <w:r>
              <w:rPr>
                <w:sz w:val="16"/>
                <w:szCs w:val="16"/>
              </w:rPr>
              <w:t xml:space="preserve">Qualitative interview study </w:t>
            </w:r>
          </w:p>
        </w:tc>
        <w:tc>
          <w:tcPr>
            <w:tcW w:w="1365" w:type="dxa"/>
            <w:tcBorders>
              <w:top w:val="nil"/>
              <w:left w:val="nil"/>
              <w:bottom w:val="single" w:sz="4" w:space="0" w:color="000000"/>
              <w:right w:val="single" w:sz="4" w:space="0" w:color="000000"/>
            </w:tcBorders>
            <w:tcMar>
              <w:top w:w="100" w:type="dxa"/>
              <w:left w:w="100" w:type="dxa"/>
              <w:bottom w:w="100" w:type="dxa"/>
              <w:right w:w="100" w:type="dxa"/>
            </w:tcMar>
          </w:tcPr>
          <w:p w14:paraId="04A6B8B3" w14:textId="77777777" w:rsidR="0038718A" w:rsidRDefault="00BF184A">
            <w:pPr>
              <w:spacing w:after="0" w:line="276" w:lineRule="auto"/>
              <w:rPr>
                <w:sz w:val="16"/>
                <w:szCs w:val="16"/>
              </w:rPr>
            </w:pPr>
            <w:r>
              <w:rPr>
                <w:sz w:val="16"/>
                <w:szCs w:val="16"/>
              </w:rPr>
              <w:t xml:space="preserve">12 people </w:t>
            </w:r>
          </w:p>
        </w:tc>
        <w:tc>
          <w:tcPr>
            <w:tcW w:w="1392" w:type="dxa"/>
            <w:tcBorders>
              <w:top w:val="nil"/>
              <w:left w:val="nil"/>
              <w:bottom w:val="single" w:sz="4" w:space="0" w:color="000000"/>
              <w:right w:val="single" w:sz="4" w:space="0" w:color="000000"/>
            </w:tcBorders>
            <w:tcMar>
              <w:top w:w="100" w:type="dxa"/>
              <w:left w:w="100" w:type="dxa"/>
              <w:bottom w:w="100" w:type="dxa"/>
              <w:right w:w="100" w:type="dxa"/>
            </w:tcMar>
          </w:tcPr>
          <w:p w14:paraId="0B084BA0" w14:textId="77777777" w:rsidR="0038718A" w:rsidRDefault="00BF184A">
            <w:pPr>
              <w:spacing w:after="0" w:line="276" w:lineRule="auto"/>
              <w:rPr>
                <w:sz w:val="16"/>
                <w:szCs w:val="16"/>
              </w:rPr>
            </w:pPr>
            <w:r>
              <w:rPr>
                <w:sz w:val="16"/>
                <w:szCs w:val="16"/>
              </w:rPr>
              <w:t>Primary qualitative</w:t>
            </w:r>
          </w:p>
        </w:tc>
        <w:tc>
          <w:tcPr>
            <w:tcW w:w="1756" w:type="dxa"/>
            <w:tcBorders>
              <w:top w:val="nil"/>
              <w:left w:val="nil"/>
              <w:bottom w:val="single" w:sz="4" w:space="0" w:color="000000"/>
              <w:right w:val="single" w:sz="4" w:space="0" w:color="000000"/>
            </w:tcBorders>
            <w:tcMar>
              <w:top w:w="100" w:type="dxa"/>
              <w:left w:w="100" w:type="dxa"/>
              <w:bottom w:w="100" w:type="dxa"/>
              <w:right w:w="100" w:type="dxa"/>
            </w:tcMar>
          </w:tcPr>
          <w:p w14:paraId="5849ED20" w14:textId="77777777" w:rsidR="0038718A" w:rsidRDefault="00BF184A">
            <w:pPr>
              <w:spacing w:after="0" w:line="276" w:lineRule="auto"/>
              <w:rPr>
                <w:sz w:val="16"/>
                <w:szCs w:val="16"/>
              </w:rPr>
            </w:pPr>
            <w:r>
              <w:rPr>
                <w:sz w:val="16"/>
                <w:szCs w:val="16"/>
              </w:rPr>
              <w:t>Poor housing is critically linked to children's social care; practice needs to be housing-aware and trauma-informed.</w:t>
            </w:r>
          </w:p>
        </w:tc>
      </w:tr>
      <w:tr w:rsidR="0038718A" w14:paraId="548533C0" w14:textId="77777777">
        <w:trPr>
          <w:trHeight w:val="20"/>
        </w:trPr>
        <w:tc>
          <w:tcPr>
            <w:tcW w:w="1521" w:type="dxa"/>
            <w:tcBorders>
              <w:top w:val="nil"/>
              <w:left w:val="single" w:sz="4" w:space="0" w:color="000000"/>
              <w:bottom w:val="single" w:sz="4" w:space="0" w:color="000000"/>
              <w:right w:val="single" w:sz="4" w:space="0" w:color="000000"/>
            </w:tcBorders>
            <w:tcMar>
              <w:top w:w="100" w:type="dxa"/>
              <w:left w:w="100" w:type="dxa"/>
              <w:bottom w:w="100" w:type="dxa"/>
              <w:right w:w="100" w:type="dxa"/>
            </w:tcMar>
          </w:tcPr>
          <w:p w14:paraId="485FE906" w14:textId="77777777" w:rsidR="0038718A" w:rsidRDefault="00BF184A">
            <w:pPr>
              <w:spacing w:after="0" w:line="276" w:lineRule="auto"/>
              <w:rPr>
                <w:sz w:val="16"/>
                <w:szCs w:val="16"/>
              </w:rPr>
            </w:pPr>
            <w:r>
              <w:rPr>
                <w:sz w:val="16"/>
                <w:szCs w:val="16"/>
              </w:rPr>
              <w:t>McKee, K. and Harris (2025)</w:t>
            </w:r>
          </w:p>
        </w:tc>
        <w:tc>
          <w:tcPr>
            <w:tcW w:w="1491" w:type="dxa"/>
            <w:tcBorders>
              <w:top w:val="nil"/>
              <w:left w:val="nil"/>
              <w:bottom w:val="single" w:sz="4" w:space="0" w:color="000000"/>
              <w:right w:val="single" w:sz="4" w:space="0" w:color="000000"/>
            </w:tcBorders>
            <w:tcMar>
              <w:top w:w="100" w:type="dxa"/>
              <w:left w:w="100" w:type="dxa"/>
              <w:bottom w:w="100" w:type="dxa"/>
              <w:right w:w="100" w:type="dxa"/>
            </w:tcMar>
          </w:tcPr>
          <w:p w14:paraId="227B5C08" w14:textId="77777777" w:rsidR="0038718A" w:rsidRDefault="00BF184A">
            <w:pPr>
              <w:spacing w:after="0" w:line="276" w:lineRule="auto"/>
              <w:rPr>
                <w:sz w:val="16"/>
                <w:szCs w:val="16"/>
              </w:rPr>
            </w:pPr>
            <w:r>
              <w:rPr>
                <w:sz w:val="16"/>
                <w:szCs w:val="16"/>
              </w:rPr>
              <w:t>The role of landlords in shaping private renters’ uneven experiences of home: towards a relational approach.</w:t>
            </w:r>
          </w:p>
        </w:tc>
        <w:tc>
          <w:tcPr>
            <w:tcW w:w="1491" w:type="dxa"/>
            <w:tcBorders>
              <w:top w:val="nil"/>
              <w:left w:val="nil"/>
              <w:bottom w:val="single" w:sz="4" w:space="0" w:color="000000"/>
              <w:right w:val="single" w:sz="4" w:space="0" w:color="000000"/>
            </w:tcBorders>
            <w:tcMar>
              <w:top w:w="100" w:type="dxa"/>
              <w:left w:w="100" w:type="dxa"/>
              <w:bottom w:w="100" w:type="dxa"/>
              <w:right w:w="100" w:type="dxa"/>
            </w:tcMar>
          </w:tcPr>
          <w:p w14:paraId="71865201" w14:textId="77777777" w:rsidR="0038718A" w:rsidRDefault="00BF184A">
            <w:pPr>
              <w:spacing w:after="0" w:line="276" w:lineRule="auto"/>
              <w:rPr>
                <w:sz w:val="16"/>
                <w:szCs w:val="16"/>
              </w:rPr>
            </w:pPr>
            <w:r>
              <w:rPr>
                <w:sz w:val="16"/>
                <w:szCs w:val="16"/>
              </w:rPr>
              <w:t xml:space="preserve">Qualitative interview study </w:t>
            </w:r>
          </w:p>
        </w:tc>
        <w:tc>
          <w:tcPr>
            <w:tcW w:w="1365" w:type="dxa"/>
            <w:tcBorders>
              <w:top w:val="nil"/>
              <w:left w:val="nil"/>
              <w:bottom w:val="single" w:sz="4" w:space="0" w:color="000000"/>
              <w:right w:val="single" w:sz="4" w:space="0" w:color="000000"/>
            </w:tcBorders>
            <w:tcMar>
              <w:top w:w="100" w:type="dxa"/>
              <w:left w:w="100" w:type="dxa"/>
              <w:bottom w:w="100" w:type="dxa"/>
              <w:right w:w="100" w:type="dxa"/>
            </w:tcMar>
          </w:tcPr>
          <w:p w14:paraId="4904EBEB" w14:textId="77777777" w:rsidR="0038718A" w:rsidRDefault="00BF184A">
            <w:pPr>
              <w:spacing w:after="0" w:line="276" w:lineRule="auto"/>
              <w:rPr>
                <w:sz w:val="16"/>
                <w:szCs w:val="16"/>
              </w:rPr>
            </w:pPr>
            <w:r>
              <w:rPr>
                <w:sz w:val="16"/>
                <w:szCs w:val="16"/>
              </w:rPr>
              <w:t xml:space="preserve">53 people </w:t>
            </w:r>
          </w:p>
        </w:tc>
        <w:tc>
          <w:tcPr>
            <w:tcW w:w="1392" w:type="dxa"/>
            <w:tcBorders>
              <w:top w:val="nil"/>
              <w:left w:val="nil"/>
              <w:bottom w:val="single" w:sz="4" w:space="0" w:color="000000"/>
              <w:right w:val="single" w:sz="4" w:space="0" w:color="000000"/>
            </w:tcBorders>
            <w:tcMar>
              <w:top w:w="100" w:type="dxa"/>
              <w:left w:w="100" w:type="dxa"/>
              <w:bottom w:w="100" w:type="dxa"/>
              <w:right w:w="100" w:type="dxa"/>
            </w:tcMar>
          </w:tcPr>
          <w:p w14:paraId="5CDB8470" w14:textId="77777777" w:rsidR="0038718A" w:rsidRDefault="00BF184A">
            <w:pPr>
              <w:spacing w:after="0" w:line="276" w:lineRule="auto"/>
              <w:rPr>
                <w:sz w:val="16"/>
                <w:szCs w:val="16"/>
              </w:rPr>
            </w:pPr>
            <w:r>
              <w:rPr>
                <w:sz w:val="16"/>
                <w:szCs w:val="16"/>
              </w:rPr>
              <w:t>Primary qualitative</w:t>
            </w:r>
          </w:p>
        </w:tc>
        <w:tc>
          <w:tcPr>
            <w:tcW w:w="1756" w:type="dxa"/>
            <w:tcBorders>
              <w:top w:val="nil"/>
              <w:left w:val="nil"/>
              <w:bottom w:val="single" w:sz="4" w:space="0" w:color="000000"/>
              <w:right w:val="single" w:sz="4" w:space="0" w:color="000000"/>
            </w:tcBorders>
            <w:tcMar>
              <w:top w:w="100" w:type="dxa"/>
              <w:left w:w="100" w:type="dxa"/>
              <w:bottom w:w="100" w:type="dxa"/>
              <w:right w:w="100" w:type="dxa"/>
            </w:tcMar>
          </w:tcPr>
          <w:p w14:paraId="6C74B65E" w14:textId="77777777" w:rsidR="0038718A" w:rsidRDefault="00BF184A">
            <w:pPr>
              <w:spacing w:after="0" w:line="276" w:lineRule="auto"/>
              <w:rPr>
                <w:sz w:val="16"/>
                <w:szCs w:val="16"/>
              </w:rPr>
            </w:pPr>
            <w:r>
              <w:rPr>
                <w:sz w:val="16"/>
                <w:szCs w:val="16"/>
              </w:rPr>
              <w:t>Landlord behaviour, communication, and discretion significantly impact tenants' feelings of security and belonging in rented homes.</w:t>
            </w:r>
          </w:p>
        </w:tc>
      </w:tr>
      <w:tr w:rsidR="0038718A" w14:paraId="1D9C9790" w14:textId="77777777">
        <w:trPr>
          <w:trHeight w:val="20"/>
        </w:trPr>
        <w:tc>
          <w:tcPr>
            <w:tcW w:w="1521" w:type="dxa"/>
            <w:tcBorders>
              <w:top w:val="nil"/>
              <w:left w:val="single" w:sz="4" w:space="0" w:color="000000"/>
              <w:bottom w:val="single" w:sz="4" w:space="0" w:color="000000"/>
              <w:right w:val="single" w:sz="4" w:space="0" w:color="000000"/>
            </w:tcBorders>
            <w:tcMar>
              <w:top w:w="100" w:type="dxa"/>
              <w:left w:w="100" w:type="dxa"/>
              <w:bottom w:w="100" w:type="dxa"/>
              <w:right w:w="100" w:type="dxa"/>
            </w:tcMar>
          </w:tcPr>
          <w:p w14:paraId="151F337B" w14:textId="77777777" w:rsidR="0038718A" w:rsidRDefault="00BF184A">
            <w:pPr>
              <w:spacing w:after="0" w:line="276" w:lineRule="auto"/>
              <w:rPr>
                <w:sz w:val="16"/>
                <w:szCs w:val="16"/>
              </w:rPr>
            </w:pPr>
            <w:r>
              <w:rPr>
                <w:sz w:val="16"/>
                <w:szCs w:val="16"/>
              </w:rPr>
              <w:t>McClatchey et al. (2024)</w:t>
            </w:r>
          </w:p>
        </w:tc>
        <w:tc>
          <w:tcPr>
            <w:tcW w:w="1491" w:type="dxa"/>
            <w:tcBorders>
              <w:top w:val="nil"/>
              <w:left w:val="nil"/>
              <w:bottom w:val="single" w:sz="4" w:space="0" w:color="000000"/>
              <w:right w:val="single" w:sz="4" w:space="0" w:color="000000"/>
            </w:tcBorders>
            <w:tcMar>
              <w:top w:w="100" w:type="dxa"/>
              <w:left w:w="100" w:type="dxa"/>
              <w:bottom w:w="100" w:type="dxa"/>
              <w:right w:w="100" w:type="dxa"/>
            </w:tcMar>
          </w:tcPr>
          <w:p w14:paraId="6906AA48" w14:textId="77777777" w:rsidR="0038718A" w:rsidRDefault="00BF184A">
            <w:pPr>
              <w:spacing w:after="0" w:line="276" w:lineRule="auto"/>
              <w:rPr>
                <w:sz w:val="16"/>
                <w:szCs w:val="16"/>
              </w:rPr>
            </w:pPr>
            <w:r>
              <w:rPr>
                <w:sz w:val="16"/>
                <w:szCs w:val="16"/>
              </w:rPr>
              <w:t>Local government interventions for improving the health and well-being of tenants in private rented housing: developing initial program theory to inform evaluation in the United Kingdom.</w:t>
            </w:r>
          </w:p>
        </w:tc>
        <w:tc>
          <w:tcPr>
            <w:tcW w:w="1491" w:type="dxa"/>
            <w:tcBorders>
              <w:top w:val="nil"/>
              <w:left w:val="nil"/>
              <w:bottom w:val="single" w:sz="4" w:space="0" w:color="000000"/>
              <w:right w:val="single" w:sz="4" w:space="0" w:color="000000"/>
            </w:tcBorders>
            <w:tcMar>
              <w:top w:w="100" w:type="dxa"/>
              <w:left w:w="100" w:type="dxa"/>
              <w:bottom w:w="100" w:type="dxa"/>
              <w:right w:w="100" w:type="dxa"/>
            </w:tcMar>
          </w:tcPr>
          <w:p w14:paraId="3FBF79A0" w14:textId="77777777" w:rsidR="0038718A" w:rsidRDefault="00BF184A">
            <w:pPr>
              <w:spacing w:after="0" w:line="276" w:lineRule="auto"/>
              <w:rPr>
                <w:sz w:val="16"/>
                <w:szCs w:val="16"/>
              </w:rPr>
            </w:pPr>
            <w:r>
              <w:rPr>
                <w:sz w:val="16"/>
                <w:szCs w:val="16"/>
              </w:rPr>
              <w:t xml:space="preserve">Qualitative interview study </w:t>
            </w:r>
          </w:p>
        </w:tc>
        <w:tc>
          <w:tcPr>
            <w:tcW w:w="1365" w:type="dxa"/>
            <w:tcBorders>
              <w:top w:val="nil"/>
              <w:left w:val="nil"/>
              <w:bottom w:val="single" w:sz="4" w:space="0" w:color="000000"/>
              <w:right w:val="single" w:sz="4" w:space="0" w:color="000000"/>
            </w:tcBorders>
            <w:tcMar>
              <w:top w:w="100" w:type="dxa"/>
              <w:left w:w="100" w:type="dxa"/>
              <w:bottom w:w="100" w:type="dxa"/>
              <w:right w:w="100" w:type="dxa"/>
            </w:tcMar>
          </w:tcPr>
          <w:p w14:paraId="2FA9D76D" w14:textId="77777777" w:rsidR="0038718A" w:rsidRDefault="00BF184A">
            <w:pPr>
              <w:spacing w:after="0" w:line="276" w:lineRule="auto"/>
              <w:rPr>
                <w:sz w:val="16"/>
                <w:szCs w:val="16"/>
              </w:rPr>
            </w:pPr>
            <w:r>
              <w:rPr>
                <w:sz w:val="16"/>
                <w:szCs w:val="16"/>
              </w:rPr>
              <w:t xml:space="preserve">11 people </w:t>
            </w:r>
          </w:p>
        </w:tc>
        <w:tc>
          <w:tcPr>
            <w:tcW w:w="1392" w:type="dxa"/>
            <w:tcBorders>
              <w:top w:val="nil"/>
              <w:left w:val="nil"/>
              <w:bottom w:val="single" w:sz="4" w:space="0" w:color="000000"/>
              <w:right w:val="single" w:sz="4" w:space="0" w:color="000000"/>
            </w:tcBorders>
            <w:tcMar>
              <w:top w:w="100" w:type="dxa"/>
              <w:left w:w="100" w:type="dxa"/>
              <w:bottom w:w="100" w:type="dxa"/>
              <w:right w:w="100" w:type="dxa"/>
            </w:tcMar>
          </w:tcPr>
          <w:p w14:paraId="21BA4472" w14:textId="77777777" w:rsidR="0038718A" w:rsidRDefault="00BF184A">
            <w:pPr>
              <w:spacing w:after="0" w:line="276" w:lineRule="auto"/>
              <w:rPr>
                <w:sz w:val="16"/>
                <w:szCs w:val="16"/>
              </w:rPr>
            </w:pPr>
            <w:r>
              <w:rPr>
                <w:sz w:val="16"/>
                <w:szCs w:val="16"/>
              </w:rPr>
              <w:t>Primary qualitative</w:t>
            </w:r>
          </w:p>
        </w:tc>
        <w:tc>
          <w:tcPr>
            <w:tcW w:w="1756" w:type="dxa"/>
            <w:tcBorders>
              <w:top w:val="nil"/>
              <w:left w:val="nil"/>
              <w:bottom w:val="single" w:sz="4" w:space="0" w:color="000000"/>
              <w:right w:val="single" w:sz="4" w:space="0" w:color="000000"/>
            </w:tcBorders>
            <w:tcMar>
              <w:top w:w="100" w:type="dxa"/>
              <w:left w:w="100" w:type="dxa"/>
              <w:bottom w:w="100" w:type="dxa"/>
              <w:right w:w="100" w:type="dxa"/>
            </w:tcMar>
          </w:tcPr>
          <w:p w14:paraId="01E086B6" w14:textId="77777777" w:rsidR="0038718A" w:rsidRDefault="00BF184A">
            <w:pPr>
              <w:spacing w:after="0" w:line="276" w:lineRule="auto"/>
              <w:rPr>
                <w:sz w:val="16"/>
                <w:szCs w:val="16"/>
              </w:rPr>
            </w:pPr>
            <w:r>
              <w:rPr>
                <w:sz w:val="16"/>
                <w:szCs w:val="16"/>
              </w:rPr>
              <w:t>Initial Programme Theories (IPTs) were developed for local government action to improve Private Rented Sector (PRS) housing quality.</w:t>
            </w:r>
          </w:p>
        </w:tc>
      </w:tr>
      <w:tr w:rsidR="0038718A" w14:paraId="5709839B" w14:textId="77777777">
        <w:trPr>
          <w:trHeight w:val="20"/>
        </w:trPr>
        <w:tc>
          <w:tcPr>
            <w:tcW w:w="1521" w:type="dxa"/>
            <w:tcBorders>
              <w:top w:val="nil"/>
              <w:left w:val="single" w:sz="4" w:space="0" w:color="000000"/>
              <w:bottom w:val="single" w:sz="4" w:space="0" w:color="000000"/>
              <w:right w:val="single" w:sz="4" w:space="0" w:color="000000"/>
            </w:tcBorders>
            <w:tcMar>
              <w:top w:w="100" w:type="dxa"/>
              <w:left w:w="100" w:type="dxa"/>
              <w:bottom w:w="100" w:type="dxa"/>
              <w:right w:w="100" w:type="dxa"/>
            </w:tcMar>
          </w:tcPr>
          <w:p w14:paraId="1B6F1F92" w14:textId="77777777" w:rsidR="0038718A" w:rsidRDefault="00BF184A">
            <w:pPr>
              <w:spacing w:after="0" w:line="276" w:lineRule="auto"/>
              <w:rPr>
                <w:sz w:val="16"/>
                <w:szCs w:val="16"/>
              </w:rPr>
            </w:pPr>
            <w:r>
              <w:rPr>
                <w:sz w:val="16"/>
                <w:szCs w:val="16"/>
              </w:rPr>
              <w:t>Phillips et al. (2024)</w:t>
            </w:r>
          </w:p>
        </w:tc>
        <w:tc>
          <w:tcPr>
            <w:tcW w:w="1491" w:type="dxa"/>
            <w:tcBorders>
              <w:top w:val="nil"/>
              <w:left w:val="nil"/>
              <w:bottom w:val="single" w:sz="4" w:space="0" w:color="000000"/>
              <w:right w:val="single" w:sz="4" w:space="0" w:color="000000"/>
            </w:tcBorders>
            <w:tcMar>
              <w:top w:w="100" w:type="dxa"/>
              <w:left w:w="100" w:type="dxa"/>
              <w:bottom w:w="100" w:type="dxa"/>
              <w:right w:w="100" w:type="dxa"/>
            </w:tcMar>
          </w:tcPr>
          <w:p w14:paraId="111AED9F" w14:textId="77777777" w:rsidR="0038718A" w:rsidRDefault="00BF184A">
            <w:pPr>
              <w:spacing w:after="0" w:line="276" w:lineRule="auto"/>
              <w:rPr>
                <w:sz w:val="16"/>
                <w:szCs w:val="16"/>
              </w:rPr>
            </w:pPr>
            <w:r>
              <w:rPr>
                <w:sz w:val="16"/>
                <w:szCs w:val="16"/>
              </w:rPr>
              <w:t>Bringing the voice of social housing tenants into shaping the health and care research agenda.</w:t>
            </w:r>
          </w:p>
        </w:tc>
        <w:tc>
          <w:tcPr>
            <w:tcW w:w="1491" w:type="dxa"/>
            <w:tcBorders>
              <w:top w:val="nil"/>
              <w:left w:val="nil"/>
              <w:bottom w:val="single" w:sz="4" w:space="0" w:color="000000"/>
              <w:right w:val="single" w:sz="4" w:space="0" w:color="000000"/>
            </w:tcBorders>
            <w:tcMar>
              <w:top w:w="100" w:type="dxa"/>
              <w:left w:w="100" w:type="dxa"/>
              <w:bottom w:w="100" w:type="dxa"/>
              <w:right w:w="100" w:type="dxa"/>
            </w:tcMar>
          </w:tcPr>
          <w:p w14:paraId="511AAE79" w14:textId="77777777" w:rsidR="0038718A" w:rsidRDefault="00BF184A">
            <w:pPr>
              <w:spacing w:after="0" w:line="276" w:lineRule="auto"/>
              <w:rPr>
                <w:sz w:val="16"/>
                <w:szCs w:val="16"/>
              </w:rPr>
            </w:pPr>
            <w:r>
              <w:rPr>
                <w:sz w:val="16"/>
                <w:szCs w:val="16"/>
              </w:rPr>
              <w:t xml:space="preserve">Qualitative interview study </w:t>
            </w:r>
          </w:p>
        </w:tc>
        <w:tc>
          <w:tcPr>
            <w:tcW w:w="1365" w:type="dxa"/>
            <w:tcBorders>
              <w:top w:val="nil"/>
              <w:left w:val="nil"/>
              <w:bottom w:val="single" w:sz="4" w:space="0" w:color="000000"/>
              <w:right w:val="single" w:sz="4" w:space="0" w:color="000000"/>
            </w:tcBorders>
            <w:tcMar>
              <w:top w:w="100" w:type="dxa"/>
              <w:left w:w="100" w:type="dxa"/>
              <w:bottom w:w="100" w:type="dxa"/>
              <w:right w:w="100" w:type="dxa"/>
            </w:tcMar>
          </w:tcPr>
          <w:p w14:paraId="07A43D44" w14:textId="77777777" w:rsidR="0038718A" w:rsidRDefault="00BF184A">
            <w:pPr>
              <w:spacing w:after="0" w:line="276" w:lineRule="auto"/>
              <w:rPr>
                <w:sz w:val="16"/>
                <w:szCs w:val="16"/>
              </w:rPr>
            </w:pPr>
            <w:r>
              <w:rPr>
                <w:sz w:val="16"/>
                <w:szCs w:val="16"/>
              </w:rPr>
              <w:t xml:space="preserve">25 people </w:t>
            </w:r>
          </w:p>
        </w:tc>
        <w:tc>
          <w:tcPr>
            <w:tcW w:w="1392" w:type="dxa"/>
            <w:tcBorders>
              <w:top w:val="nil"/>
              <w:left w:val="nil"/>
              <w:bottom w:val="single" w:sz="4" w:space="0" w:color="000000"/>
              <w:right w:val="single" w:sz="4" w:space="0" w:color="000000"/>
            </w:tcBorders>
            <w:tcMar>
              <w:top w:w="100" w:type="dxa"/>
              <w:left w:w="100" w:type="dxa"/>
              <w:bottom w:w="100" w:type="dxa"/>
              <w:right w:w="100" w:type="dxa"/>
            </w:tcMar>
          </w:tcPr>
          <w:p w14:paraId="42CEFCFF" w14:textId="77777777" w:rsidR="0038718A" w:rsidRDefault="00BF184A">
            <w:pPr>
              <w:spacing w:after="0" w:line="276" w:lineRule="auto"/>
              <w:rPr>
                <w:sz w:val="16"/>
                <w:szCs w:val="16"/>
              </w:rPr>
            </w:pPr>
            <w:r>
              <w:rPr>
                <w:sz w:val="16"/>
                <w:szCs w:val="16"/>
              </w:rPr>
              <w:t>Interview method</w:t>
            </w:r>
          </w:p>
        </w:tc>
        <w:tc>
          <w:tcPr>
            <w:tcW w:w="1756" w:type="dxa"/>
            <w:tcBorders>
              <w:top w:val="nil"/>
              <w:left w:val="nil"/>
              <w:bottom w:val="single" w:sz="4" w:space="0" w:color="000000"/>
              <w:right w:val="single" w:sz="4" w:space="0" w:color="000000"/>
            </w:tcBorders>
            <w:tcMar>
              <w:top w:w="100" w:type="dxa"/>
              <w:left w:w="100" w:type="dxa"/>
              <w:bottom w:w="100" w:type="dxa"/>
              <w:right w:w="100" w:type="dxa"/>
            </w:tcMar>
          </w:tcPr>
          <w:p w14:paraId="19CC8B52" w14:textId="77777777" w:rsidR="0038718A" w:rsidRDefault="00BF184A">
            <w:pPr>
              <w:spacing w:after="0" w:line="276" w:lineRule="auto"/>
              <w:rPr>
                <w:sz w:val="16"/>
                <w:szCs w:val="16"/>
              </w:rPr>
            </w:pPr>
            <w:r>
              <w:rPr>
                <w:sz w:val="16"/>
                <w:szCs w:val="16"/>
              </w:rPr>
              <w:t>32 social housing tenants joined the advisory group; 15 actively contributed to prioritisation discussions (online/in-person).</w:t>
            </w:r>
          </w:p>
        </w:tc>
      </w:tr>
      <w:tr w:rsidR="0038718A" w14:paraId="2D108D73" w14:textId="77777777">
        <w:trPr>
          <w:trHeight w:val="20"/>
        </w:trPr>
        <w:tc>
          <w:tcPr>
            <w:tcW w:w="1521" w:type="dxa"/>
            <w:tcBorders>
              <w:top w:val="nil"/>
              <w:left w:val="single" w:sz="4" w:space="0" w:color="000000"/>
              <w:bottom w:val="single" w:sz="4" w:space="0" w:color="000000"/>
              <w:right w:val="single" w:sz="4" w:space="0" w:color="000000"/>
            </w:tcBorders>
            <w:tcMar>
              <w:top w:w="100" w:type="dxa"/>
              <w:left w:w="100" w:type="dxa"/>
              <w:bottom w:w="100" w:type="dxa"/>
              <w:right w:w="100" w:type="dxa"/>
            </w:tcMar>
          </w:tcPr>
          <w:p w14:paraId="230AC1B4" w14:textId="77777777" w:rsidR="0038718A" w:rsidRDefault="00BF184A">
            <w:pPr>
              <w:spacing w:after="0" w:line="276" w:lineRule="auto"/>
              <w:rPr>
                <w:sz w:val="16"/>
                <w:szCs w:val="16"/>
              </w:rPr>
            </w:pPr>
            <w:r>
              <w:rPr>
                <w:sz w:val="16"/>
                <w:szCs w:val="16"/>
              </w:rPr>
              <w:t>Sherriff et al., (2024)</w:t>
            </w:r>
          </w:p>
        </w:tc>
        <w:tc>
          <w:tcPr>
            <w:tcW w:w="1491" w:type="dxa"/>
            <w:tcBorders>
              <w:top w:val="nil"/>
              <w:left w:val="nil"/>
              <w:bottom w:val="single" w:sz="4" w:space="0" w:color="000000"/>
              <w:right w:val="single" w:sz="4" w:space="0" w:color="000000"/>
            </w:tcBorders>
            <w:tcMar>
              <w:top w:w="100" w:type="dxa"/>
              <w:left w:w="100" w:type="dxa"/>
              <w:bottom w:w="100" w:type="dxa"/>
              <w:right w:w="100" w:type="dxa"/>
            </w:tcMar>
          </w:tcPr>
          <w:p w14:paraId="6EB5DB8C" w14:textId="77777777" w:rsidR="0038718A" w:rsidRDefault="00BF184A">
            <w:pPr>
              <w:spacing w:after="0" w:line="276" w:lineRule="auto"/>
              <w:rPr>
                <w:sz w:val="16"/>
                <w:szCs w:val="16"/>
              </w:rPr>
            </w:pPr>
            <w:r>
              <w:rPr>
                <w:sz w:val="16"/>
                <w:szCs w:val="16"/>
              </w:rPr>
              <w:t>Greater Manchester Social Housing Quality Fund,</w:t>
            </w:r>
          </w:p>
        </w:tc>
        <w:tc>
          <w:tcPr>
            <w:tcW w:w="1491" w:type="dxa"/>
            <w:tcBorders>
              <w:top w:val="nil"/>
              <w:left w:val="nil"/>
              <w:bottom w:val="single" w:sz="4" w:space="0" w:color="000000"/>
              <w:right w:val="single" w:sz="4" w:space="0" w:color="000000"/>
            </w:tcBorders>
            <w:tcMar>
              <w:top w:w="100" w:type="dxa"/>
              <w:left w:w="100" w:type="dxa"/>
              <w:bottom w:w="100" w:type="dxa"/>
              <w:right w:w="100" w:type="dxa"/>
            </w:tcMar>
          </w:tcPr>
          <w:p w14:paraId="51B47CCC" w14:textId="77777777" w:rsidR="0038718A" w:rsidRDefault="00BF184A">
            <w:pPr>
              <w:spacing w:after="0" w:line="276" w:lineRule="auto"/>
              <w:rPr>
                <w:sz w:val="16"/>
                <w:szCs w:val="16"/>
              </w:rPr>
            </w:pPr>
            <w:r>
              <w:rPr>
                <w:sz w:val="16"/>
                <w:szCs w:val="16"/>
              </w:rPr>
              <w:t xml:space="preserve">Qualitative interview study </w:t>
            </w:r>
          </w:p>
        </w:tc>
        <w:tc>
          <w:tcPr>
            <w:tcW w:w="1365" w:type="dxa"/>
            <w:tcBorders>
              <w:top w:val="nil"/>
              <w:left w:val="nil"/>
              <w:bottom w:val="single" w:sz="4" w:space="0" w:color="000000"/>
              <w:right w:val="single" w:sz="4" w:space="0" w:color="000000"/>
            </w:tcBorders>
            <w:tcMar>
              <w:top w:w="100" w:type="dxa"/>
              <w:left w:w="100" w:type="dxa"/>
              <w:bottom w:w="100" w:type="dxa"/>
              <w:right w:w="100" w:type="dxa"/>
            </w:tcMar>
          </w:tcPr>
          <w:p w14:paraId="14249061" w14:textId="77777777" w:rsidR="0038718A" w:rsidRDefault="00BF184A">
            <w:pPr>
              <w:spacing w:after="0" w:line="276" w:lineRule="auto"/>
              <w:rPr>
                <w:sz w:val="16"/>
                <w:szCs w:val="16"/>
              </w:rPr>
            </w:pPr>
            <w:r>
              <w:rPr>
                <w:sz w:val="16"/>
                <w:szCs w:val="16"/>
              </w:rPr>
              <w:t>15 people and 5 volunteers</w:t>
            </w:r>
          </w:p>
        </w:tc>
        <w:tc>
          <w:tcPr>
            <w:tcW w:w="1392" w:type="dxa"/>
            <w:tcBorders>
              <w:top w:val="nil"/>
              <w:left w:val="nil"/>
              <w:bottom w:val="single" w:sz="4" w:space="0" w:color="000000"/>
              <w:right w:val="single" w:sz="4" w:space="0" w:color="000000"/>
            </w:tcBorders>
            <w:tcMar>
              <w:top w:w="100" w:type="dxa"/>
              <w:left w:w="100" w:type="dxa"/>
              <w:bottom w:w="100" w:type="dxa"/>
              <w:right w:w="100" w:type="dxa"/>
            </w:tcMar>
          </w:tcPr>
          <w:p w14:paraId="59C38CCA" w14:textId="77777777" w:rsidR="0038718A" w:rsidRDefault="00BF184A">
            <w:pPr>
              <w:spacing w:after="0" w:line="276" w:lineRule="auto"/>
              <w:rPr>
                <w:sz w:val="16"/>
                <w:szCs w:val="16"/>
              </w:rPr>
            </w:pPr>
            <w:r>
              <w:rPr>
                <w:sz w:val="16"/>
                <w:szCs w:val="16"/>
              </w:rPr>
              <w:t>Interview</w:t>
            </w:r>
          </w:p>
        </w:tc>
        <w:tc>
          <w:tcPr>
            <w:tcW w:w="1756" w:type="dxa"/>
            <w:tcBorders>
              <w:top w:val="nil"/>
              <w:left w:val="nil"/>
              <w:bottom w:val="single" w:sz="4" w:space="0" w:color="000000"/>
              <w:right w:val="single" w:sz="4" w:space="0" w:color="000000"/>
            </w:tcBorders>
            <w:tcMar>
              <w:top w:w="100" w:type="dxa"/>
              <w:left w:w="100" w:type="dxa"/>
              <w:bottom w:w="100" w:type="dxa"/>
              <w:right w:w="100" w:type="dxa"/>
            </w:tcMar>
          </w:tcPr>
          <w:p w14:paraId="3DFCFA06" w14:textId="77777777" w:rsidR="0038718A" w:rsidRDefault="00BF184A">
            <w:pPr>
              <w:spacing w:after="0" w:line="276" w:lineRule="auto"/>
              <w:rPr>
                <w:sz w:val="16"/>
                <w:szCs w:val="16"/>
              </w:rPr>
            </w:pPr>
            <w:r>
              <w:rPr>
                <w:sz w:val="16"/>
                <w:szCs w:val="16"/>
              </w:rPr>
              <w:t>Structural inequalities (poverty, ethnicity, and disability) majorly drive access to quality housing and health outcomes.</w:t>
            </w:r>
          </w:p>
        </w:tc>
      </w:tr>
      <w:tr w:rsidR="0038718A" w14:paraId="161F7E82" w14:textId="77777777">
        <w:trPr>
          <w:trHeight w:val="20"/>
        </w:trPr>
        <w:tc>
          <w:tcPr>
            <w:tcW w:w="1521" w:type="dxa"/>
            <w:tcBorders>
              <w:top w:val="nil"/>
              <w:left w:val="single" w:sz="4" w:space="0" w:color="000000"/>
              <w:bottom w:val="single" w:sz="4" w:space="0" w:color="000000"/>
              <w:right w:val="single" w:sz="4" w:space="0" w:color="000000"/>
            </w:tcBorders>
            <w:tcMar>
              <w:top w:w="100" w:type="dxa"/>
              <w:left w:w="100" w:type="dxa"/>
              <w:bottom w:w="100" w:type="dxa"/>
              <w:right w:w="100" w:type="dxa"/>
            </w:tcMar>
          </w:tcPr>
          <w:p w14:paraId="6F0F4360" w14:textId="77777777" w:rsidR="0038718A" w:rsidRDefault="00BF184A">
            <w:pPr>
              <w:spacing w:after="0" w:line="276" w:lineRule="auto"/>
              <w:rPr>
                <w:sz w:val="16"/>
                <w:szCs w:val="16"/>
              </w:rPr>
            </w:pPr>
            <w:r>
              <w:rPr>
                <w:sz w:val="16"/>
                <w:szCs w:val="16"/>
              </w:rPr>
              <w:t>Sheringham et al. (2024)</w:t>
            </w:r>
          </w:p>
        </w:tc>
        <w:tc>
          <w:tcPr>
            <w:tcW w:w="1491" w:type="dxa"/>
            <w:tcBorders>
              <w:top w:val="nil"/>
              <w:left w:val="nil"/>
              <w:bottom w:val="single" w:sz="4" w:space="0" w:color="000000"/>
              <w:right w:val="single" w:sz="4" w:space="0" w:color="000000"/>
            </w:tcBorders>
            <w:tcMar>
              <w:top w:w="100" w:type="dxa"/>
              <w:left w:w="100" w:type="dxa"/>
              <w:bottom w:w="100" w:type="dxa"/>
              <w:right w:w="100" w:type="dxa"/>
            </w:tcMar>
          </w:tcPr>
          <w:p w14:paraId="3798A878" w14:textId="77777777" w:rsidR="0038718A" w:rsidRDefault="00BF184A">
            <w:pPr>
              <w:spacing w:after="0" w:line="276" w:lineRule="auto"/>
              <w:rPr>
                <w:sz w:val="16"/>
                <w:szCs w:val="16"/>
              </w:rPr>
            </w:pPr>
            <w:r>
              <w:rPr>
                <w:sz w:val="16"/>
                <w:szCs w:val="16"/>
              </w:rPr>
              <w:t>Understanding place-based pathways by which housing is related to health inequalities: a qualitative interview study in London.</w:t>
            </w:r>
          </w:p>
        </w:tc>
        <w:tc>
          <w:tcPr>
            <w:tcW w:w="1491" w:type="dxa"/>
            <w:tcBorders>
              <w:top w:val="nil"/>
              <w:left w:val="nil"/>
              <w:bottom w:val="single" w:sz="4" w:space="0" w:color="000000"/>
              <w:right w:val="single" w:sz="4" w:space="0" w:color="000000"/>
            </w:tcBorders>
            <w:tcMar>
              <w:top w:w="100" w:type="dxa"/>
              <w:left w:w="100" w:type="dxa"/>
              <w:bottom w:w="100" w:type="dxa"/>
              <w:right w:w="100" w:type="dxa"/>
            </w:tcMar>
          </w:tcPr>
          <w:p w14:paraId="7683E153" w14:textId="77777777" w:rsidR="0038718A" w:rsidRDefault="00BF184A">
            <w:pPr>
              <w:spacing w:after="0" w:line="276" w:lineRule="auto"/>
              <w:rPr>
                <w:sz w:val="16"/>
                <w:szCs w:val="16"/>
              </w:rPr>
            </w:pPr>
            <w:r>
              <w:rPr>
                <w:sz w:val="16"/>
                <w:szCs w:val="16"/>
              </w:rPr>
              <w:t xml:space="preserve">Qualitative interview study </w:t>
            </w:r>
          </w:p>
        </w:tc>
        <w:tc>
          <w:tcPr>
            <w:tcW w:w="1365" w:type="dxa"/>
            <w:tcBorders>
              <w:top w:val="nil"/>
              <w:left w:val="nil"/>
              <w:bottom w:val="single" w:sz="4" w:space="0" w:color="000000"/>
              <w:right w:val="single" w:sz="4" w:space="0" w:color="000000"/>
            </w:tcBorders>
            <w:tcMar>
              <w:top w:w="100" w:type="dxa"/>
              <w:left w:w="100" w:type="dxa"/>
              <w:bottom w:w="100" w:type="dxa"/>
              <w:right w:w="100" w:type="dxa"/>
            </w:tcMar>
          </w:tcPr>
          <w:p w14:paraId="3C683646" w14:textId="77777777" w:rsidR="0038718A" w:rsidRDefault="00BF184A">
            <w:pPr>
              <w:spacing w:after="0" w:line="276" w:lineRule="auto"/>
              <w:rPr>
                <w:sz w:val="16"/>
                <w:szCs w:val="16"/>
              </w:rPr>
            </w:pPr>
            <w:r>
              <w:rPr>
                <w:sz w:val="16"/>
                <w:szCs w:val="16"/>
              </w:rPr>
              <w:t xml:space="preserve">19 people </w:t>
            </w:r>
          </w:p>
        </w:tc>
        <w:tc>
          <w:tcPr>
            <w:tcW w:w="1392" w:type="dxa"/>
            <w:tcBorders>
              <w:top w:val="nil"/>
              <w:left w:val="nil"/>
              <w:bottom w:val="single" w:sz="4" w:space="0" w:color="000000"/>
              <w:right w:val="single" w:sz="4" w:space="0" w:color="000000"/>
            </w:tcBorders>
            <w:tcMar>
              <w:top w:w="100" w:type="dxa"/>
              <w:left w:w="100" w:type="dxa"/>
              <w:bottom w:w="100" w:type="dxa"/>
              <w:right w:w="100" w:type="dxa"/>
            </w:tcMar>
          </w:tcPr>
          <w:p w14:paraId="04F6DE58" w14:textId="77777777" w:rsidR="0038718A" w:rsidRDefault="00BF184A">
            <w:pPr>
              <w:spacing w:after="0" w:line="276" w:lineRule="auto"/>
              <w:rPr>
                <w:sz w:val="16"/>
                <w:szCs w:val="16"/>
              </w:rPr>
            </w:pPr>
            <w:r>
              <w:rPr>
                <w:sz w:val="16"/>
                <w:szCs w:val="16"/>
              </w:rPr>
              <w:t>Interview method</w:t>
            </w:r>
          </w:p>
        </w:tc>
        <w:tc>
          <w:tcPr>
            <w:tcW w:w="1756" w:type="dxa"/>
            <w:tcBorders>
              <w:top w:val="nil"/>
              <w:left w:val="nil"/>
              <w:bottom w:val="single" w:sz="4" w:space="0" w:color="000000"/>
              <w:right w:val="single" w:sz="4" w:space="0" w:color="000000"/>
            </w:tcBorders>
            <w:tcMar>
              <w:top w:w="100" w:type="dxa"/>
              <w:left w:w="100" w:type="dxa"/>
              <w:bottom w:w="100" w:type="dxa"/>
              <w:right w:w="100" w:type="dxa"/>
            </w:tcMar>
          </w:tcPr>
          <w:p w14:paraId="0DBC9151" w14:textId="77777777" w:rsidR="0038718A" w:rsidRDefault="00BF184A">
            <w:pPr>
              <w:spacing w:after="0" w:line="276" w:lineRule="auto"/>
              <w:rPr>
                <w:sz w:val="16"/>
                <w:szCs w:val="16"/>
              </w:rPr>
            </w:pPr>
            <w:r>
              <w:rPr>
                <w:sz w:val="16"/>
                <w:szCs w:val="16"/>
              </w:rPr>
              <w:t>Four pathways link housing to health: financial stress, temperature extremes, poor conditions, and housing insecurity.</w:t>
            </w:r>
          </w:p>
        </w:tc>
      </w:tr>
      <w:tr w:rsidR="0038718A" w14:paraId="3DC41E30" w14:textId="77777777">
        <w:trPr>
          <w:trHeight w:val="20"/>
        </w:trPr>
        <w:tc>
          <w:tcPr>
            <w:tcW w:w="1521" w:type="dxa"/>
            <w:tcBorders>
              <w:top w:val="nil"/>
              <w:left w:val="single" w:sz="4" w:space="0" w:color="000000"/>
              <w:bottom w:val="single" w:sz="4" w:space="0" w:color="000000"/>
              <w:right w:val="single" w:sz="4" w:space="0" w:color="000000"/>
            </w:tcBorders>
            <w:tcMar>
              <w:top w:w="100" w:type="dxa"/>
              <w:left w:w="100" w:type="dxa"/>
              <w:bottom w:w="100" w:type="dxa"/>
              <w:right w:w="100" w:type="dxa"/>
            </w:tcMar>
          </w:tcPr>
          <w:p w14:paraId="51450FE7" w14:textId="77777777" w:rsidR="0038718A" w:rsidRDefault="00BF184A">
            <w:pPr>
              <w:spacing w:after="0" w:line="276" w:lineRule="auto"/>
              <w:rPr>
                <w:sz w:val="16"/>
                <w:szCs w:val="16"/>
              </w:rPr>
            </w:pPr>
            <w:r>
              <w:rPr>
                <w:sz w:val="16"/>
                <w:szCs w:val="16"/>
              </w:rPr>
              <w:t>Simpson et al. (2025)</w:t>
            </w:r>
          </w:p>
        </w:tc>
        <w:tc>
          <w:tcPr>
            <w:tcW w:w="1491" w:type="dxa"/>
            <w:tcBorders>
              <w:top w:val="nil"/>
              <w:left w:val="nil"/>
              <w:bottom w:val="single" w:sz="4" w:space="0" w:color="000000"/>
              <w:right w:val="single" w:sz="4" w:space="0" w:color="000000"/>
            </w:tcBorders>
            <w:tcMar>
              <w:top w:w="100" w:type="dxa"/>
              <w:left w:w="100" w:type="dxa"/>
              <w:bottom w:w="100" w:type="dxa"/>
              <w:right w:w="100" w:type="dxa"/>
            </w:tcMar>
          </w:tcPr>
          <w:p w14:paraId="617FE01E" w14:textId="77777777" w:rsidR="0038718A" w:rsidRDefault="00BF184A">
            <w:pPr>
              <w:spacing w:after="0" w:line="276" w:lineRule="auto"/>
              <w:rPr>
                <w:sz w:val="16"/>
                <w:szCs w:val="16"/>
              </w:rPr>
            </w:pPr>
            <w:r>
              <w:rPr>
                <w:sz w:val="16"/>
                <w:szCs w:val="16"/>
              </w:rPr>
              <w:t>Hostile environments: Mould, race and blame amidst Birmingham's housing crisis.</w:t>
            </w:r>
          </w:p>
        </w:tc>
        <w:tc>
          <w:tcPr>
            <w:tcW w:w="1491" w:type="dxa"/>
            <w:tcBorders>
              <w:top w:val="nil"/>
              <w:left w:val="nil"/>
              <w:bottom w:val="single" w:sz="4" w:space="0" w:color="000000"/>
              <w:right w:val="single" w:sz="4" w:space="0" w:color="000000"/>
            </w:tcBorders>
            <w:tcMar>
              <w:top w:w="100" w:type="dxa"/>
              <w:left w:w="100" w:type="dxa"/>
              <w:bottom w:w="100" w:type="dxa"/>
              <w:right w:w="100" w:type="dxa"/>
            </w:tcMar>
          </w:tcPr>
          <w:p w14:paraId="01C5B884" w14:textId="77777777" w:rsidR="0038718A" w:rsidRDefault="00BF184A">
            <w:pPr>
              <w:spacing w:after="0" w:line="276" w:lineRule="auto"/>
              <w:rPr>
                <w:sz w:val="16"/>
                <w:szCs w:val="16"/>
              </w:rPr>
            </w:pPr>
            <w:r>
              <w:rPr>
                <w:sz w:val="16"/>
                <w:szCs w:val="16"/>
              </w:rPr>
              <w:t xml:space="preserve">Qualitative interview study </w:t>
            </w:r>
          </w:p>
        </w:tc>
        <w:tc>
          <w:tcPr>
            <w:tcW w:w="1365" w:type="dxa"/>
            <w:tcBorders>
              <w:top w:val="nil"/>
              <w:left w:val="nil"/>
              <w:bottom w:val="single" w:sz="4" w:space="0" w:color="000000"/>
              <w:right w:val="single" w:sz="4" w:space="0" w:color="000000"/>
            </w:tcBorders>
            <w:tcMar>
              <w:top w:w="100" w:type="dxa"/>
              <w:left w:w="100" w:type="dxa"/>
              <w:bottom w:w="100" w:type="dxa"/>
              <w:right w:w="100" w:type="dxa"/>
            </w:tcMar>
          </w:tcPr>
          <w:p w14:paraId="19445CB9" w14:textId="77777777" w:rsidR="0038718A" w:rsidRDefault="00BF184A">
            <w:pPr>
              <w:spacing w:after="0" w:line="276" w:lineRule="auto"/>
              <w:rPr>
                <w:sz w:val="16"/>
                <w:szCs w:val="16"/>
              </w:rPr>
            </w:pPr>
            <w:r>
              <w:rPr>
                <w:sz w:val="16"/>
                <w:szCs w:val="16"/>
              </w:rPr>
              <w:t xml:space="preserve">50 people </w:t>
            </w:r>
          </w:p>
        </w:tc>
        <w:tc>
          <w:tcPr>
            <w:tcW w:w="1392" w:type="dxa"/>
            <w:tcBorders>
              <w:top w:val="nil"/>
              <w:left w:val="nil"/>
              <w:bottom w:val="single" w:sz="4" w:space="0" w:color="000000"/>
              <w:right w:val="single" w:sz="4" w:space="0" w:color="000000"/>
            </w:tcBorders>
            <w:tcMar>
              <w:top w:w="100" w:type="dxa"/>
              <w:left w:w="100" w:type="dxa"/>
              <w:bottom w:w="100" w:type="dxa"/>
              <w:right w:w="100" w:type="dxa"/>
            </w:tcMar>
          </w:tcPr>
          <w:p w14:paraId="6EA5E499" w14:textId="77777777" w:rsidR="0038718A" w:rsidRDefault="00BF184A">
            <w:pPr>
              <w:spacing w:after="0" w:line="276" w:lineRule="auto"/>
              <w:rPr>
                <w:sz w:val="16"/>
                <w:szCs w:val="16"/>
              </w:rPr>
            </w:pPr>
            <w:r>
              <w:rPr>
                <w:sz w:val="16"/>
                <w:szCs w:val="16"/>
              </w:rPr>
              <w:t>Interview method</w:t>
            </w:r>
          </w:p>
        </w:tc>
        <w:tc>
          <w:tcPr>
            <w:tcW w:w="1756" w:type="dxa"/>
            <w:tcBorders>
              <w:top w:val="nil"/>
              <w:left w:val="nil"/>
              <w:bottom w:val="single" w:sz="4" w:space="0" w:color="000000"/>
              <w:right w:val="single" w:sz="4" w:space="0" w:color="000000"/>
            </w:tcBorders>
            <w:tcMar>
              <w:top w:w="100" w:type="dxa"/>
              <w:left w:w="100" w:type="dxa"/>
              <w:bottom w:w="100" w:type="dxa"/>
              <w:right w:w="100" w:type="dxa"/>
            </w:tcMar>
          </w:tcPr>
          <w:p w14:paraId="6D3FA5AF" w14:textId="77777777" w:rsidR="0038718A" w:rsidRDefault="00BF184A">
            <w:pPr>
              <w:spacing w:after="0" w:line="276" w:lineRule="auto"/>
              <w:rPr>
                <w:sz w:val="16"/>
                <w:szCs w:val="16"/>
              </w:rPr>
            </w:pPr>
            <w:r>
              <w:rPr>
                <w:sz w:val="16"/>
                <w:szCs w:val="16"/>
              </w:rPr>
              <w:t>Overcrowded families face significant mould and damp; state officials often unfairly blame families' daily actions.</w:t>
            </w:r>
          </w:p>
        </w:tc>
      </w:tr>
      <w:tr w:rsidR="0038718A" w14:paraId="6F865DCD" w14:textId="77777777">
        <w:trPr>
          <w:trHeight w:val="20"/>
        </w:trPr>
        <w:tc>
          <w:tcPr>
            <w:tcW w:w="1521" w:type="dxa"/>
            <w:tcBorders>
              <w:top w:val="nil"/>
              <w:left w:val="single" w:sz="4" w:space="0" w:color="000000"/>
              <w:bottom w:val="single" w:sz="4" w:space="0" w:color="000000"/>
              <w:right w:val="single" w:sz="4" w:space="0" w:color="000000"/>
            </w:tcBorders>
            <w:tcMar>
              <w:top w:w="100" w:type="dxa"/>
              <w:left w:w="100" w:type="dxa"/>
              <w:bottom w:w="100" w:type="dxa"/>
              <w:right w:w="100" w:type="dxa"/>
            </w:tcMar>
          </w:tcPr>
          <w:p w14:paraId="27C6FBC5" w14:textId="77777777" w:rsidR="0038718A" w:rsidRDefault="00BF184A">
            <w:pPr>
              <w:spacing w:after="0" w:line="276" w:lineRule="auto"/>
              <w:rPr>
                <w:sz w:val="16"/>
                <w:szCs w:val="16"/>
              </w:rPr>
            </w:pPr>
            <w:r>
              <w:rPr>
                <w:sz w:val="16"/>
                <w:szCs w:val="16"/>
              </w:rPr>
              <w:t>Tod et al. (2016)</w:t>
            </w:r>
          </w:p>
        </w:tc>
        <w:tc>
          <w:tcPr>
            <w:tcW w:w="1491" w:type="dxa"/>
            <w:tcBorders>
              <w:top w:val="nil"/>
              <w:left w:val="nil"/>
              <w:bottom w:val="single" w:sz="4" w:space="0" w:color="000000"/>
              <w:right w:val="single" w:sz="4" w:space="0" w:color="000000"/>
            </w:tcBorders>
            <w:tcMar>
              <w:top w:w="100" w:type="dxa"/>
              <w:left w:w="100" w:type="dxa"/>
              <w:bottom w:w="100" w:type="dxa"/>
              <w:right w:w="100" w:type="dxa"/>
            </w:tcMar>
          </w:tcPr>
          <w:p w14:paraId="17B5705D" w14:textId="77777777" w:rsidR="0038718A" w:rsidRDefault="00BF184A">
            <w:pPr>
              <w:spacing w:after="0" w:line="276" w:lineRule="auto"/>
              <w:rPr>
                <w:sz w:val="16"/>
                <w:szCs w:val="16"/>
              </w:rPr>
            </w:pPr>
            <w:r>
              <w:rPr>
                <w:sz w:val="16"/>
                <w:szCs w:val="16"/>
              </w:rPr>
              <w:t>Understanding influences and decisions of households with children with asthma regarding temperature and humidity in the home in winter: a qualitative study.</w:t>
            </w:r>
          </w:p>
        </w:tc>
        <w:tc>
          <w:tcPr>
            <w:tcW w:w="1491" w:type="dxa"/>
            <w:tcBorders>
              <w:top w:val="nil"/>
              <w:left w:val="nil"/>
              <w:bottom w:val="single" w:sz="4" w:space="0" w:color="000000"/>
              <w:right w:val="single" w:sz="4" w:space="0" w:color="000000"/>
            </w:tcBorders>
            <w:tcMar>
              <w:top w:w="100" w:type="dxa"/>
              <w:left w:w="100" w:type="dxa"/>
              <w:bottom w:w="100" w:type="dxa"/>
              <w:right w:w="100" w:type="dxa"/>
            </w:tcMar>
          </w:tcPr>
          <w:p w14:paraId="26A45151" w14:textId="77777777" w:rsidR="0038718A" w:rsidRDefault="00BF184A">
            <w:pPr>
              <w:spacing w:after="0" w:line="276" w:lineRule="auto"/>
              <w:rPr>
                <w:sz w:val="16"/>
                <w:szCs w:val="16"/>
              </w:rPr>
            </w:pPr>
            <w:r>
              <w:rPr>
                <w:sz w:val="16"/>
                <w:szCs w:val="16"/>
              </w:rPr>
              <w:t xml:space="preserve">Qualitative interview study </w:t>
            </w:r>
          </w:p>
        </w:tc>
        <w:tc>
          <w:tcPr>
            <w:tcW w:w="1365" w:type="dxa"/>
            <w:tcBorders>
              <w:top w:val="nil"/>
              <w:left w:val="nil"/>
              <w:bottom w:val="single" w:sz="4" w:space="0" w:color="000000"/>
              <w:right w:val="single" w:sz="4" w:space="0" w:color="000000"/>
            </w:tcBorders>
            <w:tcMar>
              <w:top w:w="100" w:type="dxa"/>
              <w:left w:w="100" w:type="dxa"/>
              <w:bottom w:w="100" w:type="dxa"/>
              <w:right w:w="100" w:type="dxa"/>
            </w:tcMar>
          </w:tcPr>
          <w:p w14:paraId="08D04661" w14:textId="77777777" w:rsidR="0038718A" w:rsidRDefault="00BF184A">
            <w:pPr>
              <w:spacing w:after="0" w:line="276" w:lineRule="auto"/>
              <w:rPr>
                <w:sz w:val="16"/>
                <w:szCs w:val="16"/>
              </w:rPr>
            </w:pPr>
            <w:r>
              <w:rPr>
                <w:sz w:val="16"/>
                <w:szCs w:val="16"/>
              </w:rPr>
              <w:t xml:space="preserve">28 people and 17 households </w:t>
            </w:r>
          </w:p>
        </w:tc>
        <w:tc>
          <w:tcPr>
            <w:tcW w:w="1392" w:type="dxa"/>
            <w:tcBorders>
              <w:top w:val="nil"/>
              <w:left w:val="nil"/>
              <w:bottom w:val="single" w:sz="4" w:space="0" w:color="000000"/>
              <w:right w:val="single" w:sz="4" w:space="0" w:color="000000"/>
            </w:tcBorders>
            <w:tcMar>
              <w:top w:w="100" w:type="dxa"/>
              <w:left w:w="100" w:type="dxa"/>
              <w:bottom w:w="100" w:type="dxa"/>
              <w:right w:w="100" w:type="dxa"/>
            </w:tcMar>
          </w:tcPr>
          <w:p w14:paraId="3928A253" w14:textId="77777777" w:rsidR="0038718A" w:rsidRDefault="00BF184A">
            <w:pPr>
              <w:spacing w:after="0" w:line="276" w:lineRule="auto"/>
              <w:rPr>
                <w:sz w:val="16"/>
                <w:szCs w:val="16"/>
              </w:rPr>
            </w:pPr>
            <w:r>
              <w:rPr>
                <w:sz w:val="16"/>
                <w:szCs w:val="16"/>
              </w:rPr>
              <w:t>Interview method</w:t>
            </w:r>
          </w:p>
        </w:tc>
        <w:tc>
          <w:tcPr>
            <w:tcW w:w="1756" w:type="dxa"/>
            <w:tcBorders>
              <w:top w:val="nil"/>
              <w:left w:val="nil"/>
              <w:bottom w:val="single" w:sz="4" w:space="0" w:color="000000"/>
              <w:right w:val="single" w:sz="4" w:space="0" w:color="000000"/>
            </w:tcBorders>
            <w:tcMar>
              <w:top w:w="100" w:type="dxa"/>
              <w:left w:w="100" w:type="dxa"/>
              <w:bottom w:w="100" w:type="dxa"/>
              <w:right w:w="100" w:type="dxa"/>
            </w:tcMar>
          </w:tcPr>
          <w:p w14:paraId="66E80EA2" w14:textId="77777777" w:rsidR="0038718A" w:rsidRDefault="00BF184A">
            <w:pPr>
              <w:spacing w:after="0" w:line="276" w:lineRule="auto"/>
              <w:rPr>
                <w:sz w:val="16"/>
                <w:szCs w:val="16"/>
              </w:rPr>
            </w:pPr>
            <w:r>
              <w:rPr>
                <w:sz w:val="16"/>
                <w:szCs w:val="16"/>
              </w:rPr>
              <w:t>Households prioritised children's health (warmth) over saving costs, facing challenges managing temperature/humidity affecting asthma.</w:t>
            </w:r>
          </w:p>
        </w:tc>
      </w:tr>
    </w:tbl>
    <w:p w14:paraId="10C97278" w14:textId="77777777" w:rsidR="0038718A" w:rsidRDefault="00BF184A">
      <w:pPr>
        <w:pStyle w:val="Heading5"/>
      </w:pPr>
      <w:bookmarkStart w:id="111" w:name="_652akh7bmys3" w:colFirst="0" w:colLast="0"/>
      <w:bookmarkStart w:id="112" w:name="_Toc220324653"/>
      <w:bookmarkEnd w:id="111"/>
      <w:r>
        <w:t>Table 4.1: Data extraction table</w:t>
      </w:r>
      <w:bookmarkEnd w:id="112"/>
    </w:p>
    <w:p w14:paraId="1B3915C6" w14:textId="77777777" w:rsidR="0038718A" w:rsidRDefault="00BF184A">
      <w:r>
        <w:t>Most of the studies included are qualitative, with interviews being the main method used to gather data on housing and health through the lens of individuals lived experiences. Many studies had small to moderate sample sizes, ranging from 11 to 53 individuals. Sample populations included individuals who rent in social housing, privately, those without stable housing, and families with children, plus individuals who work with these vulnerable groups (service providers). The primary data collection method was through in-depth interviews, which provided rich detail on how people perceive quality and security of their home, as well as how poor housing conditions and insecurity affect their health. The vast majority of studies were conducted in the UK and many targeted urban settings such as Greater Manchester, London and Birmingham. Through analysing all studies, it became apparent that poor housing conditions such as damp, mould, cold and overcrowding along with housing insecurity have a significant connection with detrimental physical and mental health. Additionally, structural factors such as poverty, ethnicity, landlord's practices, and policy environments were identified as major elements that contribute to unequal housing experiences and subsequent health disparities.</w:t>
      </w:r>
    </w:p>
    <w:p w14:paraId="78051EE6" w14:textId="77777777" w:rsidR="0038718A" w:rsidRDefault="00BF184A">
      <w:pPr>
        <w:pStyle w:val="Heading2"/>
      </w:pPr>
      <w:bookmarkStart w:id="113" w:name="_20p52z9qjool" w:colFirst="0" w:colLast="0"/>
      <w:bookmarkStart w:id="114" w:name="_Toc220324654"/>
      <w:bookmarkEnd w:id="113"/>
      <w:r>
        <w:t>4.3 Theme 1: Microbial Risks Associated with Poor-Quality Housing</w:t>
      </w:r>
      <w:bookmarkEnd w:id="114"/>
      <w:r>
        <w:t xml:space="preserve"> </w:t>
      </w:r>
    </w:p>
    <w:p w14:paraId="777F52D0" w14:textId="77777777" w:rsidR="0038718A" w:rsidRDefault="00BF184A">
      <w:pPr>
        <w:pStyle w:val="Heading3"/>
      </w:pPr>
      <w:bookmarkStart w:id="115" w:name="_p9m25lezrffk" w:colFirst="0" w:colLast="0"/>
      <w:bookmarkStart w:id="116" w:name="_Toc220324655"/>
      <w:bookmarkEnd w:id="115"/>
      <w:r>
        <w:t>4.3.1 Persistent Damp and Mould as Key Drivers of Respiratory Illness</w:t>
      </w:r>
      <w:bookmarkEnd w:id="116"/>
    </w:p>
    <w:p w14:paraId="6A99001A" w14:textId="77777777" w:rsidR="0038718A" w:rsidRDefault="00BF184A">
      <w:r>
        <w:t>Based on the selected research on dampness, mould and respiratory illness (particularly among vulnerable populations) in the UK, they show the relationships between the three variables are strong and consistent (see Figure 4.2).</w:t>
      </w:r>
    </w:p>
    <w:p w14:paraId="0AA5E01B" w14:textId="77777777" w:rsidR="0038718A" w:rsidRDefault="00BF184A">
      <w:pPr>
        <w:jc w:val="center"/>
      </w:pPr>
      <w:r>
        <w:rPr>
          <w:noProof/>
        </w:rPr>
        <w:drawing>
          <wp:inline distT="114300" distB="114300" distL="114300" distR="114300" wp14:anchorId="5AD04ABF" wp14:editId="03D06964">
            <wp:extent cx="5062538" cy="2968564"/>
            <wp:effectExtent l="25400" t="25400" r="25400" b="25400"/>
            <wp:docPr id="8"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7"/>
                    <a:srcRect/>
                    <a:stretch>
                      <a:fillRect/>
                    </a:stretch>
                  </pic:blipFill>
                  <pic:spPr>
                    <a:xfrm>
                      <a:off x="0" y="0"/>
                      <a:ext cx="5062538" cy="2968564"/>
                    </a:xfrm>
                    <a:prstGeom prst="rect">
                      <a:avLst/>
                    </a:prstGeom>
                    <a:ln w="25400">
                      <a:solidFill>
                        <a:srgbClr val="000000"/>
                      </a:solidFill>
                      <a:prstDash val="solid"/>
                    </a:ln>
                  </pic:spPr>
                </pic:pic>
              </a:graphicData>
            </a:graphic>
          </wp:inline>
        </w:drawing>
      </w:r>
    </w:p>
    <w:p w14:paraId="18932C8D" w14:textId="77777777" w:rsidR="0038718A" w:rsidRDefault="00BF184A">
      <w:pPr>
        <w:pStyle w:val="Heading4"/>
      </w:pPr>
      <w:bookmarkStart w:id="117" w:name="_Toc220324656"/>
      <w:r>
        <w:t>Figure 4.2: Coding tree for theme 1</w:t>
      </w:r>
      <w:bookmarkEnd w:id="117"/>
    </w:p>
    <w:p w14:paraId="6120CE4D" w14:textId="77777777" w:rsidR="0038718A" w:rsidRDefault="00BF184A">
      <w:r>
        <w:t>Butler and Sherriff (2017) noted that young adults living in the UK had such widespread issues of dampness that it was normalised behaviour. The participants viewed mould as "something you just live with," in part due to the normalisation of dampness, which discouraged early reports, allowing for extensive growth of mould and exposure to toxic spores. Participants reported experiencing respiratory discomfort, coughs, and recurrent chest symptoms, all of which are indicative of the lived experiences associated with dampness as an environmental trigger of respiratory health effects.</w:t>
      </w:r>
    </w:p>
    <w:p w14:paraId="429738D6" w14:textId="77777777" w:rsidR="0038718A" w:rsidRDefault="00BF184A">
      <w:r>
        <w:t xml:space="preserve">Tod </w:t>
      </w:r>
      <w:r>
        <w:rPr>
          <w:i/>
          <w:iCs/>
        </w:rPr>
        <w:t>et al.</w:t>
      </w:r>
      <w:r>
        <w:t xml:space="preserve"> (2016) reiterated the connection between indoor humidity, dampness, and respiratory impacts (particularly the impact of dampness on children with asthma). Fuel poverty made it difficult for parents to maintain proper humidity and temperature levels, which causes moisture and mould growth in their homes. Many of the parents who took part in the study thought that dampness increased the likelihood of frequent medication use by their children, having to take their children to a doctor more often, and requiring repeated physician visits. Sheringham </w:t>
      </w:r>
      <w:r>
        <w:rPr>
          <w:i/>
          <w:iCs/>
        </w:rPr>
        <w:t>et al.,</w:t>
      </w:r>
      <w:r>
        <w:t xml:space="preserve"> (2021) also looked at how these issues were part of a larger structural problem in London Boroughs, as well as looking at some of the larger structural issues that affected residents of the various London Boroughs, including overcrowded housing and a lack of adequate ventilation that created the conditions necessary for dampness and mould to thrive. During the public and community stakeholder interviews, mould was often identified by the majority of respondents as one of the greatest contributors to the health problems that residents of the London Boroughs have to deal with.</w:t>
      </w:r>
    </w:p>
    <w:p w14:paraId="3E6C53EA" w14:textId="77777777" w:rsidR="0038718A" w:rsidRDefault="00BF184A">
      <w:r>
        <w:t>According to Simpson</w:t>
      </w:r>
      <w:r>
        <w:rPr>
          <w:i/>
          <w:iCs/>
        </w:rPr>
        <w:t xml:space="preserve"> et al. </w:t>
      </w:r>
      <w:r>
        <w:t>(2025), the findings point to an additional social dimension to mould exposure, demonstrating how mould exposure is entangled with racial, class and power inequalities within Birmingham’s housing crisis. Interview participants described feeling blamed for mould when the real cause of mould was attributed to structural deficiencies. Many also reported sufferings from long-term respiratory illness due to chronic mould exposure that they have no means of controlling and/or eliminating. When looking at both studies as a whole, we can conclude that persistent dampness and mould not only present microbiological hazards but also indicate structural disinvestment, inequities and environmental vulnerability; these attributes collectively lead to respiratory illness among various populations across the UK.</w:t>
      </w:r>
    </w:p>
    <w:p w14:paraId="5CDC209B" w14:textId="77777777" w:rsidR="0038718A" w:rsidRDefault="00BF184A">
      <w:pPr>
        <w:pStyle w:val="Heading3"/>
      </w:pPr>
      <w:bookmarkStart w:id="118" w:name="_g38ebnvahpzp" w:colFirst="0" w:colLast="0"/>
      <w:bookmarkStart w:id="119" w:name="_Toc220324657"/>
      <w:bookmarkEnd w:id="118"/>
      <w:r>
        <w:t>4.3.2 Bacterial Growth Resulting from Structural Defects and Inadequate Sanitation</w:t>
      </w:r>
      <w:bookmarkEnd w:id="119"/>
    </w:p>
    <w:p w14:paraId="03DBCA08" w14:textId="77777777" w:rsidR="0038718A" w:rsidRDefault="00BF184A">
      <w:r>
        <w:t xml:space="preserve">Much of the existing research focuses primarily on the effects of moisture and mould; however, the results of the selected study indicate that there are other sources of contamination. In their paper, Sheringham </w:t>
      </w:r>
      <w:r>
        <w:rPr>
          <w:i/>
          <w:iCs/>
        </w:rPr>
        <w:t xml:space="preserve">et al. </w:t>
      </w:r>
      <w:r>
        <w:t>(2024) found that poorly maintained housing with excessive numbers of people often has multiple microbiological dangers in one building. The authors reported that participants mentioned instances of excess moisture due to leaking pipes, stagnant water, and failing infrastructure. It also suggests that these environmental problems add to the risks of respiratory illness because they may be a source of excess moisture and thus contribute to the growth of mould, which will aid in the growth of bacteria that affect air quality.</w:t>
      </w:r>
    </w:p>
    <w:p w14:paraId="21E241B7" w14:textId="77777777" w:rsidR="0038718A" w:rsidRDefault="00BF184A">
      <w:r>
        <w:t xml:space="preserve">Although participants did not characterize these environmental hazards specifically as being the result of mould contamination, Sheringham </w:t>
      </w:r>
      <w:r>
        <w:rPr>
          <w:i/>
          <w:iCs/>
        </w:rPr>
        <w:t xml:space="preserve">et al. </w:t>
      </w:r>
      <w:r>
        <w:t>(2024) used these descriptors as indicators that many microbiological hazards come from the same cluster of environmental issues associated with energy poverty, limited ventilation, and lack of property maintenance; therefore they concluded that such clusters can increase the risk of developing illnesses associated with exposure to airborne and surface-dwelling bacteria by further aggravating symptoms of respiratory illness.</w:t>
      </w:r>
    </w:p>
    <w:p w14:paraId="7FFFD4C8" w14:textId="77777777" w:rsidR="0038718A" w:rsidRDefault="00BF184A">
      <w:r>
        <w:t xml:space="preserve">Tod </w:t>
      </w:r>
      <w:r>
        <w:rPr>
          <w:i/>
          <w:iCs/>
        </w:rPr>
        <w:t>et al.,</w:t>
      </w:r>
      <w:r>
        <w:t xml:space="preserve"> (2016) indicate that households have difficulty with condensation, moisture in patches and faulty building systems. Families regularly report experiencing repeated wintertime respiratory illnesses in their children. Although bacterial species were not evaluated, the association between infested building systems and the occurrence of repeated illnesses suggests that they provide an environment that fosters microbial growth. Parents are frustrated as they clean their homes; yet, their structures continue to be moist. </w:t>
      </w:r>
    </w:p>
    <w:p w14:paraId="1492EB8E" w14:textId="77777777" w:rsidR="0038718A" w:rsidRDefault="00BF184A">
      <w:r>
        <w:t xml:space="preserve">Simpson </w:t>
      </w:r>
      <w:r>
        <w:rPr>
          <w:i/>
          <w:iCs/>
        </w:rPr>
        <w:t xml:space="preserve">et al., </w:t>
      </w:r>
      <w:r>
        <w:t>(2025) added a socio-political dimension to the water-damaged and mould-affected tenants in that they were severely reprimanded rather than helped. For instance, participants mentioned being told to "clean more" or "keep windows open" as a response to negligence on behalf of their landlords. Taken together, these findings indicate that the sources of bacterial hazards associated with substandard housing are due to structural failures of the building itself, rather than the behaviour of the occupant, and that these hazards contribute to repeated illness from respiratory infection, especially when the household is overcrowded and low-income.</w:t>
      </w:r>
    </w:p>
    <w:p w14:paraId="63635377" w14:textId="77777777" w:rsidR="0038718A" w:rsidRDefault="00BF184A">
      <w:pPr>
        <w:rPr>
          <w:b/>
          <w:bCs/>
          <w:i/>
          <w:iCs/>
        </w:rPr>
      </w:pPr>
      <w:r>
        <w:rPr>
          <w:b/>
          <w:bCs/>
          <w:i/>
          <w:iCs/>
        </w:rPr>
        <w:t xml:space="preserve">Key findings </w:t>
      </w:r>
    </w:p>
    <w:p w14:paraId="7485F4DD" w14:textId="77777777" w:rsidR="0038718A" w:rsidRDefault="00BF184A">
      <w:r>
        <w:t>A substantial number of the key findings suggest that UK Housing research supports the established association of dampness, poor ventilation, overcrowding, and physical instability of housing types to the promotion of microbial growth contributing to repeated instances of respiratory illness. Additionally, structural inequality, housing poverty and insecurity are enhancing the risk factors for repeated instances of respiratory illness rather than simply an individual tenant's behaviour.</w:t>
      </w:r>
    </w:p>
    <w:p w14:paraId="520FAD0F" w14:textId="77777777" w:rsidR="0038718A" w:rsidRDefault="00BF184A">
      <w:pPr>
        <w:pStyle w:val="Heading2"/>
      </w:pPr>
      <w:bookmarkStart w:id="120" w:name="_yrns2mc7cobe" w:colFirst="0" w:colLast="0"/>
      <w:bookmarkStart w:id="121" w:name="_Toc220324658"/>
      <w:bookmarkEnd w:id="120"/>
      <w:r>
        <w:t>4.4 Theme 2: Public Health Views on Housing Conditions and Respiratory Disease</w:t>
      </w:r>
      <w:bookmarkEnd w:id="121"/>
      <w:r>
        <w:t xml:space="preserve"> </w:t>
      </w:r>
    </w:p>
    <w:p w14:paraId="3E6EEC25" w14:textId="77777777" w:rsidR="0038718A" w:rsidRDefault="00BF184A">
      <w:pPr>
        <w:pStyle w:val="Heading3"/>
      </w:pPr>
      <w:bookmarkStart w:id="122" w:name="_xafvqtdcfcne" w:colFirst="0" w:colLast="0"/>
      <w:bookmarkStart w:id="123" w:name="_Toc220324659"/>
      <w:bookmarkEnd w:id="122"/>
      <w:r>
        <w:t>4.4.1 Understanding Housing Quality as a Critical Public Health Factor</w:t>
      </w:r>
      <w:bookmarkEnd w:id="123"/>
    </w:p>
    <w:p w14:paraId="40661D29" w14:textId="77777777" w:rsidR="0038718A" w:rsidRDefault="00BF184A">
      <w:r>
        <w:t>Housing quality is increasingly recognised as a critical public health factor, as poor living conditions directly and indirectly influence physical health, mental wellbeing, and overall quality of life (see figure 4.3).</w:t>
      </w:r>
    </w:p>
    <w:p w14:paraId="28797FF1" w14:textId="77777777" w:rsidR="0038718A" w:rsidRDefault="00BF184A">
      <w:pPr>
        <w:jc w:val="center"/>
      </w:pPr>
      <w:r>
        <w:rPr>
          <w:noProof/>
        </w:rPr>
        <w:drawing>
          <wp:inline distT="114300" distB="114300" distL="114300" distR="114300" wp14:anchorId="6D67D94C" wp14:editId="44082CC0">
            <wp:extent cx="4710113" cy="2722789"/>
            <wp:effectExtent l="25400" t="25400" r="25400" b="25400"/>
            <wp:docPr id="6"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8"/>
                    <a:srcRect/>
                    <a:stretch>
                      <a:fillRect/>
                    </a:stretch>
                  </pic:blipFill>
                  <pic:spPr>
                    <a:xfrm>
                      <a:off x="0" y="0"/>
                      <a:ext cx="4710113" cy="2722789"/>
                    </a:xfrm>
                    <a:prstGeom prst="rect">
                      <a:avLst/>
                    </a:prstGeom>
                    <a:ln w="25400">
                      <a:solidFill>
                        <a:srgbClr val="000000"/>
                      </a:solidFill>
                      <a:prstDash val="solid"/>
                    </a:ln>
                  </pic:spPr>
                </pic:pic>
              </a:graphicData>
            </a:graphic>
          </wp:inline>
        </w:drawing>
      </w:r>
    </w:p>
    <w:p w14:paraId="582E166B" w14:textId="77777777" w:rsidR="0038718A" w:rsidRDefault="00BF184A">
      <w:pPr>
        <w:pStyle w:val="Heading4"/>
      </w:pPr>
      <w:bookmarkStart w:id="124" w:name="_Toc220324660"/>
      <w:r>
        <w:t>Figure 4.3: Coding tree for theme 2</w:t>
      </w:r>
      <w:bookmarkEnd w:id="124"/>
    </w:p>
    <w:p w14:paraId="7B1EE6DA" w14:textId="77777777" w:rsidR="0038718A" w:rsidRDefault="00BF184A">
      <w:r>
        <w:t xml:space="preserve">It has been identified that housing quality is not just about social good; it is the most important public-health determinant. According to McClatchey </w:t>
      </w:r>
      <w:r>
        <w:rPr>
          <w:i/>
          <w:iCs/>
        </w:rPr>
        <w:t>et al.</w:t>
      </w:r>
      <w:r>
        <w:t xml:space="preserve"> (2024), local government actors use the term “upstream” to refer to how housing interventions such as energy efficiency, repairs and enforcement are aimed at reducing health problems and healthcare usage. They also provide insight into how programme-theory development identifies the pathways from poor housing to physical and mental health problems and the anticipated impact of place-based interventions on health outcomes. As per the view of Phillips </w:t>
      </w:r>
      <w:r>
        <w:rPr>
          <w:i/>
          <w:iCs/>
        </w:rPr>
        <w:t xml:space="preserve">et al. </w:t>
      </w:r>
      <w:r>
        <w:t>(2024), it has been noticed that new insight regarding tenant priorities, such as the poor quality of their rental properties, their mental well-being and their access to services, to inform research and practice. Both sets of research demonstrate that dampness and cold conditions are positively correlated with respiratory health problems; that housing insecurity is associated with increased stress and service utilisation; and that the inclusion of tenant voices can drive research agendas in the direction of prevention and equity.</w:t>
      </w:r>
    </w:p>
    <w:p w14:paraId="6B8B2D2F" w14:textId="77777777" w:rsidR="0038718A" w:rsidRDefault="00BF184A">
      <w:r>
        <w:t>The critical contribution of both papers is that they expose the current gap between the evidence of the relationship between housing improvements and public health outcomes and the fact that very few studies have produced rigorous, robust evidence demonstrating sustained health outcomes as a result of housing improvements. Hence, both sets of authors caution that although there is a strong logical connection between enhancing housing quality and improving overall population health, the current lack of evidence demonstrating sustained public health outcomes will continue to be a challenge to improving population health outcomes without establishing stronger funding mechanisms and conducting robust evaluations of the impact of housing on public health.</w:t>
      </w:r>
    </w:p>
    <w:p w14:paraId="555144CE" w14:textId="77777777" w:rsidR="0038718A" w:rsidRDefault="00BF184A">
      <w:pPr>
        <w:pStyle w:val="Heading3"/>
      </w:pPr>
      <w:bookmarkStart w:id="125" w:name="_1hlbmevzdmob" w:colFirst="0" w:colLast="0"/>
      <w:bookmarkStart w:id="126" w:name="_Toc220324661"/>
      <w:bookmarkEnd w:id="125"/>
      <w:r>
        <w:t>4.4.2 Obstacles to Delivering Effective Preventive Health Measures</w:t>
      </w:r>
      <w:bookmarkEnd w:id="126"/>
    </w:p>
    <w:p w14:paraId="29C97FDC" w14:textId="77777777" w:rsidR="0038718A" w:rsidRDefault="00BF184A">
      <w:r>
        <w:t>Dawes</w:t>
      </w:r>
      <w:r>
        <w:rPr>
          <w:i/>
          <w:iCs/>
        </w:rPr>
        <w:t xml:space="preserve"> et al.</w:t>
      </w:r>
      <w:r>
        <w:t xml:space="preserve"> (2022) and McKee and Harris (2025) discuss the structural and relational obstacles that prevent individuals from accessing preventative public health measures, specifically those related to housing. During the COVID-19 pandemic, Dawes</w:t>
      </w:r>
      <w:r>
        <w:rPr>
          <w:i/>
          <w:iCs/>
        </w:rPr>
        <w:t xml:space="preserve"> et al.,</w:t>
      </w:r>
      <w:r>
        <w:t xml:space="preserve"> (2022) spoke to people experiencing homelessness and to service providers (who help people experiencing homelessness) about their accounts of how the pandemic impacted people experiencing homelessness. Services for people experiencing homelessness are normally fragmented into separate areas, but during a time of crisis, when emergency response systems usually dominate, these were not able to address the issues faced by people experiencing homelessness. Service provider respondents stated that, as they were operating within an emergency response system, they were not able to offer long-term solutions to the issues which caused homelessness. Hence, they were required to provide people experiencing homelessness with temporary emergency accommodation and short-term financial support. </w:t>
      </w:r>
    </w:p>
    <w:p w14:paraId="323AD96A" w14:textId="77777777" w:rsidR="0038718A" w:rsidRDefault="00BF184A">
      <w:r>
        <w:t>McKee and Harris (2025) highlight that tenants' ability to find safe homes is contingent upon their relationships with landlords in the private rental sector; their relationships with landlords are mediated through the landlords' discretionary behaviours (responsiveness to repairs, tolerance of noise or occupation, communication) that are necessary to secure safe homes. Poor or exploitative landlord behaviours violate statutory protections and negatively affect tenants' compliance with preventative measures (the timeliness of mould remediation, ventilation improvements). These papers highlight the existence of power asymmetries in the ability to discuss problems; the fear of eviction prevents tenants from discussing issues, which results in problems not being resolved promptly.</w:t>
      </w:r>
    </w:p>
    <w:p w14:paraId="16B37DB8" w14:textId="77777777" w:rsidR="0038718A" w:rsidRDefault="00BF184A">
      <w:r>
        <w:t xml:space="preserve">Together, these studies describe two barriers: the first, institutional fragmentation and the second, failure to implement the policy (policy failure). To achieve effective prevention, there are two requirements: structural reform (joined-up funding, enforcement of existing regulatory standards and programmes evaluated for efficacy) and mechanisms to equalise power (tenant protections, access to appropriate complaint mechanisms and incentives to encourage compliance of landlords). </w:t>
      </w:r>
    </w:p>
    <w:p w14:paraId="7EEAB6E2" w14:textId="77777777" w:rsidR="0038718A" w:rsidRDefault="00BF184A">
      <w:pPr>
        <w:rPr>
          <w:b/>
          <w:bCs/>
          <w:i/>
          <w:iCs/>
        </w:rPr>
      </w:pPr>
      <w:r>
        <w:rPr>
          <w:b/>
          <w:bCs/>
          <w:i/>
          <w:iCs/>
        </w:rPr>
        <w:t xml:space="preserve">Key findings </w:t>
      </w:r>
    </w:p>
    <w:p w14:paraId="0D770167" w14:textId="77777777" w:rsidR="0038718A" w:rsidRDefault="00BF184A">
      <w:r>
        <w:t>The findings demonstrate that housing quality should be characterised as an increasingly important upstream public health factor associated with respiratory and mental health outcomes resulting from dampness, cold housing, lack of housing stability, etc. However, limited programmes of service delivery, insufficient and inconsistent implementation of government regulatory policies along with unequal power between landlords and tenants have hampered housing health improvement programmes from being effectively implemented on an ongoing basis.</w:t>
      </w:r>
    </w:p>
    <w:p w14:paraId="297D854A" w14:textId="77777777" w:rsidR="0038718A" w:rsidRDefault="00BF184A">
      <w:pPr>
        <w:pStyle w:val="Heading2"/>
      </w:pPr>
      <w:bookmarkStart w:id="127" w:name="_vtwwqppukojv" w:colFirst="0" w:colLast="0"/>
      <w:bookmarkStart w:id="128" w:name="_Toc220324662"/>
      <w:bookmarkEnd w:id="127"/>
      <w:r>
        <w:t>4.5 Theme 3: Social Care Insights into Vulnerable Residents’ Exposure</w:t>
      </w:r>
      <w:bookmarkEnd w:id="128"/>
      <w:r>
        <w:t xml:space="preserve"> </w:t>
      </w:r>
    </w:p>
    <w:p w14:paraId="4F6F3C8D" w14:textId="77777777" w:rsidR="0038718A" w:rsidRDefault="00BF184A">
      <w:pPr>
        <w:pStyle w:val="Heading3"/>
      </w:pPr>
      <w:bookmarkStart w:id="129" w:name="_ncbwf8g0i9zy" w:colFirst="0" w:colLast="0"/>
      <w:bookmarkStart w:id="130" w:name="_Toc220324663"/>
      <w:bookmarkEnd w:id="129"/>
      <w:r>
        <w:t>4.5.1 Effects on High-Risk Populations: Young adults who are in Economically Disadvantaged Households</w:t>
      </w:r>
      <w:bookmarkEnd w:id="130"/>
    </w:p>
    <w:p w14:paraId="7972D0CD" w14:textId="77777777" w:rsidR="0038718A" w:rsidRDefault="00BF184A">
      <w:r>
        <w:t>Young adults from economically disadvantaged households represent a high-risk population, as financial insecurity, limited access to resources, and social inequality significantly intensify their vulnerability to adverse educational, health, and socio-economic outcomes (see figure 4.4).</w:t>
      </w:r>
    </w:p>
    <w:p w14:paraId="44C131AC" w14:textId="77777777" w:rsidR="0038718A" w:rsidRDefault="00BF184A">
      <w:pPr>
        <w:jc w:val="center"/>
      </w:pPr>
      <w:r>
        <w:rPr>
          <w:noProof/>
        </w:rPr>
        <w:drawing>
          <wp:inline distT="114300" distB="114300" distL="114300" distR="114300" wp14:anchorId="08A98A0F" wp14:editId="6B221FCA">
            <wp:extent cx="4367213" cy="2524568"/>
            <wp:effectExtent l="25400" t="25400" r="25400" b="25400"/>
            <wp:docPr id="7"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9"/>
                    <a:srcRect/>
                    <a:stretch>
                      <a:fillRect/>
                    </a:stretch>
                  </pic:blipFill>
                  <pic:spPr>
                    <a:xfrm>
                      <a:off x="0" y="0"/>
                      <a:ext cx="4367213" cy="2524568"/>
                    </a:xfrm>
                    <a:prstGeom prst="rect">
                      <a:avLst/>
                    </a:prstGeom>
                    <a:ln w="25400">
                      <a:solidFill>
                        <a:srgbClr val="000000"/>
                      </a:solidFill>
                      <a:prstDash val="solid"/>
                    </a:ln>
                  </pic:spPr>
                </pic:pic>
              </a:graphicData>
            </a:graphic>
          </wp:inline>
        </w:drawing>
      </w:r>
    </w:p>
    <w:p w14:paraId="429B6E39" w14:textId="77777777" w:rsidR="0038718A" w:rsidRDefault="00BF184A">
      <w:pPr>
        <w:pStyle w:val="Heading4"/>
      </w:pPr>
      <w:bookmarkStart w:id="131" w:name="_Toc220324664"/>
      <w:r>
        <w:t>Figure 4.4: Coding tree for theme 3</w:t>
      </w:r>
      <w:bookmarkEnd w:id="131"/>
    </w:p>
    <w:p w14:paraId="5FE05945" w14:textId="77777777" w:rsidR="0038718A" w:rsidRDefault="00BF184A">
      <w:r>
        <w:t xml:space="preserve">Research conducted by Sherriff </w:t>
      </w:r>
      <w:r>
        <w:rPr>
          <w:i/>
          <w:iCs/>
        </w:rPr>
        <w:t xml:space="preserve">et al. </w:t>
      </w:r>
      <w:r>
        <w:t xml:space="preserve">(2024) and Phillips </w:t>
      </w:r>
      <w:r>
        <w:rPr>
          <w:i/>
          <w:iCs/>
        </w:rPr>
        <w:t xml:space="preserve">et al. </w:t>
      </w:r>
      <w:r>
        <w:t>(2024) indicated that lower socioeconomic young adults face disproportionately high levels of harmful housing conditions and increased risk for respiratory-related illnesses. Young adult's living conditions include consistently damp, mouldy and crowded houses mostly because of the poverty of tenants and their reduced negotiating power to find better quality or affordable housing; as a result, the authors assert that young adults perceived the health-related issues (breathing problems and recurring infections) associated with these housing conditions were not adequately considered by the mainstream health and social care system.</w:t>
      </w:r>
    </w:p>
    <w:p w14:paraId="3CCDA0BB" w14:textId="77777777" w:rsidR="0038718A" w:rsidRDefault="00BF184A">
      <w:r>
        <w:t>The results were confirmed by Sherriff</w:t>
      </w:r>
      <w:r>
        <w:rPr>
          <w:i/>
          <w:iCs/>
        </w:rPr>
        <w:t xml:space="preserve"> et al.</w:t>
      </w:r>
      <w:r>
        <w:t xml:space="preserve"> (2024), who identified young adults living in shelter-supported, deprived social housing facing challenges caused by the presence of hazardous conditions in the environment and the need for repairs and prolonged maintenance (due to the commercial under-pricing of the needed services). This study provides compelling evidence that people who spend long periods of time in an unhealthy indoor environment are at risk of developing respiratory problems. Also, the two studies indicate that people in their 20s are facing challenges associated with helplessness, anxiety and frustration. These emotions will further contribute to the negative impact of poor living standards on the health of these young adults. In summary, young adults from economically disadvantaged backgrounds are socio-economically and structurally positioned to be more susceptible to respiratory illness because of their exposure to socio-economically related inequities and limitations experienced.</w:t>
      </w:r>
    </w:p>
    <w:p w14:paraId="379BF8A8" w14:textId="77777777" w:rsidR="0038718A" w:rsidRDefault="00BF184A">
      <w:pPr>
        <w:pStyle w:val="Heading3"/>
      </w:pPr>
      <w:bookmarkStart w:id="132" w:name="_r4wkmps6nkkg" w:colFirst="0" w:colLast="0"/>
      <w:bookmarkStart w:id="133" w:name="_Toc220324665"/>
      <w:bookmarkEnd w:id="132"/>
      <w:r>
        <w:t>4.5.2 Limitations Hindering Timely Assistance and Preventive Support</w:t>
      </w:r>
      <w:bookmarkEnd w:id="133"/>
    </w:p>
    <w:p w14:paraId="759F0CE2" w14:textId="77777777" w:rsidR="0038718A" w:rsidRDefault="00BF184A">
      <w:r>
        <w:t xml:space="preserve">Evidence presented by El-Hoss </w:t>
      </w:r>
      <w:r>
        <w:rPr>
          <w:i/>
          <w:iCs/>
        </w:rPr>
        <w:t>et al.</w:t>
      </w:r>
      <w:r>
        <w:t xml:space="preserve"> (2024) and Phillips </w:t>
      </w:r>
      <w:r>
        <w:rPr>
          <w:i/>
          <w:iCs/>
        </w:rPr>
        <w:t>et al</w:t>
      </w:r>
      <w:r>
        <w:t xml:space="preserve">. (2024) demonstrates that social care systems are significantly hampered from providing timely and preventative care support to people living in unsafe housing conditions. El-Hoss </w:t>
      </w:r>
      <w:r>
        <w:rPr>
          <w:i/>
          <w:iCs/>
        </w:rPr>
        <w:t xml:space="preserve">et al. </w:t>
      </w:r>
      <w:r>
        <w:t>(2024) provide a clear example of how the fragmented relationship between housing and children’s social care makes it impossible to identify environmental risks early. Case managers do not usually have enough resources, time or cross-agency information to address hazards such as dampness or overcrowding before they become serious health threats. The evidence produced through embedded research with practitioners shows that, as a result, practitioners tend to be reactive rather than preventative; they intervene after a crisis has already developed.</w:t>
      </w:r>
    </w:p>
    <w:p w14:paraId="71BE41B8" w14:textId="77777777" w:rsidR="0038718A" w:rsidRDefault="00BF184A">
      <w:r>
        <w:t xml:space="preserve">According to Phillips </w:t>
      </w:r>
      <w:r>
        <w:rPr>
          <w:i/>
          <w:iCs/>
        </w:rPr>
        <w:t xml:space="preserve">et al. </w:t>
      </w:r>
      <w:r>
        <w:t>(2024), many tenants, especially those living in social housing, feel neglected by their housing provider due to a lack of responsiveness from the system. This stems from a slow repair process and a lack of effective communication, and ultimately, limits tenants' ability to communicate or express their concerns. As a result of these delays, the number of tenants who formally report their issues will decline, resulting in an increase in the prolongation of the tenants' stay in unhealthy housing and creating even more issues related to respiratory health. Additionally, social care professionals acknowledge that the workload and lack of funding that they currently experience prevent them from carrying out the proper, proactive, holistic assessments of housing-related health risks.</w:t>
      </w:r>
    </w:p>
    <w:p w14:paraId="2AEC2735" w14:textId="77777777" w:rsidR="0038718A" w:rsidRDefault="00BF184A">
      <w:r>
        <w:t>Both studies thus illustrate that there is a systemic mismatch between the stated policy objectives and the operational capacity of social care systems. Even though prevention is referred to as a priority in policy language, systemic barriers such as underfunding, siloed services and a lack of adequate engagement of tenants prevent real-world implementation of this intention. As a consequence of this mismatch, timely assistance to tenants living in hazardous housing conditions is suboptimal.</w:t>
      </w:r>
    </w:p>
    <w:p w14:paraId="40A8DD5E" w14:textId="77777777" w:rsidR="0038718A" w:rsidRDefault="00BF184A">
      <w:pPr>
        <w:rPr>
          <w:b/>
          <w:bCs/>
          <w:i/>
          <w:iCs/>
        </w:rPr>
      </w:pPr>
      <w:r>
        <w:rPr>
          <w:b/>
          <w:bCs/>
          <w:i/>
          <w:iCs/>
        </w:rPr>
        <w:t xml:space="preserve">Key findings </w:t>
      </w:r>
    </w:p>
    <w:p w14:paraId="29413312" w14:textId="77777777" w:rsidR="0038718A" w:rsidRDefault="00BF184A">
      <w:r>
        <w:t>A significant number of the key findings illustrate the significant discrepancy in risk exposures for the economically disadvantaged populations of young adults to damp, mould, and overcrowded housing conditions contributing to the high probability of these individuals being diagnosed with respiratory illness. Due to the structural nature of poverty, lack of tenant voice/power and fragmented social care support systems providing timely preventive support; these populations subject to long durations of exposure to these housing conditions and resulting in repeated diagnosis of respiratory illness will experience worsening physical and mental health.</w:t>
      </w:r>
    </w:p>
    <w:p w14:paraId="4550FDCC" w14:textId="77777777" w:rsidR="0038718A" w:rsidRDefault="00BF184A">
      <w:pPr>
        <w:pStyle w:val="Heading2"/>
      </w:pPr>
      <w:bookmarkStart w:id="134" w:name="_pkqmqkixy51j" w:colFirst="0" w:colLast="0"/>
      <w:bookmarkStart w:id="135" w:name="_Toc220324666"/>
      <w:bookmarkEnd w:id="134"/>
      <w:r>
        <w:t>4.6 Cross-Theme Synthesis</w:t>
      </w:r>
      <w:bookmarkEnd w:id="135"/>
      <w:r>
        <w:t xml:space="preserve"> </w:t>
      </w:r>
    </w:p>
    <w:p w14:paraId="4F256728" w14:textId="77777777" w:rsidR="0038718A" w:rsidRDefault="00BF184A">
      <w:r>
        <w:t>Throughout all three categories of research, there is a clear and concerning trend emerging among these studies: The relationship between respiratory illness and inadequate housing conditions is not just the consequence of solely environmental hazards; instead, these illnesses are predominantly created due to systemic and structural inequalities, failures of social policies, and ongoing gaps between available scientific knowledge and actual practice.</w:t>
      </w:r>
    </w:p>
    <w:p w14:paraId="68F34085" w14:textId="77777777" w:rsidR="0038718A" w:rsidRDefault="00BF184A">
      <w:r>
        <w:t xml:space="preserve">Becoming more focused on Theme 1, there is evidence that Moisture, Moulds and Bacterial Risks are created through a societal structural process, not randomly generated. The description by Butler and Sherriff of the normalisation of mould among young adults reflects ongoing societal neglect, as well as ongoing non-regulation of low-rent housing. Studies conducted by Tod </w:t>
      </w:r>
      <w:r>
        <w:rPr>
          <w:i/>
          <w:iCs/>
        </w:rPr>
        <w:t xml:space="preserve">et al. </w:t>
      </w:r>
      <w:r>
        <w:t xml:space="preserve">(2016) and Sheringham </w:t>
      </w:r>
      <w:r>
        <w:rPr>
          <w:i/>
          <w:iCs/>
        </w:rPr>
        <w:t>et al.</w:t>
      </w:r>
      <w:r>
        <w:t xml:space="preserve"> (2024) have shown that many low-income households do not have adequate resources or the ability to create or maintain a healthy home environment, while the study conducted by Simpson </w:t>
      </w:r>
      <w:r>
        <w:rPr>
          <w:i/>
          <w:iCs/>
        </w:rPr>
        <w:t xml:space="preserve">et al. </w:t>
      </w:r>
      <w:r>
        <w:t>(2025) reveals that the blame for unhealthy conditions is often placed upon the tenant rather than the landlord’s or society’s negligence. Together, these studies have demonstrated an incorrect assignment of responsibility that conceals the impact that policy and regulatory gaps have had on the risk of Microbial Hazards.</w:t>
      </w:r>
    </w:p>
    <w:p w14:paraId="56FF2A19" w14:textId="77777777" w:rsidR="0038718A" w:rsidRDefault="00BF184A">
      <w:r>
        <w:t xml:space="preserve">Theme 2 illustrates how there is a breakdown between the knowledge about public health problems and how those problems are addressed in society. Although the methods used by McClatchey </w:t>
      </w:r>
      <w:r>
        <w:rPr>
          <w:i/>
          <w:iCs/>
        </w:rPr>
        <w:t xml:space="preserve">et al. </w:t>
      </w:r>
      <w:r>
        <w:t>(2024) and Phillips</w:t>
      </w:r>
      <w:r>
        <w:rPr>
          <w:i/>
          <w:iCs/>
        </w:rPr>
        <w:t xml:space="preserve"> et al.</w:t>
      </w:r>
      <w:r>
        <w:t xml:space="preserve"> (2024) indicate housing is a key "upstream" cause of respiratory disease, both authors note a lack of thorough evaluations of housing as a determinant of respiratory health, plus inadequate funding for implementing any of these findings into ongoing health improvement efforts. Both Dawes </w:t>
      </w:r>
      <w:r>
        <w:rPr>
          <w:i/>
          <w:iCs/>
        </w:rPr>
        <w:t xml:space="preserve">et al. </w:t>
      </w:r>
      <w:r>
        <w:t xml:space="preserve">(2022) and McKee and Harris (2025) further illustrate this breakdown through their findings that service structure fragmentation, intervention only on a crisis basis, and an unequal relationship between tenants and landlords create impediments to developing preventative interventions. </w:t>
      </w:r>
    </w:p>
    <w:p w14:paraId="15FEDD9F" w14:textId="77777777" w:rsidR="0038718A" w:rsidRDefault="00BF184A">
      <w:r>
        <w:t xml:space="preserve">The third theme considers how these failures disproportionately impact vulnerable groups. Young adults who come from low-income backgrounds or families with limited means are at increased risk of housing conditions that negatively impact their future health or quality of life due to their lack of bargaining power, psychological stress, and lack of access to appropriate services (Sherriff </w:t>
      </w:r>
      <w:r>
        <w:rPr>
          <w:i/>
          <w:iCs/>
        </w:rPr>
        <w:t>et al.,</w:t>
      </w:r>
      <w:r>
        <w:t xml:space="preserve"> 2024; Phillips </w:t>
      </w:r>
      <w:r>
        <w:rPr>
          <w:i/>
          <w:iCs/>
        </w:rPr>
        <w:t>et al.</w:t>
      </w:r>
      <w:r>
        <w:t>, 2024). Social Work Practitioners (El-Hoss</w:t>
      </w:r>
      <w:r>
        <w:rPr>
          <w:i/>
          <w:iCs/>
        </w:rPr>
        <w:t xml:space="preserve"> et al.</w:t>
      </w:r>
      <w:r>
        <w:t xml:space="preserve"> 2024) have the inability to deliver timely interventions because they are constrained by the chronic under-resourcing of their industry and the fragmented nature of social service systems. The research supporting these findings exposes a central inconsistency in policy: where there is an emphasis on preventing these negative outcomes through prevention, the operational framework for supporting individuals affected by them lacks an appropriate level of consistency, responsiveness and capacity to support the long-term recovery of individuals suffering from respiratory illness as a result of poor housing. A critical analysis of these issues leads to the conclusion that rather than being caused by individual actions, the long-term respiratory health risks caused by substandard housing conditions are a result of neglect at the structural level, inability to hold relevant actors accountable and poorly designed and fragmented systems of governance. </w:t>
      </w:r>
    </w:p>
    <w:p w14:paraId="6D88DCBF" w14:textId="77777777" w:rsidR="0038718A" w:rsidRDefault="00BF184A">
      <w:pPr>
        <w:pStyle w:val="Heading2"/>
      </w:pPr>
      <w:bookmarkStart w:id="136" w:name="_avhlxh69z2hf" w:colFirst="0" w:colLast="0"/>
      <w:bookmarkStart w:id="137" w:name="_Toc220324667"/>
      <w:bookmarkEnd w:id="136"/>
      <w:r>
        <w:t>4.7 Summary of Findings</w:t>
      </w:r>
      <w:bookmarkEnd w:id="137"/>
      <w:r>
        <w:t xml:space="preserve"> </w:t>
      </w:r>
    </w:p>
    <w:p w14:paraId="3689903C" w14:textId="77777777" w:rsidR="0038718A" w:rsidRDefault="00BF184A">
      <w:pPr>
        <w:spacing w:after="142"/>
      </w:pPr>
      <w:r>
        <w:t xml:space="preserve">There are numerous examples of evidence supporting the relationship between respiratory disease and systemic injustices, lack of enforcement of policies and rules, and insufficient prevention capabilities. Therefore, it is clear from this body of evidence that respiratory disease is not only caused by individual's lifestyle choices but rather is created by the structural inequality of broken health care and social services system and substandard housing conditions. </w:t>
      </w:r>
    </w:p>
    <w:p w14:paraId="566F2995" w14:textId="77777777" w:rsidR="0038718A" w:rsidRDefault="00BF184A">
      <w:pPr>
        <w:spacing w:after="0"/>
      </w:pPr>
      <w:r>
        <w:t xml:space="preserve"> </w:t>
      </w:r>
      <w:r>
        <w:tab/>
      </w:r>
      <w:r>
        <w:rPr>
          <w:b/>
          <w:bCs/>
        </w:rPr>
        <w:t xml:space="preserve"> </w:t>
      </w:r>
    </w:p>
    <w:p w14:paraId="019B2687" w14:textId="77777777" w:rsidR="0038718A" w:rsidRDefault="00BF184A">
      <w:pPr>
        <w:rPr>
          <w:b/>
          <w:bCs/>
        </w:rPr>
      </w:pPr>
      <w:r>
        <w:br w:type="page"/>
      </w:r>
    </w:p>
    <w:p w14:paraId="3821C403" w14:textId="77777777" w:rsidR="0038718A" w:rsidRDefault="00BF184A">
      <w:pPr>
        <w:pStyle w:val="Heading1"/>
      </w:pPr>
      <w:bookmarkStart w:id="138" w:name="_t0xhpltx5ia" w:colFirst="0" w:colLast="0"/>
      <w:bookmarkStart w:id="139" w:name="_Toc220324668"/>
      <w:bookmarkEnd w:id="138"/>
      <w:r>
        <w:t>Chapter 5: Discussion</w:t>
      </w:r>
      <w:bookmarkEnd w:id="139"/>
      <w:r>
        <w:t xml:space="preserve"> </w:t>
      </w:r>
    </w:p>
    <w:p w14:paraId="02697F10" w14:textId="77777777" w:rsidR="0038718A" w:rsidRDefault="00BF184A">
      <w:pPr>
        <w:spacing w:after="254"/>
      </w:pPr>
      <w:r>
        <w:t xml:space="preserve"> </w:t>
      </w:r>
    </w:p>
    <w:p w14:paraId="243C2AD5" w14:textId="77777777" w:rsidR="0038718A" w:rsidRDefault="00BF184A">
      <w:pPr>
        <w:pStyle w:val="Heading2"/>
        <w:rPr>
          <w:b w:val="0"/>
          <w:bCs w:val="0"/>
        </w:rPr>
      </w:pPr>
      <w:bookmarkStart w:id="140" w:name="_47p5yb143vj" w:colFirst="0" w:colLast="0"/>
      <w:bookmarkStart w:id="141" w:name="_Toc220324669"/>
      <w:bookmarkEnd w:id="140"/>
      <w:r>
        <w:t>5.1 Introduction</w:t>
      </w:r>
      <w:bookmarkEnd w:id="141"/>
      <w:r>
        <w:t xml:space="preserve"> </w:t>
      </w:r>
    </w:p>
    <w:p w14:paraId="3343F2B1" w14:textId="77777777" w:rsidR="0038718A" w:rsidRDefault="00BF184A">
      <w:r>
        <w:t>Results gathered by this study indicate that individuals living in deprived housing are subjected to environmental conditions that lead to respiratory infection. Within the context of this research, the discussion presents the findings from this examination of the impact of housing quality and respiratory infection in adolescents in the UK together with existing relevant literature on this. The research identifies relationships between published research, as well as evidence of structural inequities, resulting in policy implications and practice opportunities, in addition to future research possibilities.</w:t>
      </w:r>
    </w:p>
    <w:p w14:paraId="50C23B74" w14:textId="77777777" w:rsidR="0038718A" w:rsidRDefault="00BF184A">
      <w:pPr>
        <w:pStyle w:val="Heading2"/>
        <w:rPr>
          <w:b w:val="0"/>
          <w:bCs w:val="0"/>
        </w:rPr>
      </w:pPr>
      <w:bookmarkStart w:id="142" w:name="_cii513bpmkk0" w:colFirst="0" w:colLast="0"/>
      <w:bookmarkStart w:id="143" w:name="_Toc220324670"/>
      <w:bookmarkEnd w:id="142"/>
      <w:r>
        <w:t>5.2 Interpretation of results</w:t>
      </w:r>
      <w:bookmarkEnd w:id="143"/>
    </w:p>
    <w:p w14:paraId="466FB219" w14:textId="77777777" w:rsidR="0038718A" w:rsidRDefault="00BF184A">
      <w:pPr>
        <w:pStyle w:val="Heading3"/>
      </w:pPr>
      <w:bookmarkStart w:id="144" w:name="_7f8r88oil114" w:colFirst="0" w:colLast="0"/>
      <w:bookmarkStart w:id="145" w:name="_Toc220324671"/>
      <w:bookmarkEnd w:id="144"/>
      <w:r>
        <w:t>5.2.1 Theme 1: Microbial risks associated with poor-quality housing</w:t>
      </w:r>
      <w:bookmarkEnd w:id="145"/>
      <w:r>
        <w:t xml:space="preserve"> </w:t>
      </w:r>
    </w:p>
    <w:p w14:paraId="46104492" w14:textId="77777777" w:rsidR="0038718A" w:rsidRDefault="00BF184A">
      <w:r>
        <w:t>Research​‍​‌‍​‍‌ Objective 1 accesses to identify microbiological risks such as mould, dampness, and bacteria arising from poor housing conditions and then, explain their role from a microbiological perspective. Theme 1 is directly aligned with objective. It highlights how persistent damp, mould, and bacterial growth are at the core of the mechanisms by which poor housing causes respiratory infections in UK adolescents.</w:t>
      </w:r>
    </w:p>
    <w:p w14:paraId="7923668F" w14:textId="77777777" w:rsidR="0038718A" w:rsidRDefault="00BF184A">
      <w:pPr>
        <w:rPr>
          <w:b/>
          <w:bCs/>
          <w:i/>
          <w:iCs/>
        </w:rPr>
      </w:pPr>
      <w:r>
        <w:rPr>
          <w:b/>
          <w:bCs/>
          <w:i/>
          <w:iCs/>
        </w:rPr>
        <w:t>Persistent damp and mould as key drivers of respiratory illness</w:t>
      </w:r>
    </w:p>
    <w:p w14:paraId="5E226DC4" w14:textId="77777777" w:rsidR="0038718A" w:rsidRDefault="00BF184A">
      <w:r>
        <w:t xml:space="preserve">Several studies included in the review, emphasised that dampness was normalised by residents because it had been neglected for a long time and, due to lack of support, heating had not been provided which increased continuous exposure. This is in line with the literature that shows that damp and mould are already well-known causes of asthma, bronchitis, and acute respiratory symptoms among the young. According to Butler and Sherriff, (2017) and Tod </w:t>
      </w:r>
      <w:r>
        <w:rPr>
          <w:i/>
          <w:iCs/>
        </w:rPr>
        <w:t>et al.</w:t>
      </w:r>
      <w:r>
        <w:t xml:space="preserve"> (2016), it is demonstrated that mould generates spores suspended in the air that invade the deep parts of the lungs; thus, making adolescents more susceptible as their immune systems are still ​‍​‌‍​‍‌developing.</w:t>
      </w:r>
    </w:p>
    <w:p w14:paraId="69D9CEBE" w14:textId="77777777" w:rsidR="0038718A" w:rsidRDefault="00BF184A">
      <w:r>
        <w:t>Moreover,​‍​‌‍​‍‌ the findings indicate that the issue of mould was frequently associated with the landlords not doing anything, overcrowding, and lack of ventilation (</w:t>
      </w:r>
      <w:proofErr w:type="spellStart"/>
      <w:r>
        <w:t>Ginestet</w:t>
      </w:r>
      <w:proofErr w:type="spellEnd"/>
      <w:r>
        <w:t xml:space="preserve"> </w:t>
      </w:r>
      <w:r>
        <w:rPr>
          <w:i/>
          <w:iCs/>
        </w:rPr>
        <w:t xml:space="preserve">et al. </w:t>
      </w:r>
      <w:r>
        <w:t>2020). This supports the evidence given in the literature review, which states that structural inequalities lead to the creation of environmental conditions that are favourable for the growth of fungi. The social aspect interacting with the environmental microbiology is vital as it indicates that it has been influenced by neglect and poverty. Young people, particularly those coming from poor families, have little power to change their living conditions. Consequently, the microbiological risk turns to be a chronic exposure rather than a temporary environmental ​‍​‌‍​‍‌issue.</w:t>
      </w:r>
    </w:p>
    <w:p w14:paraId="63DD475B" w14:textId="77777777" w:rsidR="0038718A" w:rsidRDefault="00BF184A">
      <w:pPr>
        <w:rPr>
          <w:b/>
          <w:bCs/>
          <w:i/>
          <w:iCs/>
        </w:rPr>
      </w:pPr>
      <w:r>
        <w:rPr>
          <w:b/>
          <w:bCs/>
          <w:i/>
          <w:iCs/>
        </w:rPr>
        <w:t>Bacterial growth resulting from structural defects and inadequate sanitation</w:t>
      </w:r>
    </w:p>
    <w:p w14:paraId="3B076352" w14:textId="77777777" w:rsidR="0038718A" w:rsidRDefault="00BF184A">
      <w:r>
        <w:t xml:space="preserve">The​‍​‌‍​‍‌ findings reveal that broken pipes, leaking roofs, and dirty sanitary facilities are the causes of the rise of harmful bacteria. Structural damage produces areas that are moist and warm where bacteria can multiply. Sheringham </w:t>
      </w:r>
      <w:r>
        <w:rPr>
          <w:i/>
          <w:iCs/>
        </w:rPr>
        <w:t>et al.</w:t>
      </w:r>
      <w:r>
        <w:t xml:space="preserve"> (2024) and Simpson </w:t>
      </w:r>
      <w:r>
        <w:rPr>
          <w:i/>
          <w:iCs/>
        </w:rPr>
        <w:t>et al.</w:t>
      </w:r>
      <w:r>
        <w:t xml:space="preserve"> (2025) argue that bacterial contamination elevates the concentration of airborne irritants and bioaerosols. They pointed out interaction of dampness, mould, and bacteria. Dampness is the factor that prepares the environment; mould grows on it; and bacteria find the same damp place to multiply (Loukou </w:t>
      </w:r>
      <w:r>
        <w:rPr>
          <w:i/>
          <w:iCs/>
        </w:rPr>
        <w:t xml:space="preserve">et al. </w:t>
      </w:r>
      <w:r>
        <w:t>2024). This intertwined circle deepens the health risks. The interactions of the kind were dealt with in the literature review as well which pointed out that environmental microbiology in substandard housing should be considered as a complex process rather than separate ​‍​‌‍​‍‌hazards.</w:t>
      </w:r>
    </w:p>
    <w:p w14:paraId="257A24E5" w14:textId="77777777" w:rsidR="0038718A" w:rsidRDefault="00BF184A">
      <w:r>
        <w:t>It​‍​‌‍​‍‌ is essential to note that the theme demonstrated that the microbiological risks could be avoided; however, they still exist due to the neglect of housing and social inequalities. This, in turn, supports the notion that microbiological hazards in inadequate housing should not be considered as natural disasters but as consequences of wrong policies, malfunctioning maintenance systems, and absence of responsibility. Consequently, the theme corresponds closely with the first Research Objective as it offers incontrovertible proof that bad housing conditions lead to the presence of harmful microbiological agents among adolescents, which in turn cause respiratory infections or aggravate those already ​‍​‌‍​‍‌existing.</w:t>
      </w:r>
    </w:p>
    <w:p w14:paraId="59E63271" w14:textId="77777777" w:rsidR="0038718A" w:rsidRDefault="00BF184A">
      <w:pPr>
        <w:pStyle w:val="Heading3"/>
      </w:pPr>
      <w:bookmarkStart w:id="146" w:name="_5qzbesa33hyg" w:colFirst="0" w:colLast="0"/>
      <w:bookmarkStart w:id="147" w:name="_Toc220324672"/>
      <w:bookmarkEnd w:id="146"/>
      <w:r>
        <w:t>5.2.2 Theme 2: Public health views on housing conditions and respiratory disease</w:t>
      </w:r>
      <w:bookmarkEnd w:id="147"/>
      <w:r>
        <w:t xml:space="preserve"> </w:t>
      </w:r>
    </w:p>
    <w:p w14:paraId="6F29FD4D" w14:textId="77777777" w:rsidR="0038718A" w:rsidRDefault="00BF184A">
      <w:r>
        <w:t>Research​‍​‌‍​‍‌ Objective 2 is to evaluate public health strategies aimed at respiratory infections related to housing and identify social issues in policy implementation. Theme 2 gives a direct answer to this objective by demonstrating that bad housing is acknowledged as one of the biggest public health problems. Nevertheless, preventive strategies are often unsuccessful due to factors such as weak coordination, late intervention, and limited policy enforcement. The theme has two parts, and both of them contain evidence supporting the fulfilment of the objective.</w:t>
      </w:r>
    </w:p>
    <w:p w14:paraId="38E77486" w14:textId="77777777" w:rsidR="0038718A" w:rsidRDefault="00BF184A">
      <w:pPr>
        <w:rPr>
          <w:b/>
          <w:bCs/>
        </w:rPr>
      </w:pPr>
      <w:r>
        <w:rPr>
          <w:b/>
          <w:bCs/>
        </w:rPr>
        <w:t>Understanding housing quality as a critical public health factor</w:t>
      </w:r>
    </w:p>
    <w:p w14:paraId="226E14C5" w14:textId="77777777" w:rsidR="0038718A" w:rsidRDefault="00BF184A">
      <w:r>
        <w:t xml:space="preserve">Public health services define that housing conditions are one of the main causes of respiratory diseases. The results of the survey show that numerous professionals consider poor housing as an "upstream" factor that determines health in the long run (Ray </w:t>
      </w:r>
      <w:r>
        <w:rPr>
          <w:i/>
          <w:iCs/>
        </w:rPr>
        <w:t xml:space="preserve">et al. </w:t>
      </w:r>
      <w:r>
        <w:t xml:space="preserve">2023). The review of studies found that the rate of asthma, chest infections and other breathing problems is higher among the adolescents living in damp, mouldy or overcrowded homes (Holden </w:t>
      </w:r>
      <w:r>
        <w:rPr>
          <w:i/>
          <w:iCs/>
        </w:rPr>
        <w:t xml:space="preserve">et al. </w:t>
      </w:r>
      <w:r>
        <w:t>2023). This is in line with the literature review which stated that bad housing is the main cause of respiratory diseases as it exposes children to harmful microorganisms, airborne irritants, and ​‍​‌‍​‍‌cold.</w:t>
      </w:r>
    </w:p>
    <w:p w14:paraId="741F861B" w14:textId="77777777" w:rsidR="0038718A" w:rsidRDefault="00BF184A">
      <w:r>
        <w:t xml:space="preserve">In addition,​‍​‌‍​‍‌ the data reveal that even the public health sector accepting the risk, the movement of the needle on the issue is infrequently fast or proactive. Most of the studies, for example, McClatchey </w:t>
      </w:r>
      <w:r>
        <w:rPr>
          <w:i/>
          <w:iCs/>
        </w:rPr>
        <w:t>et al.,</w:t>
      </w:r>
      <w:r>
        <w:t xml:space="preserve"> (2024) and Phillips </w:t>
      </w:r>
      <w:r>
        <w:rPr>
          <w:i/>
          <w:iCs/>
        </w:rPr>
        <w:t>et al.,</w:t>
      </w:r>
      <w:r>
        <w:t xml:space="preserve"> (2024) have found that worries are usually dealt with only after a respiratory issue has become severe. It is also in agreement with more extensive pieces of research, which mention that the public health system in the UK, in general, is an actor which intervenes late because it depends on hospital or GP referrals and does not engage in early environmental assessments (White, 2021). Such a delay leads to an increase in the degree of illness among teenagers and to the imposition of a heavier load on the public health ​‍​‌‍​‍‌system.</w:t>
      </w:r>
    </w:p>
    <w:p w14:paraId="7868B104" w14:textId="77777777" w:rsidR="0038718A" w:rsidRDefault="00BF184A">
      <w:pPr>
        <w:rPr>
          <w:b/>
          <w:bCs/>
          <w:i/>
          <w:iCs/>
        </w:rPr>
      </w:pPr>
      <w:r>
        <w:rPr>
          <w:b/>
          <w:bCs/>
          <w:i/>
          <w:iCs/>
        </w:rPr>
        <w:t>Obstacles to delivering effective preventive health measures</w:t>
      </w:r>
    </w:p>
    <w:p w14:paraId="635BE65B" w14:textId="77777777" w:rsidR="0038718A" w:rsidRDefault="00BF184A">
      <w:r>
        <w:t>The​‍​‌‍​‍‌ findings reveal that public health teams are confronted with significant challenges while attempting to avert respiratory diseases caused by inadequate housing (</w:t>
      </w:r>
      <w:proofErr w:type="spellStart"/>
      <w:r>
        <w:t>Meghji</w:t>
      </w:r>
      <w:proofErr w:type="spellEnd"/>
      <w:r>
        <w:t xml:space="preserve"> </w:t>
      </w:r>
      <w:r>
        <w:rPr>
          <w:i/>
          <w:iCs/>
        </w:rPr>
        <w:t xml:space="preserve">et al. </w:t>
      </w:r>
      <w:r>
        <w:t xml:space="preserve">2021). Among the challenges are the indistinct sharing of duties between housing, health, and social care services; lack of money; and the inconsistency of communication (Sheppard </w:t>
      </w:r>
      <w:r>
        <w:rPr>
          <w:i/>
          <w:iCs/>
        </w:rPr>
        <w:t xml:space="preserve">et al. </w:t>
      </w:r>
      <w:r>
        <w:t>2022). In a number of studies, it was also mentioned that the staff consider themselves to be “in a deadlock” as they are able to spot the risks but have very little power to bring about changes. This is in line with the literature review, which pointed out that the health and housing departments' poor integration is a main factor that hampers UK public health policy repeatedly.</w:t>
      </w:r>
    </w:p>
    <w:p w14:paraId="57A10D4B" w14:textId="77777777" w:rsidR="0038718A" w:rsidRDefault="00BF184A">
      <w:r>
        <w:t xml:space="preserve">Moreover, findings reveal that public health programmes are deprived of robust evidence that demonstrates which interventions yield the best results. Dawes </w:t>
      </w:r>
      <w:r>
        <w:rPr>
          <w:i/>
          <w:iCs/>
        </w:rPr>
        <w:t>et al.</w:t>
      </w:r>
      <w:r>
        <w:t>, (2022) and McKee and Harris, (2025) note that in the absence of comprehensive evaluation data, the majority of initiatives are limited to a small scale and a short duration. Consequently, their capacity to prevent respiratory infections in adolescents is significantly diminished. The problem is also aggravated by the opposition of landlords, the repair process that takes time, and the existence of gaps in environmental health ​‍​‌‍​‍‌inspections.</w:t>
      </w:r>
    </w:p>
    <w:p w14:paraId="5887E716" w14:textId="77777777" w:rsidR="0038718A" w:rsidRDefault="00BF184A">
      <w:r>
        <w:t>Most​‍​‌‍​‍‌ importantly, the second theme demonstrates that understanding housing as a public health problem is merely the first step. Efficient measures call for tighter control, more timely intervention, and improved coordination of different sectors. To this end, the theme underscores that the respiratory risks associated with housing are easily avoidable, however, public health systems are finding it difficult to deal with them due to the division of policies and the small number of enforcement powers. In general, the second theme is a direct response to Research Objective 2 by outlining the public health perspective on respiratory risks in the housing sector and the obstacles in the policy and system framework that hinder the implementation of preventive ​‍​‌‍​‍‌measures.</w:t>
      </w:r>
    </w:p>
    <w:p w14:paraId="70B925F5" w14:textId="77777777" w:rsidR="0038718A" w:rsidRDefault="00BF184A">
      <w:pPr>
        <w:pStyle w:val="Heading3"/>
      </w:pPr>
      <w:bookmarkStart w:id="148" w:name="_oalrbm6z417h" w:colFirst="0" w:colLast="0"/>
      <w:bookmarkStart w:id="149" w:name="_Toc220324673"/>
      <w:bookmarkEnd w:id="148"/>
      <w:r>
        <w:t>5.2.3 Theme 3: Social care insights into vulnerable residents’ exposure</w:t>
      </w:r>
      <w:bookmarkEnd w:id="149"/>
      <w:r>
        <w:t xml:space="preserve"> </w:t>
      </w:r>
    </w:p>
    <w:p w14:paraId="09F22896" w14:textId="77777777" w:rsidR="0038718A" w:rsidRDefault="00BF184A">
      <w:r>
        <w:t>Objective​‍​‌‍​‍‌ 3 of the research is to evaluate the contribution of social care services like parenting programmes and family support services in providing assistance to vulnerable adolescents affected by poor housing and in recommending integrated interventions. Theme 3 is the direct response to this objective by depicting how social care perspectives reveal that adolescents’ deep vulnerability due to living in poor-quality homes and the weak structures that fail to provide support in time.</w:t>
      </w:r>
    </w:p>
    <w:p w14:paraId="2A0BAA48" w14:textId="77777777" w:rsidR="0038718A" w:rsidRDefault="00BF184A">
      <w:pPr>
        <w:rPr>
          <w:b/>
          <w:bCs/>
          <w:i/>
          <w:iCs/>
        </w:rPr>
      </w:pPr>
      <w:r>
        <w:rPr>
          <w:b/>
          <w:bCs/>
          <w:i/>
          <w:iCs/>
        </w:rPr>
        <w:t>Effects on high-risk populations: Young adults who are in economically disadvantaged households</w:t>
      </w:r>
    </w:p>
    <w:p w14:paraId="1C9050F1" w14:textId="77777777" w:rsidR="0038718A" w:rsidRDefault="00BF184A">
      <w:r>
        <w:t xml:space="preserve">Adolescents of 10–18 years old living in low-income families are those who have been most exposed to poor housing and its respiratory impacts (Holden </w:t>
      </w:r>
      <w:r>
        <w:rPr>
          <w:i/>
          <w:iCs/>
        </w:rPr>
        <w:t xml:space="preserve">et al. </w:t>
      </w:r>
      <w:r>
        <w:t>2023). The results have always pointed out that economic disadvantage is what limits a family's ability to make improvements in housing conditions or to move to safer environments. It was noted in several studies that families with low income, single-parent households, or families with many children have little control over mould, damp, cold temperatures, or overcrowding (Cross, 2022). This aligns with the findings of the literature review, where research led to the conclusion that structural inequalities make poor housing a matter of chronic condition rather than a short-term ​‍​‌‍​‍‌crisis.</w:t>
      </w:r>
    </w:p>
    <w:p w14:paraId="677DFDA6" w14:textId="77777777" w:rsidR="0038718A" w:rsidRDefault="00BF184A">
      <w:r>
        <w:t xml:space="preserve">The​‍​‌‍​‍‌ outcomes also point out that teenagers are especially vulnerable. More than elderly people they are staying inside and very often they are sleeping in the rooms where there is damp or mould. A few studies reported that kids suffering from repeated episodes of coughing, wheezing, and chest infections (Cardinale </w:t>
      </w:r>
      <w:r>
        <w:rPr>
          <w:i/>
          <w:iCs/>
        </w:rPr>
        <w:t xml:space="preserve">et al. </w:t>
      </w:r>
      <w:r>
        <w:t>2024). These results confirm the scientific papers that have been cited in the report which states that teenagers are physiologically more sensitive to bad air quality in the room since their respiratory systems are still maturing. This brings to the higher relative risk of asthma flare-ups, chronic bronchitis, and lung diseases of a long ​‍​‌‍​‍‌duration.</w:t>
      </w:r>
    </w:p>
    <w:p w14:paraId="6778A9CF" w14:textId="77777777" w:rsidR="0038718A" w:rsidRDefault="00BF184A">
      <w:r>
        <w:t>Social​‍​‌‍​‍‌ care workers frequently understand, from their point of view, that respiratory disease in teenagers is a result of the living conditions at home (</w:t>
      </w:r>
      <w:proofErr w:type="spellStart"/>
      <w:r>
        <w:t>Kortianou</w:t>
      </w:r>
      <w:proofErr w:type="spellEnd"/>
      <w:r>
        <w:t xml:space="preserve"> </w:t>
      </w:r>
      <w:r>
        <w:rPr>
          <w:i/>
          <w:iCs/>
        </w:rPr>
        <w:t xml:space="preserve">et al. </w:t>
      </w:r>
      <w:r>
        <w:t xml:space="preserve">2025). Nevertheless, according to findings, these workers quite often express that they are powerless to deal with housing problems directly. On the one hand, numerous publications emphasized that the social care teams can recognise the danger; however, they need to rely on environmental health officers, housing authorities, or landlords for the necessary intervention (McClatchey </w:t>
      </w:r>
      <w:r>
        <w:rPr>
          <w:i/>
          <w:iCs/>
        </w:rPr>
        <w:t xml:space="preserve">et al. </w:t>
      </w:r>
      <w:r>
        <w:t xml:space="preserve">2024). Consequently, this hampers the assistance of vulnerable young people and, at the same time, prolongs their stay in unhealthy environments. </w:t>
      </w:r>
    </w:p>
    <w:p w14:paraId="1B17689B" w14:textId="77777777" w:rsidR="0038718A" w:rsidRDefault="00BF184A">
      <w:pPr>
        <w:rPr>
          <w:b/>
          <w:bCs/>
          <w:i/>
          <w:iCs/>
        </w:rPr>
      </w:pPr>
      <w:r>
        <w:rPr>
          <w:b/>
          <w:bCs/>
          <w:i/>
          <w:iCs/>
        </w:rPr>
        <w:t>Limitations hindering timely assistance and preventive support</w:t>
      </w:r>
    </w:p>
    <w:p w14:paraId="6C14C631" w14:textId="77777777" w:rsidR="0038718A" w:rsidRDefault="00BF184A">
      <w:r>
        <w:t>According​‍​‌‍​‍‌ to the findings, social care services are affected by several systemic limitations that include long waiting lists, unclear referral pathways, low staffing levels, and the absence of strong legal mechanisms to compel landlords to act. Numerous studies have stressed that even if social workers realize that the home situation is unsafe, they are not able to move a family or guarantee repairs immediately. As a result, support is delayed, and exposure is prolonged.</w:t>
      </w:r>
    </w:p>
    <w:p w14:paraId="7404355E" w14:textId="77777777" w:rsidR="0038718A" w:rsidRDefault="00BF184A">
      <w:r>
        <w:t>Another limitation mentioned in the results is the social care intervention's reactive nature. Many teams only get involved after a child's health has deteriorated. This is in line with the findings in literature review, where it was stated that UK social care is often in "crisis response mode," dealing with harm after it has happened. Consequently, this leaves very little room for preventive support, although early intervention would lower respiratory diseases and hospitalizations.</w:t>
      </w:r>
    </w:p>
    <w:p w14:paraId="608042D2" w14:textId="77777777" w:rsidR="0038718A" w:rsidRDefault="00BF184A">
      <w:r>
        <w:t xml:space="preserve">The findings also point to the gaps in joint working that have caused social care services to be ignored in the public health planning and environmental housing inspections (Robb </w:t>
      </w:r>
      <w:r>
        <w:rPr>
          <w:i/>
          <w:iCs/>
        </w:rPr>
        <w:t xml:space="preserve">et al. </w:t>
      </w:r>
      <w:r>
        <w:t>2021). As a result, the vulnerable adolescents are not considered fully in the decision-making of housing standards or repair prioritization. The literature review also pointed out that adolescents from disadvantaged homes hardly get any integrated care while services are mostly in ​‍​‌‍​‍‌silos.</w:t>
      </w:r>
    </w:p>
    <w:p w14:paraId="33904CE1" w14:textId="1CD1FDA3" w:rsidR="0038718A" w:rsidRDefault="00BF184A">
      <w:r>
        <w:t xml:space="preserve">By​‍​‌‍​‍‌ critically reflecting on these results, social care is shown in Theme 3 to be the major factor that is supportive yet somewhat limited in nature. Social care has the capacity to recognise the most vulnerable residents, provide family support, and be a voice for healthier living conditions, however, it is not allowed to remove environmental hazards on its own </w:t>
      </w:r>
      <w:r w:rsidR="00EF4E96" w:rsidRPr="00EF4E96">
        <w:t xml:space="preserve">(Cuevas Barron </w:t>
      </w:r>
      <w:r w:rsidR="00EF4E96" w:rsidRPr="00EF4E96">
        <w:rPr>
          <w:i/>
          <w:iCs/>
        </w:rPr>
        <w:t>et al.</w:t>
      </w:r>
      <w:r w:rsidR="00EF4E96" w:rsidRPr="00EF4E96">
        <w:t>, 2021)</w:t>
      </w:r>
      <w:r>
        <w:t>. This discrepancy between having the responsibility without the authority weakens the role of social care in the prevention of respiratory diseases. In essence, Theme 3 is a direct link to Research Objective 3 which reveals the importance of social care for the adolescents who are the most vulnerable and the existence of the systemic barriers that hinder the provision of timely and preventive support. Thus, it is strengthened the necessity of the social care sector being deeply involved as part of the integrated solutions that also include microbiological awareness and public health ​‍​‌‍​‍‌leadership.</w:t>
      </w:r>
    </w:p>
    <w:p w14:paraId="41E21E5E" w14:textId="77777777" w:rsidR="0038718A" w:rsidRDefault="00BF184A">
      <w:pPr>
        <w:pStyle w:val="Heading2"/>
      </w:pPr>
      <w:bookmarkStart w:id="150" w:name="_m10souaxdwb4" w:colFirst="0" w:colLast="0"/>
      <w:bookmarkStart w:id="151" w:name="_Toc220324674"/>
      <w:bookmarkEnd w:id="150"/>
      <w:r>
        <w:t>5.3 Discussion of implications</w:t>
      </w:r>
      <w:bookmarkEnd w:id="151"/>
      <w:r>
        <w:t xml:space="preserve"> </w:t>
      </w:r>
    </w:p>
    <w:p w14:paraId="1AB3D2B1" w14:textId="77777777" w:rsidR="0038718A" w:rsidRDefault="00BF184A">
      <w:r>
        <w:t xml:space="preserve">Consistent with prior research, the findings suggest a strong association between poor housing conditions (damp, mouldy, crowded, and structurally unsafe) and an increased likelihood of experiencing respiratory problems. Previous research by Tod </w:t>
      </w:r>
      <w:r>
        <w:rPr>
          <w:i/>
          <w:iCs/>
        </w:rPr>
        <w:t>et al.</w:t>
      </w:r>
      <w:r>
        <w:t xml:space="preserve"> (2016), Reed </w:t>
      </w:r>
      <w:r>
        <w:rPr>
          <w:i/>
          <w:iCs/>
        </w:rPr>
        <w:t>et al.</w:t>
      </w:r>
      <w:r>
        <w:t xml:space="preserve"> (2021) and Howden-Chapman </w:t>
      </w:r>
      <w:r>
        <w:rPr>
          <w:i/>
          <w:iCs/>
        </w:rPr>
        <w:t>et al.</w:t>
      </w:r>
      <w:r>
        <w:t xml:space="preserve"> (2023) shows that environmental hazards in the home are also a major risk factor for respiratory diseases. This study supports and extends the findings of these previous studies, with a specific emphasis on the lived experiences of young adults, tenants, and particularly vulnerable households. Furthermore, the findings confirm the long-standing concern that public health and social care services are poorly coordinated and governed, leading to continued respiratory hazards among the population living in poverty or low-income housing.</w:t>
      </w:r>
    </w:p>
    <w:p w14:paraId="7FA6A245" w14:textId="77777777" w:rsidR="0038718A" w:rsidRDefault="00BF184A">
      <w:r>
        <w:t>The significance of what has been shown is that issues surrounding respiratory illness caused by poor quality housing are not just indicative of the environment or behaviour but instead represent a structural public health and social justice issue. Results show that young adults and families living in low-income households and in insecure tenancies are disproportionately affected by environmental hazards that are not within their control (Versey, 2022). They also show that there is a significant gap between policy ambition for addressing the issues of respiratory illness and current practice. This demonstrates that the fragmentation of the services available to individuals with these needs will contribute to maintaining avoidable health disparities in our society. These trends must be recognised to develop interventions that focus on addressing the underlying issues associated with respiratory illness (insufficient regulatory frameworks, poor enforcement and systemic inequities) rather than simply treating the symptoms of respiratory disease.</w:t>
      </w:r>
    </w:p>
    <w:p w14:paraId="36AC2655" w14:textId="77777777" w:rsidR="0038718A" w:rsidRDefault="00BF184A">
      <w:r>
        <w:t xml:space="preserve">The research results assist in identifying solutions that help to improve the quality of housing and resources available for tenants, thereby reducing exposure to microbial threats. To promote better tenant protection and increase the quality of housing, proper tenant safeguards, an easier method to have repairs made, and increased enforcement of existing housing standards must all be part of a plan to help reduce the individual exposure to biohazards (microbial threats). Health Departments should take a proactive approach to increase inspections, education and communication regarding environmental hazards (Benson </w:t>
      </w:r>
      <w:r>
        <w:rPr>
          <w:i/>
          <w:iCs/>
        </w:rPr>
        <w:t xml:space="preserve">et al. </w:t>
      </w:r>
      <w:r>
        <w:t>2024). Social care must also have increased funding and resources, as well as efficient early-warning systems in place to identify environmental and health-related threats. Policymakers should place a higher priority on developing funding mechanisms to support long-term housing improvement initiatives, rather than developing funding for short-term interventions to address a crisis. The total reduction of the respiratory burden is achieved through increased housing quality.</w:t>
      </w:r>
    </w:p>
    <w:p w14:paraId="054748B3" w14:textId="77777777" w:rsidR="0038718A" w:rsidRDefault="00BF184A">
      <w:pPr>
        <w:pStyle w:val="Heading2"/>
      </w:pPr>
      <w:bookmarkStart w:id="152" w:name="_tnem7ngyctcb" w:colFirst="0" w:colLast="0"/>
      <w:bookmarkStart w:id="153" w:name="_Toc220324675"/>
      <w:bookmarkEnd w:id="152"/>
      <w:r>
        <w:t>5.4 Summary of Findings</w:t>
      </w:r>
      <w:bookmarkEnd w:id="153"/>
    </w:p>
    <w:p w14:paraId="1ABCA8E3" w14:textId="77777777" w:rsidR="0038718A" w:rsidRDefault="00BF184A">
      <w:r>
        <w:t>The evidence is that three themes were identified that show, there is a negative connection between poor quality housing and increased risks of respiratory illnesses due to damp or moisture, mould growth and failure to maintain homes. Poor coordination of services across housing or public health or social care continues to perpetuate illness from poor housing conditions. All this evidence is derived from a small sample size, self-reported data and a lack of environmental measures.</w:t>
      </w:r>
    </w:p>
    <w:p w14:paraId="52A7C63C" w14:textId="77777777" w:rsidR="0038718A" w:rsidRDefault="00BF184A">
      <w:r>
        <w:br w:type="page"/>
      </w:r>
    </w:p>
    <w:p w14:paraId="096CC75D" w14:textId="77777777" w:rsidR="0038718A" w:rsidRDefault="00BF184A">
      <w:pPr>
        <w:pStyle w:val="Heading1"/>
      </w:pPr>
      <w:bookmarkStart w:id="154" w:name="_f240or3q0h9" w:colFirst="0" w:colLast="0"/>
      <w:bookmarkStart w:id="155" w:name="_Toc220324676"/>
      <w:bookmarkEnd w:id="154"/>
      <w:r>
        <w:t>Chapter 6: Conclusion</w:t>
      </w:r>
      <w:bookmarkEnd w:id="155"/>
      <w:r>
        <w:t xml:space="preserve"> </w:t>
      </w:r>
    </w:p>
    <w:p w14:paraId="2D28ECEA" w14:textId="77777777" w:rsidR="0038718A" w:rsidRDefault="00BF184A">
      <w:pPr>
        <w:pStyle w:val="Heading2"/>
      </w:pPr>
      <w:bookmarkStart w:id="156" w:name="_ybk8z6624bzk" w:colFirst="0" w:colLast="0"/>
      <w:bookmarkStart w:id="157" w:name="_Toc220324677"/>
      <w:bookmarkEnd w:id="156"/>
      <w:r>
        <w:t>6.1 Introduction</w:t>
      </w:r>
      <w:bookmarkEnd w:id="157"/>
    </w:p>
    <w:p w14:paraId="16159458" w14:textId="77777777" w:rsidR="0038718A" w:rsidRDefault="00BF184A">
      <w:r>
        <w:t>The purpose of this work was to investigate how poor housing conditions cause respiratory infections in the UK adolescent population and find a way using integrated microbiological, public health and social care interventions to minimise this can be minimised. The main aim of this work was to answer the question of what effect sub-standard housing has on the risk of respiratory infection in UK adolescent (10 to 18 years) and which integrated microbiological, public health, social care approaches can be used to provide the best preventive responses across all sectors.</w:t>
      </w:r>
    </w:p>
    <w:p w14:paraId="54E8A472" w14:textId="77777777" w:rsidR="0038718A" w:rsidRDefault="00BF184A">
      <w:r>
        <w:t xml:space="preserve">6.2 Overall conclusion </w:t>
      </w:r>
    </w:p>
    <w:p w14:paraId="7BF99741" w14:textId="77777777" w:rsidR="0038718A" w:rsidRDefault="00BF184A">
      <w:r>
        <w:t>The results of this work clearly show that there is a strong association between inadequate housing conditions (such as dampness, mould, poor ventilation, overcrowding and structural decay) and increased incidence of respiratory infections in children and adolescents. In addition, the Review highlighted that the health impacts of housing conditions are not just due to their impact on the environment. The methodology involved a systematic qualitative review, which was a successful method of obtaining experiences from people living in inadequate housing and the institutional viewpoint of housing. </w:t>
      </w:r>
    </w:p>
    <w:p w14:paraId="312CA3C2" w14:textId="77777777" w:rsidR="0038718A" w:rsidRDefault="00BF184A">
      <w:r>
        <w:t>The data provided in this work will develop the knowledge of the causal pathways linking microbiological risks to public health and social care by showing an upstream determinant of respiratory health through housing. Therefore, this study shows the need for collaboration between public health and social care when considering the best options to address the gaps in knowledge and the need to reduce respiratory health inequalities using housing-led coordinated, preventative intervention solutions to achieve improved long-term health.</w:t>
      </w:r>
    </w:p>
    <w:p w14:paraId="189308CB" w14:textId="77777777" w:rsidR="0038718A" w:rsidRDefault="00BF184A">
      <w:r>
        <w:t>Findings from this study are synthesised to demonstrate that sub-standard housing places adolescents at higher risk for developing respiratory infections. Housing is a public health determinant that is upstream from the individual. It also provides a rationale for creating integrated behavioural microbiological, public health intervention(s) and social support systems to improve respiratory health disparities. By removing structural barriers that cause housing inequality and coordinating preventative strategies, it should be possible to reduce the respiratory health disparities experienced by some members of the population and to improve long-term health outcomes for the population of the UK.</w:t>
      </w:r>
    </w:p>
    <w:p w14:paraId="5BC519E1" w14:textId="77777777" w:rsidR="0038718A" w:rsidRDefault="00BF184A">
      <w:pPr>
        <w:pStyle w:val="Heading2"/>
      </w:pPr>
      <w:bookmarkStart w:id="158" w:name="_xg2ed5tl4oby" w:colFirst="0" w:colLast="0"/>
      <w:bookmarkStart w:id="159" w:name="_Toc220324678"/>
      <w:bookmarkEnd w:id="158"/>
      <w:r>
        <w:t>6.2 Answering the research question</w:t>
      </w:r>
      <w:bookmarkEnd w:id="159"/>
      <w:r>
        <w:t> </w:t>
      </w:r>
    </w:p>
    <w:p w14:paraId="337EA72E" w14:textId="77777777" w:rsidR="0038718A" w:rsidRDefault="00BF184A">
      <w:r>
        <w:t xml:space="preserve">The study provided evidence that substandard housing plays a complex and significant role in increasing the risk for respiratory infections in adolescents aged 10–18 in the UK. In conclusion, the analysis on adolescent respiratory health (demographics, socio-economic status) and environmental factors that influence their respiratory health (direct 'indirect' environmental and social), found that an integrative public health approach 'works best' for improving respiratory health. The primary finding was that there is a connection across the chapter results and discussion sections between adolescent respiratory health and poor housing conditions. Poor housing is directly linked to increased respiratory disease among adolescents. Poor housing creates an environment where microorganisms thrive and where airborne agents can continue to cause disease in adolescents. The prolonged exposure to these housing conditions also decreases their overall respiratory health (Holden </w:t>
      </w:r>
      <w:r>
        <w:rPr>
          <w:i/>
          <w:iCs/>
        </w:rPr>
        <w:t>et al.,</w:t>
      </w:r>
      <w:r>
        <w:t xml:space="preserve"> 2023).</w:t>
      </w:r>
    </w:p>
    <w:p w14:paraId="1CE04C68" w14:textId="77777777" w:rsidR="0038718A" w:rsidRDefault="00BF184A">
      <w:r>
        <w:t>As indicated throughout this dissertation, adolescents who are of lower income are disproportionately affected by poor housing relative to their peers. Housing quality, therefore, is an example of how larger systemic health disparities develop and exist. In addition, this research illustrated the interaction between poor housing conditions and social vulnerabilities by demonstrating that poor housing is often accompanied by elevated levels of fuel poverty, housing insecurity and limited access to appropriate health care services (timely). As a result, the nature of the way that adolescents experience respiratory health is impacted by both environmental and social factors (</w:t>
      </w:r>
      <w:proofErr w:type="spellStart"/>
      <w:r>
        <w:t>Mocelin</w:t>
      </w:r>
      <w:proofErr w:type="spellEnd"/>
      <w:r>
        <w:t xml:space="preserve"> </w:t>
      </w:r>
      <w:r>
        <w:rPr>
          <w:i/>
          <w:iCs/>
        </w:rPr>
        <w:t>et al.,</w:t>
      </w:r>
      <w:r>
        <w:t xml:space="preserve"> 2022).</w:t>
      </w:r>
    </w:p>
    <w:p w14:paraId="63DFEA33" w14:textId="77777777" w:rsidR="0038718A" w:rsidRDefault="00BF184A">
      <w:r>
        <w:t>Evidence collected to date has supported the idea that improving coordination across a range of sectors will help reduce the number of cases of respiratory infections among UK adolescents. Thus, this research has stressed the role of housing standards, environmental interventions and early identification of respiratory infections as possible means to help reduce respiratory infections. Furthermore, as a result of the need for housing-aware, trauma-informed and family-centred social care interventions to support adolescents living in unstable or poor-quality housing, the research has highlighted that effective reduction of respiratory infections among adolescents in the United Kingdom can only be accomplished through cross-sector coordinated interventions that target poor housing quality as an upstream determinant of health.</w:t>
      </w:r>
    </w:p>
    <w:p w14:paraId="20289E1D" w14:textId="77777777" w:rsidR="0038718A" w:rsidRDefault="00BF184A">
      <w:r>
        <w:t>In addressing the three research objectives, the research has established a direct correlation between housing quality and the risk of developing respiratory infections in adolescents and has demonstrated that by implementing integrated microbiological, public health, and social care interventions, the risk of respiratory infection and associated health inequities will be reduced.</w:t>
      </w:r>
    </w:p>
    <w:p w14:paraId="5146947A" w14:textId="77777777" w:rsidR="0038718A" w:rsidRDefault="00BF184A">
      <w:r>
        <w:rPr>
          <w:b/>
          <w:bCs/>
          <w:i/>
          <w:iCs/>
        </w:rPr>
        <w:t>Reflection on the approach of the research </w:t>
      </w:r>
    </w:p>
    <w:p w14:paraId="1BBAF346" w14:textId="77777777" w:rsidR="0038718A" w:rsidRDefault="00BF184A">
      <w:r>
        <w:t>The methodology of the research conducted was effective in supporting the researcher's premise that there is a link between poor housing conditions and an increased incidence of respiratory illness among adolescents aged 10 to 18 years old, therefore generating an inclusive review of all the related literature, providing a composite analytical framework of housing quality in relation to increased respiratory illness, and combining the disciplines of microbiology and public health and social care in exploring both environmental factors and social determinants of respiratory health. Ultimately, this multidimensional approach to research improved the quality of the evidence provided by this study regarding how housing serves as an upstream health determinant.</w:t>
      </w:r>
    </w:p>
    <w:p w14:paraId="6E138DEF" w14:textId="77777777" w:rsidR="0038718A" w:rsidRDefault="00BF184A">
      <w:r>
        <w:t>This research did, however, generate additional questions and insight that were not expected at the commencement of the study. For instance, social vulnerability factors (fuel poverty, unstable housing situation and lack of timely access to health care) are one area of interest that can add to the biological risk of respiratory infection. The results of the investigation suggest that having an environmental exposure alone cannot account for explaining the existence of differences in respiratory infections between different groups of individuals. More research should be conducted to examine how these influences may possibly interact with sociocultural and individual characteristics on the onset and progression of respiratory illnesses among adolescents. Longitudinal studies in this area would also provide valuable information for public health professionals.</w:t>
      </w:r>
    </w:p>
    <w:p w14:paraId="7F38EAEE" w14:textId="77777777" w:rsidR="0038718A" w:rsidRDefault="00BF184A">
      <w:pPr>
        <w:pStyle w:val="Heading2"/>
      </w:pPr>
      <w:bookmarkStart w:id="160" w:name="_w50cgcdwdq1v" w:colFirst="0" w:colLast="0"/>
      <w:bookmarkStart w:id="161" w:name="_Toc220324679"/>
      <w:bookmarkEnd w:id="160"/>
      <w:r>
        <w:t>6.3 Recommendations</w:t>
      </w:r>
      <w:bookmarkEnd w:id="161"/>
      <w:r>
        <w:t> </w:t>
      </w:r>
    </w:p>
    <w:p w14:paraId="459995E3" w14:textId="77777777" w:rsidR="0038718A" w:rsidRDefault="00BF184A">
      <w:r>
        <w:rPr>
          <w:b/>
          <w:bCs/>
          <w:i/>
          <w:iCs/>
        </w:rPr>
        <w:t>1. Strengthening Housing as a Way to Prevent Illness in Adolescents</w:t>
      </w:r>
    </w:p>
    <w:p w14:paraId="3017EED2" w14:textId="77777777" w:rsidR="0038718A" w:rsidRDefault="00BF184A">
      <w:r>
        <w:t>Based on the results of the study, the authors recommend that public health practitioners increase awareness of housing quality when developing and implementing preventative strategies for adolescent public health. Routine screening for housing conditions (dampness, mould, inadequate ventilation, overcrowding) should become part of the prevention and treatment process for adolescents regarding the determination of the need for adolescent respiratory healthcare. Emphasising housing conditions will allow for early identification of environmental risk factors and decrease the number of times adolescents will require reactive, treatment-based responses to respiratory infections.</w:t>
      </w:r>
    </w:p>
    <w:p w14:paraId="2131C176" w14:textId="77777777" w:rsidR="0038718A" w:rsidRDefault="00BF184A">
      <w:r>
        <w:rPr>
          <w:b/>
          <w:bCs/>
          <w:i/>
          <w:iCs/>
        </w:rPr>
        <w:t>2. Integrated Systems Between Public Health, Housing, and Social Services</w:t>
      </w:r>
    </w:p>
    <w:p w14:paraId="0CD7972C" w14:textId="77777777" w:rsidR="0038718A" w:rsidRDefault="00BF184A">
      <w:r>
        <w:t>The research indicates that improved public health outcomes will occur through increased collaboration between microbiology laboratories, public health agencies, and agencies that provide social services. Creating shared referral pathways and the exchange of information will help to ensure that adolescents residing in poor-quality housing receive timely access to both clinical care and social and housing support. The collaboration of these agencies should ultimately lead to a decrease in the number of re-infections of respiratory diseases and to addressing the larger social determinants of health inequity for respiratory health.</w:t>
      </w:r>
    </w:p>
    <w:p w14:paraId="45CF3B84" w14:textId="77777777" w:rsidR="0038718A" w:rsidRDefault="00BF184A">
      <w:r>
        <w:rPr>
          <w:b/>
          <w:bCs/>
          <w:i/>
          <w:iCs/>
        </w:rPr>
        <w:t>3. Suggestions for Future Research</w:t>
      </w:r>
    </w:p>
    <w:p w14:paraId="3A2B0A33" w14:textId="77777777" w:rsidR="0038718A" w:rsidRDefault="00BF184A">
      <w:r>
        <w:t>Further research could be conducted by performing longitudinal and mixed-methodology studies that would give a clearer understanding of how housing conditions affect adolescent respiratory infection rates. Additionally, new studies by public health scientists will provide evidence of the efficacy of housing and health interventions that combine both housing and health in an integrated manner</w:t>
      </w:r>
    </w:p>
    <w:p w14:paraId="203318CD" w14:textId="77777777" w:rsidR="0038718A" w:rsidRDefault="00BF184A">
      <w:pPr>
        <w:pStyle w:val="Heading2"/>
      </w:pPr>
      <w:bookmarkStart w:id="162" w:name="_qe8uea1l8ml3" w:colFirst="0" w:colLast="0"/>
      <w:bookmarkStart w:id="163" w:name="_Toc220324680"/>
      <w:bookmarkEnd w:id="162"/>
      <w:r>
        <w:t>6.4 Scope for future research</w:t>
      </w:r>
      <w:bookmarkEnd w:id="163"/>
      <w:r>
        <w:t> </w:t>
      </w:r>
    </w:p>
    <w:p w14:paraId="634B34E1" w14:textId="77777777" w:rsidR="0038718A" w:rsidRDefault="00BF184A">
      <w:r>
        <w:t>The longitudinal study phase of research can be a way to provide additional insight into the long-term effect of living in poor housing on the respiratory health of adolescents through the use of longitudinal designs. Longitudinal research allows researchers to investigate whether there is a cause-and-effect relationship between housing and health; identify changes in health attributed to better housing; and observe changes in health trends over time among adolescents living in better housing.</w:t>
      </w:r>
    </w:p>
    <w:p w14:paraId="573895B8" w14:textId="77777777" w:rsidR="0038718A" w:rsidRDefault="00BF184A">
      <w:r>
        <w:t>There exists an opportunity to conduct research in the area of intervention research that focuses on the efficacy of programs that link housing, public health, and social care in the reduction of respiratory infections. Conducting pre-and post-housing remediation studies, specifically studying the outcomes of participants prior to housing remediation versus after, will provide strong evidence for justifying investment in policy changes.</w:t>
      </w:r>
    </w:p>
    <w:p w14:paraId="30D4A8F5" w14:textId="77777777" w:rsidR="0038718A" w:rsidRDefault="00BF184A">
      <w:r>
        <w:t>Future studies should also look at differences within geographic and demographic areas between the risk of respiratory problems associated with housing conditions for youth, such as the association of race/ethnicity, disability status, and household income. This type of study would promote more equitable and targeted housing and health policies, and could help to decrease the long-standing, pronounced health disparities among youth in the UK.</w:t>
      </w:r>
    </w:p>
    <w:p w14:paraId="6962952B" w14:textId="77777777" w:rsidR="0038718A" w:rsidRDefault="00BF184A">
      <w:pPr>
        <w:pStyle w:val="Heading2"/>
      </w:pPr>
      <w:bookmarkStart w:id="164" w:name="_8d0f1tcth79d" w:colFirst="0" w:colLast="0"/>
      <w:bookmarkStart w:id="165" w:name="_Toc220324681"/>
      <w:bookmarkEnd w:id="164"/>
      <w:r>
        <w:t>6.5 Contribution to Knowledge and Significance of the Study</w:t>
      </w:r>
      <w:bookmarkEnd w:id="165"/>
      <w:r>
        <w:t> </w:t>
      </w:r>
    </w:p>
    <w:p w14:paraId="06018E7B" w14:textId="77777777" w:rsidR="0038718A" w:rsidRDefault="00BF184A">
      <w:r>
        <w:t>By demonstrating that the quality of housing is a major environmental factor affecting infection rates among adolescents in the UK, this research provides new knowledge about the role of housing as an upstream determinant of respiratory disease. Through a combined approach of examining evidence from microbiological, public health and social care, the study has increased our understanding of how biological exposures interact with environmental conditions and social vulnerability to impact respiratory health in adolescents.</w:t>
      </w:r>
    </w:p>
    <w:p w14:paraId="04C3C1D4" w14:textId="77777777" w:rsidR="0038718A" w:rsidRDefault="00BF184A">
      <w:r>
        <w:t>An equally important contribution of this study is to demonstrate that responses to respiratory disease that only involve a single sector may have limited success. In order to reduce respiratory health inequities in adolescents, interventions must take a multi-sectoral approach, linking health and housing interventions to successfully address respiratory infections and the structural factors that lead to such infections.</w:t>
      </w:r>
    </w:p>
    <w:p w14:paraId="64EF9DE2" w14:textId="77777777" w:rsidR="0038718A" w:rsidRDefault="00BF184A">
      <w:r>
        <w:t>The significance of this work is that it has the potential to shift housing from being viewed as simply a background factor influencing public health to being viewed as a core priority for public health policy and practice with respect to adolescent health. By examining adolescents as a population that has been under-researched, and thus there is limited previous literature on this topic, this study provides a significant foundation of evidence for developing housing-led, preventive strategies targeting respiratory health inequalities among adolescents in the UK.</w:t>
      </w:r>
    </w:p>
    <w:p w14:paraId="5788C5F6" w14:textId="77777777" w:rsidR="0038718A" w:rsidRDefault="00BF184A">
      <w:pPr>
        <w:pStyle w:val="Heading2"/>
      </w:pPr>
      <w:bookmarkStart w:id="166" w:name="_o5yln7x3h7v8" w:colFirst="0" w:colLast="0"/>
      <w:bookmarkStart w:id="167" w:name="_Toc220324682"/>
      <w:bookmarkEnd w:id="166"/>
      <w:r>
        <w:t>6.6 Limitations</w:t>
      </w:r>
      <w:bookmarkEnd w:id="167"/>
    </w:p>
    <w:p w14:paraId="351F468F" w14:textId="77777777" w:rsidR="0038718A" w:rsidRDefault="00BF184A">
      <w:r>
        <w:t>The findings lend qualitative support to the understanding of the links between respiratory illness and the conditions arising from dampness, mould and microbial contamination in housing; however, there are several limitations of note. One limitation is that the information presented cannot provide any insight into causation but only into the experience of dampness, mould, microbial contamination and the resulting health impact, without an understanding of the underlying biology or a measure of exposure. Furthermore, the findings of the studies reviewed cannot be generalised to the general population of the UK as the studies only used small, context-specific samples from vulnerable populations (young adults, social housing tenants and low-income families). Therefore, there is a limited amount of generalisation available, especially with regard to other areas or higher-income households that were living in different types of housing. Another limitation of the studies is that the majority of them did not provide objective environmental measurements and relied solely on participant accounts. As a result, many other important variables, including microbial species, ventilation rate, temperature variation, length of repair period and landlords' compliance, may not have been measured in the studies. In addition, social and structural factors also influence the vulnerability of many participants (legal literacy, immigration status, and disability eligibility) but were not always captured across the studies. Lastly, most studies used participants' self-reported experiences and retrospective accounts. Therefore, their findings may have been impacted by retrospective recollection bias.</w:t>
      </w:r>
    </w:p>
    <w:p w14:paraId="0BE2ADC6" w14:textId="77777777" w:rsidR="0038718A" w:rsidRDefault="00BF184A">
      <w:pPr>
        <w:pStyle w:val="Heading2"/>
      </w:pPr>
      <w:bookmarkStart w:id="168" w:name="_yfkjvtj2igud" w:colFirst="0" w:colLast="0"/>
      <w:bookmarkStart w:id="169" w:name="_Toc220324683"/>
      <w:bookmarkEnd w:id="168"/>
      <w:r>
        <w:t>6.7 Conclusion</w:t>
      </w:r>
      <w:bookmarkEnd w:id="169"/>
    </w:p>
    <w:p w14:paraId="123145E5" w14:textId="77777777" w:rsidR="0038718A" w:rsidRDefault="00BF184A">
      <w:r>
        <w:t>Sub-standard housing has been identified as a major upstream factor influencing adolescent respiratory infections in the UK. The interaction between poor housing, exposure to illness-causing organisms, and susceptibility through poverty leads to a variety of health disparities. To lessen the impact of these factors on respiratory infections and promote healthy development, we must develop comprehensive, housing-focused prevention efforts through partnerships across the three disciplines of public health, microbiology and social care.</w:t>
      </w:r>
    </w:p>
    <w:p w14:paraId="0753282E" w14:textId="77777777" w:rsidR="0038718A" w:rsidRDefault="0038718A"/>
    <w:p w14:paraId="1C3912DA" w14:textId="77777777" w:rsidR="0038718A" w:rsidRDefault="00BF184A">
      <w:pPr>
        <w:spacing w:after="0"/>
      </w:pPr>
      <w:r>
        <w:tab/>
        <w:t xml:space="preserve"> </w:t>
      </w:r>
    </w:p>
    <w:p w14:paraId="5494FA21" w14:textId="77777777" w:rsidR="0038718A" w:rsidRDefault="00BF184A">
      <w:pPr>
        <w:rPr>
          <w:b/>
          <w:bCs/>
        </w:rPr>
      </w:pPr>
      <w:r>
        <w:br w:type="page"/>
      </w:r>
    </w:p>
    <w:p w14:paraId="724CA205" w14:textId="77777777" w:rsidR="0038718A" w:rsidRDefault="00BF184A">
      <w:pPr>
        <w:pStyle w:val="Heading1"/>
      </w:pPr>
      <w:bookmarkStart w:id="170" w:name="_o9gbt3l1a7k4" w:colFirst="0" w:colLast="0"/>
      <w:bookmarkStart w:id="171" w:name="_Toc220324684"/>
      <w:bookmarkEnd w:id="170"/>
      <w:r>
        <w:t>Reference list</w:t>
      </w:r>
      <w:bookmarkEnd w:id="171"/>
      <w:r>
        <w:t xml:space="preserve"> </w:t>
      </w:r>
    </w:p>
    <w:p w14:paraId="17ECD9E4" w14:textId="77777777" w:rsidR="002E1828" w:rsidRDefault="002E1828" w:rsidP="00A0720F">
      <w:pPr>
        <w:ind w:left="360"/>
      </w:pPr>
    </w:p>
    <w:p w14:paraId="6D8E960A" w14:textId="77777777" w:rsidR="002E1828" w:rsidRPr="00A0720F" w:rsidRDefault="002E1828" w:rsidP="00A0720F">
      <w:pPr>
        <w:ind w:left="360"/>
        <w:rPr>
          <w:highlight w:val="white"/>
        </w:rPr>
      </w:pPr>
      <w:r w:rsidRPr="00A0720F">
        <w:rPr>
          <w:highlight w:val="white"/>
        </w:rPr>
        <w:t xml:space="preserve">Alam, S., Nisar, M., Bano, S.A. and Ahmad, T., 2022. Impact of aerial fungal spores on human health. In </w:t>
      </w:r>
      <w:r w:rsidRPr="00A0720F">
        <w:rPr>
          <w:i/>
          <w:iCs/>
          <w:highlight w:val="white"/>
        </w:rPr>
        <w:t>Hazardous Environmental Micro-pollutants, Health Impacts and Allied Treatment Technologies</w:t>
      </w:r>
      <w:r w:rsidRPr="00A0720F">
        <w:rPr>
          <w:highlight w:val="white"/>
        </w:rPr>
        <w:t xml:space="preserve"> (pp. 219-240). Cham: Springer International Publishing.</w:t>
      </w:r>
      <w:r>
        <w:t xml:space="preserve"> </w:t>
      </w:r>
      <w:hyperlink r:id="rId20">
        <w:r w:rsidRPr="00A0720F">
          <w:rPr>
            <w:color w:val="000000"/>
            <w:highlight w:val="white"/>
            <w:u w:val="single"/>
          </w:rPr>
          <w:t>https://doi.org/10.1007/978-3-030-96523-5</w:t>
        </w:r>
      </w:hyperlink>
      <w:r w:rsidRPr="00A0720F">
        <w:rPr>
          <w:highlight w:val="white"/>
        </w:rPr>
        <w:t> </w:t>
      </w:r>
    </w:p>
    <w:p w14:paraId="121EEB2F" w14:textId="77777777" w:rsidR="002E1828" w:rsidRDefault="002E1828" w:rsidP="00A0720F">
      <w:pPr>
        <w:ind w:left="360"/>
      </w:pPr>
      <w:proofErr w:type="spellStart"/>
      <w:r w:rsidRPr="00A0720F">
        <w:rPr>
          <w:highlight w:val="white"/>
        </w:rPr>
        <w:t>Alharahsheh</w:t>
      </w:r>
      <w:proofErr w:type="spellEnd"/>
      <w:r w:rsidRPr="00A0720F">
        <w:rPr>
          <w:highlight w:val="white"/>
        </w:rPr>
        <w:t xml:space="preserve">, H.H. and Pius, A., 2020. A review of key paradigms: Positivism VS interpretivism. </w:t>
      </w:r>
      <w:r w:rsidRPr="00A0720F">
        <w:rPr>
          <w:i/>
          <w:iCs/>
          <w:highlight w:val="white"/>
        </w:rPr>
        <w:t>Global academic journal of humanities and social sciences</w:t>
      </w:r>
      <w:r w:rsidRPr="00A0720F">
        <w:rPr>
          <w:highlight w:val="white"/>
        </w:rPr>
        <w:t xml:space="preserve">, </w:t>
      </w:r>
      <w:r w:rsidRPr="00A0720F">
        <w:rPr>
          <w:i/>
          <w:iCs/>
          <w:highlight w:val="white"/>
        </w:rPr>
        <w:t>2</w:t>
      </w:r>
      <w:r w:rsidRPr="00A0720F">
        <w:rPr>
          <w:highlight w:val="white"/>
        </w:rPr>
        <w:t xml:space="preserve">(3), pp.39-43. </w:t>
      </w:r>
      <w:hyperlink r:id="rId21">
        <w:r w:rsidRPr="00A0720F">
          <w:rPr>
            <w:color w:val="000000"/>
            <w:u w:val="single"/>
          </w:rPr>
          <w:t>https://doi.org/10.36348/gajhss.2020.v02i03.001</w:t>
        </w:r>
      </w:hyperlink>
    </w:p>
    <w:p w14:paraId="47311B01" w14:textId="77777777" w:rsidR="002E1828" w:rsidRPr="00A0720F" w:rsidRDefault="002E1828" w:rsidP="00A0720F">
      <w:pPr>
        <w:ind w:left="360"/>
        <w:rPr>
          <w:highlight w:val="white"/>
        </w:rPr>
      </w:pPr>
      <w:r w:rsidRPr="00A0720F">
        <w:rPr>
          <w:highlight w:val="white"/>
        </w:rPr>
        <w:t xml:space="preserve">Aliyu, M.B., 2017. Efficiency of Boolean search strings for Information retrieval. </w:t>
      </w:r>
      <w:r w:rsidRPr="00A0720F">
        <w:rPr>
          <w:i/>
          <w:iCs/>
          <w:highlight w:val="white"/>
        </w:rPr>
        <w:t>American Journal of Engineering Research</w:t>
      </w:r>
      <w:r w:rsidRPr="00A0720F">
        <w:rPr>
          <w:highlight w:val="white"/>
        </w:rPr>
        <w:t xml:space="preserve">, </w:t>
      </w:r>
      <w:r w:rsidRPr="00A0720F">
        <w:rPr>
          <w:i/>
          <w:iCs/>
          <w:highlight w:val="white"/>
        </w:rPr>
        <w:t>6</w:t>
      </w:r>
      <w:r w:rsidRPr="00A0720F">
        <w:rPr>
          <w:highlight w:val="white"/>
        </w:rPr>
        <w:t xml:space="preserve">(11), pp.216-222. </w:t>
      </w:r>
      <w:hyperlink r:id="rId22">
        <w:r w:rsidRPr="00A0720F">
          <w:rPr>
            <w:color w:val="000000"/>
            <w:u w:val="single"/>
          </w:rPr>
          <w:t>https://www.academia.edu/download/55257152/ZA0611216222.pdf</w:t>
        </w:r>
      </w:hyperlink>
    </w:p>
    <w:p w14:paraId="41E5C04B" w14:textId="77777777" w:rsidR="002E1828" w:rsidRDefault="002E1828" w:rsidP="00A0720F">
      <w:pPr>
        <w:ind w:left="360"/>
      </w:pPr>
      <w:r w:rsidRPr="00DF626F">
        <w:t xml:space="preserve">Anderst, A., Hunter, K., Andersen, M., Walker, N., Coombes, J., Raman, S., Moore, M., Ryan, L., </w:t>
      </w:r>
      <w:proofErr w:type="spellStart"/>
      <w:r w:rsidRPr="00DF626F">
        <w:t>Jersky</w:t>
      </w:r>
      <w:proofErr w:type="spellEnd"/>
      <w:r w:rsidRPr="00DF626F">
        <w:t xml:space="preserve">, M., Mackenzie, A., Stephensen, J., Williams, C., Timbery, L., Doyle, K., Lingam, R., Zwi, K., Sheppard-Law, S., Erskine, C., Clapham, K. and Woolfenden, S. (2022) ‘Screening and social prescribing in healthcare and social services to address housing issues among children and families: a systematic review’, </w:t>
      </w:r>
      <w:r w:rsidRPr="00DF626F">
        <w:rPr>
          <w:i/>
          <w:iCs/>
        </w:rPr>
        <w:t>BMJ Open</w:t>
      </w:r>
      <w:r w:rsidRPr="00DF626F">
        <w:t xml:space="preserve">, 12(4), e054338. Available at: </w:t>
      </w:r>
      <w:hyperlink r:id="rId23" w:tgtFrame="_new" w:history="1">
        <w:r w:rsidRPr="00DF626F">
          <w:rPr>
            <w:rStyle w:val="Hyperlink"/>
          </w:rPr>
          <w:t>https://pubmed.ncbi.nlm.nih.gov/35487725/</w:t>
        </w:r>
      </w:hyperlink>
      <w:r w:rsidRPr="00DF626F">
        <w:t xml:space="preserve"> </w:t>
      </w:r>
    </w:p>
    <w:p w14:paraId="260EC94D" w14:textId="77777777" w:rsidR="002E1828" w:rsidRDefault="002E1828" w:rsidP="00A0720F">
      <w:pPr>
        <w:ind w:left="360"/>
      </w:pPr>
      <w:r>
        <w:t xml:space="preserve">Andrup, L., Krogfelt, K.A., Stephansen, L., Hansen, K.S., Graversen, B.K., Wolkoff, P. and Madsen, A.M., 2024. Reduction of acute respiratory infections in day-care by non-pharmaceutical interventions: a narrative review. </w:t>
      </w:r>
      <w:r w:rsidRPr="00AA266E">
        <w:rPr>
          <w:i/>
          <w:iCs/>
        </w:rPr>
        <w:t>Frontiers in Public Health,</w:t>
      </w:r>
      <w:r>
        <w:t xml:space="preserve"> 12, p.1332078. </w:t>
      </w:r>
      <w:hyperlink r:id="rId24">
        <w:r w:rsidRPr="00A0720F">
          <w:rPr>
            <w:color w:val="000000"/>
            <w:u w:val="single"/>
          </w:rPr>
          <w:t>https://doi.org/10.3389/fpubh.2024.1332078</w:t>
        </w:r>
      </w:hyperlink>
      <w:r>
        <w:t xml:space="preserve"> </w:t>
      </w:r>
    </w:p>
    <w:p w14:paraId="204D5076" w14:textId="0094AED5" w:rsidR="002E1828" w:rsidRDefault="002E1828" w:rsidP="00A0720F">
      <w:pPr>
        <w:ind w:left="360"/>
      </w:pPr>
      <w:r w:rsidRPr="00AA266E">
        <w:t xml:space="preserve">Aveyard, P., Gao, M., Lindson, N., Hartmann-Boyce, J., Watkinson, P., Young, D., Coupland, C.A.C., Tan, P.S., Clift, A.K., Harrison, D., Gould, D.W., </w:t>
      </w:r>
      <w:proofErr w:type="spellStart"/>
      <w:r w:rsidRPr="00AA266E">
        <w:t>Pavord</w:t>
      </w:r>
      <w:proofErr w:type="spellEnd"/>
      <w:r w:rsidRPr="00AA266E">
        <w:t xml:space="preserve">, I.D. and Hippisley-Cox, J. (2021) ‘Association between pre-existing respiratory disease and its treatment, and severe COVID-19: a population cohort study’, </w:t>
      </w:r>
      <w:r w:rsidRPr="00AA266E">
        <w:rPr>
          <w:i/>
          <w:iCs/>
        </w:rPr>
        <w:t>The Lancet Respiratory Medicine</w:t>
      </w:r>
      <w:r w:rsidRPr="00AA266E">
        <w:t xml:space="preserve">, 9(8), pp. 909–923. Available at: </w:t>
      </w:r>
      <w:hyperlink r:id="rId25" w:history="1">
        <w:r w:rsidRPr="00F60394">
          <w:rPr>
            <w:rStyle w:val="Hyperlink"/>
          </w:rPr>
          <w:t>https://www.thelancet.com/journals/lanres/article/PIIS2213-2600(21)00095-3/fulltext</w:t>
        </w:r>
      </w:hyperlink>
    </w:p>
    <w:p w14:paraId="51148F44" w14:textId="77777777" w:rsidR="002E1828" w:rsidRDefault="002E1828" w:rsidP="00A0720F">
      <w:pPr>
        <w:ind w:left="360"/>
      </w:pPr>
      <w:proofErr w:type="spellStart"/>
      <w:r w:rsidRPr="00A0720F">
        <w:rPr>
          <w:highlight w:val="white"/>
        </w:rPr>
        <w:t>Azungah</w:t>
      </w:r>
      <w:proofErr w:type="spellEnd"/>
      <w:r w:rsidRPr="00A0720F">
        <w:rPr>
          <w:highlight w:val="white"/>
        </w:rPr>
        <w:t xml:space="preserve">, T., 2018. Qualitative research: deductive and inductive approaches to data analysis. </w:t>
      </w:r>
      <w:r w:rsidRPr="00A0720F">
        <w:rPr>
          <w:i/>
          <w:iCs/>
          <w:highlight w:val="white"/>
        </w:rPr>
        <w:t>Qualitative research journal</w:t>
      </w:r>
      <w:r w:rsidRPr="00A0720F">
        <w:rPr>
          <w:highlight w:val="white"/>
        </w:rPr>
        <w:t xml:space="preserve">, </w:t>
      </w:r>
      <w:r w:rsidRPr="00A0720F">
        <w:rPr>
          <w:i/>
          <w:iCs/>
          <w:highlight w:val="white"/>
        </w:rPr>
        <w:t>18</w:t>
      </w:r>
      <w:r w:rsidRPr="00A0720F">
        <w:rPr>
          <w:highlight w:val="white"/>
        </w:rPr>
        <w:t xml:space="preserve">(4), pp.383-400. </w:t>
      </w:r>
      <w:hyperlink r:id="rId26">
        <w:r w:rsidRPr="00A0720F">
          <w:rPr>
            <w:color w:val="000000"/>
            <w:u w:val="single"/>
          </w:rPr>
          <w:t>https://doi.org/10.1108/QRJ-D-18-00035</w:t>
        </w:r>
      </w:hyperlink>
    </w:p>
    <w:p w14:paraId="1CC8F9B9" w14:textId="77777777" w:rsidR="002E1828" w:rsidRDefault="002E1828" w:rsidP="00A0720F">
      <w:pPr>
        <w:ind w:left="360"/>
      </w:pPr>
      <w:r>
        <w:t xml:space="preserve">Banerji, A., Brinkman, N.E., Davis, B., Franklin, A., Jahne, M. and Keely, S.P., 2024. Food Webs and Feedback: The Untold Ecological Relevance of Antimicrobial Resistance as Seen in Harmful Algal Blooms. </w:t>
      </w:r>
      <w:r w:rsidRPr="00EF4E96">
        <w:rPr>
          <w:i/>
          <w:iCs/>
        </w:rPr>
        <w:t>Microorganisms</w:t>
      </w:r>
      <w:r>
        <w:t xml:space="preserve">, 12(11), p.2121. </w:t>
      </w:r>
      <w:hyperlink r:id="rId27">
        <w:r w:rsidRPr="00A0720F">
          <w:rPr>
            <w:color w:val="000000"/>
            <w:u w:val="single"/>
          </w:rPr>
          <w:t>https://doi.org/10.3390/microorganisms12112121</w:t>
        </w:r>
      </w:hyperlink>
      <w:r>
        <w:t xml:space="preserve"> </w:t>
      </w:r>
    </w:p>
    <w:p w14:paraId="6520F5C3" w14:textId="77777777" w:rsidR="002E1828" w:rsidRDefault="002E1828" w:rsidP="00A0720F">
      <w:pPr>
        <w:ind w:left="360"/>
      </w:pPr>
      <w:r>
        <w:t xml:space="preserve">Beach, B., Willis, P., Powell, J., Vickery, A., Smith, R. and Cameron, A., 2022. The impact of living in housing with care and support on loneliness and social isolation: findings from a resident-based survey. </w:t>
      </w:r>
      <w:r w:rsidRPr="00EC05AF">
        <w:rPr>
          <w:i/>
          <w:iCs/>
        </w:rPr>
        <w:t>Innovation in Aging</w:t>
      </w:r>
      <w:r>
        <w:t xml:space="preserve">, 6(7), </w:t>
      </w:r>
      <w:proofErr w:type="gramStart"/>
      <w:r>
        <w:t>p.igac</w:t>
      </w:r>
      <w:proofErr w:type="gramEnd"/>
      <w:r>
        <w:t xml:space="preserve">061. </w:t>
      </w:r>
      <w:hyperlink r:id="rId28">
        <w:r w:rsidRPr="00A0720F">
          <w:rPr>
            <w:color w:val="000000"/>
            <w:u w:val="single"/>
          </w:rPr>
          <w:t>https://doi.org/10.1093/geroni/igac061</w:t>
        </w:r>
      </w:hyperlink>
      <w:r>
        <w:t xml:space="preserve"> </w:t>
      </w:r>
    </w:p>
    <w:p w14:paraId="3C812596" w14:textId="77777777" w:rsidR="002E1828" w:rsidRDefault="002E1828" w:rsidP="00A0720F">
      <w:pPr>
        <w:ind w:left="360"/>
      </w:pPr>
      <w:r>
        <w:t>Benson, C., Obasi, I.C., Akinwande, D.V. and Ile, C., 2024. The impact of interventions on health, safety and environment in the process industry. </w:t>
      </w:r>
      <w:proofErr w:type="spellStart"/>
      <w:r w:rsidRPr="00A0720F">
        <w:rPr>
          <w:i/>
          <w:iCs/>
        </w:rPr>
        <w:t>Heliyon</w:t>
      </w:r>
      <w:proofErr w:type="spellEnd"/>
      <w:r>
        <w:t>, </w:t>
      </w:r>
      <w:r w:rsidRPr="00A0720F">
        <w:rPr>
          <w:i/>
          <w:iCs/>
        </w:rPr>
        <w:t>10</w:t>
      </w:r>
      <w:r>
        <w:t xml:space="preserve">(1). </w:t>
      </w:r>
      <w:hyperlink r:id="rId29">
        <w:r w:rsidRPr="00A0720F">
          <w:rPr>
            <w:color w:val="000000"/>
            <w:u w:val="single"/>
          </w:rPr>
          <w:t>https://doi.org/10.1016/j.heliyon.2023.e23604</w:t>
        </w:r>
      </w:hyperlink>
      <w:r>
        <w:t xml:space="preserve"> </w:t>
      </w:r>
    </w:p>
    <w:p w14:paraId="418BCCF9" w14:textId="77777777" w:rsidR="002E1828" w:rsidRDefault="002E1828" w:rsidP="00A0720F">
      <w:pPr>
        <w:pBdr>
          <w:top w:val="nil"/>
          <w:left w:val="nil"/>
          <w:bottom w:val="nil"/>
          <w:right w:val="nil"/>
          <w:between w:val="nil"/>
        </w:pBdr>
        <w:spacing w:before="240" w:after="240"/>
        <w:ind w:left="360"/>
        <w:rPr>
          <w:color w:val="000000"/>
          <w:highlight w:val="white"/>
        </w:rPr>
      </w:pPr>
      <w:r w:rsidRPr="00EC05AF">
        <w:rPr>
          <w:color w:val="000000"/>
          <w:highlight w:val="white"/>
        </w:rPr>
        <w:t xml:space="preserve">Beswick, A., Crook, B., Gosling, R., Bailey, C., Rosa, I., Senior, H., Johnson, P., Persaud, R., Barker, P., Buckley, P., Saunders, J., Hulme, J. and Ahmed, A. (2025) ‘Exposure risks from microbiological hazards in buildings and their control — a rapid review of the evidence’, </w:t>
      </w:r>
      <w:r w:rsidRPr="00EC05AF">
        <w:rPr>
          <w:i/>
          <w:iCs/>
          <w:color w:val="000000"/>
          <w:highlight w:val="white"/>
        </w:rPr>
        <w:t>Atmosphere</w:t>
      </w:r>
      <w:r w:rsidRPr="00EC05AF">
        <w:rPr>
          <w:color w:val="000000"/>
          <w:highlight w:val="white"/>
        </w:rPr>
        <w:t xml:space="preserve">, 16(11), 1243. Available at: </w:t>
      </w:r>
      <w:hyperlink r:id="rId30" w:tgtFrame="_new" w:history="1">
        <w:r w:rsidRPr="00EC05AF">
          <w:rPr>
            <w:rStyle w:val="Hyperlink"/>
            <w:highlight w:val="white"/>
          </w:rPr>
          <w:t>https://www.mdpi.com/2073-4433/16/11/1243</w:t>
        </w:r>
      </w:hyperlink>
      <w:r w:rsidRPr="00EC05AF">
        <w:rPr>
          <w:color w:val="000000"/>
          <w:highlight w:val="white"/>
        </w:rPr>
        <w:t xml:space="preserve"> (</w:t>
      </w:r>
    </w:p>
    <w:p w14:paraId="50BB6E76" w14:textId="77777777" w:rsidR="002E1828" w:rsidRDefault="002E1828" w:rsidP="00A0720F">
      <w:pPr>
        <w:ind w:left="360"/>
      </w:pPr>
      <w:r>
        <w:t xml:space="preserve">Brackley, J., Tuck, P. and </w:t>
      </w:r>
      <w:proofErr w:type="spellStart"/>
      <w:r>
        <w:t>Exworthy</w:t>
      </w:r>
      <w:proofErr w:type="spellEnd"/>
      <w:r>
        <w:t xml:space="preserve">, M., 2021. Public health interventions in English local authorities: constructing the </w:t>
      </w:r>
      <w:proofErr w:type="gramStart"/>
      <w:r>
        <w:t>facts,(</w:t>
      </w:r>
      <w:proofErr w:type="gramEnd"/>
      <w:r>
        <w:t xml:space="preserve">re) imagining the future. </w:t>
      </w:r>
      <w:r w:rsidRPr="00534144">
        <w:rPr>
          <w:i/>
          <w:iCs/>
        </w:rPr>
        <w:t>Accounting, Auditing &amp; Accountability Journal, 34(7), pp.1664-1691.</w:t>
      </w:r>
      <w:r>
        <w:t xml:space="preserve"> </w:t>
      </w:r>
      <w:hyperlink r:id="rId31">
        <w:r w:rsidRPr="00A0720F">
          <w:rPr>
            <w:color w:val="000000"/>
            <w:u w:val="single"/>
          </w:rPr>
          <w:t>https://doi.org/10.1108/AAAJ-11-2019-4278</w:t>
        </w:r>
      </w:hyperlink>
      <w:r>
        <w:t xml:space="preserve"> </w:t>
      </w:r>
    </w:p>
    <w:p w14:paraId="418972F1" w14:textId="77777777" w:rsidR="002E1828" w:rsidRPr="00A0720F" w:rsidRDefault="002E1828" w:rsidP="00A0720F">
      <w:pPr>
        <w:ind w:left="360"/>
        <w:rPr>
          <w:sz w:val="32"/>
          <w:szCs w:val="32"/>
        </w:rPr>
      </w:pPr>
      <w:r w:rsidRPr="00A0720F">
        <w:rPr>
          <w:highlight w:val="white"/>
        </w:rPr>
        <w:t>Braun, V. and Clarke, V., 2019. Reflecting on reflexive thematic analysis. </w:t>
      </w:r>
      <w:r w:rsidRPr="00A0720F">
        <w:rPr>
          <w:i/>
          <w:iCs/>
          <w:highlight w:val="white"/>
        </w:rPr>
        <w:t>Qualitative research in sport, exercise and health</w:t>
      </w:r>
      <w:r w:rsidRPr="00A0720F">
        <w:rPr>
          <w:highlight w:val="white"/>
        </w:rPr>
        <w:t>, </w:t>
      </w:r>
      <w:r w:rsidRPr="00A0720F">
        <w:rPr>
          <w:i/>
          <w:iCs/>
          <w:highlight w:val="white"/>
        </w:rPr>
        <w:t>11</w:t>
      </w:r>
      <w:r w:rsidRPr="00A0720F">
        <w:rPr>
          <w:highlight w:val="white"/>
        </w:rPr>
        <w:t>(4), pp.589-597.</w:t>
      </w:r>
      <w:r>
        <w:t xml:space="preserve"> </w:t>
      </w:r>
      <w:hyperlink r:id="rId32">
        <w:r w:rsidRPr="00A0720F">
          <w:rPr>
            <w:color w:val="000000"/>
            <w:highlight w:val="white"/>
            <w:u w:val="single"/>
          </w:rPr>
          <w:t>https://doi.org/10.1080/2159676X.2019.1628806</w:t>
        </w:r>
      </w:hyperlink>
      <w:r w:rsidRPr="00A0720F">
        <w:rPr>
          <w:highlight w:val="white"/>
        </w:rPr>
        <w:t xml:space="preserve"> </w:t>
      </w:r>
    </w:p>
    <w:p w14:paraId="510B6BBB" w14:textId="77777777" w:rsidR="002E1828" w:rsidRDefault="002E1828" w:rsidP="00A0720F">
      <w:pPr>
        <w:ind w:left="360"/>
      </w:pPr>
      <w:r>
        <w:t xml:space="preserve">Brown, C., Corbo, M., Axten, S., Jeffree, S., Swan, S., Wason, K., Sharma, S., Austin, S. and </w:t>
      </w:r>
      <w:proofErr w:type="spellStart"/>
      <w:r>
        <w:t>Tiltsen</w:t>
      </w:r>
      <w:proofErr w:type="spellEnd"/>
      <w:r>
        <w:t xml:space="preserve">, S., 2024. Sharing the care: One Aboriginal community-controlled organisation’s approach to out-of-home care of Aboriginal and Torres Strait Islander children. </w:t>
      </w:r>
      <w:r w:rsidRPr="00534144">
        <w:rPr>
          <w:i/>
          <w:iCs/>
        </w:rPr>
        <w:t>Australian Social Work, 77(4), pp.513-526</w:t>
      </w:r>
      <w:r>
        <w:t xml:space="preserve">. </w:t>
      </w:r>
      <w:hyperlink r:id="rId33">
        <w:r w:rsidRPr="00A0720F">
          <w:rPr>
            <w:color w:val="000000"/>
            <w:u w:val="single"/>
          </w:rPr>
          <w:t>https://doi.org/10.1080/0312407X.2024.2386438</w:t>
        </w:r>
      </w:hyperlink>
      <w:r>
        <w:t xml:space="preserve"> </w:t>
      </w:r>
    </w:p>
    <w:p w14:paraId="3E30B927" w14:textId="77777777" w:rsidR="002E1828" w:rsidRPr="00506C3A" w:rsidRDefault="002E1828" w:rsidP="00A0720F">
      <w:pPr>
        <w:ind w:left="360"/>
      </w:pPr>
      <w:r w:rsidRPr="00506C3A">
        <w:t xml:space="preserve">Bucelli, I. and Henderson, S. (2025) </w:t>
      </w:r>
      <w:r w:rsidRPr="00506C3A">
        <w:rPr>
          <w:i/>
          <w:iCs/>
        </w:rPr>
        <w:t>Insecure lives and the policy disconnect: overview of the literature on measures, trends, impact and mechanisms for six dimensions of insecurity</w:t>
      </w:r>
      <w:r w:rsidRPr="00506C3A">
        <w:t xml:space="preserve">. CASE Report 162. London: Centre for Analysis of Social Exclusion, London School of Economics. Available at: </w:t>
      </w:r>
      <w:hyperlink r:id="rId34" w:tgtFrame="_new" w:history="1">
        <w:r w:rsidRPr="00506C3A">
          <w:rPr>
            <w:rStyle w:val="Hyperlink"/>
          </w:rPr>
          <w:t>https://sticerd.lse.ac.uk/dps/case/cr/casereport162.pdf</w:t>
        </w:r>
      </w:hyperlink>
    </w:p>
    <w:p w14:paraId="6E3BED4C" w14:textId="77777777" w:rsidR="002E1828" w:rsidRPr="00A0720F" w:rsidRDefault="002E1828" w:rsidP="00A0720F">
      <w:pPr>
        <w:ind w:left="360"/>
        <w:rPr>
          <w:highlight w:val="white"/>
        </w:rPr>
      </w:pPr>
      <w:r w:rsidRPr="00A0720F">
        <w:rPr>
          <w:highlight w:val="white"/>
        </w:rPr>
        <w:t>Butler, D. and Sherriff, G., 2017. ‘It’s normal to have damp’: Using a qualitative psychological approach to analyse the lived experience of energy vulnerability among young adult households. Indoor and Built Environment, 26(7), pp.964-979.</w:t>
      </w:r>
      <w:r>
        <w:t xml:space="preserve"> </w:t>
      </w:r>
      <w:hyperlink r:id="rId35">
        <w:r w:rsidRPr="00A0720F">
          <w:rPr>
            <w:color w:val="000000"/>
            <w:u w:val="single"/>
          </w:rPr>
          <w:t>https://doi.org/10.1177/1420326X17708018</w:t>
        </w:r>
      </w:hyperlink>
      <w:r>
        <w:t xml:space="preserve"> </w:t>
      </w:r>
    </w:p>
    <w:p w14:paraId="0C0B7E8A" w14:textId="77777777" w:rsidR="002E1828" w:rsidRPr="00A0720F" w:rsidRDefault="002E1828" w:rsidP="00A0720F">
      <w:pPr>
        <w:ind w:left="360"/>
        <w:rPr>
          <w:highlight w:val="white"/>
        </w:rPr>
      </w:pPr>
      <w:bookmarkStart w:id="172" w:name="_mvpz8dev3kdp" w:colFirst="0" w:colLast="0"/>
      <w:bookmarkEnd w:id="172"/>
      <w:r w:rsidRPr="00506C3A">
        <w:rPr>
          <w:highlight w:val="white"/>
        </w:rPr>
        <w:t xml:space="preserve">Cardinale, F., La Torre, F., Tricarico, L.G., </w:t>
      </w:r>
      <w:proofErr w:type="spellStart"/>
      <w:r w:rsidRPr="00506C3A">
        <w:rPr>
          <w:highlight w:val="white"/>
        </w:rPr>
        <w:t>Verriello</w:t>
      </w:r>
      <w:proofErr w:type="spellEnd"/>
      <w:r w:rsidRPr="00506C3A">
        <w:rPr>
          <w:highlight w:val="white"/>
        </w:rPr>
        <w:t xml:space="preserve">, G. and Mastrorilli, C., 2024. Why do some children get sick with recurrent respiratory </w:t>
      </w:r>
      <w:proofErr w:type="gramStart"/>
      <w:r w:rsidRPr="00506C3A">
        <w:rPr>
          <w:highlight w:val="white"/>
        </w:rPr>
        <w:t>infections?.</w:t>
      </w:r>
      <w:proofErr w:type="gramEnd"/>
      <w:r w:rsidRPr="00506C3A">
        <w:rPr>
          <w:i/>
          <w:iCs/>
          <w:highlight w:val="white"/>
        </w:rPr>
        <w:t xml:space="preserve"> Current </w:t>
      </w:r>
      <w:proofErr w:type="spellStart"/>
      <w:r w:rsidRPr="00506C3A">
        <w:rPr>
          <w:i/>
          <w:iCs/>
          <w:highlight w:val="white"/>
        </w:rPr>
        <w:t>pediatric</w:t>
      </w:r>
      <w:proofErr w:type="spellEnd"/>
      <w:r w:rsidRPr="00506C3A">
        <w:rPr>
          <w:i/>
          <w:iCs/>
          <w:highlight w:val="white"/>
        </w:rPr>
        <w:t xml:space="preserve"> reviews, 20(3), pp.203-215.</w:t>
      </w:r>
      <w:r>
        <w:t xml:space="preserve"> </w:t>
      </w:r>
      <w:hyperlink r:id="rId36">
        <w:r w:rsidRPr="00A0720F">
          <w:rPr>
            <w:color w:val="000000"/>
            <w:u w:val="single"/>
          </w:rPr>
          <w:t>https://doi.org/10.2174/1573396320666230912103056</w:t>
        </w:r>
      </w:hyperlink>
      <w:r>
        <w:t xml:space="preserve"> </w:t>
      </w:r>
    </w:p>
    <w:p w14:paraId="30022669" w14:textId="77777777" w:rsidR="002E1828" w:rsidRDefault="002E1828" w:rsidP="00A0720F">
      <w:pPr>
        <w:ind w:left="360"/>
      </w:pPr>
      <w:r>
        <w:t xml:space="preserve">Chen, K.L., </w:t>
      </w:r>
      <w:proofErr w:type="spellStart"/>
      <w:r>
        <w:t>Miake</w:t>
      </w:r>
      <w:proofErr w:type="spellEnd"/>
      <w:r>
        <w:t xml:space="preserve">-Lye, I.M., </w:t>
      </w:r>
      <w:proofErr w:type="spellStart"/>
      <w:r>
        <w:t>Begashaw</w:t>
      </w:r>
      <w:proofErr w:type="spellEnd"/>
      <w:r>
        <w:t xml:space="preserve">, M.M., Zimmerman, F.J., Larkin, J., McGrath, E.L. and </w:t>
      </w:r>
      <w:proofErr w:type="spellStart"/>
      <w:r>
        <w:t>Shekelle</w:t>
      </w:r>
      <w:proofErr w:type="spellEnd"/>
      <w:r>
        <w:t xml:space="preserve">, P.G., 2022. Association of promoting housing affordability and stability with improved health outcomes: a systematic review. </w:t>
      </w:r>
      <w:r w:rsidRPr="00506C3A">
        <w:rPr>
          <w:i/>
          <w:iCs/>
        </w:rPr>
        <w:t>JAMA Network Open, 5(11)</w:t>
      </w:r>
      <w:r>
        <w:t xml:space="preserve">, </w:t>
      </w:r>
      <w:proofErr w:type="gramStart"/>
      <w:r>
        <w:t>pp.e</w:t>
      </w:r>
      <w:proofErr w:type="gramEnd"/>
      <w:r>
        <w:t xml:space="preserve">2239860-e2239860. </w:t>
      </w:r>
      <w:hyperlink r:id="rId37">
        <w:r w:rsidRPr="00A0720F">
          <w:rPr>
            <w:color w:val="000000"/>
            <w:u w:val="single"/>
          </w:rPr>
          <w:t>https://doi.org/10.1001/jamanetworkopen.2022.39860</w:t>
        </w:r>
      </w:hyperlink>
      <w:r>
        <w:t xml:space="preserve"> </w:t>
      </w:r>
    </w:p>
    <w:p w14:paraId="5D885F69" w14:textId="77777777" w:rsidR="002E1828" w:rsidRDefault="002E1828" w:rsidP="00A0720F">
      <w:pPr>
        <w:spacing w:after="215"/>
        <w:ind w:left="360" w:right="67"/>
      </w:pPr>
      <w:r>
        <w:t>Chinn, D., Brickley, K. and Power, A., 2024. Involvement of lay assessors in the inspection and regulation of public services: a systematic review. </w:t>
      </w:r>
      <w:r w:rsidRPr="00A0720F">
        <w:rPr>
          <w:i/>
          <w:iCs/>
        </w:rPr>
        <w:t>Health &amp; Social Care in the Community</w:t>
      </w:r>
      <w:r>
        <w:t>, </w:t>
      </w:r>
      <w:r w:rsidRPr="00A0720F">
        <w:rPr>
          <w:i/>
          <w:iCs/>
        </w:rPr>
        <w:t>2024</w:t>
      </w:r>
      <w:r>
        <w:t xml:space="preserve">(1), p.1282674. </w:t>
      </w:r>
      <w:hyperlink r:id="rId38">
        <w:r w:rsidRPr="00A0720F">
          <w:rPr>
            <w:color w:val="000000"/>
            <w:u w:val="single"/>
          </w:rPr>
          <w:t>https://doi.org/10.1155/2024/1282674</w:t>
        </w:r>
      </w:hyperlink>
      <w:r>
        <w:t xml:space="preserve"> </w:t>
      </w:r>
    </w:p>
    <w:p w14:paraId="53C1341B" w14:textId="77777777" w:rsidR="002E1828" w:rsidRDefault="002E1828" w:rsidP="00A0720F">
      <w:pPr>
        <w:ind w:left="360"/>
      </w:pPr>
      <w:r>
        <w:t xml:space="preserve">Clark, S.N., Lam, H.C., Goode, E.J., </w:t>
      </w:r>
      <w:proofErr w:type="spellStart"/>
      <w:r>
        <w:t>Marczylo</w:t>
      </w:r>
      <w:proofErr w:type="spellEnd"/>
      <w:r>
        <w:t xml:space="preserve">, E.L., Exley, K.S. and </w:t>
      </w:r>
      <w:proofErr w:type="spellStart"/>
      <w:r>
        <w:t>Dimitroulopoulou</w:t>
      </w:r>
      <w:proofErr w:type="spellEnd"/>
      <w:r>
        <w:t xml:space="preserve">, S., 2023. The burden of respiratory disease from formaldehyde, damp and mould in English housing. </w:t>
      </w:r>
      <w:r w:rsidRPr="00506C3A">
        <w:rPr>
          <w:i/>
          <w:iCs/>
        </w:rPr>
        <w:t>Environments, 10(8), p.136.</w:t>
      </w:r>
      <w:r>
        <w:t xml:space="preserve"> </w:t>
      </w:r>
      <w:hyperlink r:id="rId39">
        <w:r w:rsidRPr="00A0720F">
          <w:rPr>
            <w:color w:val="000000"/>
            <w:u w:val="single"/>
          </w:rPr>
          <w:t>https://doi.org/10.3390/environments10080136</w:t>
        </w:r>
      </w:hyperlink>
      <w:r>
        <w:t xml:space="preserve"> </w:t>
      </w:r>
    </w:p>
    <w:p w14:paraId="35F8DE67" w14:textId="6303C20C" w:rsidR="002E1828" w:rsidRPr="00120DAC" w:rsidRDefault="002E1828" w:rsidP="00B44DE5">
      <w:pPr>
        <w:ind w:left="360"/>
      </w:pPr>
      <w:r w:rsidRPr="00120DAC">
        <w:t xml:space="preserve">Clark, S.N., Lam, H.C.Y., Goode, E.-J., </w:t>
      </w:r>
      <w:proofErr w:type="spellStart"/>
      <w:r w:rsidRPr="00120DAC">
        <w:t>Marczylo</w:t>
      </w:r>
      <w:proofErr w:type="spellEnd"/>
      <w:r w:rsidRPr="00120DAC">
        <w:t xml:space="preserve">, E.L., Exley, K.S. &amp; </w:t>
      </w:r>
      <w:proofErr w:type="spellStart"/>
      <w:r w:rsidRPr="00120DAC">
        <w:t>Dimitroulopoulou</w:t>
      </w:r>
      <w:proofErr w:type="spellEnd"/>
      <w:r w:rsidRPr="00120DAC">
        <w:t xml:space="preserve">, S. (2023) ‘The burden of respiratory disease from formaldehyde, damp and mould in English housing’, </w:t>
      </w:r>
      <w:r w:rsidRPr="00120DAC">
        <w:rPr>
          <w:i/>
          <w:iCs/>
        </w:rPr>
        <w:t>Environments</w:t>
      </w:r>
      <w:r w:rsidRPr="00120DAC">
        <w:t xml:space="preserve">, 10(8), Article 136. Available at: </w:t>
      </w:r>
      <w:hyperlink r:id="rId40" w:history="1">
        <w:r w:rsidRPr="00120DAC">
          <w:rPr>
            <w:rStyle w:val="Hyperlink"/>
          </w:rPr>
          <w:t>https://doi.org/10.3390/environments10080136</w:t>
        </w:r>
      </w:hyperlink>
      <w:r w:rsidRPr="00120DAC">
        <w:t>[Accessed on: 10.11.2025]</w:t>
      </w:r>
    </w:p>
    <w:p w14:paraId="2778F328" w14:textId="77777777" w:rsidR="002E1828" w:rsidRPr="00A0720F" w:rsidRDefault="002E1828" w:rsidP="00A0720F">
      <w:pPr>
        <w:ind w:left="360"/>
        <w:rPr>
          <w:highlight w:val="white"/>
        </w:rPr>
      </w:pPr>
      <w:r w:rsidRPr="00A0720F">
        <w:rPr>
          <w:highlight w:val="white"/>
        </w:rPr>
        <w:t xml:space="preserve">Collier, S.J. and </w:t>
      </w:r>
      <w:proofErr w:type="spellStart"/>
      <w:r w:rsidRPr="00A0720F">
        <w:rPr>
          <w:highlight w:val="white"/>
        </w:rPr>
        <w:t>Nidam</w:t>
      </w:r>
      <w:proofErr w:type="spellEnd"/>
      <w:r w:rsidRPr="00A0720F">
        <w:rPr>
          <w:highlight w:val="white"/>
        </w:rPr>
        <w:t xml:space="preserve"> </w:t>
      </w:r>
      <w:proofErr w:type="spellStart"/>
      <w:r w:rsidRPr="00A0720F">
        <w:rPr>
          <w:highlight w:val="white"/>
        </w:rPr>
        <w:t>Kirsht</w:t>
      </w:r>
      <w:proofErr w:type="spellEnd"/>
      <w:r w:rsidRPr="00A0720F">
        <w:rPr>
          <w:highlight w:val="white"/>
        </w:rPr>
        <w:t xml:space="preserve">, Y., 2025. Disorderly urban adaptation to climate change: qualitative </w:t>
      </w:r>
      <w:proofErr w:type="spellStart"/>
      <w:r w:rsidRPr="00A0720F">
        <w:rPr>
          <w:highlight w:val="white"/>
        </w:rPr>
        <w:t>modeling</w:t>
      </w:r>
      <w:proofErr w:type="spellEnd"/>
      <w:r w:rsidRPr="00A0720F">
        <w:rPr>
          <w:highlight w:val="white"/>
        </w:rPr>
        <w:t xml:space="preserve"> of finance, land use, and the built environment. </w:t>
      </w:r>
      <w:proofErr w:type="spellStart"/>
      <w:r w:rsidRPr="00A0720F">
        <w:rPr>
          <w:i/>
          <w:iCs/>
          <w:highlight w:val="white"/>
        </w:rPr>
        <w:t>npj</w:t>
      </w:r>
      <w:proofErr w:type="spellEnd"/>
      <w:r w:rsidRPr="00A0720F">
        <w:rPr>
          <w:i/>
          <w:iCs/>
          <w:highlight w:val="white"/>
        </w:rPr>
        <w:t xml:space="preserve"> Urban </w:t>
      </w:r>
      <w:proofErr w:type="spellStart"/>
      <w:r w:rsidRPr="00A0720F">
        <w:rPr>
          <w:i/>
          <w:iCs/>
          <w:highlight w:val="white"/>
        </w:rPr>
        <w:t>Sustainability</w:t>
      </w:r>
      <w:r w:rsidRPr="00A0720F">
        <w:rPr>
          <w:highlight w:val="white"/>
        </w:rPr>
        <w:t>.</w:t>
      </w:r>
      <w:hyperlink r:id="rId41">
        <w:r w:rsidRPr="00A0720F">
          <w:rPr>
            <w:color w:val="000000"/>
            <w:highlight w:val="white"/>
            <w:u w:val="single"/>
          </w:rPr>
          <w:t>https</w:t>
        </w:r>
        <w:proofErr w:type="spellEnd"/>
        <w:r w:rsidRPr="00A0720F">
          <w:rPr>
            <w:color w:val="000000"/>
            <w:highlight w:val="white"/>
            <w:u w:val="single"/>
          </w:rPr>
          <w:t>://doi.org/10.1038/s42949-025-00318-5</w:t>
        </w:r>
      </w:hyperlink>
      <w:r w:rsidRPr="00A0720F">
        <w:rPr>
          <w:highlight w:val="white"/>
        </w:rPr>
        <w:t> </w:t>
      </w:r>
    </w:p>
    <w:p w14:paraId="661501EC" w14:textId="77777777" w:rsidR="002E1828" w:rsidRPr="00A0720F" w:rsidRDefault="002E1828" w:rsidP="00A0720F">
      <w:pPr>
        <w:ind w:left="360"/>
        <w:rPr>
          <w:b/>
          <w:bCs/>
        </w:rPr>
      </w:pPr>
      <w:proofErr w:type="spellStart"/>
      <w:r>
        <w:t>Coulburn</w:t>
      </w:r>
      <w:proofErr w:type="spellEnd"/>
      <w:r>
        <w:t xml:space="preserve">, L. and Miller, W., 2022. Prevalence, risk factors and impacts related to mould-affected housing: an Australian integrative review. </w:t>
      </w:r>
      <w:r w:rsidRPr="00506C3A">
        <w:rPr>
          <w:i/>
          <w:iCs/>
        </w:rPr>
        <w:t>International Journal of Environmental Research and Public Health, 19(3),</w:t>
      </w:r>
      <w:r>
        <w:t xml:space="preserve"> p.1854. </w:t>
      </w:r>
      <w:hyperlink r:id="rId42">
        <w:r w:rsidRPr="00A0720F">
          <w:rPr>
            <w:color w:val="000000"/>
            <w:u w:val="single"/>
          </w:rPr>
          <w:t>https://doi.org/10.3390/ijerph19031854</w:t>
        </w:r>
      </w:hyperlink>
      <w:r>
        <w:t xml:space="preserve"> </w:t>
      </w:r>
    </w:p>
    <w:p w14:paraId="4EF7A402" w14:textId="77777777" w:rsidR="002E1828" w:rsidRDefault="002E1828" w:rsidP="00A0720F">
      <w:pPr>
        <w:ind w:left="360"/>
      </w:pPr>
      <w:bookmarkStart w:id="173" w:name="_q4hj8il2if2" w:colFirst="0" w:colLast="0"/>
      <w:bookmarkEnd w:id="173"/>
      <w:r>
        <w:t xml:space="preserve">Cross, S., 2022. Housing and Children’s Health and Social Care. A review of literature and suggestions for further research. </w:t>
      </w:r>
      <w:hyperlink r:id="rId43">
        <w:r w:rsidRPr="00A0720F">
          <w:rPr>
            <w:color w:val="000000"/>
            <w:u w:val="single"/>
          </w:rPr>
          <w:t>https://sharedhealthfoundation.org.uk/wp-content/uploads/2021/09/Housing-and-Childrens-Health-and-Social-Care-Publication.pdf</w:t>
        </w:r>
      </w:hyperlink>
      <w:r>
        <w:t xml:space="preserve"> </w:t>
      </w:r>
    </w:p>
    <w:p w14:paraId="0D5BC270" w14:textId="223827B2" w:rsidR="002E1828" w:rsidRDefault="002E1828" w:rsidP="00EF4E96">
      <w:pPr>
        <w:ind w:left="360"/>
      </w:pPr>
      <w:r w:rsidRPr="00534FA9">
        <w:t xml:space="preserve">Cuevas Barron, G., Laryea-Adjei, G., </w:t>
      </w:r>
      <w:proofErr w:type="spellStart"/>
      <w:r w:rsidRPr="00534FA9">
        <w:t>Vike-Freiberga</w:t>
      </w:r>
      <w:proofErr w:type="spellEnd"/>
      <w:r w:rsidRPr="00534FA9">
        <w:t xml:space="preserve">, V., Abubakar, I., </w:t>
      </w:r>
      <w:proofErr w:type="spellStart"/>
      <w:r w:rsidRPr="00534FA9">
        <w:t>Dakkak</w:t>
      </w:r>
      <w:proofErr w:type="spellEnd"/>
      <w:r w:rsidRPr="00534FA9">
        <w:t xml:space="preserve">, H., Devakumar, D., Johnsson, A., Karabey, S., </w:t>
      </w:r>
      <w:proofErr w:type="spellStart"/>
      <w:r w:rsidRPr="00534FA9">
        <w:t>Labonté</w:t>
      </w:r>
      <w:proofErr w:type="spellEnd"/>
      <w:r w:rsidRPr="00534FA9">
        <w:t xml:space="preserve">, R., </w:t>
      </w:r>
      <w:proofErr w:type="spellStart"/>
      <w:r w:rsidRPr="00534FA9">
        <w:t>Legido</w:t>
      </w:r>
      <w:proofErr w:type="spellEnd"/>
      <w:r w:rsidRPr="00534FA9">
        <w:t xml:space="preserve">-Quigley, H., Lloyd-Sherlock, P., Olufadewa, I. I., Ray, H. C., Redlener, I., Redlener, K., Serageldin, I., Trindade Lima, N., Viana, V., Zappone, K., Huynh, U. K., Schlosberg, N., Sun, H. and Karadag, O. (2021) ‘Safeguarding people living in vulnerable conditions in the COVID-19 era through universal health coverage and social protection’, </w:t>
      </w:r>
      <w:r w:rsidRPr="00534FA9">
        <w:rPr>
          <w:i/>
          <w:iCs/>
        </w:rPr>
        <w:t>The Lancet Public Health</w:t>
      </w:r>
      <w:r w:rsidRPr="00534FA9">
        <w:t xml:space="preserve">, 7(1), pp. e86–e92. Available at: </w:t>
      </w:r>
      <w:hyperlink r:id="rId44" w:history="1">
        <w:r w:rsidRPr="00534FA9">
          <w:rPr>
            <w:rStyle w:val="Hyperlink"/>
          </w:rPr>
          <w:t>https://www.thelancet.com/journals/lanpub/article/PIIS2468-2667(21)00235-8/fulltext</w:t>
        </w:r>
      </w:hyperlink>
    </w:p>
    <w:p w14:paraId="143EF0C5" w14:textId="77777777" w:rsidR="002E1828" w:rsidRDefault="002E1828" w:rsidP="00A0720F">
      <w:pPr>
        <w:ind w:left="360"/>
      </w:pPr>
      <w:r>
        <w:t xml:space="preserve">Daou, T., Mansour, F., Abdul Sater, Z., Naal, H., Jaber, L., </w:t>
      </w:r>
      <w:proofErr w:type="spellStart"/>
      <w:r>
        <w:t>Gnaedinger</w:t>
      </w:r>
      <w:proofErr w:type="spellEnd"/>
      <w:r>
        <w:t xml:space="preserve">, A., Abu </w:t>
      </w:r>
      <w:proofErr w:type="spellStart"/>
      <w:r>
        <w:t>Sittah</w:t>
      </w:r>
      <w:proofErr w:type="spellEnd"/>
      <w:r>
        <w:t xml:space="preserve">, G. and Saleh, S., 2025. Bridging the data divide: challenges and opportunities for trauma registries in conflict-affected MENA countries: a qualitative analysis of key informant interviews. </w:t>
      </w:r>
      <w:r w:rsidRPr="00506C3A">
        <w:rPr>
          <w:i/>
          <w:iCs/>
        </w:rPr>
        <w:t>Conflict and Health, 19(1), p.60.</w:t>
      </w:r>
      <w:r>
        <w:t xml:space="preserve"> </w:t>
      </w:r>
      <w:hyperlink r:id="rId45">
        <w:r w:rsidRPr="00A0720F">
          <w:rPr>
            <w:color w:val="000000"/>
            <w:u w:val="single"/>
          </w:rPr>
          <w:t>https://doi.org/10.1186/s13031-025-00701-0</w:t>
        </w:r>
      </w:hyperlink>
      <w:r>
        <w:t xml:space="preserve"> </w:t>
      </w:r>
    </w:p>
    <w:p w14:paraId="4DA7843E" w14:textId="77777777" w:rsidR="002E1828" w:rsidRPr="00A0720F" w:rsidRDefault="002E1828" w:rsidP="00A0720F">
      <w:pPr>
        <w:ind w:left="360"/>
        <w:rPr>
          <w:highlight w:val="white"/>
        </w:rPr>
      </w:pPr>
      <w:r w:rsidRPr="00A0720F">
        <w:rPr>
          <w:highlight w:val="white"/>
        </w:rPr>
        <w:t>Dawes, J., May, T., Fancourt, D. and Burton, A., 2022. The impact of the COVID-19 pandemic and associated societal restrictions on people experiencing homelessness (PEH): a qualitative interview study with PEH and service providers in the UK. International Journal of Environmental Research and Public Health, 19(23), p.15526.</w:t>
      </w:r>
      <w:r>
        <w:t xml:space="preserve"> </w:t>
      </w:r>
      <w:hyperlink r:id="rId46">
        <w:r w:rsidRPr="00A0720F">
          <w:rPr>
            <w:color w:val="000000"/>
            <w:u w:val="single"/>
          </w:rPr>
          <w:t>https://doi.org/10.3390/ijerph192315526</w:t>
        </w:r>
      </w:hyperlink>
      <w:r>
        <w:t xml:space="preserve"> </w:t>
      </w:r>
    </w:p>
    <w:p w14:paraId="2E890DB9" w14:textId="77777777" w:rsidR="002E1828" w:rsidRDefault="002E1828" w:rsidP="00A0720F">
      <w:pPr>
        <w:spacing w:after="242" w:line="354" w:lineRule="auto"/>
        <w:ind w:left="360" w:right="64"/>
      </w:pPr>
      <w:r>
        <w:t>de Madariaga, I.S. and Boccia, T., 2025. Gender in UN-Habitat Policies and Programs. Past and Present, 1978-2025. </w:t>
      </w:r>
      <w:r w:rsidRPr="00A0720F">
        <w:rPr>
          <w:i/>
          <w:iCs/>
        </w:rPr>
        <w:t xml:space="preserve">VLC </w:t>
      </w:r>
      <w:proofErr w:type="spellStart"/>
      <w:r w:rsidRPr="00A0720F">
        <w:rPr>
          <w:i/>
          <w:iCs/>
        </w:rPr>
        <w:t>arquitectura</w:t>
      </w:r>
      <w:proofErr w:type="spellEnd"/>
      <w:r w:rsidRPr="00A0720F">
        <w:rPr>
          <w:i/>
          <w:iCs/>
        </w:rPr>
        <w:t>. Research Journal</w:t>
      </w:r>
      <w:r>
        <w:t>, </w:t>
      </w:r>
      <w:r w:rsidRPr="00A0720F">
        <w:rPr>
          <w:i/>
          <w:iCs/>
        </w:rPr>
        <w:t>12</w:t>
      </w:r>
      <w:r>
        <w:t xml:space="preserve">(2), pp.261-276. </w:t>
      </w:r>
      <w:hyperlink r:id="rId47">
        <w:r w:rsidRPr="00A0720F">
          <w:rPr>
            <w:color w:val="000000"/>
            <w:u w:val="single"/>
          </w:rPr>
          <w:t>https://doi.org/10.4995/vlc.2025.24098</w:t>
        </w:r>
      </w:hyperlink>
      <w:r>
        <w:t xml:space="preserve"> </w:t>
      </w:r>
    </w:p>
    <w:p w14:paraId="5AE04BD2" w14:textId="77777777" w:rsidR="002E1828" w:rsidRDefault="002E1828" w:rsidP="00A0720F">
      <w:pPr>
        <w:ind w:left="360"/>
      </w:pPr>
      <w:proofErr w:type="spellStart"/>
      <w:r>
        <w:t>Dimitroulopoulou</w:t>
      </w:r>
      <w:proofErr w:type="spellEnd"/>
      <w:r>
        <w:t xml:space="preserve">, S., Dudzińska, M.R., Gunnarsen, L., </w:t>
      </w:r>
      <w:proofErr w:type="spellStart"/>
      <w:r>
        <w:t>Hägerhed</w:t>
      </w:r>
      <w:proofErr w:type="spellEnd"/>
      <w:r>
        <w:t xml:space="preserve">, L., Maula, H., Singh, R., </w:t>
      </w:r>
      <w:proofErr w:type="spellStart"/>
      <w:r>
        <w:t>Toyinbo</w:t>
      </w:r>
      <w:proofErr w:type="spellEnd"/>
      <w:r>
        <w:t xml:space="preserve">, O. and Haverinen-Shaughnessy, U., 2023. Indoor air quality guidelines from across the world: An appraisal considering energy saving, health, productivity, and comfort. </w:t>
      </w:r>
      <w:r w:rsidRPr="004F0A98">
        <w:rPr>
          <w:i/>
          <w:iCs/>
        </w:rPr>
        <w:t xml:space="preserve">Environment International, 178, p.108127. </w:t>
      </w:r>
      <w:hyperlink r:id="rId48">
        <w:r w:rsidRPr="00A0720F">
          <w:rPr>
            <w:color w:val="000000"/>
            <w:u w:val="single"/>
          </w:rPr>
          <w:t>https://doi.org/10.1016/j.envint.2023.108127</w:t>
        </w:r>
      </w:hyperlink>
      <w:r>
        <w:t xml:space="preserve"> </w:t>
      </w:r>
    </w:p>
    <w:p w14:paraId="69C99A6B" w14:textId="77777777" w:rsidR="002E1828" w:rsidRDefault="002E1828" w:rsidP="00A0720F">
      <w:pPr>
        <w:ind w:left="360"/>
      </w:pPr>
      <w:r>
        <w:t xml:space="preserve">Easton, C., Javadizadeh, E., Plett, P., Perez, S., Isard, R., </w:t>
      </w:r>
      <w:proofErr w:type="spellStart"/>
      <w:r>
        <w:t>Hariramani</w:t>
      </w:r>
      <w:proofErr w:type="spellEnd"/>
      <w:r>
        <w:t xml:space="preserve">, S., Salahi, G. and Marshall, C.A., 2024. A scoping review examining the association of housing quality and psychosocial well-being following homelessness: an ecological systems perspective. Journal of Social Distress and Homelessness, 33(2), pp.457-481. </w:t>
      </w:r>
      <w:hyperlink r:id="rId49">
        <w:r w:rsidRPr="00A0720F">
          <w:rPr>
            <w:color w:val="000000"/>
            <w:u w:val="single"/>
          </w:rPr>
          <w:t>https://doi.org/10.1080/10530789.2023.2241215?urlappend=%3Futm_source%3Dresearchgate.net%26utm_medium%3Darticle</w:t>
        </w:r>
      </w:hyperlink>
      <w:r>
        <w:t xml:space="preserve"> </w:t>
      </w:r>
    </w:p>
    <w:p w14:paraId="7635E09F" w14:textId="77777777" w:rsidR="002E1828" w:rsidRPr="00A0720F" w:rsidRDefault="002E1828" w:rsidP="00A0720F">
      <w:pPr>
        <w:ind w:left="360"/>
        <w:rPr>
          <w:highlight w:val="white"/>
        </w:rPr>
      </w:pPr>
      <w:r w:rsidRPr="00A0720F">
        <w:rPr>
          <w:highlight w:val="white"/>
        </w:rPr>
        <w:t xml:space="preserve">El-Hoss, T., Thomas, F., Gradinger, F. and Hughes, S., 2024. Housing and children’s social care in England: learning from embedded research. </w:t>
      </w:r>
      <w:r w:rsidRPr="00A0720F">
        <w:rPr>
          <w:i/>
          <w:iCs/>
          <w:highlight w:val="white"/>
        </w:rPr>
        <w:t>Housing Studies</w:t>
      </w:r>
      <w:r w:rsidRPr="00A0720F">
        <w:rPr>
          <w:highlight w:val="white"/>
        </w:rPr>
        <w:t>, pp.1-26.</w:t>
      </w:r>
      <w:r>
        <w:t xml:space="preserve"> </w:t>
      </w:r>
      <w:hyperlink r:id="rId50">
        <w:r w:rsidRPr="00A0720F">
          <w:rPr>
            <w:color w:val="000000"/>
            <w:u w:val="single"/>
          </w:rPr>
          <w:t>https://doi.org/10.1080/02673037.2024.2419527</w:t>
        </w:r>
      </w:hyperlink>
      <w:r>
        <w:t xml:space="preserve"> </w:t>
      </w:r>
    </w:p>
    <w:p w14:paraId="0BF7273B" w14:textId="77777777" w:rsidR="002E1828" w:rsidRPr="00A0720F" w:rsidRDefault="002E1828" w:rsidP="00A0720F">
      <w:pPr>
        <w:ind w:left="360"/>
        <w:rPr>
          <w:b/>
          <w:bCs/>
        </w:rPr>
      </w:pPr>
      <w:r>
        <w:t>Galster, G. and Lee, K.O., 2021. Housing affordability: A framing, synthesis of research and policy, and future directions</w:t>
      </w:r>
      <w:r w:rsidRPr="00A0720F">
        <w:rPr>
          <w:i/>
          <w:iCs/>
        </w:rPr>
        <w:t>. International Journal of Urban Sciences</w:t>
      </w:r>
      <w:r>
        <w:t xml:space="preserve">, 25(sup1), pp.7-58. </w:t>
      </w:r>
      <w:hyperlink r:id="rId51">
        <w:r w:rsidRPr="00A0720F">
          <w:rPr>
            <w:color w:val="0563C1"/>
            <w:u w:val="single"/>
          </w:rPr>
          <w:t>https://doi.org/10.1080/12265934.2020.1713864</w:t>
        </w:r>
      </w:hyperlink>
      <w:r>
        <w:t xml:space="preserve"> </w:t>
      </w:r>
    </w:p>
    <w:p w14:paraId="23A8B277" w14:textId="77777777" w:rsidR="002E1828" w:rsidRDefault="002E1828" w:rsidP="00A0720F">
      <w:pPr>
        <w:ind w:left="360"/>
      </w:pPr>
      <w:r>
        <w:t xml:space="preserve">Gardner, F., </w:t>
      </w:r>
      <w:proofErr w:type="spellStart"/>
      <w:r>
        <w:t>Shenderovich</w:t>
      </w:r>
      <w:proofErr w:type="spellEnd"/>
      <w:r>
        <w:t xml:space="preserve">, Y., McCoy, A., Schafer, M., Martin, M., Janowski, R. and Varadan, S., 2023. WHO guidelines on parenting interventions to prevent maltreatment and enhance parent–child relationships with children aged 0–17 years: Report of the reviews for the WHO-INTEGRATE framework. WHO: Geneva, Switzerland. </w:t>
      </w:r>
      <w:hyperlink r:id="rId52">
        <w:r w:rsidRPr="00A0720F">
          <w:rPr>
            <w:color w:val="000000"/>
            <w:u w:val="single"/>
          </w:rPr>
          <w:t>https://doi.org/10.1080/12265934.2020.1713864?urlappend=%3Futm_source%3Dresearchgate.net%26utm_medium%3Darticle</w:t>
        </w:r>
      </w:hyperlink>
      <w:r>
        <w:t xml:space="preserve"> </w:t>
      </w:r>
    </w:p>
    <w:p w14:paraId="19D34345" w14:textId="77777777" w:rsidR="002E1828" w:rsidRPr="00A0720F" w:rsidRDefault="002E1828" w:rsidP="00A0720F">
      <w:pPr>
        <w:pBdr>
          <w:top w:val="nil"/>
          <w:left w:val="nil"/>
          <w:bottom w:val="nil"/>
          <w:right w:val="nil"/>
          <w:between w:val="nil"/>
        </w:pBdr>
        <w:spacing w:before="240" w:after="240"/>
        <w:ind w:left="360"/>
        <w:rPr>
          <w:color w:val="000000"/>
          <w:highlight w:val="white"/>
        </w:rPr>
      </w:pPr>
      <w:r w:rsidRPr="00A0720F">
        <w:rPr>
          <w:color w:val="000000"/>
          <w:highlight w:val="white"/>
        </w:rPr>
        <w:t xml:space="preserve">Ghafar, Z.N., 2024. An investigation of the enigmas and accessibility of academic literature, writing, and peer review. </w:t>
      </w:r>
      <w:r w:rsidRPr="00A0720F">
        <w:rPr>
          <w:i/>
          <w:iCs/>
          <w:color w:val="000000"/>
          <w:highlight w:val="white"/>
        </w:rPr>
        <w:t xml:space="preserve">Int J High </w:t>
      </w:r>
      <w:proofErr w:type="spellStart"/>
      <w:r w:rsidRPr="00A0720F">
        <w:rPr>
          <w:i/>
          <w:iCs/>
          <w:color w:val="000000"/>
          <w:highlight w:val="white"/>
        </w:rPr>
        <w:t>Educ</w:t>
      </w:r>
      <w:proofErr w:type="spellEnd"/>
      <w:r w:rsidRPr="00A0720F">
        <w:rPr>
          <w:i/>
          <w:iCs/>
          <w:color w:val="000000"/>
          <w:highlight w:val="white"/>
        </w:rPr>
        <w:t xml:space="preserve"> Pedagogies</w:t>
      </w:r>
      <w:r w:rsidRPr="00A0720F">
        <w:rPr>
          <w:color w:val="000000"/>
          <w:highlight w:val="white"/>
        </w:rPr>
        <w:t xml:space="preserve">, </w:t>
      </w:r>
      <w:r w:rsidRPr="00A0720F">
        <w:rPr>
          <w:i/>
          <w:iCs/>
          <w:color w:val="000000"/>
          <w:highlight w:val="white"/>
        </w:rPr>
        <w:t>5</w:t>
      </w:r>
      <w:r w:rsidRPr="00A0720F">
        <w:rPr>
          <w:color w:val="000000"/>
          <w:highlight w:val="white"/>
        </w:rPr>
        <w:t xml:space="preserve">(2), pp.1-18. </w:t>
      </w:r>
      <w:hyperlink r:id="rId53">
        <w:r w:rsidRPr="00A0720F">
          <w:rPr>
            <w:color w:val="000000"/>
            <w:highlight w:val="white"/>
            <w:u w:val="single"/>
          </w:rPr>
          <w:t>https://doi.org/10.33422/ijhep.v5i2.612</w:t>
        </w:r>
      </w:hyperlink>
    </w:p>
    <w:p w14:paraId="58C85ED8" w14:textId="77777777" w:rsidR="002E1828" w:rsidRDefault="002E1828" w:rsidP="00A0720F">
      <w:pPr>
        <w:ind w:left="360"/>
      </w:pPr>
      <w:proofErr w:type="spellStart"/>
      <w:r>
        <w:t>Ginestet</w:t>
      </w:r>
      <w:proofErr w:type="spellEnd"/>
      <w:r>
        <w:t>, S., Aschan-</w:t>
      </w:r>
      <w:proofErr w:type="spellStart"/>
      <w:r>
        <w:t>Leygonie</w:t>
      </w:r>
      <w:proofErr w:type="spellEnd"/>
      <w:r>
        <w:t xml:space="preserve">, C., Bayeux, T. and </w:t>
      </w:r>
      <w:proofErr w:type="spellStart"/>
      <w:r>
        <w:t>Keirsbulck</w:t>
      </w:r>
      <w:proofErr w:type="spellEnd"/>
      <w:r>
        <w:t>, M., 2020. Mould in indoor environments: The role of heating, ventilation and fuel poverty. A French perspective. </w:t>
      </w:r>
      <w:r w:rsidRPr="00A0720F">
        <w:rPr>
          <w:i/>
          <w:iCs/>
        </w:rPr>
        <w:t>Building and Environment</w:t>
      </w:r>
      <w:r>
        <w:t>, </w:t>
      </w:r>
      <w:r w:rsidRPr="00A0720F">
        <w:rPr>
          <w:i/>
          <w:iCs/>
        </w:rPr>
        <w:t>169</w:t>
      </w:r>
      <w:r>
        <w:t xml:space="preserve">, p.106577. </w:t>
      </w:r>
      <w:hyperlink r:id="rId54">
        <w:r w:rsidRPr="00A0720F">
          <w:rPr>
            <w:color w:val="000000"/>
            <w:u w:val="single"/>
          </w:rPr>
          <w:t>https://doi.org/10.1016/j.buildenv.2019.106577</w:t>
        </w:r>
      </w:hyperlink>
    </w:p>
    <w:p w14:paraId="19EB67D4" w14:textId="77777777" w:rsidR="002E1828" w:rsidRPr="00120DAC" w:rsidRDefault="002E1828" w:rsidP="00120DAC">
      <w:pPr>
        <w:ind w:left="360"/>
      </w:pPr>
      <w:r w:rsidRPr="00120DAC">
        <w:t xml:space="preserve">Gov.uk (2024) </w:t>
      </w:r>
      <w:r w:rsidRPr="00120DAC">
        <w:rPr>
          <w:i/>
          <w:iCs/>
        </w:rPr>
        <w:t>Damp and mould: understanding and addressing the health risks in the home</w:t>
      </w:r>
      <w:r w:rsidRPr="00120DAC">
        <w:t xml:space="preserve">. Available at: </w:t>
      </w:r>
      <w:hyperlink r:id="rId55" w:tgtFrame="_new" w:history="1">
        <w:r w:rsidRPr="00120DAC">
          <w:rPr>
            <w:rStyle w:val="Hyperlink"/>
          </w:rPr>
          <w:t>https://www.gov.uk/government/publications/damp-and-mould-understanding-and-addressing-the-health-risks-for-rented-housing-providers/understanding-and-addressing-the-health-risks-of-damp-and-mould-in-the-home--2</w:t>
        </w:r>
      </w:hyperlink>
      <w:r w:rsidRPr="00120DAC">
        <w:t xml:space="preserve"> (Accessed: 10 November 2025).</w:t>
      </w:r>
    </w:p>
    <w:p w14:paraId="76FADDF2" w14:textId="5F5794BB" w:rsidR="002E1828" w:rsidRDefault="002E1828" w:rsidP="00A0720F">
      <w:pPr>
        <w:ind w:left="360"/>
      </w:pPr>
      <w:r>
        <w:t xml:space="preserve">Gov.uk, 2025. English Housing Survey 2023 to 2024: drivers and impacts of housing quality. Available at: </w:t>
      </w:r>
      <w:hyperlink r:id="rId56" w:history="1">
        <w:r w:rsidRPr="005E2B19">
          <w:rPr>
            <w:rStyle w:val="Hyperlink"/>
          </w:rPr>
          <w:t>https://www.gov.uk/government/statistics/english-housing-survey-2023-to-2024-drivers-and-impacts-of-housing-quality/english-housing-survey-2023-to-2024-drivers-and-impacts-of-housing-quality</w:t>
        </w:r>
      </w:hyperlink>
      <w:r>
        <w:t>[Accessed on: 10.11.2025]</w:t>
      </w:r>
    </w:p>
    <w:p w14:paraId="11217405" w14:textId="77777777" w:rsidR="002E1828" w:rsidRPr="00A0720F" w:rsidRDefault="002E1828" w:rsidP="00A0720F">
      <w:pPr>
        <w:ind w:left="360"/>
        <w:rPr>
          <w:b/>
          <w:bCs/>
        </w:rPr>
      </w:pPr>
      <w:r>
        <w:t xml:space="preserve">Groot, J., Nielsen, E.T., Nielsen, T.F., Andersen, P.K., Pedersen, M., Sigsgaard, T., Loft, S., Andersen, A.M.N. and Keller, A., 2023. Exposure to residential </w:t>
      </w:r>
      <w:proofErr w:type="spellStart"/>
      <w:r>
        <w:t>mold</w:t>
      </w:r>
      <w:proofErr w:type="spellEnd"/>
      <w:r>
        <w:t xml:space="preserve"> and dampness and the associations with respiratory tract infections and symptoms thereof in children in high income countries: A systematic review and meta-analyses of epidemiological studies. Paediatric Respiratory Reviews, 48, pp.47-64. </w:t>
      </w:r>
      <w:hyperlink r:id="rId57">
        <w:r w:rsidRPr="00A0720F">
          <w:rPr>
            <w:color w:val="000000"/>
            <w:u w:val="single"/>
          </w:rPr>
          <w:t>https://doi.org/10.1016/j.prrv.2023.06.003</w:t>
        </w:r>
      </w:hyperlink>
      <w:r>
        <w:t xml:space="preserve"> </w:t>
      </w:r>
    </w:p>
    <w:p w14:paraId="4B6C94E5" w14:textId="77777777" w:rsidR="002E1828" w:rsidRPr="00A0720F" w:rsidRDefault="002E1828" w:rsidP="00A0720F">
      <w:pPr>
        <w:pBdr>
          <w:top w:val="nil"/>
          <w:left w:val="nil"/>
          <w:bottom w:val="nil"/>
          <w:right w:val="nil"/>
          <w:between w:val="nil"/>
        </w:pBdr>
        <w:spacing w:before="240" w:after="240"/>
        <w:ind w:left="360"/>
        <w:rPr>
          <w:color w:val="000000"/>
          <w:highlight w:val="white"/>
        </w:rPr>
      </w:pPr>
      <w:r w:rsidRPr="00A0720F">
        <w:rPr>
          <w:color w:val="000000"/>
          <w:highlight w:val="white"/>
        </w:rPr>
        <w:t xml:space="preserve">Gusenbauer, M. and </w:t>
      </w:r>
      <w:proofErr w:type="spellStart"/>
      <w:r w:rsidRPr="00A0720F">
        <w:rPr>
          <w:color w:val="000000"/>
          <w:highlight w:val="white"/>
        </w:rPr>
        <w:t>Gauster</w:t>
      </w:r>
      <w:proofErr w:type="spellEnd"/>
      <w:r w:rsidRPr="00A0720F">
        <w:rPr>
          <w:color w:val="000000"/>
          <w:highlight w:val="white"/>
        </w:rPr>
        <w:t xml:space="preserve">, S.P., 2025. How to search for literature in systematic reviews and meta-analyses: A comprehensive step-by-step guide. </w:t>
      </w:r>
      <w:r w:rsidRPr="00A0720F">
        <w:rPr>
          <w:i/>
          <w:iCs/>
          <w:color w:val="000000"/>
          <w:highlight w:val="white"/>
        </w:rPr>
        <w:t>Technological Forecasting and Social Change</w:t>
      </w:r>
      <w:r w:rsidRPr="00A0720F">
        <w:rPr>
          <w:color w:val="000000"/>
          <w:highlight w:val="white"/>
        </w:rPr>
        <w:t xml:space="preserve">, </w:t>
      </w:r>
      <w:r w:rsidRPr="00A0720F">
        <w:rPr>
          <w:i/>
          <w:iCs/>
          <w:color w:val="000000"/>
          <w:highlight w:val="white"/>
        </w:rPr>
        <w:t>212</w:t>
      </w:r>
      <w:r w:rsidRPr="00A0720F">
        <w:rPr>
          <w:color w:val="000000"/>
          <w:highlight w:val="white"/>
        </w:rPr>
        <w:t xml:space="preserve">, p.123833. </w:t>
      </w:r>
      <w:hyperlink r:id="rId58">
        <w:r w:rsidRPr="00A0720F">
          <w:rPr>
            <w:color w:val="000000"/>
            <w:highlight w:val="white"/>
            <w:u w:val="single"/>
          </w:rPr>
          <w:t>https://doi.org/10.1016/j.techfore.2024.123833</w:t>
        </w:r>
      </w:hyperlink>
    </w:p>
    <w:p w14:paraId="1F98EE0F" w14:textId="3DF1A532" w:rsidR="002E1828" w:rsidRDefault="002E1828" w:rsidP="00A0720F">
      <w:pPr>
        <w:ind w:left="360"/>
      </w:pPr>
      <w:r>
        <w:t xml:space="preserve">Health Equals, 2025. New data shows more than 1 in 4 of us live in homes that could harm our health. Available at: </w:t>
      </w:r>
      <w:hyperlink r:id="rId59" w:history="1">
        <w:r w:rsidRPr="005E2B19">
          <w:rPr>
            <w:rStyle w:val="Hyperlink"/>
          </w:rPr>
          <w:t>https://healthequals.org.uk/data_insights/homes-that-harm-health/</w:t>
        </w:r>
      </w:hyperlink>
    </w:p>
    <w:p w14:paraId="48F17942" w14:textId="77777777" w:rsidR="002E1828" w:rsidRPr="00A0720F" w:rsidRDefault="002E1828" w:rsidP="00A0720F">
      <w:pPr>
        <w:ind w:left="360"/>
        <w:rPr>
          <w:highlight w:val="white"/>
        </w:rPr>
      </w:pPr>
      <w:r w:rsidRPr="00A0720F">
        <w:rPr>
          <w:highlight w:val="white"/>
        </w:rPr>
        <w:t xml:space="preserve">Heeney, N.A., 2024. </w:t>
      </w:r>
      <w:r w:rsidRPr="00A0720F">
        <w:rPr>
          <w:i/>
          <w:iCs/>
          <w:highlight w:val="white"/>
        </w:rPr>
        <w:t xml:space="preserve">Engaging the voices of residential property managers in understanding and improving issues in the Auckland rental market: this thesis is presented in fulfilment of the requirements for the degree of Master of Health Science in Psychology at Massey University, Albany, New </w:t>
      </w:r>
      <w:proofErr w:type="spellStart"/>
      <w:r w:rsidRPr="00A0720F">
        <w:rPr>
          <w:i/>
          <w:iCs/>
          <w:highlight w:val="white"/>
        </w:rPr>
        <w:t>Zealand</w:t>
      </w:r>
      <w:r w:rsidRPr="00A0720F">
        <w:rPr>
          <w:highlight w:val="white"/>
        </w:rPr>
        <w:t>.</w:t>
      </w:r>
      <w:hyperlink r:id="rId60">
        <w:r w:rsidRPr="00A0720F">
          <w:rPr>
            <w:color w:val="000000"/>
            <w:highlight w:val="white"/>
            <w:u w:val="single"/>
          </w:rPr>
          <w:t>https</w:t>
        </w:r>
        <w:proofErr w:type="spellEnd"/>
        <w:r w:rsidRPr="00A0720F">
          <w:rPr>
            <w:color w:val="000000"/>
            <w:highlight w:val="white"/>
            <w:u w:val="single"/>
          </w:rPr>
          <w:t>://doi.org/10.1080/02673037.2019.1621271</w:t>
        </w:r>
      </w:hyperlink>
    </w:p>
    <w:p w14:paraId="72C5C193" w14:textId="77777777" w:rsidR="002E1828" w:rsidRDefault="002E1828" w:rsidP="00A0720F">
      <w:pPr>
        <w:ind w:left="360"/>
      </w:pPr>
      <w:r>
        <w:t xml:space="preserve">Hill, M.S. and Gilbert, J.A., 2023. Microbiology of the built environment: Harnessing human-associated built environment research to inform the study and design of animal nests and enclosures. Microbiology and Molecular Biology Reviews, 87(4), </w:t>
      </w:r>
      <w:proofErr w:type="gramStart"/>
      <w:r>
        <w:t>pp.e</w:t>
      </w:r>
      <w:proofErr w:type="gramEnd"/>
      <w:r>
        <w:t xml:space="preserve">00121-21. </w:t>
      </w:r>
      <w:hyperlink r:id="rId61">
        <w:r w:rsidRPr="00A0720F">
          <w:rPr>
            <w:color w:val="000000"/>
            <w:u w:val="single"/>
          </w:rPr>
          <w:t>https://doi.org/10.1128/mmbr.00121-21</w:t>
        </w:r>
      </w:hyperlink>
      <w:r>
        <w:t xml:space="preserve"> </w:t>
      </w:r>
    </w:p>
    <w:p w14:paraId="27A0141F" w14:textId="77777777" w:rsidR="002E1828" w:rsidRPr="00A0720F" w:rsidRDefault="002E1828" w:rsidP="00A0720F">
      <w:pPr>
        <w:ind w:left="360"/>
        <w:rPr>
          <w:highlight w:val="white"/>
        </w:rPr>
      </w:pPr>
      <w:r w:rsidRPr="00A0720F">
        <w:rPr>
          <w:highlight w:val="white"/>
        </w:rPr>
        <w:t xml:space="preserve">Hock, E., Blank, L., Fairbrother, H., Clowes, M., Cuevas, D.C., Cuevas, D., Booth, A. and Goyder, E., 2023. Exploring the impact of housing insecurity on the health and well-being of children and young people: a systematic review. </w:t>
      </w:r>
      <w:r w:rsidRPr="00A0720F">
        <w:rPr>
          <w:i/>
          <w:iCs/>
          <w:highlight w:val="white"/>
        </w:rPr>
        <w:t>Public Health Research</w:t>
      </w:r>
      <w:r w:rsidRPr="00A0720F">
        <w:rPr>
          <w:highlight w:val="white"/>
        </w:rPr>
        <w:t xml:space="preserve">, </w:t>
      </w:r>
      <w:r w:rsidRPr="00A0720F">
        <w:rPr>
          <w:i/>
          <w:iCs/>
          <w:highlight w:val="white"/>
        </w:rPr>
        <w:t>11</w:t>
      </w:r>
      <w:r w:rsidRPr="00A0720F">
        <w:rPr>
          <w:highlight w:val="white"/>
        </w:rPr>
        <w:t>(13), pp.1-71.</w:t>
      </w:r>
      <w:hyperlink r:id="rId62">
        <w:r w:rsidRPr="00A0720F">
          <w:rPr>
            <w:color w:val="000000"/>
            <w:highlight w:val="white"/>
            <w:u w:val="single"/>
          </w:rPr>
          <w:t>https://doi.org/10.3310/TWWL4501</w:t>
        </w:r>
      </w:hyperlink>
      <w:r w:rsidRPr="00A0720F">
        <w:rPr>
          <w:highlight w:val="white"/>
        </w:rPr>
        <w:t> </w:t>
      </w:r>
    </w:p>
    <w:p w14:paraId="4330BC82" w14:textId="77777777" w:rsidR="002E1828" w:rsidRPr="00A0720F" w:rsidRDefault="002E1828" w:rsidP="00A0720F">
      <w:pPr>
        <w:ind w:left="360"/>
        <w:rPr>
          <w:b/>
          <w:bCs/>
        </w:rPr>
      </w:pPr>
      <w:bookmarkStart w:id="174" w:name="_dcf5q0sfb477" w:colFirst="0" w:colLast="0"/>
      <w:bookmarkEnd w:id="174"/>
      <w:r>
        <w:t xml:space="preserve">Holden, K.A., Lee, A.R., </w:t>
      </w:r>
      <w:proofErr w:type="spellStart"/>
      <w:r>
        <w:t>Hawcutt</w:t>
      </w:r>
      <w:proofErr w:type="spellEnd"/>
      <w:r>
        <w:t xml:space="preserve">, D.B. and Sinha, I.P., 2023. The impact of poor housing and indoor air quality on respiratory health in children. Breathe, 19(2). </w:t>
      </w:r>
      <w:hyperlink r:id="rId63">
        <w:r w:rsidRPr="00A0720F">
          <w:rPr>
            <w:color w:val="000000"/>
            <w:u w:val="single"/>
          </w:rPr>
          <w:t>https://doi.org/10.1183/20734735.0058-2023</w:t>
        </w:r>
      </w:hyperlink>
      <w:r>
        <w:t xml:space="preserve"> </w:t>
      </w:r>
    </w:p>
    <w:p w14:paraId="3FBC9980" w14:textId="77777777" w:rsidR="002E1828" w:rsidRDefault="002E1828" w:rsidP="00A0720F">
      <w:pPr>
        <w:ind w:left="360"/>
      </w:pPr>
      <w:r w:rsidRPr="00A0720F">
        <w:rPr>
          <w:highlight w:val="white"/>
        </w:rPr>
        <w:t xml:space="preserve">Holden, M.T. and Lynch, P., 2004. Choosing the appropriate methodology: Understanding research philosophy. </w:t>
      </w:r>
      <w:r w:rsidRPr="00A0720F">
        <w:rPr>
          <w:i/>
          <w:iCs/>
          <w:highlight w:val="white"/>
        </w:rPr>
        <w:t>The marketing review</w:t>
      </w:r>
      <w:r w:rsidRPr="00A0720F">
        <w:rPr>
          <w:highlight w:val="white"/>
        </w:rPr>
        <w:t xml:space="preserve">, </w:t>
      </w:r>
      <w:r w:rsidRPr="00A0720F">
        <w:rPr>
          <w:i/>
          <w:iCs/>
          <w:highlight w:val="white"/>
        </w:rPr>
        <w:t>4</w:t>
      </w:r>
      <w:r w:rsidRPr="00A0720F">
        <w:rPr>
          <w:highlight w:val="white"/>
        </w:rPr>
        <w:t xml:space="preserve">(4), pp.397-409. </w:t>
      </w:r>
      <w:hyperlink r:id="rId64">
        <w:r w:rsidRPr="00A0720F">
          <w:rPr>
            <w:color w:val="000000"/>
            <w:u w:val="single"/>
          </w:rPr>
          <w:t>https://doi.org/10.1362/1469347042772428</w:t>
        </w:r>
      </w:hyperlink>
    </w:p>
    <w:p w14:paraId="415987E9" w14:textId="77777777" w:rsidR="002E1828" w:rsidRPr="00A0720F" w:rsidRDefault="002E1828" w:rsidP="00A0720F">
      <w:pPr>
        <w:ind w:left="360"/>
        <w:rPr>
          <w:b/>
          <w:bCs/>
        </w:rPr>
      </w:pPr>
      <w:r>
        <w:t xml:space="preserve">Howden-Chapman, P., Bennett, J., Edwards, R., Jacobs, D., Nathan, K. and Ormandy, D., 2023. Review of the impact of housing quality on inequalities in health and well-being. Annual review of public health, 44(1), pp.233-254. </w:t>
      </w:r>
      <w:hyperlink r:id="rId65">
        <w:r w:rsidRPr="00A0720F">
          <w:rPr>
            <w:color w:val="000000"/>
            <w:u w:val="single"/>
          </w:rPr>
          <w:t>https://doi.org/10.1146/annurev-publhealth-071521-111836</w:t>
        </w:r>
      </w:hyperlink>
      <w:r>
        <w:t xml:space="preserve"> </w:t>
      </w:r>
    </w:p>
    <w:p w14:paraId="22BFC944" w14:textId="77777777" w:rsidR="002E1828" w:rsidRDefault="002E1828" w:rsidP="00A0720F">
      <w:pPr>
        <w:spacing w:after="242" w:line="354" w:lineRule="auto"/>
        <w:ind w:left="360" w:right="64"/>
      </w:pPr>
      <w:proofErr w:type="spellStart"/>
      <w:r>
        <w:t>Iddi</w:t>
      </w:r>
      <w:proofErr w:type="spellEnd"/>
      <w:r>
        <w:t xml:space="preserve">, S., Muindi, K., Gitau, H. and </w:t>
      </w:r>
      <w:proofErr w:type="spellStart"/>
      <w:r>
        <w:t>Mberu</w:t>
      </w:r>
      <w:proofErr w:type="spellEnd"/>
      <w:r>
        <w:t>, B., 2022. Characterization of healthy housing in Africa: Method, profiles, and determinants. </w:t>
      </w:r>
      <w:r w:rsidRPr="00A0720F">
        <w:rPr>
          <w:i/>
          <w:iCs/>
        </w:rPr>
        <w:t>Journal of Urban Health</w:t>
      </w:r>
      <w:r>
        <w:t>, </w:t>
      </w:r>
      <w:r w:rsidRPr="00A0720F">
        <w:rPr>
          <w:i/>
          <w:iCs/>
        </w:rPr>
        <w:t>99</w:t>
      </w:r>
      <w:r>
        <w:t xml:space="preserve">(1), pp.146-163. </w:t>
      </w:r>
      <w:hyperlink r:id="rId66">
        <w:r w:rsidRPr="00A0720F">
          <w:rPr>
            <w:color w:val="000000"/>
            <w:u w:val="single"/>
          </w:rPr>
          <w:t>https://doi.org/10.1007/s11524-021-00603-5</w:t>
        </w:r>
      </w:hyperlink>
      <w:r>
        <w:t xml:space="preserve"> </w:t>
      </w:r>
    </w:p>
    <w:p w14:paraId="32990474" w14:textId="77777777" w:rsidR="002E1828" w:rsidRDefault="002E1828" w:rsidP="00A0720F">
      <w:pPr>
        <w:ind w:left="360"/>
      </w:pPr>
      <w:proofErr w:type="spellStart"/>
      <w:r>
        <w:t>Kortianou</w:t>
      </w:r>
      <w:proofErr w:type="spellEnd"/>
      <w:r>
        <w:t xml:space="preserve">, E.A., Isakoglou, M., </w:t>
      </w:r>
      <w:proofErr w:type="spellStart"/>
      <w:r>
        <w:t>Dalamarinis</w:t>
      </w:r>
      <w:proofErr w:type="spellEnd"/>
      <w:r>
        <w:t xml:space="preserve">, P., Alevizos, D., </w:t>
      </w:r>
      <w:proofErr w:type="spellStart"/>
      <w:r>
        <w:t>Mavronasou</w:t>
      </w:r>
      <w:proofErr w:type="spellEnd"/>
      <w:r>
        <w:t xml:space="preserve">, A. and </w:t>
      </w:r>
      <w:proofErr w:type="spellStart"/>
      <w:r>
        <w:t>Sapouna</w:t>
      </w:r>
      <w:proofErr w:type="spellEnd"/>
      <w:r>
        <w:t>, V., 2025. The Social Aspect of Children and Adolescents with Chronic Respiratory Diseases. </w:t>
      </w:r>
      <w:proofErr w:type="spellStart"/>
      <w:r w:rsidRPr="00A0720F">
        <w:rPr>
          <w:i/>
          <w:iCs/>
        </w:rPr>
        <w:t>Encyclopedia</w:t>
      </w:r>
      <w:proofErr w:type="spellEnd"/>
      <w:r>
        <w:t>, </w:t>
      </w:r>
      <w:r w:rsidRPr="00A0720F">
        <w:rPr>
          <w:i/>
          <w:iCs/>
        </w:rPr>
        <w:t>5</w:t>
      </w:r>
      <w:r>
        <w:t xml:space="preserve">(3), p.90. </w:t>
      </w:r>
      <w:hyperlink r:id="rId67">
        <w:r w:rsidRPr="00A0720F">
          <w:rPr>
            <w:color w:val="000000"/>
            <w:u w:val="single"/>
          </w:rPr>
          <w:t>https://doi.org/10.3390/encyclopedia5030090</w:t>
        </w:r>
      </w:hyperlink>
    </w:p>
    <w:p w14:paraId="334CAC4F" w14:textId="7A5B5224" w:rsidR="002E1828" w:rsidRPr="00784144" w:rsidRDefault="002E1828" w:rsidP="00DF626F">
      <w:pPr>
        <w:ind w:left="360"/>
      </w:pPr>
      <w:r w:rsidRPr="00784144">
        <w:t xml:space="preserve">Krieger, J. &amp; Higgins, D.L. (2002) ‘Housing and health: time again for public health action’, </w:t>
      </w:r>
      <w:r w:rsidRPr="00784144">
        <w:rPr>
          <w:i/>
          <w:iCs/>
        </w:rPr>
        <w:t>American Journal of Public Health</w:t>
      </w:r>
      <w:r w:rsidRPr="00784144">
        <w:t xml:space="preserve">, 92(5), pp. 758–768Available at: </w:t>
      </w:r>
      <w:hyperlink r:id="rId68" w:history="1">
        <w:r w:rsidRPr="00784144">
          <w:rPr>
            <w:rStyle w:val="Hyperlink"/>
          </w:rPr>
          <w:t>https://pmc.ncbi.nlm.nih.gov/articles/PMC1447157/</w:t>
        </w:r>
      </w:hyperlink>
      <w:r w:rsidRPr="00784144">
        <w:t xml:space="preserve"> [Accessed on: 10.11.2025]</w:t>
      </w:r>
    </w:p>
    <w:p w14:paraId="1F7B2832" w14:textId="77777777" w:rsidR="002E1828" w:rsidRDefault="002E1828" w:rsidP="00A0720F">
      <w:pPr>
        <w:ind w:left="360"/>
      </w:pPr>
      <w:proofErr w:type="spellStart"/>
      <w:r w:rsidRPr="000C644C">
        <w:t>Kucuktuvek</w:t>
      </w:r>
      <w:proofErr w:type="spellEnd"/>
      <w:r w:rsidRPr="000C644C">
        <w:t xml:space="preserve">, M. and </w:t>
      </w:r>
      <w:proofErr w:type="spellStart"/>
      <w:r w:rsidRPr="000C644C">
        <w:t>Örmecioğlu</w:t>
      </w:r>
      <w:proofErr w:type="spellEnd"/>
      <w:r w:rsidRPr="000C644C">
        <w:t>, H.T. (2024) ‘Health</w:t>
      </w:r>
      <w:r w:rsidRPr="000C644C">
        <w:noBreakHyphen/>
        <w:t xml:space="preserve">Oriented Interior Architecture Principles for Primary Care </w:t>
      </w:r>
      <w:proofErr w:type="spellStart"/>
      <w:r w:rsidRPr="000C644C">
        <w:t>Centers</w:t>
      </w:r>
      <w:proofErr w:type="spellEnd"/>
      <w:r w:rsidRPr="000C644C">
        <w:t xml:space="preserve"> (PCCs): Ergonomics, Air Quality, Lighting, and Acoustics’, in </w:t>
      </w:r>
      <w:r w:rsidRPr="000C644C">
        <w:rPr>
          <w:i/>
          <w:iCs/>
        </w:rPr>
        <w:t>Advances in Architecture, Planning and Design</w:t>
      </w:r>
      <w:r w:rsidRPr="000C644C">
        <w:t xml:space="preserve">, Platanus Publishing, pp. 225–240. Available at: </w:t>
      </w:r>
      <w:hyperlink r:id="rId69" w:tgtFrame="_new" w:history="1">
        <w:r w:rsidRPr="000C644C">
          <w:rPr>
            <w:rStyle w:val="Hyperlink"/>
          </w:rPr>
          <w:t>https://www.researchgate.net/publication/389880654_Health-Oriented_Interior_Architecture_Principles_for_Primary_Care_Centers_PCCs_Ergonomics_Air_Quality_Lighting_and_Acoustics</w:t>
        </w:r>
      </w:hyperlink>
    </w:p>
    <w:p w14:paraId="52C1C34E" w14:textId="77777777" w:rsidR="002E1828" w:rsidRDefault="002E1828" w:rsidP="00A0720F">
      <w:pPr>
        <w:ind w:left="360"/>
      </w:pPr>
      <w:r>
        <w:t xml:space="preserve">Kumar, P. and Singh, R., 2025. Microbial indoor air pollution in Delhi Metropolitan City is attributable to severe respiratory and general health effects among residents. </w:t>
      </w:r>
      <w:r w:rsidRPr="00BC5D90">
        <w:rPr>
          <w:i/>
          <w:iCs/>
        </w:rPr>
        <w:t>Frontiers in Public Health</w:t>
      </w:r>
      <w:r>
        <w:t xml:space="preserve">, 13, p.1626827. </w:t>
      </w:r>
      <w:hyperlink r:id="rId70">
        <w:r w:rsidRPr="00A0720F">
          <w:rPr>
            <w:color w:val="000000"/>
            <w:u w:val="single"/>
          </w:rPr>
          <w:t>https://doi.org/10.3389/fpubh.2025.1626827</w:t>
        </w:r>
      </w:hyperlink>
      <w:r>
        <w:t xml:space="preserve"> </w:t>
      </w:r>
    </w:p>
    <w:p w14:paraId="6E6E6990" w14:textId="77777777" w:rsidR="002E1828" w:rsidRPr="00A0720F" w:rsidRDefault="002E1828" w:rsidP="00A0720F">
      <w:pPr>
        <w:ind w:left="360"/>
        <w:rPr>
          <w:b/>
          <w:bCs/>
        </w:rPr>
      </w:pPr>
      <w:r>
        <w:t>Kumar, P., Kausar, M.A., Singh, A.B. and Singh, R., 2021. Biological contaminants in the indoor air environment and their impacts on human health</w:t>
      </w:r>
      <w:r w:rsidRPr="000C644C">
        <w:rPr>
          <w:i/>
          <w:iCs/>
        </w:rPr>
        <w:t>. Air Quality, Atmosphere &amp; Health, 14(11), pp.1723-1736.</w:t>
      </w:r>
      <w:r>
        <w:t xml:space="preserve"> </w:t>
      </w:r>
      <w:hyperlink r:id="rId71">
        <w:r w:rsidRPr="00A0720F">
          <w:rPr>
            <w:color w:val="000000"/>
            <w:u w:val="single"/>
          </w:rPr>
          <w:t>https://doi.org/10.1007/s11869-021-00978-z</w:t>
        </w:r>
      </w:hyperlink>
      <w:r>
        <w:t xml:space="preserve"> </w:t>
      </w:r>
    </w:p>
    <w:p w14:paraId="1CD4BE8A" w14:textId="77777777" w:rsidR="002E1828" w:rsidRDefault="002E1828" w:rsidP="00A0720F">
      <w:pPr>
        <w:ind w:left="360"/>
      </w:pPr>
      <w:r w:rsidRPr="00A0720F">
        <w:rPr>
          <w:highlight w:val="white"/>
        </w:rPr>
        <w:t xml:space="preserve">Liu, L., 2016. Using generic inductive approach in qualitative educational research: A case study analysis. </w:t>
      </w:r>
      <w:r w:rsidRPr="00A0720F">
        <w:rPr>
          <w:i/>
          <w:iCs/>
          <w:highlight w:val="white"/>
        </w:rPr>
        <w:t>Journal of education and learning</w:t>
      </w:r>
      <w:r w:rsidRPr="00A0720F">
        <w:rPr>
          <w:highlight w:val="white"/>
        </w:rPr>
        <w:t xml:space="preserve">, </w:t>
      </w:r>
      <w:r w:rsidRPr="00A0720F">
        <w:rPr>
          <w:i/>
          <w:iCs/>
          <w:highlight w:val="white"/>
        </w:rPr>
        <w:t>5</w:t>
      </w:r>
      <w:r w:rsidRPr="00A0720F">
        <w:rPr>
          <w:highlight w:val="white"/>
        </w:rPr>
        <w:t xml:space="preserve">(2), pp.129-135. </w:t>
      </w:r>
      <w:hyperlink r:id="rId72">
        <w:r w:rsidRPr="00A0720F">
          <w:rPr>
            <w:color w:val="000000"/>
            <w:u w:val="single"/>
          </w:rPr>
          <w:t>http://dx.doi.org/10.5539/jel.v5n2p129</w:t>
        </w:r>
      </w:hyperlink>
    </w:p>
    <w:p w14:paraId="289E661D" w14:textId="77777777" w:rsidR="002E1828" w:rsidRPr="00A0720F" w:rsidRDefault="002E1828" w:rsidP="00A0720F">
      <w:pPr>
        <w:ind w:left="360"/>
        <w:rPr>
          <w:highlight w:val="white"/>
        </w:rPr>
      </w:pPr>
      <w:r w:rsidRPr="00A0720F">
        <w:rPr>
          <w:highlight w:val="white"/>
        </w:rPr>
        <w:t xml:space="preserve">Long, H.A., French, D.P. and Brooks, J.M., 2020. Optimising the value of the critical appraisal skills programme (CASP) tool for quality appraisal in qualitative evidence synthesis. </w:t>
      </w:r>
      <w:r w:rsidRPr="00A0720F">
        <w:rPr>
          <w:i/>
          <w:iCs/>
          <w:highlight w:val="white"/>
        </w:rPr>
        <w:t>Research Methods in Medicine &amp; Health Sciences</w:t>
      </w:r>
      <w:r w:rsidRPr="00A0720F">
        <w:rPr>
          <w:highlight w:val="white"/>
        </w:rPr>
        <w:t xml:space="preserve">, </w:t>
      </w:r>
      <w:r w:rsidRPr="00A0720F">
        <w:rPr>
          <w:i/>
          <w:iCs/>
          <w:highlight w:val="white"/>
        </w:rPr>
        <w:t>1</w:t>
      </w:r>
      <w:r w:rsidRPr="00A0720F">
        <w:rPr>
          <w:highlight w:val="white"/>
        </w:rPr>
        <w:t xml:space="preserve">(1), pp.31-42. </w:t>
      </w:r>
      <w:hyperlink r:id="rId73">
        <w:r w:rsidRPr="00A0720F">
          <w:rPr>
            <w:color w:val="000000"/>
            <w:u w:val="single"/>
          </w:rPr>
          <w:t>https://doi.org/10.1177/2632084320947559</w:t>
        </w:r>
      </w:hyperlink>
    </w:p>
    <w:p w14:paraId="5FC01FEE" w14:textId="77777777" w:rsidR="002E1828" w:rsidRPr="00A0720F" w:rsidRDefault="002E1828" w:rsidP="00A0720F">
      <w:pPr>
        <w:ind w:left="360"/>
        <w:rPr>
          <w:highlight w:val="white"/>
        </w:rPr>
      </w:pPr>
      <w:r w:rsidRPr="00A0720F">
        <w:rPr>
          <w:highlight w:val="white"/>
        </w:rPr>
        <w:t>Loukou, E., Jensen, N.F., Rohde, L. and Andersen, B., 2024. Damp buildings: associated fungi and how to find them. </w:t>
      </w:r>
      <w:r w:rsidRPr="00A0720F">
        <w:rPr>
          <w:i/>
          <w:iCs/>
          <w:highlight w:val="white"/>
        </w:rPr>
        <w:t>Journal of Fungi</w:t>
      </w:r>
      <w:r w:rsidRPr="00A0720F">
        <w:rPr>
          <w:highlight w:val="white"/>
        </w:rPr>
        <w:t>, </w:t>
      </w:r>
      <w:r w:rsidRPr="00A0720F">
        <w:rPr>
          <w:i/>
          <w:iCs/>
          <w:highlight w:val="white"/>
        </w:rPr>
        <w:t>10</w:t>
      </w:r>
      <w:r w:rsidRPr="00A0720F">
        <w:rPr>
          <w:highlight w:val="white"/>
        </w:rPr>
        <w:t>(2), p.108.</w:t>
      </w:r>
      <w:r>
        <w:t xml:space="preserve"> </w:t>
      </w:r>
      <w:hyperlink r:id="rId74">
        <w:r w:rsidRPr="00A0720F">
          <w:rPr>
            <w:color w:val="000000"/>
            <w:u w:val="single"/>
          </w:rPr>
          <w:t>https://doi.org/10.3390/jof10020108</w:t>
        </w:r>
      </w:hyperlink>
      <w:r>
        <w:t xml:space="preserve"> </w:t>
      </w:r>
    </w:p>
    <w:p w14:paraId="6895CC8B" w14:textId="77777777" w:rsidR="002E1828" w:rsidRDefault="002E1828" w:rsidP="00A0720F">
      <w:pPr>
        <w:ind w:left="360"/>
      </w:pPr>
      <w:r w:rsidRPr="00A0720F">
        <w:rPr>
          <w:highlight w:val="white"/>
        </w:rPr>
        <w:t xml:space="preserve">Mason, W.A., </w:t>
      </w:r>
      <w:proofErr w:type="spellStart"/>
      <w:r w:rsidRPr="00A0720F">
        <w:rPr>
          <w:highlight w:val="white"/>
        </w:rPr>
        <w:t>Cogua</w:t>
      </w:r>
      <w:proofErr w:type="spellEnd"/>
      <w:r w:rsidRPr="00A0720F">
        <w:rPr>
          <w:highlight w:val="white"/>
        </w:rPr>
        <w:t xml:space="preserve">-Lopez, J., Fleming, C.B. and Scheier, L.M., 2018. Challenges facing evidence-based prevention: incorporating an abductive theory of method. </w:t>
      </w:r>
      <w:r w:rsidRPr="00A0720F">
        <w:rPr>
          <w:i/>
          <w:iCs/>
          <w:highlight w:val="white"/>
        </w:rPr>
        <w:t>Evaluation &amp; the health professions</w:t>
      </w:r>
      <w:r w:rsidRPr="00A0720F">
        <w:rPr>
          <w:highlight w:val="white"/>
        </w:rPr>
        <w:t xml:space="preserve">, </w:t>
      </w:r>
      <w:r w:rsidRPr="00A0720F">
        <w:rPr>
          <w:i/>
          <w:iCs/>
          <w:highlight w:val="white"/>
        </w:rPr>
        <w:t>41</w:t>
      </w:r>
      <w:r w:rsidRPr="00A0720F">
        <w:rPr>
          <w:highlight w:val="white"/>
        </w:rPr>
        <w:t xml:space="preserve">(2), pp.155-182. </w:t>
      </w:r>
      <w:hyperlink r:id="rId75">
        <w:r w:rsidRPr="00A0720F">
          <w:rPr>
            <w:color w:val="000000"/>
            <w:u w:val="single"/>
          </w:rPr>
          <w:t>https://doi.org/10.1177/0163278718772879</w:t>
        </w:r>
      </w:hyperlink>
    </w:p>
    <w:p w14:paraId="55D4DD97" w14:textId="77777777" w:rsidR="002E1828" w:rsidRPr="00A0720F" w:rsidRDefault="002E1828" w:rsidP="00A0720F">
      <w:pPr>
        <w:ind w:left="360"/>
        <w:rPr>
          <w:highlight w:val="white"/>
        </w:rPr>
      </w:pPr>
      <w:r w:rsidRPr="00A0720F">
        <w:rPr>
          <w:highlight w:val="white"/>
        </w:rPr>
        <w:t>McClatchey, R., Ferraro, C.F., Turner, E., Harris, J. and Banks, J., 2024. Local government interventions for improving the health and wellbeing of tenants in private rented housing: developing initial program theory to inform evaluation in the United Kingdom. BMC Public Health, 24(1), p.2144.</w:t>
      </w:r>
      <w:r>
        <w:t xml:space="preserve"> </w:t>
      </w:r>
      <w:hyperlink r:id="rId76">
        <w:r w:rsidRPr="00A0720F">
          <w:rPr>
            <w:color w:val="000000"/>
            <w:u w:val="single"/>
          </w:rPr>
          <w:t>https://doi.org/10.1186/s12889-024-19163-9</w:t>
        </w:r>
      </w:hyperlink>
      <w:r>
        <w:t xml:space="preserve"> </w:t>
      </w:r>
    </w:p>
    <w:p w14:paraId="6245D5AD" w14:textId="77777777" w:rsidR="002E1828" w:rsidRDefault="002E1828" w:rsidP="00A0720F">
      <w:pPr>
        <w:ind w:left="360"/>
      </w:pPr>
      <w:r>
        <w:t>McGowan, V.J., Buckner, S., Mead, R., McGill, E., Ronzi, S., Beyer, F. and Bambra, C., 2021. Examining the effectiveness of place-based interventions to improve public health and reduce health inequalities: an umbrella review</w:t>
      </w:r>
      <w:r w:rsidRPr="000C644C">
        <w:rPr>
          <w:i/>
          <w:iCs/>
        </w:rPr>
        <w:t>. BMC public health, 21(1), p.1888.</w:t>
      </w:r>
      <w:r>
        <w:t xml:space="preserve"> </w:t>
      </w:r>
      <w:hyperlink r:id="rId77">
        <w:r w:rsidRPr="00A0720F">
          <w:rPr>
            <w:color w:val="000000"/>
            <w:u w:val="single"/>
          </w:rPr>
          <w:t>https://doi.org/10.1186/s12889-021-11852-z</w:t>
        </w:r>
      </w:hyperlink>
      <w:r>
        <w:t xml:space="preserve"> </w:t>
      </w:r>
    </w:p>
    <w:p w14:paraId="2C23364D" w14:textId="77777777" w:rsidR="002E1828" w:rsidRPr="00A0720F" w:rsidRDefault="002E1828" w:rsidP="00A0720F">
      <w:pPr>
        <w:ind w:left="360"/>
        <w:rPr>
          <w:b/>
          <w:bCs/>
        </w:rPr>
      </w:pPr>
      <w:r>
        <w:t xml:space="preserve">McHugh, N. and Macintyre, A., 2024. Social policy, social innovation and health: tackling health inequalities in the United Kingdom. In Handbook on Social Innovation and Social Policy (pp. 173-186). </w:t>
      </w:r>
      <w:r w:rsidRPr="000C644C">
        <w:rPr>
          <w:i/>
          <w:iCs/>
        </w:rPr>
        <w:t>Edward Elgar Publishing</w:t>
      </w:r>
      <w:r>
        <w:t xml:space="preserve">. </w:t>
      </w:r>
      <w:hyperlink r:id="rId78">
        <w:r w:rsidRPr="00A0720F">
          <w:rPr>
            <w:color w:val="000000"/>
            <w:u w:val="single"/>
          </w:rPr>
          <w:t>https://doi.org/10.4337/9781800887459.00020</w:t>
        </w:r>
      </w:hyperlink>
      <w:r>
        <w:t xml:space="preserve"> </w:t>
      </w:r>
    </w:p>
    <w:p w14:paraId="5DE6E364" w14:textId="77777777" w:rsidR="002E1828" w:rsidRPr="00A0720F" w:rsidRDefault="002E1828" w:rsidP="00A0720F">
      <w:pPr>
        <w:pBdr>
          <w:top w:val="nil"/>
          <w:left w:val="nil"/>
          <w:bottom w:val="nil"/>
          <w:right w:val="nil"/>
          <w:between w:val="nil"/>
        </w:pBdr>
        <w:spacing w:before="240"/>
        <w:ind w:left="360"/>
        <w:rPr>
          <w:color w:val="000000"/>
        </w:rPr>
      </w:pPr>
      <w:r w:rsidRPr="00A0720F">
        <w:rPr>
          <w:color w:val="000000"/>
        </w:rPr>
        <w:t>McKee, K. and Harris, J., 2025. The role of landlords in shaping private renters’ uneven experiences of home: towards a relational approach</w:t>
      </w:r>
      <w:r w:rsidRPr="000C644C">
        <w:rPr>
          <w:i/>
          <w:iCs/>
          <w:color w:val="000000"/>
        </w:rPr>
        <w:t>. International Journal of Housing Policy, 25(1), pp.101-118.</w:t>
      </w:r>
      <w:r w:rsidRPr="00A0720F">
        <w:rPr>
          <w:color w:val="000000"/>
        </w:rPr>
        <w:t xml:space="preserve"> </w:t>
      </w:r>
      <w:hyperlink r:id="rId79">
        <w:r w:rsidRPr="00A0720F">
          <w:rPr>
            <w:color w:val="000000"/>
            <w:u w:val="single"/>
          </w:rPr>
          <w:t>https://doi.org/10.1080/19491247.2023.2268349</w:t>
        </w:r>
      </w:hyperlink>
      <w:r w:rsidRPr="00A0720F">
        <w:rPr>
          <w:color w:val="000000"/>
        </w:rPr>
        <w:t xml:space="preserve"> </w:t>
      </w:r>
    </w:p>
    <w:p w14:paraId="7DAE4EBD" w14:textId="77777777" w:rsidR="002E1828" w:rsidRDefault="002E1828" w:rsidP="00A0720F">
      <w:pPr>
        <w:ind w:left="360"/>
      </w:pPr>
      <w:proofErr w:type="spellStart"/>
      <w:r w:rsidRPr="00784144">
        <w:t>Meghji</w:t>
      </w:r>
      <w:proofErr w:type="spellEnd"/>
      <w:r w:rsidRPr="00784144">
        <w:t>, J., Mortimer, K., Agusti, A., Allwood, B.W., Asher, I., Bateman, E.D., Bissell, K., Bolton, C.E., Bush, A., Celli, B., Chiang, C.-Y., Cruz, A.A., Dinh</w:t>
      </w:r>
      <w:r w:rsidRPr="00784144">
        <w:noBreakHyphen/>
        <w:t>Xuan, A.-T., El Sony, A., Fong, K.M., Fujiwara, P.I., Gaga, M., Garcia</w:t>
      </w:r>
      <w:r w:rsidRPr="00784144">
        <w:noBreakHyphen/>
        <w:t>Marcos, L., Halpin, D.M.G., Hurst, J.R., Jayasooriya, S., Kumar, A., Lopez</w:t>
      </w:r>
      <w:r w:rsidRPr="00784144">
        <w:noBreakHyphen/>
        <w:t xml:space="preserve">Varela, M.V., Masekela, R., </w:t>
      </w:r>
      <w:proofErr w:type="spellStart"/>
      <w:r w:rsidRPr="00784144">
        <w:t>Mbatchou</w:t>
      </w:r>
      <w:proofErr w:type="spellEnd"/>
      <w:r w:rsidRPr="00784144">
        <w:t xml:space="preserve"> Ngahane, B.H., Montes de Oca, M., Pearce, N., Reddel, H.K., Salvi, S., Singh, S.J., Varghese, C., </w:t>
      </w:r>
      <w:proofErr w:type="spellStart"/>
      <w:r w:rsidRPr="00784144">
        <w:t>Vogelmeier</w:t>
      </w:r>
      <w:proofErr w:type="spellEnd"/>
      <w:r w:rsidRPr="00784144">
        <w:t>, C.F., Walker, P., Zar, H.J. &amp; Marks, G.B. (2021). Improving</w:t>
      </w:r>
      <w:r>
        <w:t xml:space="preserve"> lung health in low-income and middle-income countries: from challenges to solutions. </w:t>
      </w:r>
      <w:r w:rsidRPr="00A0720F">
        <w:rPr>
          <w:i/>
          <w:iCs/>
        </w:rPr>
        <w:t>The Lancet</w:t>
      </w:r>
      <w:r>
        <w:t>, </w:t>
      </w:r>
      <w:r w:rsidRPr="00A0720F">
        <w:rPr>
          <w:i/>
          <w:iCs/>
        </w:rPr>
        <w:t>397</w:t>
      </w:r>
      <w:r>
        <w:t xml:space="preserve">(10277), pp.928-940. </w:t>
      </w:r>
      <w:hyperlink r:id="rId80">
        <w:r w:rsidRPr="00A0720F">
          <w:rPr>
            <w:color w:val="000000"/>
            <w:u w:val="single"/>
          </w:rPr>
          <w:t>https://doi.org/10.1016/S0140-6736(21)00458-X</w:t>
        </w:r>
      </w:hyperlink>
    </w:p>
    <w:p w14:paraId="230F9994" w14:textId="77777777" w:rsidR="002E1828" w:rsidRDefault="002E1828" w:rsidP="00A0720F">
      <w:pPr>
        <w:ind w:left="360"/>
      </w:pPr>
      <w:r w:rsidRPr="00A0720F">
        <w:rPr>
          <w:highlight w:val="white"/>
        </w:rPr>
        <w:t xml:space="preserve">Meline, T., 2006. Selecting studies for systemic review: Inclusion and exclusion criteria. </w:t>
      </w:r>
      <w:r w:rsidRPr="00A0720F">
        <w:rPr>
          <w:i/>
          <w:iCs/>
          <w:highlight w:val="white"/>
        </w:rPr>
        <w:t>Contemporary issues in communication science and disorders</w:t>
      </w:r>
      <w:r w:rsidRPr="00A0720F">
        <w:rPr>
          <w:highlight w:val="white"/>
        </w:rPr>
        <w:t xml:space="preserve">, </w:t>
      </w:r>
      <w:r w:rsidRPr="00A0720F">
        <w:rPr>
          <w:i/>
          <w:iCs/>
          <w:highlight w:val="white"/>
        </w:rPr>
        <w:t>33</w:t>
      </w:r>
      <w:r w:rsidRPr="00A0720F">
        <w:rPr>
          <w:highlight w:val="white"/>
        </w:rPr>
        <w:t xml:space="preserve">(Spring), pp.21-27. </w:t>
      </w:r>
      <w:hyperlink r:id="rId81">
        <w:r w:rsidRPr="00A0720F">
          <w:rPr>
            <w:color w:val="000000"/>
            <w:u w:val="single"/>
          </w:rPr>
          <w:t>https://doi.org/10.1044/cicsd_33_S_21</w:t>
        </w:r>
      </w:hyperlink>
    </w:p>
    <w:p w14:paraId="2883926B" w14:textId="77777777" w:rsidR="002E1828" w:rsidRDefault="002E1828" w:rsidP="00A0720F">
      <w:pPr>
        <w:ind w:left="360"/>
      </w:pPr>
      <w:r>
        <w:t xml:space="preserve">Miller, R., Glasby, J. and Dickinson, H., 2021. Integrated health and social care in England: ten years on. </w:t>
      </w:r>
      <w:r w:rsidRPr="00784144">
        <w:rPr>
          <w:i/>
          <w:iCs/>
        </w:rPr>
        <w:t>International journal of integrated care, 21(4), p.6.</w:t>
      </w:r>
      <w:r>
        <w:t xml:space="preserve"> </w:t>
      </w:r>
      <w:hyperlink r:id="rId82">
        <w:r w:rsidRPr="00A0720F">
          <w:rPr>
            <w:color w:val="000000"/>
            <w:u w:val="single"/>
          </w:rPr>
          <w:t>https://doi.org/10.5334/ijic.5666</w:t>
        </w:r>
      </w:hyperlink>
      <w:r>
        <w:t xml:space="preserve"> </w:t>
      </w:r>
    </w:p>
    <w:p w14:paraId="5A94C991" w14:textId="77777777" w:rsidR="002E1828" w:rsidRDefault="002E1828" w:rsidP="00A0720F">
      <w:pPr>
        <w:ind w:left="360"/>
      </w:pPr>
      <w:proofErr w:type="spellStart"/>
      <w:r w:rsidRPr="00A0720F">
        <w:rPr>
          <w:highlight w:val="white"/>
        </w:rPr>
        <w:t>Mocelin</w:t>
      </w:r>
      <w:proofErr w:type="spellEnd"/>
      <w:r w:rsidRPr="00A0720F">
        <w:rPr>
          <w:highlight w:val="white"/>
        </w:rPr>
        <w:t xml:space="preserve">, H.T., Fischer, G.B. and Bush, A., 2022. Adverse early-life environmental exposures and their repercussions on adult respiratory health. </w:t>
      </w:r>
      <w:r w:rsidRPr="00A0720F">
        <w:rPr>
          <w:i/>
          <w:iCs/>
          <w:highlight w:val="white"/>
        </w:rPr>
        <w:t xml:space="preserve">Jornal de </w:t>
      </w:r>
      <w:proofErr w:type="spellStart"/>
      <w:r w:rsidRPr="00A0720F">
        <w:rPr>
          <w:i/>
          <w:iCs/>
          <w:highlight w:val="white"/>
        </w:rPr>
        <w:t>Pediatria</w:t>
      </w:r>
      <w:proofErr w:type="spellEnd"/>
      <w:r w:rsidRPr="00A0720F">
        <w:rPr>
          <w:highlight w:val="white"/>
        </w:rPr>
        <w:t xml:space="preserve">, </w:t>
      </w:r>
      <w:r w:rsidRPr="00A0720F">
        <w:rPr>
          <w:i/>
          <w:iCs/>
          <w:highlight w:val="white"/>
        </w:rPr>
        <w:t>98</w:t>
      </w:r>
      <w:r w:rsidRPr="00A0720F">
        <w:rPr>
          <w:highlight w:val="white"/>
        </w:rPr>
        <w:t xml:space="preserve">, </w:t>
      </w:r>
      <w:proofErr w:type="gramStart"/>
      <w:r w:rsidRPr="00A0720F">
        <w:rPr>
          <w:highlight w:val="white"/>
        </w:rPr>
        <w:t>pp.S</w:t>
      </w:r>
      <w:proofErr w:type="gramEnd"/>
      <w:r w:rsidRPr="00A0720F">
        <w:rPr>
          <w:highlight w:val="white"/>
        </w:rPr>
        <w:t>86-S95.</w:t>
      </w:r>
      <w:r>
        <w:t xml:space="preserve"> </w:t>
      </w:r>
      <w:hyperlink r:id="rId83">
        <w:r w:rsidRPr="00A0720F">
          <w:rPr>
            <w:color w:val="000000"/>
            <w:u w:val="single"/>
          </w:rPr>
          <w:t>https://doi.org/10.1016/j.jped.2021.11.005</w:t>
        </w:r>
      </w:hyperlink>
      <w:r>
        <w:t xml:space="preserve"> </w:t>
      </w:r>
    </w:p>
    <w:p w14:paraId="1905B072" w14:textId="77777777" w:rsidR="002E1828" w:rsidRDefault="002E1828" w:rsidP="00A0720F">
      <w:pPr>
        <w:ind w:left="360"/>
      </w:pPr>
      <w:r w:rsidRPr="00A0720F">
        <w:rPr>
          <w:highlight w:val="white"/>
        </w:rPr>
        <w:t xml:space="preserve">Morrison, A., </w:t>
      </w:r>
      <w:proofErr w:type="spellStart"/>
      <w:r w:rsidRPr="00A0720F">
        <w:rPr>
          <w:highlight w:val="white"/>
        </w:rPr>
        <w:t>Polisena</w:t>
      </w:r>
      <w:proofErr w:type="spellEnd"/>
      <w:r w:rsidRPr="00A0720F">
        <w:rPr>
          <w:highlight w:val="white"/>
        </w:rPr>
        <w:t xml:space="preserve">, J., Husereau, D., Moulton, K., Clark, M., Fiander, M., Mierzwinski-Urban, M., Clifford, T., Hutton, B. and Rabb, D., 2012. The effect of English-language restriction on systematic review-based meta-analyses: a systematic review of empirical studies. </w:t>
      </w:r>
      <w:r w:rsidRPr="00A0720F">
        <w:rPr>
          <w:i/>
          <w:iCs/>
          <w:highlight w:val="white"/>
        </w:rPr>
        <w:t>International journal of technology assessment in health care</w:t>
      </w:r>
      <w:r w:rsidRPr="00A0720F">
        <w:rPr>
          <w:highlight w:val="white"/>
        </w:rPr>
        <w:t xml:space="preserve">, </w:t>
      </w:r>
      <w:r w:rsidRPr="00A0720F">
        <w:rPr>
          <w:i/>
          <w:iCs/>
          <w:highlight w:val="white"/>
        </w:rPr>
        <w:t>28</w:t>
      </w:r>
      <w:r w:rsidRPr="00A0720F">
        <w:rPr>
          <w:highlight w:val="white"/>
        </w:rPr>
        <w:t xml:space="preserve">(2), pp.138-144. </w:t>
      </w:r>
      <w:hyperlink r:id="rId84">
        <w:r w:rsidRPr="00A0720F">
          <w:rPr>
            <w:color w:val="000000"/>
            <w:u w:val="single"/>
          </w:rPr>
          <w:t>https://doi.org/10.1017/S0266462312000086</w:t>
        </w:r>
      </w:hyperlink>
    </w:p>
    <w:p w14:paraId="0A4EC70E" w14:textId="1C6B2D43" w:rsidR="002E1828" w:rsidRDefault="002E1828" w:rsidP="00A0720F">
      <w:pPr>
        <w:ind w:left="360"/>
      </w:pPr>
      <w:r>
        <w:t xml:space="preserve">National Centre for Social Research, 2025. How poor-quality housing is harming millions of older adults. Available at: </w:t>
      </w:r>
      <w:hyperlink r:id="rId85" w:history="1">
        <w:r w:rsidRPr="005E2B19">
          <w:rPr>
            <w:rStyle w:val="Hyperlink"/>
          </w:rPr>
          <w:t>https://natcen.ac.uk/publications/how-poor-quality-housing-harming-millions-older-adults</w:t>
        </w:r>
      </w:hyperlink>
    </w:p>
    <w:p w14:paraId="0B371C10" w14:textId="56B41252" w:rsidR="002E1828" w:rsidRDefault="002E1828" w:rsidP="00A0720F">
      <w:pPr>
        <w:ind w:left="360"/>
      </w:pPr>
      <w:proofErr w:type="spellStart"/>
      <w:r w:rsidRPr="00D82436">
        <w:t>Omebeyinje</w:t>
      </w:r>
      <w:proofErr w:type="spellEnd"/>
      <w:r w:rsidRPr="00D82436">
        <w:t xml:space="preserve">, M.H., Adeluyi, A., Mitra, C., Chakraborty, P., Gandee, G.M., Patel, N., Verghese, B., Farrance, C.E., Hull, M., Basu, P., Lee, K., Adhikari, A., Adivar, B., Horney, J.A. &amp; Chanda, A. (2021) ‘Increased prevalence of indoor </w:t>
      </w:r>
      <w:r w:rsidRPr="00D82436">
        <w:rPr>
          <w:i/>
          <w:iCs/>
        </w:rPr>
        <w:t>Aspergillus</w:t>
      </w:r>
      <w:r w:rsidRPr="00D82436">
        <w:t xml:space="preserve"> and </w:t>
      </w:r>
      <w:r w:rsidRPr="00D82436">
        <w:rPr>
          <w:i/>
          <w:iCs/>
        </w:rPr>
        <w:t>Penicillium</w:t>
      </w:r>
      <w:r w:rsidRPr="00D82436">
        <w:t xml:space="preserve"> species is associated with indoor flooding and coastal proximity: a case study of 28 </w:t>
      </w:r>
      <w:proofErr w:type="spellStart"/>
      <w:r w:rsidRPr="00D82436">
        <w:t>moldy</w:t>
      </w:r>
      <w:proofErr w:type="spellEnd"/>
      <w:r w:rsidRPr="00D82436">
        <w:t xml:space="preserve"> buildings’, </w:t>
      </w:r>
      <w:r w:rsidRPr="00D82436">
        <w:rPr>
          <w:i/>
          <w:iCs/>
        </w:rPr>
        <w:t>Environmental Science: Processes &amp; Impacts</w:t>
      </w:r>
      <w:r w:rsidRPr="00D82436">
        <w:t xml:space="preserve">, 23(11), pp. 1681–1687. Available at: </w:t>
      </w:r>
      <w:hyperlink r:id="rId86" w:history="1">
        <w:r w:rsidRPr="00F60394">
          <w:rPr>
            <w:rStyle w:val="Hyperlink"/>
          </w:rPr>
          <w:t>https://doi.org/10.1039/D1EM00202C</w:t>
        </w:r>
      </w:hyperlink>
    </w:p>
    <w:p w14:paraId="5C3C3939" w14:textId="77777777" w:rsidR="002E1828" w:rsidRDefault="002E1828" w:rsidP="00A0720F">
      <w:pPr>
        <w:ind w:left="360"/>
      </w:pPr>
      <w:r w:rsidRPr="00A0720F">
        <w:rPr>
          <w:highlight w:val="white"/>
        </w:rPr>
        <w:t xml:space="preserve">Paez, A., 2017. Gray literature: An important resource in systematic reviews. </w:t>
      </w:r>
      <w:r w:rsidRPr="00A0720F">
        <w:rPr>
          <w:i/>
          <w:iCs/>
          <w:highlight w:val="white"/>
        </w:rPr>
        <w:t>Journal of Evidence</w:t>
      </w:r>
      <w:r w:rsidRPr="00A0720F">
        <w:rPr>
          <w:rFonts w:ascii="Cambria Math" w:eastAsia="Cambria Math" w:hAnsi="Cambria Math" w:cs="Cambria Math"/>
          <w:i/>
          <w:iCs/>
          <w:highlight w:val="white"/>
        </w:rPr>
        <w:t>‐</w:t>
      </w:r>
      <w:r w:rsidRPr="00A0720F">
        <w:rPr>
          <w:i/>
          <w:iCs/>
          <w:highlight w:val="white"/>
        </w:rPr>
        <w:t>Based Medicine</w:t>
      </w:r>
      <w:r w:rsidRPr="00A0720F">
        <w:rPr>
          <w:highlight w:val="white"/>
        </w:rPr>
        <w:t xml:space="preserve">, </w:t>
      </w:r>
      <w:r w:rsidRPr="00A0720F">
        <w:rPr>
          <w:i/>
          <w:iCs/>
          <w:highlight w:val="white"/>
        </w:rPr>
        <w:t>10</w:t>
      </w:r>
      <w:r w:rsidRPr="00A0720F">
        <w:rPr>
          <w:highlight w:val="white"/>
        </w:rPr>
        <w:t xml:space="preserve">(3), pp.233-240. </w:t>
      </w:r>
      <w:hyperlink r:id="rId87">
        <w:r w:rsidRPr="00A0720F">
          <w:rPr>
            <w:color w:val="000000"/>
            <w:u w:val="single"/>
          </w:rPr>
          <w:t>https://doi.org/10.1111/jebm.12266</w:t>
        </w:r>
      </w:hyperlink>
    </w:p>
    <w:p w14:paraId="0D6C2E61" w14:textId="77777777" w:rsidR="002E1828" w:rsidRPr="00A0720F" w:rsidRDefault="002E1828" w:rsidP="00A0720F">
      <w:pPr>
        <w:pBdr>
          <w:top w:val="nil"/>
          <w:left w:val="nil"/>
          <w:bottom w:val="nil"/>
          <w:right w:val="nil"/>
          <w:between w:val="nil"/>
        </w:pBdr>
        <w:spacing w:before="240" w:after="240"/>
        <w:ind w:left="360"/>
        <w:rPr>
          <w:color w:val="000000"/>
          <w:highlight w:val="white"/>
        </w:rPr>
      </w:pPr>
      <w:r w:rsidRPr="00A0720F">
        <w:rPr>
          <w:color w:val="000000"/>
          <w:highlight w:val="white"/>
        </w:rPr>
        <w:t xml:space="preserve">Pandey, C.S., Mishra, P., Pandey, S.R., Singh, R.D. and Pandey, S., 2025. Research paradigms: a systematic literature review of methodological shifts and interdisciplinary approaches in research. </w:t>
      </w:r>
      <w:r w:rsidRPr="00A0720F">
        <w:rPr>
          <w:i/>
          <w:iCs/>
          <w:color w:val="000000"/>
          <w:highlight w:val="white"/>
        </w:rPr>
        <w:t>Quality &amp; Quantity</w:t>
      </w:r>
      <w:r w:rsidRPr="00A0720F">
        <w:rPr>
          <w:color w:val="000000"/>
          <w:highlight w:val="white"/>
        </w:rPr>
        <w:t xml:space="preserve">, pp.1-29. </w:t>
      </w:r>
      <w:hyperlink r:id="rId88">
        <w:r w:rsidRPr="00A0720F">
          <w:rPr>
            <w:color w:val="000000"/>
            <w:highlight w:val="white"/>
            <w:u w:val="single"/>
          </w:rPr>
          <w:t>https://doi.org/10.1007/s11135-025-02359-5</w:t>
        </w:r>
      </w:hyperlink>
    </w:p>
    <w:p w14:paraId="0A3BFD95" w14:textId="77777777" w:rsidR="002E1828" w:rsidRDefault="002E1828" w:rsidP="00A0720F">
      <w:pPr>
        <w:ind w:left="360"/>
      </w:pPr>
      <w:r w:rsidRPr="00A0720F">
        <w:rPr>
          <w:highlight w:val="white"/>
        </w:rPr>
        <w:t xml:space="preserve">Peloquin, D., DiMaio, M., Bierer, B. and Barnes, M., 2020. Disruptive and avoidable: GDPR challenges to secondary research uses of data. </w:t>
      </w:r>
      <w:r w:rsidRPr="00A0720F">
        <w:rPr>
          <w:i/>
          <w:iCs/>
          <w:highlight w:val="white"/>
        </w:rPr>
        <w:t>European Journal of Human Genetics</w:t>
      </w:r>
      <w:r w:rsidRPr="00A0720F">
        <w:rPr>
          <w:highlight w:val="white"/>
        </w:rPr>
        <w:t xml:space="preserve">, </w:t>
      </w:r>
      <w:r w:rsidRPr="00A0720F">
        <w:rPr>
          <w:i/>
          <w:iCs/>
          <w:highlight w:val="white"/>
        </w:rPr>
        <w:t>28</w:t>
      </w:r>
      <w:r w:rsidRPr="00A0720F">
        <w:rPr>
          <w:highlight w:val="white"/>
        </w:rPr>
        <w:t>(6), pp.697-705.</w:t>
      </w:r>
      <w:r>
        <w:t xml:space="preserve"> </w:t>
      </w:r>
      <w:hyperlink r:id="rId89">
        <w:r w:rsidRPr="00A0720F">
          <w:rPr>
            <w:color w:val="000000"/>
            <w:u w:val="single"/>
          </w:rPr>
          <w:t>https://doi.org/10.1038/s41431-020-0596-x</w:t>
        </w:r>
      </w:hyperlink>
    </w:p>
    <w:p w14:paraId="3A7BF567" w14:textId="77777777" w:rsidR="002E1828" w:rsidRPr="00A0720F" w:rsidRDefault="002E1828" w:rsidP="00A0720F">
      <w:pPr>
        <w:pBdr>
          <w:top w:val="nil"/>
          <w:left w:val="nil"/>
          <w:bottom w:val="nil"/>
          <w:right w:val="nil"/>
          <w:between w:val="nil"/>
        </w:pBdr>
        <w:spacing w:before="240" w:after="240"/>
        <w:ind w:left="360"/>
        <w:rPr>
          <w:color w:val="000000"/>
          <w:highlight w:val="white"/>
        </w:rPr>
      </w:pPr>
      <w:r w:rsidRPr="00A0720F">
        <w:rPr>
          <w:color w:val="000000"/>
          <w:highlight w:val="white"/>
        </w:rPr>
        <w:t xml:space="preserve">Pervin, N. and Mokhtar, M., 2022. The interpretivist research paradigm: A subjective notion of a social context. </w:t>
      </w:r>
      <w:r w:rsidRPr="00A0720F">
        <w:rPr>
          <w:i/>
          <w:iCs/>
          <w:color w:val="000000"/>
          <w:highlight w:val="white"/>
        </w:rPr>
        <w:t>International Journal of Academic Research in Progressive Education and Development</w:t>
      </w:r>
      <w:r w:rsidRPr="00A0720F">
        <w:rPr>
          <w:color w:val="000000"/>
          <w:highlight w:val="white"/>
        </w:rPr>
        <w:t xml:space="preserve">, </w:t>
      </w:r>
      <w:r w:rsidRPr="00A0720F">
        <w:rPr>
          <w:i/>
          <w:iCs/>
          <w:color w:val="000000"/>
          <w:highlight w:val="white"/>
        </w:rPr>
        <w:t>11</w:t>
      </w:r>
      <w:r w:rsidRPr="00A0720F">
        <w:rPr>
          <w:color w:val="000000"/>
          <w:highlight w:val="white"/>
        </w:rPr>
        <w:t xml:space="preserve">(2), pp.419-428. </w:t>
      </w:r>
      <w:hyperlink r:id="rId90">
        <w:r w:rsidRPr="00A0720F">
          <w:rPr>
            <w:color w:val="000000"/>
            <w:highlight w:val="white"/>
            <w:u w:val="single"/>
          </w:rPr>
          <w:t>https://doi.org/10.6007/IJARPED/v11-i2/12938</w:t>
        </w:r>
      </w:hyperlink>
    </w:p>
    <w:p w14:paraId="408233B4" w14:textId="77777777" w:rsidR="002E1828" w:rsidRPr="00A0720F" w:rsidRDefault="002E1828" w:rsidP="00A0720F">
      <w:pPr>
        <w:pBdr>
          <w:top w:val="nil"/>
          <w:left w:val="nil"/>
          <w:bottom w:val="nil"/>
          <w:right w:val="nil"/>
          <w:between w:val="nil"/>
        </w:pBdr>
        <w:spacing w:before="240"/>
        <w:ind w:left="360"/>
        <w:rPr>
          <w:color w:val="000000"/>
        </w:rPr>
      </w:pPr>
      <w:r w:rsidRPr="00A0720F">
        <w:rPr>
          <w:color w:val="000000"/>
        </w:rPr>
        <w:t xml:space="preserve">Phillips, O.R., Mardell, D., Stephenson, K., Hussain, S., Burton, D., Bernard, B., Stevenson, S. and Morling, J.R., 2024. Bringing the voice of social housing tenants into shaping the health and care research agenda. </w:t>
      </w:r>
      <w:r w:rsidRPr="00D82436">
        <w:rPr>
          <w:i/>
          <w:iCs/>
          <w:color w:val="000000"/>
        </w:rPr>
        <w:t>Research Involvement and Engagement, 10(1), p.85.</w:t>
      </w:r>
      <w:r w:rsidRPr="00A0720F">
        <w:rPr>
          <w:color w:val="000000"/>
        </w:rPr>
        <w:t xml:space="preserve"> </w:t>
      </w:r>
      <w:hyperlink r:id="rId91">
        <w:r w:rsidRPr="00A0720F">
          <w:rPr>
            <w:color w:val="000000"/>
            <w:u w:val="single"/>
          </w:rPr>
          <w:t>https://doi.org/10.1186/s40900-024-00613-y</w:t>
        </w:r>
      </w:hyperlink>
      <w:r w:rsidRPr="00A0720F">
        <w:rPr>
          <w:color w:val="000000"/>
        </w:rPr>
        <w:t xml:space="preserve"> </w:t>
      </w:r>
    </w:p>
    <w:p w14:paraId="5E065E93" w14:textId="77777777" w:rsidR="002E1828" w:rsidRPr="00A0720F" w:rsidRDefault="002E1828" w:rsidP="00A0720F">
      <w:pPr>
        <w:ind w:left="360"/>
        <w:rPr>
          <w:highlight w:val="white"/>
        </w:rPr>
      </w:pPr>
      <w:r w:rsidRPr="00A0720F">
        <w:rPr>
          <w:highlight w:val="white"/>
        </w:rPr>
        <w:t xml:space="preserve">Prisma Statement, (2020). PRISMA flow diagram. Available at: </w:t>
      </w:r>
      <w:hyperlink r:id="rId92">
        <w:r w:rsidRPr="00A0720F">
          <w:rPr>
            <w:highlight w:val="white"/>
            <w:u w:val="single"/>
          </w:rPr>
          <w:t>https://www.prisma-statement.org/prisma-2020-flow-diagram</w:t>
        </w:r>
      </w:hyperlink>
      <w:r w:rsidRPr="00A0720F">
        <w:rPr>
          <w:highlight w:val="white"/>
        </w:rPr>
        <w:t xml:space="preserve"> (Accessed: November 24, 2025).</w:t>
      </w:r>
    </w:p>
    <w:p w14:paraId="3567139B" w14:textId="77777777" w:rsidR="002E1828" w:rsidRPr="00A0720F" w:rsidRDefault="002E1828" w:rsidP="00A0720F">
      <w:pPr>
        <w:pBdr>
          <w:top w:val="nil"/>
          <w:left w:val="nil"/>
          <w:bottom w:val="nil"/>
          <w:right w:val="nil"/>
          <w:between w:val="nil"/>
        </w:pBdr>
        <w:spacing w:before="240" w:after="240"/>
        <w:ind w:left="360"/>
        <w:rPr>
          <w:color w:val="000000"/>
          <w:highlight w:val="white"/>
        </w:rPr>
      </w:pPr>
      <w:r w:rsidRPr="00A0720F">
        <w:rPr>
          <w:color w:val="000000"/>
          <w:highlight w:val="white"/>
        </w:rPr>
        <w:t xml:space="preserve">Ralph, P. and Baltes, S., 2022, November. Paving the way for mature secondary research: the seven types of literature review. In </w:t>
      </w:r>
      <w:r w:rsidRPr="00A0720F">
        <w:rPr>
          <w:i/>
          <w:iCs/>
          <w:color w:val="000000"/>
          <w:highlight w:val="white"/>
        </w:rPr>
        <w:t>Proceedings of the 30th ACM Joint European Software Engineering Conference and Symposium on the Foundations of Software Engineering</w:t>
      </w:r>
      <w:r w:rsidRPr="00A0720F">
        <w:rPr>
          <w:color w:val="000000"/>
          <w:highlight w:val="white"/>
        </w:rPr>
        <w:t xml:space="preserve"> (pp. 1632-1636). </w:t>
      </w:r>
      <w:hyperlink r:id="rId93">
        <w:r w:rsidRPr="00A0720F">
          <w:rPr>
            <w:color w:val="000000"/>
            <w:highlight w:val="white"/>
            <w:u w:val="single"/>
          </w:rPr>
          <w:t>https://doi.org/10.1145/3540250.3560877</w:t>
        </w:r>
      </w:hyperlink>
    </w:p>
    <w:p w14:paraId="4E67F1DB" w14:textId="77777777" w:rsidR="002E1828" w:rsidRDefault="002E1828" w:rsidP="00A0720F">
      <w:pPr>
        <w:ind w:left="360"/>
      </w:pPr>
      <w:r>
        <w:t>Ray, R., Lantz, P.M. and Williams, D., 2023. Upstream policy changes to improve population health and health equity: a priority agenda. </w:t>
      </w:r>
      <w:r w:rsidRPr="00A0720F">
        <w:rPr>
          <w:i/>
          <w:iCs/>
        </w:rPr>
        <w:t>The Milbank Quarterly</w:t>
      </w:r>
      <w:r>
        <w:t>, </w:t>
      </w:r>
      <w:r w:rsidRPr="00A0720F">
        <w:rPr>
          <w:i/>
          <w:iCs/>
        </w:rPr>
        <w:t>101</w:t>
      </w:r>
      <w:r>
        <w:t>(</w:t>
      </w:r>
      <w:proofErr w:type="spellStart"/>
      <w:r>
        <w:t>Suppl</w:t>
      </w:r>
      <w:proofErr w:type="spellEnd"/>
      <w:r>
        <w:t xml:space="preserve"> 1), p.20. </w:t>
      </w:r>
      <w:hyperlink r:id="rId94">
        <w:r w:rsidRPr="00A0720F">
          <w:rPr>
            <w:color w:val="000000"/>
            <w:u w:val="single"/>
          </w:rPr>
          <w:t>https://doi.org/10.1111/1468-0009.12640</w:t>
        </w:r>
      </w:hyperlink>
    </w:p>
    <w:p w14:paraId="04B64284" w14:textId="77777777" w:rsidR="002E1828" w:rsidRDefault="002E1828" w:rsidP="00A0720F">
      <w:pPr>
        <w:ind w:left="360"/>
      </w:pPr>
      <w:r>
        <w:t xml:space="preserve">Reed, S., Oung, C., Davies, J., Dayan, M. and Scobie, S., 2021. Integrating health and social care. </w:t>
      </w:r>
      <w:r w:rsidRPr="00D82436">
        <w:rPr>
          <w:i/>
          <w:iCs/>
        </w:rPr>
        <w:t>Nuffield Trust: London, UK</w:t>
      </w:r>
      <w:r>
        <w:t xml:space="preserve">. </w:t>
      </w:r>
      <w:proofErr w:type="spellStart"/>
      <w:r>
        <w:t>doi</w:t>
      </w:r>
      <w:proofErr w:type="spellEnd"/>
      <w:r>
        <w:t xml:space="preserve">: </w:t>
      </w:r>
      <w:hyperlink r:id="rId95">
        <w:r w:rsidRPr="00A0720F">
          <w:rPr>
            <w:color w:val="000000"/>
            <w:u w:val="single"/>
          </w:rPr>
          <w:t>https://doi.org/10.3399/bjgp18X695465</w:t>
        </w:r>
      </w:hyperlink>
      <w:r>
        <w:t xml:space="preserve">. </w:t>
      </w:r>
    </w:p>
    <w:p w14:paraId="5F228144" w14:textId="77777777" w:rsidR="002E1828" w:rsidRPr="00A0720F" w:rsidRDefault="002E1828" w:rsidP="00A0720F">
      <w:pPr>
        <w:ind w:left="360"/>
        <w:rPr>
          <w:highlight w:val="white"/>
        </w:rPr>
      </w:pPr>
      <w:r w:rsidRPr="00A0720F">
        <w:rPr>
          <w:highlight w:val="white"/>
        </w:rPr>
        <w:t>Robb, K., Marcoux, A. and de Jong, J., 2021. Further inspection: integrating housing code enforcement and social services to improve community health. </w:t>
      </w:r>
      <w:r w:rsidRPr="00A0720F">
        <w:rPr>
          <w:i/>
          <w:iCs/>
          <w:highlight w:val="white"/>
        </w:rPr>
        <w:t>International Journal of Environmental Research and Public Health</w:t>
      </w:r>
      <w:r w:rsidRPr="00A0720F">
        <w:rPr>
          <w:highlight w:val="white"/>
        </w:rPr>
        <w:t>, </w:t>
      </w:r>
      <w:r w:rsidRPr="00A0720F">
        <w:rPr>
          <w:i/>
          <w:iCs/>
          <w:highlight w:val="white"/>
        </w:rPr>
        <w:t>18</w:t>
      </w:r>
      <w:r w:rsidRPr="00A0720F">
        <w:rPr>
          <w:highlight w:val="white"/>
        </w:rPr>
        <w:t>(22), p.12014.</w:t>
      </w:r>
      <w:r>
        <w:t xml:space="preserve"> </w:t>
      </w:r>
      <w:hyperlink r:id="rId96">
        <w:r w:rsidRPr="00A0720F">
          <w:rPr>
            <w:color w:val="000000"/>
            <w:u w:val="single"/>
          </w:rPr>
          <w:t>https://doi.org/10.3390/ijerph182212014</w:t>
        </w:r>
      </w:hyperlink>
      <w:r>
        <w:t xml:space="preserve"> </w:t>
      </w:r>
    </w:p>
    <w:p w14:paraId="49C5FA33" w14:textId="77777777" w:rsidR="002E1828" w:rsidRDefault="002E1828" w:rsidP="00A0720F">
      <w:pPr>
        <w:ind w:left="360"/>
      </w:pPr>
      <w:r w:rsidRPr="00A0720F">
        <w:rPr>
          <w:highlight w:val="white"/>
        </w:rPr>
        <w:t xml:space="preserve">Sarkis-Onofre, R., Catalá-López, F., </w:t>
      </w:r>
      <w:proofErr w:type="spellStart"/>
      <w:r w:rsidRPr="00A0720F">
        <w:rPr>
          <w:highlight w:val="white"/>
        </w:rPr>
        <w:t>Aromataris</w:t>
      </w:r>
      <w:proofErr w:type="spellEnd"/>
      <w:r w:rsidRPr="00A0720F">
        <w:rPr>
          <w:highlight w:val="white"/>
        </w:rPr>
        <w:t xml:space="preserve">, E. and Lockwood, C., 2021. How to properly use the PRISMA Statement. </w:t>
      </w:r>
      <w:r w:rsidRPr="00A0720F">
        <w:rPr>
          <w:i/>
          <w:iCs/>
          <w:highlight w:val="white"/>
        </w:rPr>
        <w:t>Systematic reviews</w:t>
      </w:r>
      <w:r w:rsidRPr="00A0720F">
        <w:rPr>
          <w:highlight w:val="white"/>
        </w:rPr>
        <w:t xml:space="preserve">, </w:t>
      </w:r>
      <w:r w:rsidRPr="00A0720F">
        <w:rPr>
          <w:i/>
          <w:iCs/>
          <w:highlight w:val="white"/>
        </w:rPr>
        <w:t>10</w:t>
      </w:r>
      <w:r w:rsidRPr="00A0720F">
        <w:rPr>
          <w:highlight w:val="white"/>
        </w:rPr>
        <w:t xml:space="preserve">(1), p.117. </w:t>
      </w:r>
      <w:hyperlink r:id="rId97">
        <w:r w:rsidRPr="00A0720F">
          <w:rPr>
            <w:color w:val="000000"/>
            <w:u w:val="single"/>
          </w:rPr>
          <w:t>https://doi.org/10.1186/s13643-021-01671-z</w:t>
        </w:r>
      </w:hyperlink>
    </w:p>
    <w:p w14:paraId="4B1C50F7" w14:textId="552FA95B" w:rsidR="002E1828" w:rsidRPr="007574E5" w:rsidRDefault="002E1828" w:rsidP="007574E5">
      <w:pPr>
        <w:ind w:left="360"/>
      </w:pPr>
      <w:r w:rsidRPr="007574E5">
        <w:t xml:space="preserve">Sheppard, C.L., Gould, S., </w:t>
      </w:r>
      <w:proofErr w:type="spellStart"/>
      <w:r w:rsidRPr="007574E5">
        <w:t>Guilcher</w:t>
      </w:r>
      <w:proofErr w:type="spellEnd"/>
      <w:r w:rsidRPr="007574E5">
        <w:t xml:space="preserve">, S.J., Liu, B., </w:t>
      </w:r>
      <w:proofErr w:type="spellStart"/>
      <w:r w:rsidRPr="007574E5">
        <w:t>Linkewich</w:t>
      </w:r>
      <w:proofErr w:type="spellEnd"/>
      <w:r w:rsidRPr="007574E5">
        <w:t xml:space="preserve">, E., Austen, A. &amp; Hitzig, S.L. (2022) ‘“We could be good partners if we work together”: the perspectives of health and social service providers on the barriers to forming collaborative partnerships with social housing providers for older adults’, </w:t>
      </w:r>
      <w:r w:rsidRPr="007574E5">
        <w:rPr>
          <w:i/>
          <w:iCs/>
        </w:rPr>
        <w:t>BMC Health Services Research</w:t>
      </w:r>
      <w:r w:rsidRPr="007574E5">
        <w:t xml:space="preserve">, 22(1), p.313. Available at: </w:t>
      </w:r>
      <w:hyperlink r:id="rId98" w:history="1">
        <w:r w:rsidRPr="00F60394">
          <w:rPr>
            <w:rStyle w:val="Hyperlink"/>
          </w:rPr>
          <w:t>https://doi.org/10.1186/s12913-022-07671-6</w:t>
        </w:r>
      </w:hyperlink>
    </w:p>
    <w:p w14:paraId="185AF6CA" w14:textId="77777777" w:rsidR="002E1828" w:rsidRDefault="002E1828" w:rsidP="00A0720F">
      <w:pPr>
        <w:ind w:left="360"/>
      </w:pPr>
      <w:r w:rsidRPr="00A0720F">
        <w:rPr>
          <w:highlight w:val="white"/>
        </w:rPr>
        <w:t xml:space="preserve">Sheringham, J., </w:t>
      </w:r>
      <w:proofErr w:type="spellStart"/>
      <w:r w:rsidRPr="00A0720F">
        <w:rPr>
          <w:highlight w:val="white"/>
        </w:rPr>
        <w:t>Klaptocz</w:t>
      </w:r>
      <w:proofErr w:type="spellEnd"/>
      <w:r w:rsidRPr="00A0720F">
        <w:rPr>
          <w:highlight w:val="white"/>
        </w:rPr>
        <w:t xml:space="preserve">, J., Ingram, E. and Ucci, M., 2024. Understanding placed-based pathways by which housing is related to health inequalities: a qualitative interview study in London. </w:t>
      </w:r>
      <w:r w:rsidRPr="007574E5">
        <w:rPr>
          <w:i/>
          <w:iCs/>
          <w:highlight w:val="white"/>
        </w:rPr>
        <w:t>Frontiers in Environmental Health, 3, p.1358484.</w:t>
      </w:r>
      <w:r>
        <w:t xml:space="preserve"> </w:t>
      </w:r>
      <w:hyperlink r:id="rId99">
        <w:r w:rsidRPr="00A0720F">
          <w:rPr>
            <w:color w:val="000000"/>
            <w:u w:val="single"/>
          </w:rPr>
          <w:t>https://doi.org/10.3389/fenvh.2024.1358484</w:t>
        </w:r>
      </w:hyperlink>
      <w:r>
        <w:t xml:space="preserve"> </w:t>
      </w:r>
    </w:p>
    <w:p w14:paraId="74BA5BCD" w14:textId="77777777" w:rsidR="002E1828" w:rsidRDefault="002E1828" w:rsidP="00A0720F">
      <w:pPr>
        <w:ind w:left="360"/>
      </w:pPr>
      <w:r w:rsidRPr="007574E5">
        <w:t xml:space="preserve">Sherriff, G., Kelly, S., Martin, P. &amp; Pink, J., 2024. </w:t>
      </w:r>
      <w:r w:rsidRPr="007574E5">
        <w:rPr>
          <w:i/>
          <w:iCs/>
        </w:rPr>
        <w:t>Greater Manchester Social Housing Quality Fund: Tenant Research</w:t>
      </w:r>
      <w:r w:rsidRPr="007574E5">
        <w:t xml:space="preserve">. </w:t>
      </w:r>
      <w:r w:rsidRPr="007574E5">
        <w:rPr>
          <w:i/>
          <w:iCs/>
        </w:rPr>
        <w:t>University of Salford</w:t>
      </w:r>
      <w:r w:rsidRPr="007574E5">
        <w:t xml:space="preserve">. Available at: </w:t>
      </w:r>
      <w:hyperlink r:id="rId100" w:tgtFrame="_new" w:history="1">
        <w:r w:rsidRPr="007574E5">
          <w:rPr>
            <w:rStyle w:val="Hyperlink"/>
          </w:rPr>
          <w:t>https://salford-repository.worktribe.com/output/3429472/greater-manchester-social-housing-quality-fund-tenant-research</w:t>
        </w:r>
      </w:hyperlink>
    </w:p>
    <w:p w14:paraId="2C60BF0F" w14:textId="77777777" w:rsidR="002E1828" w:rsidRDefault="002E1828" w:rsidP="00A0720F">
      <w:pPr>
        <w:ind w:left="360"/>
      </w:pPr>
      <w:proofErr w:type="spellStart"/>
      <w:r>
        <w:t>Shwashreh</w:t>
      </w:r>
      <w:proofErr w:type="spellEnd"/>
      <w:r>
        <w:t xml:space="preserve">, L., Taki, A. and Kagioglou, M., 2024. Retrofit strategies for alleviating fuel poverty and improving subjective well-being in the UK’s social housing. </w:t>
      </w:r>
      <w:r w:rsidRPr="007574E5">
        <w:rPr>
          <w:i/>
          <w:iCs/>
        </w:rPr>
        <w:t>Buildings, 14(2), p.316.</w:t>
      </w:r>
      <w:r>
        <w:t xml:space="preserve"> </w:t>
      </w:r>
      <w:hyperlink r:id="rId101">
        <w:r w:rsidRPr="00A0720F">
          <w:rPr>
            <w:color w:val="000000"/>
            <w:u w:val="single"/>
          </w:rPr>
          <w:t>https://doi.org/10.3390/buildings14020316</w:t>
        </w:r>
      </w:hyperlink>
      <w:r>
        <w:t xml:space="preserve"> </w:t>
      </w:r>
    </w:p>
    <w:p w14:paraId="168E7865" w14:textId="2080F289" w:rsidR="002E1828" w:rsidRDefault="002E1828" w:rsidP="007574E5">
      <w:pPr>
        <w:ind w:left="360"/>
        <w:rPr>
          <w:highlight w:val="white"/>
        </w:rPr>
      </w:pPr>
      <w:r w:rsidRPr="007574E5">
        <w:rPr>
          <w:highlight w:val="white"/>
        </w:rPr>
        <w:t xml:space="preserve">Sikder, T.R., Sayeed, N., Hossain, M.J., Faruk, M.I., Melon, M.M.H., Uddin, S.M.M. and Adnan, M., 2025. </w:t>
      </w:r>
      <w:r w:rsidRPr="007574E5">
        <w:rPr>
          <w:i/>
          <w:iCs/>
          <w:highlight w:val="white"/>
        </w:rPr>
        <w:t>AI</w:t>
      </w:r>
      <w:r w:rsidRPr="007574E5">
        <w:rPr>
          <w:i/>
          <w:iCs/>
          <w:highlight w:val="white"/>
        </w:rPr>
        <w:noBreakHyphen/>
        <w:t>Driven Environmental Precision Oncology: Integrating Big Data, Multi</w:t>
      </w:r>
      <w:r w:rsidRPr="007574E5">
        <w:rPr>
          <w:i/>
          <w:iCs/>
          <w:highlight w:val="white"/>
        </w:rPr>
        <w:noBreakHyphen/>
        <w:t xml:space="preserve">Omics, Medical Imaging, and </w:t>
      </w:r>
      <w:proofErr w:type="spellStart"/>
      <w:r w:rsidRPr="007574E5">
        <w:rPr>
          <w:i/>
          <w:iCs/>
          <w:highlight w:val="white"/>
        </w:rPr>
        <w:t>Exposomic</w:t>
      </w:r>
      <w:proofErr w:type="spellEnd"/>
      <w:r w:rsidRPr="007574E5">
        <w:rPr>
          <w:i/>
          <w:iCs/>
          <w:highlight w:val="white"/>
        </w:rPr>
        <w:t xml:space="preserve"> Intelligence for Personalized Cancer Care</w:t>
      </w:r>
      <w:r w:rsidRPr="007574E5">
        <w:rPr>
          <w:highlight w:val="white"/>
        </w:rPr>
        <w:t xml:space="preserve">. </w:t>
      </w:r>
      <w:r w:rsidRPr="007574E5">
        <w:rPr>
          <w:i/>
          <w:iCs/>
          <w:highlight w:val="white"/>
        </w:rPr>
        <w:t>International Journal of Computational and Experimental Science and Engineering</w:t>
      </w:r>
      <w:r w:rsidRPr="007574E5">
        <w:rPr>
          <w:highlight w:val="white"/>
        </w:rPr>
        <w:t xml:space="preserve">, </w:t>
      </w:r>
      <w:r w:rsidRPr="007574E5">
        <w:rPr>
          <w:i/>
          <w:iCs/>
          <w:highlight w:val="white"/>
        </w:rPr>
        <w:t xml:space="preserve">11(4). </w:t>
      </w:r>
      <w:r w:rsidRPr="007574E5">
        <w:rPr>
          <w:highlight w:val="white"/>
        </w:rPr>
        <w:t xml:space="preserve">Available at: </w:t>
      </w:r>
      <w:hyperlink r:id="rId102" w:history="1">
        <w:r w:rsidRPr="00F60394">
          <w:rPr>
            <w:rStyle w:val="Hyperlink"/>
            <w:highlight w:val="white"/>
          </w:rPr>
          <w:t>https://doi.org/10.22399/ijcesen.4533</w:t>
        </w:r>
      </w:hyperlink>
    </w:p>
    <w:p w14:paraId="72AD7B47" w14:textId="77777777" w:rsidR="002E1828" w:rsidRDefault="002E1828" w:rsidP="00A0720F">
      <w:pPr>
        <w:ind w:left="360"/>
      </w:pPr>
      <w:r w:rsidRPr="00A0720F">
        <w:rPr>
          <w:highlight w:val="white"/>
        </w:rPr>
        <w:t xml:space="preserve">Simpson, N., Storer, E. and Duale, S., 2025. Hostile environments: Mould, race and blame amidst Birmingham's housing crisis. </w:t>
      </w:r>
      <w:r w:rsidRPr="007E0CFC">
        <w:rPr>
          <w:i/>
          <w:iCs/>
          <w:highlight w:val="white"/>
        </w:rPr>
        <w:t>Environment and Planning D: Society and Space, p.02637758251386715.</w:t>
      </w:r>
      <w:r>
        <w:t xml:space="preserve"> </w:t>
      </w:r>
      <w:hyperlink r:id="rId103">
        <w:r w:rsidRPr="00A0720F">
          <w:rPr>
            <w:color w:val="000000"/>
            <w:u w:val="single"/>
          </w:rPr>
          <w:t>https://doi.org/10.1177/02637758251386715</w:t>
        </w:r>
      </w:hyperlink>
      <w:r>
        <w:t xml:space="preserve"> </w:t>
      </w:r>
    </w:p>
    <w:p w14:paraId="2D4505C0" w14:textId="65E7F8FC" w:rsidR="00714CF6" w:rsidRDefault="00714CF6" w:rsidP="00714CF6">
      <w:pPr>
        <w:ind w:left="360"/>
      </w:pPr>
      <w:r w:rsidRPr="00714CF6">
        <w:t xml:space="preserve">Snyder, H. (2019) Literature review as a research methodology: An overview and guidelines, Journal of Business Research, 104, pp.333–339. Available at: </w:t>
      </w:r>
      <w:hyperlink r:id="rId104" w:history="1">
        <w:r w:rsidRPr="00F60394">
          <w:rPr>
            <w:rStyle w:val="Hyperlink"/>
          </w:rPr>
          <w:t>https://doi.org/10.1016/j.jbusres.2019.07.039</w:t>
        </w:r>
      </w:hyperlink>
    </w:p>
    <w:p w14:paraId="045F42AA" w14:textId="77777777" w:rsidR="002E1828" w:rsidRPr="007E0CFC" w:rsidRDefault="002E1828" w:rsidP="00A0720F">
      <w:pPr>
        <w:ind w:left="360"/>
        <w:rPr>
          <w:highlight w:val="white"/>
        </w:rPr>
      </w:pPr>
      <w:r w:rsidRPr="007E0CFC">
        <w:rPr>
          <w:highlight w:val="white"/>
        </w:rPr>
        <w:t xml:space="preserve">Soltan, M.A., Crowley, L.E., Melville, C.R., Varney, J., Cassidy, S., Mahida, R., </w:t>
      </w:r>
      <w:proofErr w:type="spellStart"/>
      <w:r w:rsidRPr="007E0CFC">
        <w:rPr>
          <w:highlight w:val="white"/>
        </w:rPr>
        <w:t>Grudzinska</w:t>
      </w:r>
      <w:proofErr w:type="spellEnd"/>
      <w:r w:rsidRPr="007E0CFC">
        <w:rPr>
          <w:highlight w:val="white"/>
        </w:rPr>
        <w:t>, F.S., Parekh, D., Dosanjh, D.P. &amp; Thickett, D.R. (2021) ‘To what extent do social determinants of health modulate presentation, ITU admission and outcomes among patients with SARS</w:t>
      </w:r>
      <w:r w:rsidRPr="007E0CFC">
        <w:rPr>
          <w:highlight w:val="white"/>
        </w:rPr>
        <w:noBreakHyphen/>
        <w:t>CoV</w:t>
      </w:r>
      <w:r w:rsidRPr="007E0CFC">
        <w:rPr>
          <w:highlight w:val="white"/>
        </w:rPr>
        <w:noBreakHyphen/>
        <w:t xml:space="preserve">2 infection? An exploration of household overcrowding, air pollution, housing quality, ethnicity, comorbidities and frailty’, </w:t>
      </w:r>
      <w:r w:rsidRPr="007E0CFC">
        <w:rPr>
          <w:i/>
          <w:iCs/>
          <w:highlight w:val="white"/>
        </w:rPr>
        <w:t>Journal of Infectious Diseases and Therapy</w:t>
      </w:r>
      <w:r w:rsidRPr="007E0CFC">
        <w:rPr>
          <w:highlight w:val="white"/>
        </w:rPr>
        <w:t xml:space="preserve">, 9 (Suppl. 2), p. 1000002. Available at: </w:t>
      </w:r>
      <w:hyperlink r:id="rId105" w:tgtFrame="_new" w:history="1">
        <w:r w:rsidRPr="007E0CFC">
          <w:rPr>
            <w:rStyle w:val="Hyperlink"/>
            <w:highlight w:val="white"/>
          </w:rPr>
          <w:t>https://pubmed.ncbi.nlm.nih.gov/37034137/</w:t>
        </w:r>
      </w:hyperlink>
    </w:p>
    <w:p w14:paraId="558D2E93" w14:textId="77777777" w:rsidR="002E1828" w:rsidRDefault="002E1828" w:rsidP="00A0720F">
      <w:pPr>
        <w:ind w:left="360"/>
      </w:pPr>
      <w:r>
        <w:t>Sun, M., Pan, J., Zhao, Q. and Bardhan, R., 2025. Heat stress dichotomy: long-term adaptation and acute shock in London domestic environments</w:t>
      </w:r>
      <w:r w:rsidRPr="007E0CFC">
        <w:rPr>
          <w:i/>
          <w:iCs/>
        </w:rPr>
        <w:t>. Philosophical Transactions A, 383(2308), p.20240567</w:t>
      </w:r>
      <w:r>
        <w:t xml:space="preserve">. </w:t>
      </w:r>
      <w:hyperlink r:id="rId106">
        <w:r w:rsidRPr="00A0720F">
          <w:rPr>
            <w:color w:val="000000"/>
            <w:u w:val="single"/>
          </w:rPr>
          <w:t>https://doi.org/10.1098/rsta.2024.0567</w:t>
        </w:r>
      </w:hyperlink>
      <w:r>
        <w:t xml:space="preserve"> </w:t>
      </w:r>
    </w:p>
    <w:p w14:paraId="2440ADCC" w14:textId="77777777" w:rsidR="002E1828" w:rsidRDefault="002E1828" w:rsidP="00A0720F">
      <w:pPr>
        <w:ind w:left="360"/>
      </w:pPr>
      <w:r w:rsidRPr="00A0720F">
        <w:rPr>
          <w:highlight w:val="white"/>
        </w:rPr>
        <w:t xml:space="preserve">Suri, H., 2020. Ethical considerations of conducting systematic reviews in educational research. </w:t>
      </w:r>
      <w:r w:rsidRPr="00A0720F">
        <w:rPr>
          <w:i/>
          <w:iCs/>
          <w:highlight w:val="white"/>
        </w:rPr>
        <w:t>Systematic reviews in educational research</w:t>
      </w:r>
      <w:r w:rsidRPr="00A0720F">
        <w:rPr>
          <w:highlight w:val="white"/>
        </w:rPr>
        <w:t xml:space="preserve">, </w:t>
      </w:r>
      <w:r w:rsidRPr="00A0720F">
        <w:rPr>
          <w:i/>
          <w:iCs/>
          <w:highlight w:val="white"/>
        </w:rPr>
        <w:t>41</w:t>
      </w:r>
      <w:r w:rsidRPr="00A0720F">
        <w:rPr>
          <w:highlight w:val="white"/>
        </w:rPr>
        <w:t xml:space="preserve">. </w:t>
      </w:r>
      <w:hyperlink r:id="rId107">
        <w:r w:rsidRPr="00A0720F">
          <w:rPr>
            <w:color w:val="000000"/>
            <w:u w:val="single"/>
          </w:rPr>
          <w:t>https://doi.org/10.1007/978-3-658-27602-7_3</w:t>
        </w:r>
      </w:hyperlink>
    </w:p>
    <w:p w14:paraId="60583044" w14:textId="0DE52985" w:rsidR="002E1828" w:rsidRPr="00600D47" w:rsidRDefault="002E1828" w:rsidP="00600D47">
      <w:pPr>
        <w:ind w:left="360"/>
      </w:pPr>
      <w:r>
        <w:t xml:space="preserve">The Guardian, 2025. Millions of young adults living in poor quality housing, UK study shows. Available at: </w:t>
      </w:r>
      <w:hyperlink r:id="rId108" w:history="1">
        <w:r w:rsidRPr="00F60394">
          <w:rPr>
            <w:rStyle w:val="Hyperlink"/>
          </w:rPr>
          <w:t>https://www.theguardian.com/business/2023/apr/15/young-adults-uk-housing</w:t>
        </w:r>
      </w:hyperlink>
      <w:r>
        <w:t xml:space="preserve"> [Accessed on: 10.11.2025]</w:t>
      </w:r>
    </w:p>
    <w:p w14:paraId="324093A5" w14:textId="77777777" w:rsidR="002E1828" w:rsidRDefault="002E1828" w:rsidP="00A0720F">
      <w:pPr>
        <w:ind w:left="360"/>
      </w:pPr>
      <w:r w:rsidRPr="00A0720F">
        <w:rPr>
          <w:highlight w:val="white"/>
        </w:rPr>
        <w:t xml:space="preserve">Tod, A.M., Nelson, P., de Chavez, A.C., Homer, C., Powell-Hoyland, V. and Stocks, A., 2016. Understanding influences and decisions of households with children with asthma regarding temperature and humidity in the home in winter: a qualitative study. </w:t>
      </w:r>
      <w:r w:rsidRPr="00600D47">
        <w:rPr>
          <w:i/>
          <w:iCs/>
          <w:highlight w:val="white"/>
        </w:rPr>
        <w:t>BMJ open, 6(1), p.e009636</w:t>
      </w:r>
      <w:r w:rsidRPr="00A0720F">
        <w:rPr>
          <w:highlight w:val="white"/>
        </w:rPr>
        <w:t>.</w:t>
      </w:r>
      <w:r>
        <w:t xml:space="preserve"> </w:t>
      </w:r>
      <w:hyperlink r:id="rId109">
        <w:r w:rsidRPr="00A0720F">
          <w:rPr>
            <w:color w:val="000000"/>
            <w:u w:val="single"/>
          </w:rPr>
          <w:t>https://doi.org/10.1136/bmjopen-2015-009636</w:t>
        </w:r>
      </w:hyperlink>
      <w:r>
        <w:t xml:space="preserve"> </w:t>
      </w:r>
    </w:p>
    <w:p w14:paraId="726CECD7" w14:textId="2B768C30" w:rsidR="002E1828" w:rsidRPr="00B44DE5" w:rsidRDefault="002E1828" w:rsidP="00B44DE5">
      <w:pPr>
        <w:ind w:left="360"/>
      </w:pPr>
      <w:bookmarkStart w:id="175" w:name="_nj4izhf8ozrk" w:colFirst="0" w:colLast="0"/>
      <w:bookmarkEnd w:id="175"/>
      <w:r w:rsidRPr="00120DAC">
        <w:t xml:space="preserve">Tsarkov, A., de Arruda Fernandez, A.F., Ribeiro, M.L. and Petlovanyi, P., 2024. </w:t>
      </w:r>
      <w:r w:rsidRPr="00120DAC">
        <w:rPr>
          <w:i/>
          <w:iCs/>
        </w:rPr>
        <w:t>Optimizing patient safety and security management in Zambian Mental Health Facility: A PDSA quality improvement study</w:t>
      </w:r>
      <w:r w:rsidRPr="00120DAC">
        <w:t xml:space="preserve">. </w:t>
      </w:r>
      <w:r w:rsidRPr="00120DAC">
        <w:rPr>
          <w:i/>
          <w:iCs/>
        </w:rPr>
        <w:t>European Journal of Medical and Health Sciences</w:t>
      </w:r>
      <w:r w:rsidRPr="00120DAC">
        <w:t xml:space="preserve">, 6(3), pp.1–9. Available at: </w:t>
      </w:r>
      <w:hyperlink r:id="rId110" w:history="1">
        <w:r w:rsidRPr="00120DAC">
          <w:rPr>
            <w:rStyle w:val="Hyperlink"/>
          </w:rPr>
          <w:t>https://eu-opensci.org/index.php/ejmed/article/view/42112</w:t>
        </w:r>
      </w:hyperlink>
    </w:p>
    <w:p w14:paraId="57C6F462" w14:textId="77777777" w:rsidR="002E1828" w:rsidRDefault="002E1828" w:rsidP="00A0720F">
      <w:pPr>
        <w:ind w:left="360"/>
      </w:pPr>
      <w:r>
        <w:t xml:space="preserve">Tsoulou, I., Senick, J., </w:t>
      </w:r>
      <w:proofErr w:type="spellStart"/>
      <w:r>
        <w:t>Mainelis</w:t>
      </w:r>
      <w:proofErr w:type="spellEnd"/>
      <w:r>
        <w:t>, G. and Kim, S., 2021. Residential indoor air quality interventions through a social</w:t>
      </w:r>
      <w:r w:rsidRPr="00A0720F">
        <w:rPr>
          <w:rFonts w:ascii="Cambria Math" w:hAnsi="Cambria Math" w:cs="Cambria Math"/>
        </w:rPr>
        <w:t>‐</w:t>
      </w:r>
      <w:r>
        <w:t>ecological systems lens: A systematic review</w:t>
      </w:r>
      <w:r w:rsidRPr="00600D47">
        <w:rPr>
          <w:i/>
          <w:iCs/>
        </w:rPr>
        <w:t>. Indoor Air, 31(4), pp.958-976.</w:t>
      </w:r>
      <w:r>
        <w:t xml:space="preserve"> </w:t>
      </w:r>
      <w:hyperlink r:id="rId111">
        <w:r w:rsidRPr="00A0720F">
          <w:rPr>
            <w:color w:val="000000"/>
            <w:u w:val="single"/>
          </w:rPr>
          <w:t>https://doi.org/10.1111/ina.12835</w:t>
        </w:r>
      </w:hyperlink>
      <w:r>
        <w:t xml:space="preserve"> </w:t>
      </w:r>
    </w:p>
    <w:p w14:paraId="069A2C3F" w14:textId="77777777" w:rsidR="002E1828" w:rsidRPr="00A0720F" w:rsidRDefault="002E1828" w:rsidP="00A0720F">
      <w:pPr>
        <w:pBdr>
          <w:top w:val="nil"/>
          <w:left w:val="nil"/>
          <w:bottom w:val="nil"/>
          <w:right w:val="nil"/>
          <w:between w:val="nil"/>
        </w:pBdr>
        <w:spacing w:before="240" w:after="240"/>
        <w:ind w:left="360"/>
        <w:rPr>
          <w:color w:val="000000"/>
          <w:highlight w:val="white"/>
        </w:rPr>
      </w:pPr>
      <w:r w:rsidRPr="00A0720F">
        <w:rPr>
          <w:color w:val="000000"/>
          <w:highlight w:val="white"/>
        </w:rPr>
        <w:t xml:space="preserve">Tsui, A.S., 2022. From traditional research to responsible research: The necessity of scientific freedom and scientific responsibility for better societies. </w:t>
      </w:r>
      <w:r w:rsidRPr="00A0720F">
        <w:rPr>
          <w:i/>
          <w:iCs/>
          <w:color w:val="000000"/>
          <w:highlight w:val="white"/>
        </w:rPr>
        <w:t xml:space="preserve">Annual Review of Organizational Psychology and Organizational </w:t>
      </w:r>
      <w:proofErr w:type="spellStart"/>
      <w:r w:rsidRPr="00A0720F">
        <w:rPr>
          <w:i/>
          <w:iCs/>
          <w:color w:val="000000"/>
          <w:highlight w:val="white"/>
        </w:rPr>
        <w:t>Behavior</w:t>
      </w:r>
      <w:proofErr w:type="spellEnd"/>
      <w:r w:rsidRPr="00A0720F">
        <w:rPr>
          <w:color w:val="000000"/>
          <w:highlight w:val="white"/>
        </w:rPr>
        <w:t xml:space="preserve">, </w:t>
      </w:r>
      <w:r w:rsidRPr="00A0720F">
        <w:rPr>
          <w:i/>
          <w:iCs/>
          <w:color w:val="000000"/>
          <w:highlight w:val="white"/>
        </w:rPr>
        <w:t>9</w:t>
      </w:r>
      <w:r w:rsidRPr="00A0720F">
        <w:rPr>
          <w:color w:val="000000"/>
          <w:highlight w:val="white"/>
        </w:rPr>
        <w:t xml:space="preserve">(1), pp.1-32. </w:t>
      </w:r>
      <w:hyperlink r:id="rId112">
        <w:r w:rsidRPr="00A0720F">
          <w:rPr>
            <w:color w:val="000000"/>
            <w:highlight w:val="white"/>
            <w:u w:val="single"/>
          </w:rPr>
          <w:t>https://doi.org/10.1146/annurev-orgpsych-062021-021303</w:t>
        </w:r>
      </w:hyperlink>
    </w:p>
    <w:p w14:paraId="63A01BCA" w14:textId="77777777" w:rsidR="002E1828" w:rsidRDefault="002E1828" w:rsidP="00A0720F">
      <w:pPr>
        <w:ind w:left="360"/>
      </w:pPr>
      <w:r>
        <w:t xml:space="preserve">Tweed, E.J. and </w:t>
      </w:r>
      <w:proofErr w:type="spellStart"/>
      <w:r>
        <w:t>Katikireddi</w:t>
      </w:r>
      <w:proofErr w:type="spellEnd"/>
      <w:r>
        <w:t xml:space="preserve">, S.V., 2023. Inclusion Health: respiratory health in people suffering severe and multiple disadvantage. </w:t>
      </w:r>
      <w:hyperlink r:id="rId113">
        <w:r w:rsidRPr="00A0720F">
          <w:rPr>
            <w:color w:val="000000"/>
            <w:u w:val="single"/>
          </w:rPr>
          <w:t>https://doi.org/10.1183/2312508X.10004822</w:t>
        </w:r>
      </w:hyperlink>
      <w:r>
        <w:t xml:space="preserve"> </w:t>
      </w:r>
    </w:p>
    <w:p w14:paraId="639381FD" w14:textId="2ADC94EC" w:rsidR="002E1828" w:rsidRPr="002E1828" w:rsidRDefault="002E1828" w:rsidP="00A0720F">
      <w:pPr>
        <w:ind w:left="360"/>
      </w:pPr>
      <w:r w:rsidRPr="002E1828">
        <w:t xml:space="preserve">UK Health Security Agency (2024) </w:t>
      </w:r>
      <w:r w:rsidRPr="002E1828">
        <w:rPr>
          <w:i/>
          <w:iCs/>
        </w:rPr>
        <w:t>The burden of disease caused by damp and mould in English housing</w:t>
      </w:r>
      <w:r w:rsidRPr="002E1828">
        <w:t xml:space="preserve">. Available at: </w:t>
      </w:r>
      <w:hyperlink r:id="rId114" w:tgtFrame="_new" w:history="1">
        <w:r w:rsidRPr="002E1828">
          <w:rPr>
            <w:rStyle w:val="Hyperlink"/>
          </w:rPr>
          <w:t>https://research.ukhsa.gov.uk/our-research/damp-and-mould/</w:t>
        </w:r>
      </w:hyperlink>
    </w:p>
    <w:p w14:paraId="10570959" w14:textId="77777777" w:rsidR="002E1828" w:rsidRPr="00120DAC" w:rsidRDefault="002E1828" w:rsidP="00B44DE5">
      <w:pPr>
        <w:ind w:left="360"/>
      </w:pPr>
      <w:r w:rsidRPr="00120DAC">
        <w:t>Upadhyay, R.K. (2023) ‘Health hazards of various micro</w:t>
      </w:r>
      <w:r w:rsidRPr="00120DAC">
        <w:noBreakHyphen/>
        <w:t xml:space="preserve">pollutants, stubble smoke, furnace fumes and dust particles in urban areas’, </w:t>
      </w:r>
      <w:r w:rsidRPr="00120DAC">
        <w:rPr>
          <w:i/>
          <w:iCs/>
        </w:rPr>
        <w:t>Global Research in Environment and Sustainability</w:t>
      </w:r>
      <w:r w:rsidRPr="00120DAC">
        <w:t xml:space="preserve">, 1(1), pp. 07–30. Available at: </w:t>
      </w:r>
      <w:hyperlink r:id="rId115" w:tgtFrame="_new" w:history="1">
        <w:r w:rsidRPr="00120DAC">
          <w:rPr>
            <w:rStyle w:val="Hyperlink"/>
          </w:rPr>
          <w:t>https://hspublishing.org/GRES/article/view/62</w:t>
        </w:r>
      </w:hyperlink>
    </w:p>
    <w:p w14:paraId="760E638F" w14:textId="77777777" w:rsidR="002E1828" w:rsidRDefault="002E1828" w:rsidP="00A0720F">
      <w:pPr>
        <w:ind w:left="360"/>
      </w:pPr>
      <w:r>
        <w:t>Versey, H.S., 2022. Disproportionate risk at both ends: Housing, health, and systems of exposure. </w:t>
      </w:r>
      <w:r w:rsidRPr="00A0720F">
        <w:rPr>
          <w:i/>
          <w:iCs/>
        </w:rPr>
        <w:t>Perspectives in Biology and Medicine</w:t>
      </w:r>
      <w:r>
        <w:t>, </w:t>
      </w:r>
      <w:r w:rsidRPr="00A0720F">
        <w:rPr>
          <w:i/>
          <w:iCs/>
        </w:rPr>
        <w:t>65</w:t>
      </w:r>
      <w:r>
        <w:t xml:space="preserve">(2), pp.283-294. </w:t>
      </w:r>
      <w:hyperlink r:id="rId116">
        <w:r w:rsidRPr="00A0720F">
          <w:rPr>
            <w:color w:val="000000"/>
            <w:u w:val="single"/>
          </w:rPr>
          <w:t>https://doi.org/10.1353/pbm.2022.0024</w:t>
        </w:r>
      </w:hyperlink>
      <w:r>
        <w:t xml:space="preserve"> </w:t>
      </w:r>
    </w:p>
    <w:p w14:paraId="210E690D" w14:textId="77777777" w:rsidR="002E1828" w:rsidRDefault="002E1828" w:rsidP="00A0720F">
      <w:pPr>
        <w:ind w:left="360"/>
      </w:pPr>
      <w:r w:rsidRPr="00A0720F">
        <w:rPr>
          <w:highlight w:val="white"/>
        </w:rPr>
        <w:t xml:space="preserve">von Maurice, J., Zinn, S. and Wolter, I., 2017. Large-scale assessments: Potentials and challenges in longitudinal designs. </w:t>
      </w:r>
      <w:r w:rsidRPr="00A0720F">
        <w:rPr>
          <w:i/>
          <w:iCs/>
          <w:highlight w:val="white"/>
        </w:rPr>
        <w:t xml:space="preserve">Psychological Test and Assessment </w:t>
      </w:r>
      <w:proofErr w:type="spellStart"/>
      <w:r w:rsidRPr="00A0720F">
        <w:rPr>
          <w:i/>
          <w:iCs/>
          <w:highlight w:val="white"/>
        </w:rPr>
        <w:t>Modeling</w:t>
      </w:r>
      <w:proofErr w:type="spellEnd"/>
      <w:r w:rsidRPr="00A0720F">
        <w:rPr>
          <w:highlight w:val="white"/>
        </w:rPr>
        <w:t xml:space="preserve">, </w:t>
      </w:r>
      <w:r w:rsidRPr="00A0720F">
        <w:rPr>
          <w:i/>
          <w:iCs/>
          <w:highlight w:val="white"/>
        </w:rPr>
        <w:t>59</w:t>
      </w:r>
      <w:r w:rsidRPr="00A0720F">
        <w:rPr>
          <w:highlight w:val="white"/>
        </w:rPr>
        <w:t xml:space="preserve">(1), pp.35-54. </w:t>
      </w:r>
      <w:hyperlink r:id="rId117">
        <w:r w:rsidRPr="00A0720F">
          <w:rPr>
            <w:color w:val="000000"/>
            <w:u w:val="single"/>
          </w:rPr>
          <w:t>https://www.researchgate.net/profile/Sabine-Zinn/publication/316630393_Large-Scale_Assessments_Potentials_and_Challenges_in_Longitudinal_Designs/links/5908ae39aca272f658f7f901/Large-Scale-Assessments-Potentials-and-Challenges-in-Longitudinal-Designs.pdf</w:t>
        </w:r>
      </w:hyperlink>
    </w:p>
    <w:p w14:paraId="40E0D431" w14:textId="77777777" w:rsidR="002E1828" w:rsidRPr="00A0720F" w:rsidRDefault="002E1828" w:rsidP="00A0720F">
      <w:pPr>
        <w:ind w:left="360"/>
        <w:rPr>
          <w:highlight w:val="white"/>
        </w:rPr>
      </w:pPr>
      <w:r w:rsidRPr="00A0720F">
        <w:rPr>
          <w:highlight w:val="white"/>
        </w:rPr>
        <w:t>White, A., 2021. </w:t>
      </w:r>
      <w:r w:rsidRPr="00A0720F">
        <w:rPr>
          <w:i/>
          <w:iCs/>
          <w:highlight w:val="white"/>
        </w:rPr>
        <w:t>An exploratory analysis of public health communication interventions and their effect on GP referral rates</w:t>
      </w:r>
      <w:r w:rsidRPr="00A0720F">
        <w:rPr>
          <w:highlight w:val="white"/>
        </w:rPr>
        <w:t>.</w:t>
      </w:r>
      <w:r>
        <w:t xml:space="preserve"> </w:t>
      </w:r>
      <w:hyperlink r:id="rId118">
        <w:r w:rsidRPr="00A0720F">
          <w:rPr>
            <w:color w:val="000000"/>
            <w:u w:val="single"/>
          </w:rPr>
          <w:t>https://eprints.bournemouth.ac.uk/36114/1/WHITE%2C%20Andrew_M.Res._2021.pdf</w:t>
        </w:r>
      </w:hyperlink>
      <w:r>
        <w:t xml:space="preserve"> </w:t>
      </w:r>
    </w:p>
    <w:p w14:paraId="0C3925AF" w14:textId="77777777" w:rsidR="002E1828" w:rsidRPr="00A0720F" w:rsidRDefault="002E1828" w:rsidP="00A0720F">
      <w:pPr>
        <w:ind w:left="360"/>
        <w:rPr>
          <w:highlight w:val="white"/>
        </w:rPr>
      </w:pPr>
      <w:r w:rsidRPr="00A0720F">
        <w:rPr>
          <w:highlight w:val="white"/>
        </w:rPr>
        <w:t xml:space="preserve">Yao, X.H., Shen, F., Hao, J., Huang, L. and Keng, B., 2024. A review of Legionella transmission risk in built environments: sources, regulations, sampling, and detection. </w:t>
      </w:r>
      <w:r w:rsidRPr="00A0720F">
        <w:rPr>
          <w:i/>
          <w:iCs/>
          <w:highlight w:val="white"/>
        </w:rPr>
        <w:t>Frontiers in Public Health</w:t>
      </w:r>
      <w:r w:rsidRPr="00A0720F">
        <w:rPr>
          <w:highlight w:val="white"/>
        </w:rPr>
        <w:t xml:space="preserve">, </w:t>
      </w:r>
      <w:r w:rsidRPr="00A0720F">
        <w:rPr>
          <w:i/>
          <w:iCs/>
          <w:highlight w:val="white"/>
        </w:rPr>
        <w:t>12</w:t>
      </w:r>
      <w:r w:rsidRPr="00A0720F">
        <w:rPr>
          <w:highlight w:val="white"/>
        </w:rPr>
        <w:t>, p.1415157.</w:t>
      </w:r>
      <w:hyperlink r:id="rId119">
        <w:r w:rsidRPr="00A0720F">
          <w:rPr>
            <w:color w:val="000000"/>
            <w:highlight w:val="white"/>
            <w:u w:val="single"/>
          </w:rPr>
          <w:t>https://doi.org/10.3389/fpubh.2024.1415157</w:t>
        </w:r>
      </w:hyperlink>
    </w:p>
    <w:p w14:paraId="076761CD" w14:textId="77777777" w:rsidR="002E1828" w:rsidRDefault="002E1828" w:rsidP="00A0720F">
      <w:pPr>
        <w:ind w:left="360"/>
      </w:pPr>
      <w:proofErr w:type="spellStart"/>
      <w:r w:rsidRPr="00A0720F">
        <w:rPr>
          <w:highlight w:val="white"/>
        </w:rPr>
        <w:t>Yuwono</w:t>
      </w:r>
      <w:proofErr w:type="spellEnd"/>
      <w:r w:rsidRPr="00A0720F">
        <w:rPr>
          <w:highlight w:val="white"/>
        </w:rPr>
        <w:t xml:space="preserve">, M.A. and Rachmawati, D., 2023. Combined methods. Can this solve the differences between deductive and inductive methods in qualitative </w:t>
      </w:r>
      <w:proofErr w:type="gramStart"/>
      <w:r w:rsidRPr="00A0720F">
        <w:rPr>
          <w:highlight w:val="white"/>
        </w:rPr>
        <w:t>research?.</w:t>
      </w:r>
      <w:proofErr w:type="gramEnd"/>
      <w:r w:rsidRPr="00A0720F">
        <w:rPr>
          <w:highlight w:val="white"/>
        </w:rPr>
        <w:t xml:space="preserve"> </w:t>
      </w:r>
      <w:r w:rsidRPr="00A0720F">
        <w:rPr>
          <w:i/>
          <w:iCs/>
          <w:highlight w:val="white"/>
        </w:rPr>
        <w:t>Moroccan Journal of Quantitative and Qualitative Research</w:t>
      </w:r>
      <w:r w:rsidRPr="00A0720F">
        <w:rPr>
          <w:highlight w:val="white"/>
        </w:rPr>
        <w:t xml:space="preserve">, </w:t>
      </w:r>
      <w:r w:rsidRPr="00A0720F">
        <w:rPr>
          <w:i/>
          <w:iCs/>
          <w:highlight w:val="white"/>
        </w:rPr>
        <w:t>5</w:t>
      </w:r>
      <w:r w:rsidRPr="00A0720F">
        <w:rPr>
          <w:highlight w:val="white"/>
        </w:rPr>
        <w:t xml:space="preserve">(3). </w:t>
      </w:r>
      <w:hyperlink r:id="rId120">
        <w:r w:rsidRPr="00A0720F">
          <w:rPr>
            <w:color w:val="000000"/>
            <w:u w:val="single"/>
          </w:rPr>
          <w:t>https://doi.org/10.48379/imist.prsm/mjqr-v5i3.45541</w:t>
        </w:r>
      </w:hyperlink>
      <w:r>
        <w:t xml:space="preserve"> </w:t>
      </w:r>
    </w:p>
    <w:p w14:paraId="41ECD680" w14:textId="77777777" w:rsidR="0038718A" w:rsidRDefault="0038718A">
      <w:pPr>
        <w:rPr>
          <w:highlight w:val="white"/>
        </w:rPr>
      </w:pPr>
    </w:p>
    <w:p w14:paraId="35EDD28E" w14:textId="77777777" w:rsidR="0038718A" w:rsidRDefault="0038718A">
      <w:pPr>
        <w:spacing w:after="215"/>
        <w:ind w:left="15" w:right="67" w:hanging="10"/>
      </w:pPr>
    </w:p>
    <w:p w14:paraId="7FB35432" w14:textId="77777777" w:rsidR="0038718A" w:rsidRDefault="0038718A">
      <w:pPr>
        <w:rPr>
          <w:highlight w:val="white"/>
        </w:rPr>
      </w:pPr>
    </w:p>
    <w:p w14:paraId="1DB1EE5D" w14:textId="77777777" w:rsidR="0038718A" w:rsidRDefault="00BF184A">
      <w:pPr>
        <w:pStyle w:val="Heading1"/>
        <w:rPr>
          <w:sz w:val="22"/>
          <w:szCs w:val="22"/>
        </w:rPr>
      </w:pPr>
      <w:bookmarkStart w:id="176" w:name="_ip83d2raaysc" w:colFirst="0" w:colLast="0"/>
      <w:bookmarkEnd w:id="176"/>
      <w:r>
        <w:br w:type="page"/>
      </w:r>
      <w:bookmarkStart w:id="177" w:name="_Toc220324685"/>
      <w:r>
        <w:t>Appendix 1: Conceptual framework</w:t>
      </w:r>
      <w:bookmarkEnd w:id="177"/>
    </w:p>
    <w:p w14:paraId="4E12245A" w14:textId="77777777" w:rsidR="0038718A" w:rsidRDefault="00BF184A">
      <w:pPr>
        <w:rPr>
          <w:b/>
          <w:bCs/>
        </w:rPr>
      </w:pPr>
      <w:r>
        <w:rPr>
          <w:b/>
          <w:bCs/>
        </w:rPr>
        <w:t>Conceptual framework </w:t>
      </w:r>
    </w:p>
    <w:p w14:paraId="29095DE0" w14:textId="77777777" w:rsidR="0038718A" w:rsidRDefault="00BF184A">
      <w:pPr>
        <w:spacing w:before="240" w:after="158"/>
        <w:jc w:val="center"/>
      </w:pPr>
      <w:r>
        <w:rPr>
          <w:b/>
          <w:bCs/>
          <w:noProof/>
        </w:rPr>
        <w:drawing>
          <wp:inline distT="0" distB="0" distL="0" distR="0" wp14:anchorId="172A6705" wp14:editId="50BEEE2D">
            <wp:extent cx="4945380" cy="4991100"/>
            <wp:effectExtent l="38100" t="38100" r="38100" b="38100"/>
            <wp:docPr id="9"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21"/>
                    <a:srcRect/>
                    <a:stretch>
                      <a:fillRect/>
                    </a:stretch>
                  </pic:blipFill>
                  <pic:spPr>
                    <a:xfrm>
                      <a:off x="0" y="0"/>
                      <a:ext cx="4945380" cy="4991100"/>
                    </a:xfrm>
                    <a:prstGeom prst="rect">
                      <a:avLst/>
                    </a:prstGeom>
                    <a:ln w="38100">
                      <a:solidFill>
                        <a:srgbClr val="000000"/>
                      </a:solidFill>
                      <a:prstDash val="solid"/>
                    </a:ln>
                  </pic:spPr>
                </pic:pic>
              </a:graphicData>
            </a:graphic>
          </wp:inline>
        </w:drawing>
      </w:r>
    </w:p>
    <w:p w14:paraId="6763114C" w14:textId="77777777" w:rsidR="0038718A" w:rsidRDefault="00BF184A">
      <w:pPr>
        <w:spacing w:before="240" w:after="158"/>
        <w:jc w:val="center"/>
      </w:pPr>
      <w:r>
        <w:t>(Self-developed via MS Word</w:t>
      </w:r>
    </w:p>
    <w:p w14:paraId="5E9B6FEB" w14:textId="77777777" w:rsidR="0038718A" w:rsidRDefault="00BF184A">
      <w:pPr>
        <w:spacing w:after="158"/>
      </w:pPr>
      <w:r>
        <w:t xml:space="preserve"> </w:t>
      </w:r>
    </w:p>
    <w:p w14:paraId="0C216603" w14:textId="77777777" w:rsidR="0038718A" w:rsidRDefault="00BF184A">
      <w:r>
        <w:t xml:space="preserve"> </w:t>
      </w:r>
    </w:p>
    <w:p w14:paraId="78533A2F" w14:textId="77777777" w:rsidR="0038718A" w:rsidRDefault="00BF184A">
      <w:pPr>
        <w:spacing w:after="158"/>
      </w:pPr>
      <w:r>
        <w:t xml:space="preserve"> </w:t>
      </w:r>
    </w:p>
    <w:p w14:paraId="2BEC06A6" w14:textId="77777777" w:rsidR="0038718A" w:rsidRDefault="00BF184A">
      <w:pPr>
        <w:spacing w:after="158"/>
      </w:pPr>
      <w:r>
        <w:t xml:space="preserve"> </w:t>
      </w:r>
    </w:p>
    <w:p w14:paraId="18C7E599" w14:textId="77777777" w:rsidR="0038718A" w:rsidRDefault="00BF184A">
      <w:r>
        <w:t xml:space="preserve"> </w:t>
      </w:r>
    </w:p>
    <w:p w14:paraId="47BFE983" w14:textId="77777777" w:rsidR="0038718A" w:rsidRDefault="00BF184A">
      <w:pPr>
        <w:spacing w:after="158"/>
      </w:pPr>
      <w:r>
        <w:t xml:space="preserve"> </w:t>
      </w:r>
    </w:p>
    <w:p w14:paraId="286E12A5" w14:textId="77777777" w:rsidR="0038718A" w:rsidRDefault="00BF184A">
      <w:r>
        <w:t xml:space="preserve"> </w:t>
      </w:r>
    </w:p>
    <w:p w14:paraId="21CE056E" w14:textId="77777777" w:rsidR="0038718A" w:rsidRDefault="00BF184A">
      <w:pPr>
        <w:spacing w:after="158"/>
      </w:pPr>
      <w:r>
        <w:t xml:space="preserve"> </w:t>
      </w:r>
    </w:p>
    <w:p w14:paraId="77B31D5B" w14:textId="77777777" w:rsidR="0038718A" w:rsidRDefault="00BF184A">
      <w:r>
        <w:t xml:space="preserve"> </w:t>
      </w:r>
    </w:p>
    <w:p w14:paraId="2D7A2871" w14:textId="77777777" w:rsidR="0038718A" w:rsidRDefault="00BF184A">
      <w:pPr>
        <w:spacing w:after="158"/>
      </w:pPr>
      <w:r>
        <w:t xml:space="preserve"> </w:t>
      </w:r>
    </w:p>
    <w:p w14:paraId="426E3E9C" w14:textId="77777777" w:rsidR="0038718A" w:rsidRDefault="00BF184A">
      <w:pPr>
        <w:pStyle w:val="Heading1"/>
      </w:pPr>
      <w:bookmarkStart w:id="178" w:name="_8zjie5lpvvdo" w:colFirst="0" w:colLast="0"/>
      <w:bookmarkEnd w:id="178"/>
      <w:r>
        <w:t xml:space="preserve"> </w:t>
      </w:r>
      <w:bookmarkStart w:id="179" w:name="_Toc220324686"/>
      <w:r>
        <w:t>Appendix 2: CASP Checklist</w:t>
      </w:r>
      <w:bookmarkEnd w:id="179"/>
    </w:p>
    <w:tbl>
      <w:tblPr>
        <w:tblStyle w:val="a3"/>
        <w:tblW w:w="9630" w:type="dxa"/>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885"/>
        <w:gridCol w:w="885"/>
        <w:gridCol w:w="885"/>
        <w:gridCol w:w="885"/>
        <w:gridCol w:w="885"/>
        <w:gridCol w:w="870"/>
        <w:gridCol w:w="870"/>
        <w:gridCol w:w="870"/>
        <w:gridCol w:w="870"/>
        <w:gridCol w:w="870"/>
        <w:gridCol w:w="855"/>
      </w:tblGrid>
      <w:tr w:rsidR="0038718A" w14:paraId="031A37AD" w14:textId="77777777">
        <w:trPr>
          <w:jc w:val="center"/>
        </w:trPr>
        <w:tc>
          <w:tcPr>
            <w:tcW w:w="885" w:type="dxa"/>
            <w:tcMar>
              <w:top w:w="100" w:type="dxa"/>
              <w:left w:w="100" w:type="dxa"/>
              <w:bottom w:w="100" w:type="dxa"/>
              <w:right w:w="100" w:type="dxa"/>
            </w:tcMar>
            <w:vAlign w:val="center"/>
          </w:tcPr>
          <w:p w14:paraId="1A64AC0F" w14:textId="77777777" w:rsidR="0038718A" w:rsidRDefault="0038718A">
            <w:pPr>
              <w:widowControl w:val="0"/>
              <w:pBdr>
                <w:top w:val="nil"/>
                <w:left w:val="nil"/>
                <w:bottom w:val="nil"/>
                <w:right w:val="nil"/>
                <w:between w:val="nil"/>
              </w:pBdr>
              <w:spacing w:line="240" w:lineRule="auto"/>
              <w:jc w:val="center"/>
              <w:rPr>
                <w:sz w:val="16"/>
                <w:szCs w:val="16"/>
              </w:rPr>
            </w:pPr>
          </w:p>
        </w:tc>
        <w:tc>
          <w:tcPr>
            <w:tcW w:w="885" w:type="dxa"/>
            <w:tcMar>
              <w:top w:w="100" w:type="dxa"/>
              <w:left w:w="100" w:type="dxa"/>
              <w:bottom w:w="100" w:type="dxa"/>
              <w:right w:w="100" w:type="dxa"/>
            </w:tcMar>
            <w:vAlign w:val="center"/>
          </w:tcPr>
          <w:p w14:paraId="23297692" w14:textId="77777777" w:rsidR="0038718A" w:rsidRDefault="00BF184A">
            <w:pPr>
              <w:widowControl w:val="0"/>
              <w:pBdr>
                <w:top w:val="nil"/>
                <w:left w:val="nil"/>
                <w:bottom w:val="nil"/>
                <w:right w:val="nil"/>
                <w:between w:val="nil"/>
              </w:pBdr>
              <w:spacing w:line="240" w:lineRule="auto"/>
              <w:rPr>
                <w:b/>
                <w:bCs/>
                <w:sz w:val="16"/>
                <w:szCs w:val="16"/>
              </w:rPr>
            </w:pPr>
            <w:r>
              <w:rPr>
                <w:b/>
                <w:bCs/>
                <w:sz w:val="16"/>
                <w:szCs w:val="16"/>
              </w:rPr>
              <w:t>Clear statement and Aim</w:t>
            </w:r>
          </w:p>
        </w:tc>
        <w:tc>
          <w:tcPr>
            <w:tcW w:w="885" w:type="dxa"/>
            <w:tcMar>
              <w:top w:w="100" w:type="dxa"/>
              <w:left w:w="100" w:type="dxa"/>
              <w:bottom w:w="100" w:type="dxa"/>
              <w:right w:w="100" w:type="dxa"/>
            </w:tcMar>
            <w:vAlign w:val="center"/>
          </w:tcPr>
          <w:p w14:paraId="08B67E95" w14:textId="77777777" w:rsidR="0038718A" w:rsidRDefault="00BF184A">
            <w:pPr>
              <w:widowControl w:val="0"/>
              <w:pBdr>
                <w:top w:val="nil"/>
                <w:left w:val="nil"/>
                <w:bottom w:val="nil"/>
                <w:right w:val="nil"/>
                <w:between w:val="nil"/>
              </w:pBdr>
              <w:spacing w:line="240" w:lineRule="auto"/>
              <w:rPr>
                <w:b/>
                <w:bCs/>
                <w:sz w:val="16"/>
                <w:szCs w:val="16"/>
              </w:rPr>
            </w:pPr>
            <w:r>
              <w:rPr>
                <w:b/>
                <w:bCs/>
                <w:sz w:val="16"/>
                <w:szCs w:val="16"/>
              </w:rPr>
              <w:t>Appropriate qualitative method</w:t>
            </w:r>
          </w:p>
        </w:tc>
        <w:tc>
          <w:tcPr>
            <w:tcW w:w="885" w:type="dxa"/>
            <w:tcMar>
              <w:top w:w="100" w:type="dxa"/>
              <w:left w:w="100" w:type="dxa"/>
              <w:bottom w:w="100" w:type="dxa"/>
              <w:right w:w="100" w:type="dxa"/>
            </w:tcMar>
            <w:vAlign w:val="center"/>
          </w:tcPr>
          <w:p w14:paraId="5C22CECD" w14:textId="77777777" w:rsidR="0038718A" w:rsidRDefault="00BF184A">
            <w:pPr>
              <w:widowControl w:val="0"/>
              <w:pBdr>
                <w:top w:val="nil"/>
                <w:left w:val="nil"/>
                <w:bottom w:val="nil"/>
                <w:right w:val="nil"/>
                <w:between w:val="nil"/>
              </w:pBdr>
              <w:spacing w:line="240" w:lineRule="auto"/>
              <w:rPr>
                <w:b/>
                <w:bCs/>
                <w:sz w:val="16"/>
                <w:szCs w:val="16"/>
              </w:rPr>
            </w:pPr>
            <w:r>
              <w:rPr>
                <w:b/>
                <w:bCs/>
                <w:sz w:val="16"/>
                <w:szCs w:val="16"/>
              </w:rPr>
              <w:t>Appropriate research design to address the aim</w:t>
            </w:r>
          </w:p>
        </w:tc>
        <w:tc>
          <w:tcPr>
            <w:tcW w:w="885" w:type="dxa"/>
            <w:tcMar>
              <w:top w:w="100" w:type="dxa"/>
              <w:left w:w="100" w:type="dxa"/>
              <w:bottom w:w="100" w:type="dxa"/>
              <w:right w:w="100" w:type="dxa"/>
            </w:tcMar>
            <w:vAlign w:val="center"/>
          </w:tcPr>
          <w:p w14:paraId="3E6482E9" w14:textId="77777777" w:rsidR="0038718A" w:rsidRDefault="00BF184A">
            <w:pPr>
              <w:widowControl w:val="0"/>
              <w:pBdr>
                <w:top w:val="nil"/>
                <w:left w:val="nil"/>
                <w:bottom w:val="nil"/>
                <w:right w:val="nil"/>
                <w:between w:val="nil"/>
              </w:pBdr>
              <w:spacing w:line="240" w:lineRule="auto"/>
              <w:rPr>
                <w:b/>
                <w:bCs/>
                <w:sz w:val="16"/>
                <w:szCs w:val="16"/>
              </w:rPr>
            </w:pPr>
            <w:r>
              <w:rPr>
                <w:b/>
                <w:bCs/>
                <w:sz w:val="16"/>
                <w:szCs w:val="16"/>
              </w:rPr>
              <w:t>Appropriate recruitment strategy</w:t>
            </w:r>
          </w:p>
        </w:tc>
        <w:tc>
          <w:tcPr>
            <w:tcW w:w="870" w:type="dxa"/>
            <w:tcMar>
              <w:top w:w="100" w:type="dxa"/>
              <w:left w:w="100" w:type="dxa"/>
              <w:bottom w:w="100" w:type="dxa"/>
              <w:right w:w="100" w:type="dxa"/>
            </w:tcMar>
            <w:vAlign w:val="center"/>
          </w:tcPr>
          <w:p w14:paraId="30FF08D3" w14:textId="77777777" w:rsidR="0038718A" w:rsidRDefault="00BF184A">
            <w:pPr>
              <w:widowControl w:val="0"/>
              <w:pBdr>
                <w:top w:val="nil"/>
                <w:left w:val="nil"/>
                <w:bottom w:val="nil"/>
                <w:right w:val="nil"/>
                <w:between w:val="nil"/>
              </w:pBdr>
              <w:spacing w:line="240" w:lineRule="auto"/>
              <w:rPr>
                <w:b/>
                <w:bCs/>
                <w:sz w:val="16"/>
                <w:szCs w:val="16"/>
              </w:rPr>
            </w:pPr>
            <w:r>
              <w:rPr>
                <w:b/>
                <w:bCs/>
                <w:sz w:val="16"/>
                <w:szCs w:val="16"/>
              </w:rPr>
              <w:t>Data collection method addresses the research issue</w:t>
            </w:r>
          </w:p>
        </w:tc>
        <w:tc>
          <w:tcPr>
            <w:tcW w:w="870" w:type="dxa"/>
            <w:tcMar>
              <w:top w:w="100" w:type="dxa"/>
              <w:left w:w="100" w:type="dxa"/>
              <w:bottom w:w="100" w:type="dxa"/>
              <w:right w:w="100" w:type="dxa"/>
            </w:tcMar>
            <w:vAlign w:val="center"/>
          </w:tcPr>
          <w:p w14:paraId="43025ADF" w14:textId="77777777" w:rsidR="0038718A" w:rsidRDefault="00BF184A">
            <w:pPr>
              <w:widowControl w:val="0"/>
              <w:pBdr>
                <w:top w:val="nil"/>
                <w:left w:val="nil"/>
                <w:bottom w:val="nil"/>
                <w:right w:val="nil"/>
                <w:between w:val="nil"/>
              </w:pBdr>
              <w:spacing w:line="240" w:lineRule="auto"/>
              <w:rPr>
                <w:b/>
                <w:bCs/>
                <w:sz w:val="16"/>
                <w:szCs w:val="16"/>
              </w:rPr>
            </w:pPr>
            <w:r>
              <w:rPr>
                <w:b/>
                <w:bCs/>
                <w:sz w:val="16"/>
                <w:szCs w:val="16"/>
              </w:rPr>
              <w:t>The relationship between the participant and the researcher was established adequately</w:t>
            </w:r>
          </w:p>
        </w:tc>
        <w:tc>
          <w:tcPr>
            <w:tcW w:w="870" w:type="dxa"/>
            <w:tcMar>
              <w:top w:w="100" w:type="dxa"/>
              <w:left w:w="100" w:type="dxa"/>
              <w:bottom w:w="100" w:type="dxa"/>
              <w:right w:w="100" w:type="dxa"/>
            </w:tcMar>
            <w:vAlign w:val="center"/>
          </w:tcPr>
          <w:p w14:paraId="4C64FD25" w14:textId="77777777" w:rsidR="0038718A" w:rsidRDefault="00BF184A">
            <w:pPr>
              <w:widowControl w:val="0"/>
              <w:pBdr>
                <w:top w:val="nil"/>
                <w:left w:val="nil"/>
                <w:bottom w:val="nil"/>
                <w:right w:val="nil"/>
                <w:between w:val="nil"/>
              </w:pBdr>
              <w:spacing w:line="240" w:lineRule="auto"/>
              <w:rPr>
                <w:b/>
                <w:bCs/>
                <w:sz w:val="16"/>
                <w:szCs w:val="16"/>
              </w:rPr>
            </w:pPr>
            <w:r>
              <w:rPr>
                <w:b/>
                <w:bCs/>
                <w:sz w:val="16"/>
                <w:szCs w:val="16"/>
              </w:rPr>
              <w:t>Ethical considerations have been taken into account</w:t>
            </w:r>
          </w:p>
        </w:tc>
        <w:tc>
          <w:tcPr>
            <w:tcW w:w="870" w:type="dxa"/>
            <w:tcMar>
              <w:top w:w="100" w:type="dxa"/>
              <w:left w:w="100" w:type="dxa"/>
              <w:bottom w:w="100" w:type="dxa"/>
              <w:right w:w="100" w:type="dxa"/>
            </w:tcMar>
            <w:vAlign w:val="center"/>
          </w:tcPr>
          <w:p w14:paraId="59505001" w14:textId="77777777" w:rsidR="0038718A" w:rsidRDefault="00BF184A">
            <w:pPr>
              <w:widowControl w:val="0"/>
              <w:pBdr>
                <w:top w:val="nil"/>
                <w:left w:val="nil"/>
                <w:bottom w:val="nil"/>
                <w:right w:val="nil"/>
                <w:between w:val="nil"/>
              </w:pBdr>
              <w:spacing w:line="240" w:lineRule="auto"/>
              <w:rPr>
                <w:b/>
                <w:bCs/>
                <w:sz w:val="16"/>
                <w:szCs w:val="16"/>
              </w:rPr>
            </w:pPr>
            <w:r>
              <w:rPr>
                <w:b/>
                <w:bCs/>
                <w:sz w:val="16"/>
                <w:szCs w:val="16"/>
              </w:rPr>
              <w:t>Data analysis has been rigorous</w:t>
            </w:r>
          </w:p>
        </w:tc>
        <w:tc>
          <w:tcPr>
            <w:tcW w:w="870" w:type="dxa"/>
            <w:tcMar>
              <w:top w:w="100" w:type="dxa"/>
              <w:left w:w="100" w:type="dxa"/>
              <w:bottom w:w="100" w:type="dxa"/>
              <w:right w:w="100" w:type="dxa"/>
            </w:tcMar>
            <w:vAlign w:val="center"/>
          </w:tcPr>
          <w:p w14:paraId="791A0EDA" w14:textId="77777777" w:rsidR="0038718A" w:rsidRDefault="00BF184A">
            <w:pPr>
              <w:widowControl w:val="0"/>
              <w:pBdr>
                <w:top w:val="nil"/>
                <w:left w:val="nil"/>
                <w:bottom w:val="nil"/>
                <w:right w:val="nil"/>
                <w:between w:val="nil"/>
              </w:pBdr>
              <w:spacing w:line="240" w:lineRule="auto"/>
              <w:rPr>
                <w:b/>
                <w:bCs/>
                <w:sz w:val="16"/>
                <w:szCs w:val="16"/>
              </w:rPr>
            </w:pPr>
            <w:r>
              <w:rPr>
                <w:b/>
                <w:bCs/>
                <w:sz w:val="16"/>
                <w:szCs w:val="16"/>
              </w:rPr>
              <w:t>Research findings clearly stated</w:t>
            </w:r>
          </w:p>
        </w:tc>
        <w:tc>
          <w:tcPr>
            <w:tcW w:w="855" w:type="dxa"/>
            <w:tcMar>
              <w:top w:w="100" w:type="dxa"/>
              <w:left w:w="100" w:type="dxa"/>
              <w:bottom w:w="100" w:type="dxa"/>
              <w:right w:w="100" w:type="dxa"/>
            </w:tcMar>
            <w:vAlign w:val="center"/>
          </w:tcPr>
          <w:p w14:paraId="77B8AEE3" w14:textId="77777777" w:rsidR="0038718A" w:rsidRDefault="00BF184A">
            <w:pPr>
              <w:widowControl w:val="0"/>
              <w:pBdr>
                <w:top w:val="nil"/>
                <w:left w:val="nil"/>
                <w:bottom w:val="nil"/>
                <w:right w:val="nil"/>
                <w:between w:val="nil"/>
              </w:pBdr>
              <w:spacing w:line="240" w:lineRule="auto"/>
              <w:rPr>
                <w:b/>
                <w:bCs/>
                <w:sz w:val="16"/>
                <w:szCs w:val="16"/>
              </w:rPr>
            </w:pPr>
            <w:r>
              <w:rPr>
                <w:b/>
                <w:bCs/>
                <w:sz w:val="16"/>
                <w:szCs w:val="16"/>
              </w:rPr>
              <w:t>Research contribution deemed valuable</w:t>
            </w:r>
          </w:p>
        </w:tc>
      </w:tr>
      <w:tr w:rsidR="0038718A" w14:paraId="2C71D3C2" w14:textId="77777777">
        <w:trPr>
          <w:jc w:val="center"/>
        </w:trPr>
        <w:tc>
          <w:tcPr>
            <w:tcW w:w="885" w:type="dxa"/>
            <w:tcMar>
              <w:top w:w="100" w:type="dxa"/>
              <w:left w:w="100" w:type="dxa"/>
              <w:bottom w:w="100" w:type="dxa"/>
              <w:right w:w="100" w:type="dxa"/>
            </w:tcMar>
            <w:vAlign w:val="center"/>
          </w:tcPr>
          <w:p w14:paraId="1FD6890B" w14:textId="77777777" w:rsidR="0038718A" w:rsidRDefault="00BF184A">
            <w:pPr>
              <w:widowControl w:val="0"/>
              <w:pBdr>
                <w:top w:val="nil"/>
                <w:left w:val="nil"/>
                <w:bottom w:val="nil"/>
                <w:right w:val="nil"/>
                <w:between w:val="nil"/>
              </w:pBdr>
              <w:spacing w:line="240" w:lineRule="auto"/>
              <w:rPr>
                <w:sz w:val="16"/>
                <w:szCs w:val="16"/>
              </w:rPr>
            </w:pPr>
            <w:r>
              <w:rPr>
                <w:sz w:val="16"/>
                <w:szCs w:val="16"/>
              </w:rPr>
              <w:t>Butler and Sherriff (2017)</w:t>
            </w:r>
          </w:p>
        </w:tc>
        <w:tc>
          <w:tcPr>
            <w:tcW w:w="885" w:type="dxa"/>
            <w:tcMar>
              <w:top w:w="100" w:type="dxa"/>
              <w:left w:w="100" w:type="dxa"/>
              <w:bottom w:w="100" w:type="dxa"/>
              <w:right w:w="100" w:type="dxa"/>
            </w:tcMar>
            <w:vAlign w:val="center"/>
          </w:tcPr>
          <w:p w14:paraId="04543063" w14:textId="77777777" w:rsidR="0038718A" w:rsidRDefault="00BF184A">
            <w:pPr>
              <w:widowControl w:val="0"/>
              <w:pBdr>
                <w:top w:val="nil"/>
                <w:left w:val="nil"/>
                <w:bottom w:val="nil"/>
                <w:right w:val="nil"/>
                <w:between w:val="nil"/>
              </w:pBdr>
              <w:spacing w:line="240" w:lineRule="auto"/>
              <w:jc w:val="center"/>
              <w:rPr>
                <w:sz w:val="16"/>
                <w:szCs w:val="16"/>
              </w:rPr>
            </w:pPr>
            <w:r>
              <w:rPr>
                <w:sz w:val="16"/>
                <w:szCs w:val="16"/>
              </w:rPr>
              <w:t>Yes</w:t>
            </w:r>
          </w:p>
        </w:tc>
        <w:tc>
          <w:tcPr>
            <w:tcW w:w="885" w:type="dxa"/>
            <w:tcMar>
              <w:top w:w="100" w:type="dxa"/>
              <w:left w:w="100" w:type="dxa"/>
              <w:bottom w:w="100" w:type="dxa"/>
              <w:right w:w="100" w:type="dxa"/>
            </w:tcMar>
            <w:vAlign w:val="center"/>
          </w:tcPr>
          <w:p w14:paraId="2CD0F1B9" w14:textId="77777777" w:rsidR="0038718A" w:rsidRDefault="00BF184A">
            <w:pPr>
              <w:widowControl w:val="0"/>
              <w:pBdr>
                <w:top w:val="nil"/>
                <w:left w:val="nil"/>
                <w:bottom w:val="nil"/>
                <w:right w:val="nil"/>
                <w:between w:val="nil"/>
              </w:pBdr>
              <w:spacing w:line="240" w:lineRule="auto"/>
              <w:jc w:val="center"/>
              <w:rPr>
                <w:sz w:val="16"/>
                <w:szCs w:val="16"/>
              </w:rPr>
            </w:pPr>
            <w:r>
              <w:rPr>
                <w:sz w:val="16"/>
                <w:szCs w:val="16"/>
              </w:rPr>
              <w:t>Yes</w:t>
            </w:r>
          </w:p>
        </w:tc>
        <w:tc>
          <w:tcPr>
            <w:tcW w:w="885" w:type="dxa"/>
            <w:tcMar>
              <w:top w:w="100" w:type="dxa"/>
              <w:left w:w="100" w:type="dxa"/>
              <w:bottom w:w="100" w:type="dxa"/>
              <w:right w:w="100" w:type="dxa"/>
            </w:tcMar>
            <w:vAlign w:val="center"/>
          </w:tcPr>
          <w:p w14:paraId="66D6230B" w14:textId="77777777" w:rsidR="0038718A" w:rsidRDefault="00BF184A">
            <w:pPr>
              <w:widowControl w:val="0"/>
              <w:pBdr>
                <w:top w:val="nil"/>
                <w:left w:val="nil"/>
                <w:bottom w:val="nil"/>
                <w:right w:val="nil"/>
                <w:between w:val="nil"/>
              </w:pBdr>
              <w:spacing w:line="240" w:lineRule="auto"/>
              <w:jc w:val="center"/>
              <w:rPr>
                <w:sz w:val="16"/>
                <w:szCs w:val="16"/>
              </w:rPr>
            </w:pPr>
            <w:r>
              <w:rPr>
                <w:sz w:val="16"/>
                <w:szCs w:val="16"/>
              </w:rPr>
              <w:t>Yes</w:t>
            </w:r>
          </w:p>
        </w:tc>
        <w:tc>
          <w:tcPr>
            <w:tcW w:w="885" w:type="dxa"/>
            <w:tcMar>
              <w:top w:w="100" w:type="dxa"/>
              <w:left w:w="100" w:type="dxa"/>
              <w:bottom w:w="100" w:type="dxa"/>
              <w:right w:w="100" w:type="dxa"/>
            </w:tcMar>
            <w:vAlign w:val="center"/>
          </w:tcPr>
          <w:p w14:paraId="400B38DC" w14:textId="77777777" w:rsidR="0038718A" w:rsidRDefault="00BF184A">
            <w:pPr>
              <w:widowControl w:val="0"/>
              <w:pBdr>
                <w:top w:val="nil"/>
                <w:left w:val="nil"/>
                <w:bottom w:val="nil"/>
                <w:right w:val="nil"/>
                <w:between w:val="nil"/>
              </w:pBdr>
              <w:spacing w:line="240" w:lineRule="auto"/>
              <w:jc w:val="center"/>
              <w:rPr>
                <w:sz w:val="16"/>
                <w:szCs w:val="16"/>
              </w:rPr>
            </w:pPr>
            <w:r>
              <w:rPr>
                <w:sz w:val="16"/>
                <w:szCs w:val="16"/>
              </w:rPr>
              <w:t>N/A</w:t>
            </w:r>
          </w:p>
        </w:tc>
        <w:tc>
          <w:tcPr>
            <w:tcW w:w="870" w:type="dxa"/>
            <w:tcMar>
              <w:top w:w="100" w:type="dxa"/>
              <w:left w:w="100" w:type="dxa"/>
              <w:bottom w:w="100" w:type="dxa"/>
              <w:right w:w="100" w:type="dxa"/>
            </w:tcMar>
            <w:vAlign w:val="center"/>
          </w:tcPr>
          <w:p w14:paraId="09911DED" w14:textId="77777777" w:rsidR="0038718A" w:rsidRDefault="00BF184A">
            <w:pPr>
              <w:widowControl w:val="0"/>
              <w:pBdr>
                <w:top w:val="nil"/>
                <w:left w:val="nil"/>
                <w:bottom w:val="nil"/>
                <w:right w:val="nil"/>
                <w:between w:val="nil"/>
              </w:pBdr>
              <w:spacing w:line="240" w:lineRule="auto"/>
              <w:jc w:val="center"/>
              <w:rPr>
                <w:sz w:val="16"/>
                <w:szCs w:val="16"/>
              </w:rPr>
            </w:pPr>
            <w:r>
              <w:rPr>
                <w:sz w:val="16"/>
                <w:szCs w:val="16"/>
              </w:rPr>
              <w:t>Yes</w:t>
            </w:r>
          </w:p>
        </w:tc>
        <w:tc>
          <w:tcPr>
            <w:tcW w:w="870" w:type="dxa"/>
            <w:tcMar>
              <w:top w:w="100" w:type="dxa"/>
              <w:left w:w="100" w:type="dxa"/>
              <w:bottom w:w="100" w:type="dxa"/>
              <w:right w:w="100" w:type="dxa"/>
            </w:tcMar>
            <w:vAlign w:val="center"/>
          </w:tcPr>
          <w:p w14:paraId="1F35C3F3" w14:textId="77777777" w:rsidR="0038718A" w:rsidRDefault="00BF184A">
            <w:pPr>
              <w:widowControl w:val="0"/>
              <w:pBdr>
                <w:top w:val="nil"/>
                <w:left w:val="nil"/>
                <w:bottom w:val="nil"/>
                <w:right w:val="nil"/>
                <w:between w:val="nil"/>
              </w:pBdr>
              <w:spacing w:line="240" w:lineRule="auto"/>
              <w:jc w:val="center"/>
              <w:rPr>
                <w:sz w:val="16"/>
                <w:szCs w:val="16"/>
              </w:rPr>
            </w:pPr>
            <w:r>
              <w:rPr>
                <w:sz w:val="16"/>
                <w:szCs w:val="16"/>
              </w:rPr>
              <w:t>N/A</w:t>
            </w:r>
          </w:p>
        </w:tc>
        <w:tc>
          <w:tcPr>
            <w:tcW w:w="870" w:type="dxa"/>
            <w:tcMar>
              <w:top w:w="100" w:type="dxa"/>
              <w:left w:w="100" w:type="dxa"/>
              <w:bottom w:w="100" w:type="dxa"/>
              <w:right w:w="100" w:type="dxa"/>
            </w:tcMar>
            <w:vAlign w:val="center"/>
          </w:tcPr>
          <w:p w14:paraId="6CAAF341" w14:textId="77777777" w:rsidR="0038718A" w:rsidRDefault="00BF184A">
            <w:pPr>
              <w:widowControl w:val="0"/>
              <w:pBdr>
                <w:top w:val="nil"/>
                <w:left w:val="nil"/>
                <w:bottom w:val="nil"/>
                <w:right w:val="nil"/>
                <w:between w:val="nil"/>
              </w:pBdr>
              <w:spacing w:line="240" w:lineRule="auto"/>
              <w:jc w:val="center"/>
              <w:rPr>
                <w:sz w:val="16"/>
                <w:szCs w:val="16"/>
              </w:rPr>
            </w:pPr>
            <w:r>
              <w:rPr>
                <w:sz w:val="16"/>
                <w:szCs w:val="16"/>
              </w:rPr>
              <w:t>No</w:t>
            </w:r>
          </w:p>
        </w:tc>
        <w:tc>
          <w:tcPr>
            <w:tcW w:w="870" w:type="dxa"/>
            <w:tcMar>
              <w:top w:w="100" w:type="dxa"/>
              <w:left w:w="100" w:type="dxa"/>
              <w:bottom w:w="100" w:type="dxa"/>
              <w:right w:w="100" w:type="dxa"/>
            </w:tcMar>
            <w:vAlign w:val="center"/>
          </w:tcPr>
          <w:p w14:paraId="7542E45E" w14:textId="77777777" w:rsidR="0038718A" w:rsidRDefault="00BF184A">
            <w:pPr>
              <w:widowControl w:val="0"/>
              <w:pBdr>
                <w:top w:val="nil"/>
                <w:left w:val="nil"/>
                <w:bottom w:val="nil"/>
                <w:right w:val="nil"/>
                <w:between w:val="nil"/>
              </w:pBdr>
              <w:spacing w:line="240" w:lineRule="auto"/>
              <w:jc w:val="center"/>
              <w:rPr>
                <w:sz w:val="16"/>
                <w:szCs w:val="16"/>
              </w:rPr>
            </w:pPr>
            <w:r>
              <w:rPr>
                <w:sz w:val="16"/>
                <w:szCs w:val="16"/>
              </w:rPr>
              <w:t>Yes</w:t>
            </w:r>
          </w:p>
        </w:tc>
        <w:tc>
          <w:tcPr>
            <w:tcW w:w="870" w:type="dxa"/>
            <w:tcMar>
              <w:top w:w="100" w:type="dxa"/>
              <w:left w:w="100" w:type="dxa"/>
              <w:bottom w:w="100" w:type="dxa"/>
              <w:right w:w="100" w:type="dxa"/>
            </w:tcMar>
            <w:vAlign w:val="center"/>
          </w:tcPr>
          <w:p w14:paraId="223FEF99" w14:textId="77777777" w:rsidR="0038718A" w:rsidRDefault="00BF184A">
            <w:pPr>
              <w:widowControl w:val="0"/>
              <w:pBdr>
                <w:top w:val="nil"/>
                <w:left w:val="nil"/>
                <w:bottom w:val="nil"/>
                <w:right w:val="nil"/>
                <w:between w:val="nil"/>
              </w:pBdr>
              <w:spacing w:line="240" w:lineRule="auto"/>
              <w:jc w:val="center"/>
              <w:rPr>
                <w:sz w:val="16"/>
                <w:szCs w:val="16"/>
              </w:rPr>
            </w:pPr>
            <w:r>
              <w:rPr>
                <w:sz w:val="16"/>
                <w:szCs w:val="16"/>
              </w:rPr>
              <w:t>Yes</w:t>
            </w:r>
          </w:p>
        </w:tc>
        <w:tc>
          <w:tcPr>
            <w:tcW w:w="855" w:type="dxa"/>
            <w:tcMar>
              <w:top w:w="100" w:type="dxa"/>
              <w:left w:w="100" w:type="dxa"/>
              <w:bottom w:w="100" w:type="dxa"/>
              <w:right w:w="100" w:type="dxa"/>
            </w:tcMar>
            <w:vAlign w:val="center"/>
          </w:tcPr>
          <w:p w14:paraId="09D78765" w14:textId="77777777" w:rsidR="0038718A" w:rsidRDefault="00BF184A">
            <w:pPr>
              <w:widowControl w:val="0"/>
              <w:pBdr>
                <w:top w:val="nil"/>
                <w:left w:val="nil"/>
                <w:bottom w:val="nil"/>
                <w:right w:val="nil"/>
                <w:between w:val="nil"/>
              </w:pBdr>
              <w:spacing w:line="240" w:lineRule="auto"/>
              <w:jc w:val="center"/>
              <w:rPr>
                <w:sz w:val="16"/>
                <w:szCs w:val="16"/>
              </w:rPr>
            </w:pPr>
            <w:r>
              <w:rPr>
                <w:sz w:val="16"/>
                <w:szCs w:val="16"/>
              </w:rPr>
              <w:t>Yes</w:t>
            </w:r>
          </w:p>
        </w:tc>
      </w:tr>
      <w:tr w:rsidR="0038718A" w14:paraId="28B450ED" w14:textId="77777777">
        <w:trPr>
          <w:jc w:val="center"/>
        </w:trPr>
        <w:tc>
          <w:tcPr>
            <w:tcW w:w="885" w:type="dxa"/>
            <w:tcMar>
              <w:top w:w="100" w:type="dxa"/>
              <w:left w:w="100" w:type="dxa"/>
              <w:bottom w:w="100" w:type="dxa"/>
              <w:right w:w="100" w:type="dxa"/>
            </w:tcMar>
            <w:vAlign w:val="center"/>
          </w:tcPr>
          <w:p w14:paraId="25D57772" w14:textId="77777777" w:rsidR="0038718A" w:rsidRDefault="00BF184A">
            <w:pPr>
              <w:widowControl w:val="0"/>
              <w:pBdr>
                <w:top w:val="nil"/>
                <w:left w:val="nil"/>
                <w:bottom w:val="nil"/>
                <w:right w:val="nil"/>
                <w:between w:val="nil"/>
              </w:pBdr>
              <w:spacing w:line="240" w:lineRule="auto"/>
              <w:rPr>
                <w:sz w:val="16"/>
                <w:szCs w:val="16"/>
              </w:rPr>
            </w:pPr>
            <w:r>
              <w:rPr>
                <w:sz w:val="16"/>
                <w:szCs w:val="16"/>
              </w:rPr>
              <w:t xml:space="preserve">Dawes </w:t>
            </w:r>
            <w:r>
              <w:rPr>
                <w:i/>
                <w:iCs/>
                <w:sz w:val="16"/>
                <w:szCs w:val="16"/>
              </w:rPr>
              <w:t>et al.</w:t>
            </w:r>
            <w:r>
              <w:rPr>
                <w:sz w:val="16"/>
                <w:szCs w:val="16"/>
              </w:rPr>
              <w:t xml:space="preserve"> (2017)</w:t>
            </w:r>
          </w:p>
        </w:tc>
        <w:tc>
          <w:tcPr>
            <w:tcW w:w="885" w:type="dxa"/>
            <w:tcMar>
              <w:top w:w="100" w:type="dxa"/>
              <w:left w:w="100" w:type="dxa"/>
              <w:bottom w:w="100" w:type="dxa"/>
              <w:right w:w="100" w:type="dxa"/>
            </w:tcMar>
            <w:vAlign w:val="center"/>
          </w:tcPr>
          <w:p w14:paraId="09540C36" w14:textId="77777777" w:rsidR="0038718A" w:rsidRDefault="00BF184A">
            <w:pPr>
              <w:widowControl w:val="0"/>
              <w:pBdr>
                <w:top w:val="nil"/>
                <w:left w:val="nil"/>
                <w:bottom w:val="nil"/>
                <w:right w:val="nil"/>
                <w:between w:val="nil"/>
              </w:pBdr>
              <w:spacing w:line="240" w:lineRule="auto"/>
              <w:jc w:val="center"/>
              <w:rPr>
                <w:sz w:val="16"/>
                <w:szCs w:val="16"/>
              </w:rPr>
            </w:pPr>
            <w:r>
              <w:rPr>
                <w:sz w:val="16"/>
                <w:szCs w:val="16"/>
              </w:rPr>
              <w:t>Yes</w:t>
            </w:r>
          </w:p>
        </w:tc>
        <w:tc>
          <w:tcPr>
            <w:tcW w:w="885" w:type="dxa"/>
            <w:tcMar>
              <w:top w:w="100" w:type="dxa"/>
              <w:left w:w="100" w:type="dxa"/>
              <w:bottom w:w="100" w:type="dxa"/>
              <w:right w:w="100" w:type="dxa"/>
            </w:tcMar>
            <w:vAlign w:val="center"/>
          </w:tcPr>
          <w:p w14:paraId="78652524" w14:textId="77777777" w:rsidR="0038718A" w:rsidRDefault="00BF184A">
            <w:pPr>
              <w:widowControl w:val="0"/>
              <w:pBdr>
                <w:top w:val="nil"/>
                <w:left w:val="nil"/>
                <w:bottom w:val="nil"/>
                <w:right w:val="nil"/>
                <w:between w:val="nil"/>
              </w:pBdr>
              <w:spacing w:line="240" w:lineRule="auto"/>
              <w:jc w:val="center"/>
              <w:rPr>
                <w:sz w:val="16"/>
                <w:szCs w:val="16"/>
              </w:rPr>
            </w:pPr>
            <w:r>
              <w:rPr>
                <w:sz w:val="16"/>
                <w:szCs w:val="16"/>
              </w:rPr>
              <w:t>Yes</w:t>
            </w:r>
          </w:p>
        </w:tc>
        <w:tc>
          <w:tcPr>
            <w:tcW w:w="885" w:type="dxa"/>
            <w:tcMar>
              <w:top w:w="100" w:type="dxa"/>
              <w:left w:w="100" w:type="dxa"/>
              <w:bottom w:w="100" w:type="dxa"/>
              <w:right w:w="100" w:type="dxa"/>
            </w:tcMar>
            <w:vAlign w:val="center"/>
          </w:tcPr>
          <w:p w14:paraId="5B4ED8C0" w14:textId="77777777" w:rsidR="0038718A" w:rsidRDefault="00BF184A">
            <w:pPr>
              <w:widowControl w:val="0"/>
              <w:pBdr>
                <w:top w:val="nil"/>
                <w:left w:val="nil"/>
                <w:bottom w:val="nil"/>
                <w:right w:val="nil"/>
                <w:between w:val="nil"/>
              </w:pBdr>
              <w:spacing w:line="240" w:lineRule="auto"/>
              <w:jc w:val="center"/>
              <w:rPr>
                <w:sz w:val="16"/>
                <w:szCs w:val="16"/>
              </w:rPr>
            </w:pPr>
            <w:r>
              <w:rPr>
                <w:sz w:val="16"/>
                <w:szCs w:val="16"/>
              </w:rPr>
              <w:t>Yes</w:t>
            </w:r>
          </w:p>
        </w:tc>
        <w:tc>
          <w:tcPr>
            <w:tcW w:w="885" w:type="dxa"/>
            <w:tcMar>
              <w:top w:w="100" w:type="dxa"/>
              <w:left w:w="100" w:type="dxa"/>
              <w:bottom w:w="100" w:type="dxa"/>
              <w:right w:w="100" w:type="dxa"/>
            </w:tcMar>
            <w:vAlign w:val="center"/>
          </w:tcPr>
          <w:p w14:paraId="7ADE358F" w14:textId="77777777" w:rsidR="0038718A" w:rsidRDefault="00BF184A">
            <w:pPr>
              <w:widowControl w:val="0"/>
              <w:pBdr>
                <w:top w:val="nil"/>
                <w:left w:val="nil"/>
                <w:bottom w:val="nil"/>
                <w:right w:val="nil"/>
                <w:between w:val="nil"/>
              </w:pBdr>
              <w:spacing w:line="240" w:lineRule="auto"/>
              <w:jc w:val="center"/>
              <w:rPr>
                <w:sz w:val="16"/>
                <w:szCs w:val="16"/>
              </w:rPr>
            </w:pPr>
            <w:r>
              <w:rPr>
                <w:sz w:val="16"/>
                <w:szCs w:val="16"/>
              </w:rPr>
              <w:t>Yes</w:t>
            </w:r>
          </w:p>
        </w:tc>
        <w:tc>
          <w:tcPr>
            <w:tcW w:w="870" w:type="dxa"/>
            <w:tcMar>
              <w:top w:w="100" w:type="dxa"/>
              <w:left w:w="100" w:type="dxa"/>
              <w:bottom w:w="100" w:type="dxa"/>
              <w:right w:w="100" w:type="dxa"/>
            </w:tcMar>
            <w:vAlign w:val="center"/>
          </w:tcPr>
          <w:p w14:paraId="39B999CC" w14:textId="77777777" w:rsidR="0038718A" w:rsidRDefault="00BF184A">
            <w:pPr>
              <w:widowControl w:val="0"/>
              <w:pBdr>
                <w:top w:val="nil"/>
                <w:left w:val="nil"/>
                <w:bottom w:val="nil"/>
                <w:right w:val="nil"/>
                <w:between w:val="nil"/>
              </w:pBdr>
              <w:spacing w:line="240" w:lineRule="auto"/>
              <w:jc w:val="center"/>
              <w:rPr>
                <w:sz w:val="16"/>
                <w:szCs w:val="16"/>
              </w:rPr>
            </w:pPr>
            <w:r>
              <w:rPr>
                <w:sz w:val="16"/>
                <w:szCs w:val="16"/>
              </w:rPr>
              <w:t>Yes</w:t>
            </w:r>
          </w:p>
        </w:tc>
        <w:tc>
          <w:tcPr>
            <w:tcW w:w="870" w:type="dxa"/>
            <w:tcMar>
              <w:top w:w="100" w:type="dxa"/>
              <w:left w:w="100" w:type="dxa"/>
              <w:bottom w:w="100" w:type="dxa"/>
              <w:right w:w="100" w:type="dxa"/>
            </w:tcMar>
            <w:vAlign w:val="center"/>
          </w:tcPr>
          <w:p w14:paraId="204E01B3" w14:textId="77777777" w:rsidR="0038718A" w:rsidRDefault="00BF184A">
            <w:pPr>
              <w:widowControl w:val="0"/>
              <w:pBdr>
                <w:top w:val="nil"/>
                <w:left w:val="nil"/>
                <w:bottom w:val="nil"/>
                <w:right w:val="nil"/>
                <w:between w:val="nil"/>
              </w:pBdr>
              <w:spacing w:line="240" w:lineRule="auto"/>
              <w:jc w:val="center"/>
              <w:rPr>
                <w:sz w:val="16"/>
                <w:szCs w:val="16"/>
              </w:rPr>
            </w:pPr>
            <w:r>
              <w:rPr>
                <w:sz w:val="16"/>
                <w:szCs w:val="16"/>
              </w:rPr>
              <w:t>Yes</w:t>
            </w:r>
          </w:p>
        </w:tc>
        <w:tc>
          <w:tcPr>
            <w:tcW w:w="870" w:type="dxa"/>
            <w:tcMar>
              <w:top w:w="100" w:type="dxa"/>
              <w:left w:w="100" w:type="dxa"/>
              <w:bottom w:w="100" w:type="dxa"/>
              <w:right w:w="100" w:type="dxa"/>
            </w:tcMar>
            <w:vAlign w:val="center"/>
          </w:tcPr>
          <w:p w14:paraId="6BA3FAA7" w14:textId="77777777" w:rsidR="0038718A" w:rsidRDefault="00BF184A">
            <w:pPr>
              <w:widowControl w:val="0"/>
              <w:pBdr>
                <w:top w:val="nil"/>
                <w:left w:val="nil"/>
                <w:bottom w:val="nil"/>
                <w:right w:val="nil"/>
                <w:between w:val="nil"/>
              </w:pBdr>
              <w:spacing w:line="240" w:lineRule="auto"/>
              <w:jc w:val="center"/>
              <w:rPr>
                <w:sz w:val="16"/>
                <w:szCs w:val="16"/>
              </w:rPr>
            </w:pPr>
            <w:r>
              <w:rPr>
                <w:sz w:val="16"/>
                <w:szCs w:val="16"/>
              </w:rPr>
              <w:t>Yes</w:t>
            </w:r>
          </w:p>
        </w:tc>
        <w:tc>
          <w:tcPr>
            <w:tcW w:w="870" w:type="dxa"/>
            <w:tcMar>
              <w:top w:w="100" w:type="dxa"/>
              <w:left w:w="100" w:type="dxa"/>
              <w:bottom w:w="100" w:type="dxa"/>
              <w:right w:w="100" w:type="dxa"/>
            </w:tcMar>
            <w:vAlign w:val="center"/>
          </w:tcPr>
          <w:p w14:paraId="0CD3D594" w14:textId="77777777" w:rsidR="0038718A" w:rsidRDefault="00BF184A">
            <w:pPr>
              <w:widowControl w:val="0"/>
              <w:pBdr>
                <w:top w:val="nil"/>
                <w:left w:val="nil"/>
                <w:bottom w:val="nil"/>
                <w:right w:val="nil"/>
                <w:between w:val="nil"/>
              </w:pBdr>
              <w:spacing w:line="240" w:lineRule="auto"/>
              <w:jc w:val="center"/>
              <w:rPr>
                <w:sz w:val="16"/>
                <w:szCs w:val="16"/>
              </w:rPr>
            </w:pPr>
            <w:r>
              <w:rPr>
                <w:sz w:val="16"/>
                <w:szCs w:val="16"/>
              </w:rPr>
              <w:t>Yes</w:t>
            </w:r>
          </w:p>
        </w:tc>
        <w:tc>
          <w:tcPr>
            <w:tcW w:w="870" w:type="dxa"/>
            <w:tcMar>
              <w:top w:w="100" w:type="dxa"/>
              <w:left w:w="100" w:type="dxa"/>
              <w:bottom w:w="100" w:type="dxa"/>
              <w:right w:w="100" w:type="dxa"/>
            </w:tcMar>
            <w:vAlign w:val="center"/>
          </w:tcPr>
          <w:p w14:paraId="35B53A73" w14:textId="77777777" w:rsidR="0038718A" w:rsidRDefault="00BF184A">
            <w:pPr>
              <w:widowControl w:val="0"/>
              <w:pBdr>
                <w:top w:val="nil"/>
                <w:left w:val="nil"/>
                <w:bottom w:val="nil"/>
                <w:right w:val="nil"/>
                <w:between w:val="nil"/>
              </w:pBdr>
              <w:spacing w:line="240" w:lineRule="auto"/>
              <w:jc w:val="center"/>
              <w:rPr>
                <w:sz w:val="16"/>
                <w:szCs w:val="16"/>
              </w:rPr>
            </w:pPr>
            <w:r>
              <w:rPr>
                <w:sz w:val="16"/>
                <w:szCs w:val="16"/>
              </w:rPr>
              <w:t>Yes</w:t>
            </w:r>
          </w:p>
        </w:tc>
        <w:tc>
          <w:tcPr>
            <w:tcW w:w="855" w:type="dxa"/>
            <w:tcMar>
              <w:top w:w="100" w:type="dxa"/>
              <w:left w:w="100" w:type="dxa"/>
              <w:bottom w:w="100" w:type="dxa"/>
              <w:right w:w="100" w:type="dxa"/>
            </w:tcMar>
            <w:vAlign w:val="center"/>
          </w:tcPr>
          <w:p w14:paraId="049023A6" w14:textId="77777777" w:rsidR="0038718A" w:rsidRDefault="00BF184A">
            <w:pPr>
              <w:widowControl w:val="0"/>
              <w:pBdr>
                <w:top w:val="nil"/>
                <w:left w:val="nil"/>
                <w:bottom w:val="nil"/>
                <w:right w:val="nil"/>
                <w:between w:val="nil"/>
              </w:pBdr>
              <w:spacing w:line="240" w:lineRule="auto"/>
              <w:jc w:val="center"/>
              <w:rPr>
                <w:sz w:val="16"/>
                <w:szCs w:val="16"/>
              </w:rPr>
            </w:pPr>
            <w:r>
              <w:rPr>
                <w:sz w:val="16"/>
                <w:szCs w:val="16"/>
              </w:rPr>
              <w:t>Yes</w:t>
            </w:r>
          </w:p>
        </w:tc>
      </w:tr>
      <w:tr w:rsidR="0038718A" w14:paraId="53383C9A" w14:textId="77777777">
        <w:trPr>
          <w:jc w:val="center"/>
        </w:trPr>
        <w:tc>
          <w:tcPr>
            <w:tcW w:w="885" w:type="dxa"/>
            <w:tcMar>
              <w:top w:w="100" w:type="dxa"/>
              <w:left w:w="100" w:type="dxa"/>
              <w:bottom w:w="100" w:type="dxa"/>
              <w:right w:w="100" w:type="dxa"/>
            </w:tcMar>
            <w:vAlign w:val="center"/>
          </w:tcPr>
          <w:p w14:paraId="289161BA" w14:textId="77777777" w:rsidR="0038718A" w:rsidRDefault="00BF184A">
            <w:pPr>
              <w:widowControl w:val="0"/>
              <w:pBdr>
                <w:top w:val="nil"/>
                <w:left w:val="nil"/>
                <w:bottom w:val="nil"/>
                <w:right w:val="nil"/>
                <w:between w:val="nil"/>
              </w:pBdr>
              <w:spacing w:line="240" w:lineRule="auto"/>
              <w:rPr>
                <w:sz w:val="16"/>
                <w:szCs w:val="16"/>
              </w:rPr>
            </w:pPr>
            <w:r>
              <w:rPr>
                <w:sz w:val="16"/>
                <w:szCs w:val="16"/>
              </w:rPr>
              <w:t xml:space="preserve">El-Hoss </w:t>
            </w:r>
            <w:r>
              <w:rPr>
                <w:i/>
                <w:iCs/>
                <w:sz w:val="16"/>
                <w:szCs w:val="16"/>
              </w:rPr>
              <w:t>et al.</w:t>
            </w:r>
            <w:r>
              <w:rPr>
                <w:sz w:val="16"/>
                <w:szCs w:val="16"/>
              </w:rPr>
              <w:t xml:space="preserve"> (2022)</w:t>
            </w:r>
          </w:p>
        </w:tc>
        <w:tc>
          <w:tcPr>
            <w:tcW w:w="885" w:type="dxa"/>
            <w:tcMar>
              <w:top w:w="100" w:type="dxa"/>
              <w:left w:w="100" w:type="dxa"/>
              <w:bottom w:w="100" w:type="dxa"/>
              <w:right w:w="100" w:type="dxa"/>
            </w:tcMar>
            <w:vAlign w:val="center"/>
          </w:tcPr>
          <w:p w14:paraId="6C5ED6F0" w14:textId="77777777" w:rsidR="0038718A" w:rsidRDefault="00BF184A">
            <w:pPr>
              <w:widowControl w:val="0"/>
              <w:spacing w:line="240" w:lineRule="auto"/>
              <w:jc w:val="center"/>
              <w:rPr>
                <w:sz w:val="16"/>
                <w:szCs w:val="16"/>
              </w:rPr>
            </w:pPr>
            <w:r>
              <w:rPr>
                <w:sz w:val="16"/>
                <w:szCs w:val="16"/>
              </w:rPr>
              <w:t>Yes</w:t>
            </w:r>
          </w:p>
        </w:tc>
        <w:tc>
          <w:tcPr>
            <w:tcW w:w="885" w:type="dxa"/>
            <w:tcMar>
              <w:top w:w="100" w:type="dxa"/>
              <w:left w:w="100" w:type="dxa"/>
              <w:bottom w:w="100" w:type="dxa"/>
              <w:right w:w="100" w:type="dxa"/>
            </w:tcMar>
            <w:vAlign w:val="center"/>
          </w:tcPr>
          <w:p w14:paraId="0D68A223" w14:textId="77777777" w:rsidR="0038718A" w:rsidRDefault="00BF184A">
            <w:pPr>
              <w:widowControl w:val="0"/>
              <w:spacing w:line="240" w:lineRule="auto"/>
              <w:jc w:val="center"/>
              <w:rPr>
                <w:sz w:val="16"/>
                <w:szCs w:val="16"/>
              </w:rPr>
            </w:pPr>
            <w:r>
              <w:rPr>
                <w:sz w:val="16"/>
                <w:szCs w:val="16"/>
              </w:rPr>
              <w:t>Yes</w:t>
            </w:r>
          </w:p>
        </w:tc>
        <w:tc>
          <w:tcPr>
            <w:tcW w:w="885" w:type="dxa"/>
            <w:tcMar>
              <w:top w:w="100" w:type="dxa"/>
              <w:left w:w="100" w:type="dxa"/>
              <w:bottom w:w="100" w:type="dxa"/>
              <w:right w:w="100" w:type="dxa"/>
            </w:tcMar>
            <w:vAlign w:val="center"/>
          </w:tcPr>
          <w:p w14:paraId="0220D03E" w14:textId="77777777" w:rsidR="0038718A" w:rsidRDefault="00BF184A">
            <w:pPr>
              <w:widowControl w:val="0"/>
              <w:spacing w:line="240" w:lineRule="auto"/>
              <w:jc w:val="center"/>
              <w:rPr>
                <w:sz w:val="16"/>
                <w:szCs w:val="16"/>
              </w:rPr>
            </w:pPr>
            <w:r>
              <w:rPr>
                <w:sz w:val="16"/>
                <w:szCs w:val="16"/>
              </w:rPr>
              <w:t>Yes</w:t>
            </w:r>
          </w:p>
        </w:tc>
        <w:tc>
          <w:tcPr>
            <w:tcW w:w="885" w:type="dxa"/>
            <w:tcMar>
              <w:top w:w="100" w:type="dxa"/>
              <w:left w:w="100" w:type="dxa"/>
              <w:bottom w:w="100" w:type="dxa"/>
              <w:right w:w="100" w:type="dxa"/>
            </w:tcMar>
            <w:vAlign w:val="center"/>
          </w:tcPr>
          <w:p w14:paraId="3FE17E7D" w14:textId="77777777" w:rsidR="0038718A" w:rsidRDefault="00BF184A">
            <w:pPr>
              <w:widowControl w:val="0"/>
              <w:spacing w:line="240" w:lineRule="auto"/>
              <w:jc w:val="center"/>
              <w:rPr>
                <w:sz w:val="16"/>
                <w:szCs w:val="16"/>
              </w:rPr>
            </w:pPr>
            <w:r>
              <w:rPr>
                <w:sz w:val="16"/>
                <w:szCs w:val="16"/>
              </w:rPr>
              <w:t>Yes</w:t>
            </w:r>
          </w:p>
        </w:tc>
        <w:tc>
          <w:tcPr>
            <w:tcW w:w="870" w:type="dxa"/>
            <w:tcMar>
              <w:top w:w="100" w:type="dxa"/>
              <w:left w:w="100" w:type="dxa"/>
              <w:bottom w:w="100" w:type="dxa"/>
              <w:right w:w="100" w:type="dxa"/>
            </w:tcMar>
            <w:vAlign w:val="center"/>
          </w:tcPr>
          <w:p w14:paraId="48BE6272" w14:textId="77777777" w:rsidR="0038718A" w:rsidRDefault="00BF184A">
            <w:pPr>
              <w:widowControl w:val="0"/>
              <w:spacing w:line="240" w:lineRule="auto"/>
              <w:jc w:val="center"/>
              <w:rPr>
                <w:sz w:val="16"/>
                <w:szCs w:val="16"/>
              </w:rPr>
            </w:pPr>
            <w:r>
              <w:rPr>
                <w:sz w:val="16"/>
                <w:szCs w:val="16"/>
              </w:rPr>
              <w:t>Yes</w:t>
            </w:r>
          </w:p>
        </w:tc>
        <w:tc>
          <w:tcPr>
            <w:tcW w:w="870" w:type="dxa"/>
            <w:tcMar>
              <w:top w:w="100" w:type="dxa"/>
              <w:left w:w="100" w:type="dxa"/>
              <w:bottom w:w="100" w:type="dxa"/>
              <w:right w:w="100" w:type="dxa"/>
            </w:tcMar>
            <w:vAlign w:val="center"/>
          </w:tcPr>
          <w:p w14:paraId="4AD38282" w14:textId="77777777" w:rsidR="0038718A" w:rsidRDefault="00BF184A">
            <w:pPr>
              <w:widowControl w:val="0"/>
              <w:spacing w:line="240" w:lineRule="auto"/>
              <w:jc w:val="center"/>
              <w:rPr>
                <w:sz w:val="16"/>
                <w:szCs w:val="16"/>
              </w:rPr>
            </w:pPr>
            <w:r>
              <w:rPr>
                <w:sz w:val="16"/>
                <w:szCs w:val="16"/>
              </w:rPr>
              <w:t>Yes</w:t>
            </w:r>
          </w:p>
        </w:tc>
        <w:tc>
          <w:tcPr>
            <w:tcW w:w="870" w:type="dxa"/>
            <w:tcMar>
              <w:top w:w="100" w:type="dxa"/>
              <w:left w:w="100" w:type="dxa"/>
              <w:bottom w:w="100" w:type="dxa"/>
              <w:right w:w="100" w:type="dxa"/>
            </w:tcMar>
            <w:vAlign w:val="center"/>
          </w:tcPr>
          <w:p w14:paraId="2F429FED" w14:textId="77777777" w:rsidR="0038718A" w:rsidRDefault="00BF184A">
            <w:pPr>
              <w:widowControl w:val="0"/>
              <w:pBdr>
                <w:top w:val="nil"/>
                <w:left w:val="nil"/>
                <w:bottom w:val="nil"/>
                <w:right w:val="nil"/>
                <w:between w:val="nil"/>
              </w:pBdr>
              <w:spacing w:line="240" w:lineRule="auto"/>
              <w:jc w:val="center"/>
              <w:rPr>
                <w:sz w:val="16"/>
                <w:szCs w:val="16"/>
              </w:rPr>
            </w:pPr>
            <w:r>
              <w:rPr>
                <w:sz w:val="16"/>
                <w:szCs w:val="16"/>
              </w:rPr>
              <w:t>Yes</w:t>
            </w:r>
          </w:p>
        </w:tc>
        <w:tc>
          <w:tcPr>
            <w:tcW w:w="870" w:type="dxa"/>
            <w:tcMar>
              <w:top w:w="100" w:type="dxa"/>
              <w:left w:w="100" w:type="dxa"/>
              <w:bottom w:w="100" w:type="dxa"/>
              <w:right w:w="100" w:type="dxa"/>
            </w:tcMar>
            <w:vAlign w:val="center"/>
          </w:tcPr>
          <w:p w14:paraId="29FE13C0" w14:textId="77777777" w:rsidR="0038718A" w:rsidRDefault="00BF184A">
            <w:pPr>
              <w:widowControl w:val="0"/>
              <w:spacing w:line="240" w:lineRule="auto"/>
              <w:jc w:val="center"/>
              <w:rPr>
                <w:sz w:val="16"/>
                <w:szCs w:val="16"/>
              </w:rPr>
            </w:pPr>
            <w:r>
              <w:rPr>
                <w:sz w:val="16"/>
                <w:szCs w:val="16"/>
              </w:rPr>
              <w:t>Yes</w:t>
            </w:r>
          </w:p>
        </w:tc>
        <w:tc>
          <w:tcPr>
            <w:tcW w:w="870" w:type="dxa"/>
            <w:tcMar>
              <w:top w:w="100" w:type="dxa"/>
              <w:left w:w="100" w:type="dxa"/>
              <w:bottom w:w="100" w:type="dxa"/>
              <w:right w:w="100" w:type="dxa"/>
            </w:tcMar>
            <w:vAlign w:val="center"/>
          </w:tcPr>
          <w:p w14:paraId="13487FA0" w14:textId="77777777" w:rsidR="0038718A" w:rsidRDefault="00BF184A">
            <w:pPr>
              <w:widowControl w:val="0"/>
              <w:spacing w:line="240" w:lineRule="auto"/>
              <w:jc w:val="center"/>
              <w:rPr>
                <w:sz w:val="16"/>
                <w:szCs w:val="16"/>
              </w:rPr>
            </w:pPr>
            <w:r>
              <w:rPr>
                <w:sz w:val="16"/>
                <w:szCs w:val="16"/>
              </w:rPr>
              <w:t>Yes</w:t>
            </w:r>
          </w:p>
        </w:tc>
        <w:tc>
          <w:tcPr>
            <w:tcW w:w="855" w:type="dxa"/>
            <w:tcMar>
              <w:top w:w="100" w:type="dxa"/>
              <w:left w:w="100" w:type="dxa"/>
              <w:bottom w:w="100" w:type="dxa"/>
              <w:right w:w="100" w:type="dxa"/>
            </w:tcMar>
            <w:vAlign w:val="center"/>
          </w:tcPr>
          <w:p w14:paraId="5F54CC8E" w14:textId="77777777" w:rsidR="0038718A" w:rsidRDefault="00BF184A">
            <w:pPr>
              <w:widowControl w:val="0"/>
              <w:spacing w:line="240" w:lineRule="auto"/>
              <w:jc w:val="center"/>
              <w:rPr>
                <w:sz w:val="16"/>
                <w:szCs w:val="16"/>
              </w:rPr>
            </w:pPr>
            <w:r>
              <w:rPr>
                <w:sz w:val="16"/>
                <w:szCs w:val="16"/>
              </w:rPr>
              <w:t>Yes</w:t>
            </w:r>
          </w:p>
        </w:tc>
      </w:tr>
      <w:tr w:rsidR="0038718A" w14:paraId="6975E1B5" w14:textId="77777777">
        <w:trPr>
          <w:jc w:val="center"/>
        </w:trPr>
        <w:tc>
          <w:tcPr>
            <w:tcW w:w="885" w:type="dxa"/>
            <w:tcMar>
              <w:top w:w="100" w:type="dxa"/>
              <w:left w:w="100" w:type="dxa"/>
              <w:bottom w:w="100" w:type="dxa"/>
              <w:right w:w="100" w:type="dxa"/>
            </w:tcMar>
            <w:vAlign w:val="center"/>
          </w:tcPr>
          <w:p w14:paraId="2F79B1B2" w14:textId="77777777" w:rsidR="0038718A" w:rsidRDefault="00BF184A">
            <w:pPr>
              <w:widowControl w:val="0"/>
              <w:pBdr>
                <w:top w:val="nil"/>
                <w:left w:val="nil"/>
                <w:bottom w:val="nil"/>
                <w:right w:val="nil"/>
                <w:between w:val="nil"/>
              </w:pBdr>
              <w:spacing w:line="240" w:lineRule="auto"/>
              <w:rPr>
                <w:sz w:val="16"/>
                <w:szCs w:val="16"/>
              </w:rPr>
            </w:pPr>
            <w:r>
              <w:rPr>
                <w:sz w:val="16"/>
                <w:szCs w:val="16"/>
              </w:rPr>
              <w:t>McKee, K. and Harris (2022)</w:t>
            </w:r>
          </w:p>
        </w:tc>
        <w:tc>
          <w:tcPr>
            <w:tcW w:w="885" w:type="dxa"/>
            <w:tcMar>
              <w:top w:w="100" w:type="dxa"/>
              <w:left w:w="100" w:type="dxa"/>
              <w:bottom w:w="100" w:type="dxa"/>
              <w:right w:w="100" w:type="dxa"/>
            </w:tcMar>
            <w:vAlign w:val="center"/>
          </w:tcPr>
          <w:p w14:paraId="6AA2B3A8" w14:textId="77777777" w:rsidR="0038718A" w:rsidRDefault="00BF184A">
            <w:pPr>
              <w:widowControl w:val="0"/>
              <w:spacing w:line="240" w:lineRule="auto"/>
              <w:jc w:val="center"/>
              <w:rPr>
                <w:sz w:val="16"/>
                <w:szCs w:val="16"/>
              </w:rPr>
            </w:pPr>
            <w:r>
              <w:rPr>
                <w:sz w:val="16"/>
                <w:szCs w:val="16"/>
              </w:rPr>
              <w:t>Yes</w:t>
            </w:r>
          </w:p>
        </w:tc>
        <w:tc>
          <w:tcPr>
            <w:tcW w:w="885" w:type="dxa"/>
            <w:tcMar>
              <w:top w:w="100" w:type="dxa"/>
              <w:left w:w="100" w:type="dxa"/>
              <w:bottom w:w="100" w:type="dxa"/>
              <w:right w:w="100" w:type="dxa"/>
            </w:tcMar>
            <w:vAlign w:val="center"/>
          </w:tcPr>
          <w:p w14:paraId="7ED3247F" w14:textId="77777777" w:rsidR="0038718A" w:rsidRDefault="00BF184A">
            <w:pPr>
              <w:widowControl w:val="0"/>
              <w:spacing w:line="240" w:lineRule="auto"/>
              <w:jc w:val="center"/>
              <w:rPr>
                <w:sz w:val="16"/>
                <w:szCs w:val="16"/>
              </w:rPr>
            </w:pPr>
            <w:r>
              <w:rPr>
                <w:sz w:val="16"/>
                <w:szCs w:val="16"/>
              </w:rPr>
              <w:t>Yes</w:t>
            </w:r>
          </w:p>
        </w:tc>
        <w:tc>
          <w:tcPr>
            <w:tcW w:w="885" w:type="dxa"/>
            <w:tcMar>
              <w:top w:w="100" w:type="dxa"/>
              <w:left w:w="100" w:type="dxa"/>
              <w:bottom w:w="100" w:type="dxa"/>
              <w:right w:w="100" w:type="dxa"/>
            </w:tcMar>
            <w:vAlign w:val="center"/>
          </w:tcPr>
          <w:p w14:paraId="052C0EA2" w14:textId="77777777" w:rsidR="0038718A" w:rsidRDefault="00BF184A">
            <w:pPr>
              <w:widowControl w:val="0"/>
              <w:spacing w:line="240" w:lineRule="auto"/>
              <w:jc w:val="center"/>
              <w:rPr>
                <w:sz w:val="16"/>
                <w:szCs w:val="16"/>
              </w:rPr>
            </w:pPr>
            <w:r>
              <w:rPr>
                <w:sz w:val="16"/>
                <w:szCs w:val="16"/>
              </w:rPr>
              <w:t>Yes</w:t>
            </w:r>
          </w:p>
        </w:tc>
        <w:tc>
          <w:tcPr>
            <w:tcW w:w="885" w:type="dxa"/>
            <w:tcMar>
              <w:top w:w="100" w:type="dxa"/>
              <w:left w:w="100" w:type="dxa"/>
              <w:bottom w:w="100" w:type="dxa"/>
              <w:right w:w="100" w:type="dxa"/>
            </w:tcMar>
            <w:vAlign w:val="center"/>
          </w:tcPr>
          <w:p w14:paraId="0639FEF3" w14:textId="77777777" w:rsidR="0038718A" w:rsidRDefault="00BF184A">
            <w:pPr>
              <w:widowControl w:val="0"/>
              <w:spacing w:line="240" w:lineRule="auto"/>
              <w:jc w:val="center"/>
              <w:rPr>
                <w:sz w:val="16"/>
                <w:szCs w:val="16"/>
              </w:rPr>
            </w:pPr>
            <w:r>
              <w:rPr>
                <w:sz w:val="16"/>
                <w:szCs w:val="16"/>
              </w:rPr>
              <w:t>Yes</w:t>
            </w:r>
          </w:p>
        </w:tc>
        <w:tc>
          <w:tcPr>
            <w:tcW w:w="870" w:type="dxa"/>
            <w:tcMar>
              <w:top w:w="100" w:type="dxa"/>
              <w:left w:w="100" w:type="dxa"/>
              <w:bottom w:w="100" w:type="dxa"/>
              <w:right w:w="100" w:type="dxa"/>
            </w:tcMar>
            <w:vAlign w:val="center"/>
          </w:tcPr>
          <w:p w14:paraId="79F65630" w14:textId="77777777" w:rsidR="0038718A" w:rsidRDefault="00BF184A">
            <w:pPr>
              <w:widowControl w:val="0"/>
              <w:spacing w:line="240" w:lineRule="auto"/>
              <w:jc w:val="center"/>
              <w:rPr>
                <w:sz w:val="16"/>
                <w:szCs w:val="16"/>
              </w:rPr>
            </w:pPr>
            <w:r>
              <w:rPr>
                <w:sz w:val="16"/>
                <w:szCs w:val="16"/>
              </w:rPr>
              <w:t>Yes</w:t>
            </w:r>
          </w:p>
        </w:tc>
        <w:tc>
          <w:tcPr>
            <w:tcW w:w="870" w:type="dxa"/>
            <w:tcMar>
              <w:top w:w="100" w:type="dxa"/>
              <w:left w:w="100" w:type="dxa"/>
              <w:bottom w:w="100" w:type="dxa"/>
              <w:right w:w="100" w:type="dxa"/>
            </w:tcMar>
            <w:vAlign w:val="center"/>
          </w:tcPr>
          <w:p w14:paraId="7A556C31" w14:textId="77777777" w:rsidR="0038718A" w:rsidRDefault="00BF184A">
            <w:pPr>
              <w:widowControl w:val="0"/>
              <w:spacing w:line="240" w:lineRule="auto"/>
              <w:jc w:val="center"/>
              <w:rPr>
                <w:sz w:val="16"/>
                <w:szCs w:val="16"/>
              </w:rPr>
            </w:pPr>
            <w:r>
              <w:rPr>
                <w:sz w:val="16"/>
                <w:szCs w:val="16"/>
              </w:rPr>
              <w:t>Yes</w:t>
            </w:r>
          </w:p>
        </w:tc>
        <w:tc>
          <w:tcPr>
            <w:tcW w:w="870" w:type="dxa"/>
            <w:tcMar>
              <w:top w:w="100" w:type="dxa"/>
              <w:left w:w="100" w:type="dxa"/>
              <w:bottom w:w="100" w:type="dxa"/>
              <w:right w:w="100" w:type="dxa"/>
            </w:tcMar>
            <w:vAlign w:val="center"/>
          </w:tcPr>
          <w:p w14:paraId="3A247E46" w14:textId="77777777" w:rsidR="0038718A" w:rsidRDefault="00BF184A">
            <w:pPr>
              <w:widowControl w:val="0"/>
              <w:spacing w:line="240" w:lineRule="auto"/>
              <w:jc w:val="center"/>
              <w:rPr>
                <w:sz w:val="16"/>
                <w:szCs w:val="16"/>
              </w:rPr>
            </w:pPr>
            <w:r>
              <w:rPr>
                <w:sz w:val="16"/>
                <w:szCs w:val="16"/>
              </w:rPr>
              <w:t>Yes</w:t>
            </w:r>
          </w:p>
        </w:tc>
        <w:tc>
          <w:tcPr>
            <w:tcW w:w="870" w:type="dxa"/>
            <w:tcMar>
              <w:top w:w="100" w:type="dxa"/>
              <w:left w:w="100" w:type="dxa"/>
              <w:bottom w:w="100" w:type="dxa"/>
              <w:right w:w="100" w:type="dxa"/>
            </w:tcMar>
            <w:vAlign w:val="center"/>
          </w:tcPr>
          <w:p w14:paraId="250D219E" w14:textId="77777777" w:rsidR="0038718A" w:rsidRDefault="00BF184A">
            <w:pPr>
              <w:widowControl w:val="0"/>
              <w:spacing w:line="240" w:lineRule="auto"/>
              <w:jc w:val="center"/>
              <w:rPr>
                <w:sz w:val="16"/>
                <w:szCs w:val="16"/>
              </w:rPr>
            </w:pPr>
            <w:r>
              <w:rPr>
                <w:sz w:val="16"/>
                <w:szCs w:val="16"/>
              </w:rPr>
              <w:t>Yes</w:t>
            </w:r>
          </w:p>
        </w:tc>
        <w:tc>
          <w:tcPr>
            <w:tcW w:w="870" w:type="dxa"/>
            <w:tcMar>
              <w:top w:w="100" w:type="dxa"/>
              <w:left w:w="100" w:type="dxa"/>
              <w:bottom w:w="100" w:type="dxa"/>
              <w:right w:w="100" w:type="dxa"/>
            </w:tcMar>
            <w:vAlign w:val="center"/>
          </w:tcPr>
          <w:p w14:paraId="03CF6A3E" w14:textId="77777777" w:rsidR="0038718A" w:rsidRDefault="00BF184A">
            <w:pPr>
              <w:widowControl w:val="0"/>
              <w:spacing w:line="240" w:lineRule="auto"/>
              <w:jc w:val="center"/>
              <w:rPr>
                <w:sz w:val="16"/>
                <w:szCs w:val="16"/>
              </w:rPr>
            </w:pPr>
            <w:r>
              <w:rPr>
                <w:sz w:val="16"/>
                <w:szCs w:val="16"/>
              </w:rPr>
              <w:t>Yes</w:t>
            </w:r>
          </w:p>
        </w:tc>
        <w:tc>
          <w:tcPr>
            <w:tcW w:w="855" w:type="dxa"/>
            <w:tcMar>
              <w:top w:w="100" w:type="dxa"/>
              <w:left w:w="100" w:type="dxa"/>
              <w:bottom w:w="100" w:type="dxa"/>
              <w:right w:w="100" w:type="dxa"/>
            </w:tcMar>
            <w:vAlign w:val="center"/>
          </w:tcPr>
          <w:p w14:paraId="472B76B5" w14:textId="77777777" w:rsidR="0038718A" w:rsidRDefault="00BF184A">
            <w:pPr>
              <w:widowControl w:val="0"/>
              <w:spacing w:line="240" w:lineRule="auto"/>
              <w:jc w:val="center"/>
              <w:rPr>
                <w:sz w:val="16"/>
                <w:szCs w:val="16"/>
              </w:rPr>
            </w:pPr>
            <w:r>
              <w:rPr>
                <w:sz w:val="16"/>
                <w:szCs w:val="16"/>
              </w:rPr>
              <w:t>Yes</w:t>
            </w:r>
          </w:p>
        </w:tc>
      </w:tr>
      <w:tr w:rsidR="0038718A" w14:paraId="5808AF72" w14:textId="77777777">
        <w:trPr>
          <w:jc w:val="center"/>
        </w:trPr>
        <w:tc>
          <w:tcPr>
            <w:tcW w:w="885" w:type="dxa"/>
            <w:tcMar>
              <w:top w:w="100" w:type="dxa"/>
              <w:left w:w="100" w:type="dxa"/>
              <w:bottom w:w="100" w:type="dxa"/>
              <w:right w:w="100" w:type="dxa"/>
            </w:tcMar>
            <w:vAlign w:val="center"/>
          </w:tcPr>
          <w:p w14:paraId="6A60C26E" w14:textId="77777777" w:rsidR="0038718A" w:rsidRDefault="00BF184A">
            <w:pPr>
              <w:widowControl w:val="0"/>
              <w:pBdr>
                <w:top w:val="nil"/>
                <w:left w:val="nil"/>
                <w:bottom w:val="nil"/>
                <w:right w:val="nil"/>
                <w:between w:val="nil"/>
              </w:pBdr>
              <w:spacing w:line="240" w:lineRule="auto"/>
              <w:rPr>
                <w:sz w:val="16"/>
                <w:szCs w:val="16"/>
              </w:rPr>
            </w:pPr>
            <w:r>
              <w:rPr>
                <w:sz w:val="16"/>
                <w:szCs w:val="16"/>
              </w:rPr>
              <w:t xml:space="preserve">McClatchey </w:t>
            </w:r>
            <w:r>
              <w:rPr>
                <w:i/>
                <w:iCs/>
                <w:sz w:val="16"/>
                <w:szCs w:val="16"/>
              </w:rPr>
              <w:t>et al</w:t>
            </w:r>
            <w:r>
              <w:rPr>
                <w:sz w:val="16"/>
                <w:szCs w:val="16"/>
              </w:rPr>
              <w:t>. (2024)</w:t>
            </w:r>
          </w:p>
        </w:tc>
        <w:tc>
          <w:tcPr>
            <w:tcW w:w="885" w:type="dxa"/>
            <w:tcMar>
              <w:top w:w="100" w:type="dxa"/>
              <w:left w:w="100" w:type="dxa"/>
              <w:bottom w:w="100" w:type="dxa"/>
              <w:right w:w="100" w:type="dxa"/>
            </w:tcMar>
            <w:vAlign w:val="center"/>
          </w:tcPr>
          <w:p w14:paraId="1D0FE276" w14:textId="77777777" w:rsidR="0038718A" w:rsidRDefault="00BF184A">
            <w:pPr>
              <w:widowControl w:val="0"/>
              <w:spacing w:line="240" w:lineRule="auto"/>
              <w:jc w:val="center"/>
              <w:rPr>
                <w:sz w:val="16"/>
                <w:szCs w:val="16"/>
              </w:rPr>
            </w:pPr>
            <w:r>
              <w:rPr>
                <w:sz w:val="16"/>
                <w:szCs w:val="16"/>
              </w:rPr>
              <w:t>Yes</w:t>
            </w:r>
          </w:p>
        </w:tc>
        <w:tc>
          <w:tcPr>
            <w:tcW w:w="885" w:type="dxa"/>
            <w:tcMar>
              <w:top w:w="100" w:type="dxa"/>
              <w:left w:w="100" w:type="dxa"/>
              <w:bottom w:w="100" w:type="dxa"/>
              <w:right w:w="100" w:type="dxa"/>
            </w:tcMar>
            <w:vAlign w:val="center"/>
          </w:tcPr>
          <w:p w14:paraId="056F7CF2" w14:textId="77777777" w:rsidR="0038718A" w:rsidRDefault="00BF184A">
            <w:pPr>
              <w:widowControl w:val="0"/>
              <w:spacing w:line="240" w:lineRule="auto"/>
              <w:jc w:val="center"/>
              <w:rPr>
                <w:sz w:val="16"/>
                <w:szCs w:val="16"/>
              </w:rPr>
            </w:pPr>
            <w:r>
              <w:rPr>
                <w:sz w:val="16"/>
                <w:szCs w:val="16"/>
              </w:rPr>
              <w:t>Yes</w:t>
            </w:r>
          </w:p>
        </w:tc>
        <w:tc>
          <w:tcPr>
            <w:tcW w:w="885" w:type="dxa"/>
            <w:tcMar>
              <w:top w:w="100" w:type="dxa"/>
              <w:left w:w="100" w:type="dxa"/>
              <w:bottom w:w="100" w:type="dxa"/>
              <w:right w:w="100" w:type="dxa"/>
            </w:tcMar>
            <w:vAlign w:val="center"/>
          </w:tcPr>
          <w:p w14:paraId="21190C9C" w14:textId="77777777" w:rsidR="0038718A" w:rsidRDefault="00BF184A">
            <w:pPr>
              <w:widowControl w:val="0"/>
              <w:spacing w:line="240" w:lineRule="auto"/>
              <w:jc w:val="center"/>
              <w:rPr>
                <w:sz w:val="16"/>
                <w:szCs w:val="16"/>
              </w:rPr>
            </w:pPr>
            <w:r>
              <w:rPr>
                <w:sz w:val="16"/>
                <w:szCs w:val="16"/>
              </w:rPr>
              <w:t>Yes</w:t>
            </w:r>
          </w:p>
        </w:tc>
        <w:tc>
          <w:tcPr>
            <w:tcW w:w="885" w:type="dxa"/>
            <w:tcMar>
              <w:top w:w="100" w:type="dxa"/>
              <w:left w:w="100" w:type="dxa"/>
              <w:bottom w:w="100" w:type="dxa"/>
              <w:right w:w="100" w:type="dxa"/>
            </w:tcMar>
            <w:vAlign w:val="center"/>
          </w:tcPr>
          <w:p w14:paraId="59057517" w14:textId="77777777" w:rsidR="0038718A" w:rsidRDefault="00BF184A">
            <w:pPr>
              <w:widowControl w:val="0"/>
              <w:spacing w:line="240" w:lineRule="auto"/>
              <w:jc w:val="center"/>
              <w:rPr>
                <w:sz w:val="16"/>
                <w:szCs w:val="16"/>
              </w:rPr>
            </w:pPr>
            <w:r>
              <w:rPr>
                <w:sz w:val="16"/>
                <w:szCs w:val="16"/>
              </w:rPr>
              <w:t>Yes</w:t>
            </w:r>
          </w:p>
        </w:tc>
        <w:tc>
          <w:tcPr>
            <w:tcW w:w="870" w:type="dxa"/>
            <w:tcMar>
              <w:top w:w="100" w:type="dxa"/>
              <w:left w:w="100" w:type="dxa"/>
              <w:bottom w:w="100" w:type="dxa"/>
              <w:right w:w="100" w:type="dxa"/>
            </w:tcMar>
            <w:vAlign w:val="center"/>
          </w:tcPr>
          <w:p w14:paraId="4169EAF1" w14:textId="77777777" w:rsidR="0038718A" w:rsidRDefault="00BF184A">
            <w:pPr>
              <w:widowControl w:val="0"/>
              <w:spacing w:line="240" w:lineRule="auto"/>
              <w:jc w:val="center"/>
              <w:rPr>
                <w:sz w:val="16"/>
                <w:szCs w:val="16"/>
              </w:rPr>
            </w:pPr>
            <w:r>
              <w:rPr>
                <w:sz w:val="16"/>
                <w:szCs w:val="16"/>
              </w:rPr>
              <w:t>Yes</w:t>
            </w:r>
          </w:p>
        </w:tc>
        <w:tc>
          <w:tcPr>
            <w:tcW w:w="870" w:type="dxa"/>
            <w:tcMar>
              <w:top w:w="100" w:type="dxa"/>
              <w:left w:w="100" w:type="dxa"/>
              <w:bottom w:w="100" w:type="dxa"/>
              <w:right w:w="100" w:type="dxa"/>
            </w:tcMar>
            <w:vAlign w:val="center"/>
          </w:tcPr>
          <w:p w14:paraId="1766F57F" w14:textId="77777777" w:rsidR="0038718A" w:rsidRDefault="00BF184A">
            <w:pPr>
              <w:widowControl w:val="0"/>
              <w:spacing w:line="240" w:lineRule="auto"/>
              <w:jc w:val="center"/>
              <w:rPr>
                <w:sz w:val="16"/>
                <w:szCs w:val="16"/>
              </w:rPr>
            </w:pPr>
            <w:r>
              <w:rPr>
                <w:sz w:val="16"/>
                <w:szCs w:val="16"/>
              </w:rPr>
              <w:t>Yes</w:t>
            </w:r>
          </w:p>
        </w:tc>
        <w:tc>
          <w:tcPr>
            <w:tcW w:w="870" w:type="dxa"/>
            <w:tcMar>
              <w:top w:w="100" w:type="dxa"/>
              <w:left w:w="100" w:type="dxa"/>
              <w:bottom w:w="100" w:type="dxa"/>
              <w:right w:w="100" w:type="dxa"/>
            </w:tcMar>
            <w:vAlign w:val="center"/>
          </w:tcPr>
          <w:p w14:paraId="63E4C9B9" w14:textId="77777777" w:rsidR="0038718A" w:rsidRDefault="00BF184A">
            <w:pPr>
              <w:widowControl w:val="0"/>
              <w:spacing w:line="240" w:lineRule="auto"/>
              <w:jc w:val="center"/>
              <w:rPr>
                <w:sz w:val="16"/>
                <w:szCs w:val="16"/>
              </w:rPr>
            </w:pPr>
            <w:r>
              <w:rPr>
                <w:sz w:val="16"/>
                <w:szCs w:val="16"/>
              </w:rPr>
              <w:t>Yes</w:t>
            </w:r>
          </w:p>
        </w:tc>
        <w:tc>
          <w:tcPr>
            <w:tcW w:w="870" w:type="dxa"/>
            <w:tcMar>
              <w:top w:w="100" w:type="dxa"/>
              <w:left w:w="100" w:type="dxa"/>
              <w:bottom w:w="100" w:type="dxa"/>
              <w:right w:w="100" w:type="dxa"/>
            </w:tcMar>
            <w:vAlign w:val="center"/>
          </w:tcPr>
          <w:p w14:paraId="5B1BAE13" w14:textId="77777777" w:rsidR="0038718A" w:rsidRDefault="00BF184A">
            <w:pPr>
              <w:widowControl w:val="0"/>
              <w:spacing w:line="240" w:lineRule="auto"/>
              <w:jc w:val="center"/>
              <w:rPr>
                <w:sz w:val="16"/>
                <w:szCs w:val="16"/>
              </w:rPr>
            </w:pPr>
            <w:r>
              <w:rPr>
                <w:sz w:val="16"/>
                <w:szCs w:val="16"/>
              </w:rPr>
              <w:t>Yes</w:t>
            </w:r>
          </w:p>
        </w:tc>
        <w:tc>
          <w:tcPr>
            <w:tcW w:w="870" w:type="dxa"/>
            <w:tcMar>
              <w:top w:w="100" w:type="dxa"/>
              <w:left w:w="100" w:type="dxa"/>
              <w:bottom w:w="100" w:type="dxa"/>
              <w:right w:w="100" w:type="dxa"/>
            </w:tcMar>
            <w:vAlign w:val="center"/>
          </w:tcPr>
          <w:p w14:paraId="4FF1F002" w14:textId="77777777" w:rsidR="0038718A" w:rsidRDefault="00BF184A">
            <w:pPr>
              <w:widowControl w:val="0"/>
              <w:spacing w:line="240" w:lineRule="auto"/>
              <w:jc w:val="center"/>
              <w:rPr>
                <w:sz w:val="16"/>
                <w:szCs w:val="16"/>
              </w:rPr>
            </w:pPr>
            <w:r>
              <w:rPr>
                <w:sz w:val="16"/>
                <w:szCs w:val="16"/>
              </w:rPr>
              <w:t>Yes</w:t>
            </w:r>
          </w:p>
        </w:tc>
        <w:tc>
          <w:tcPr>
            <w:tcW w:w="855" w:type="dxa"/>
            <w:tcMar>
              <w:top w:w="100" w:type="dxa"/>
              <w:left w:w="100" w:type="dxa"/>
              <w:bottom w:w="100" w:type="dxa"/>
              <w:right w:w="100" w:type="dxa"/>
            </w:tcMar>
            <w:vAlign w:val="center"/>
          </w:tcPr>
          <w:p w14:paraId="0F916627" w14:textId="77777777" w:rsidR="0038718A" w:rsidRDefault="00BF184A">
            <w:pPr>
              <w:widowControl w:val="0"/>
              <w:spacing w:line="240" w:lineRule="auto"/>
              <w:jc w:val="center"/>
              <w:rPr>
                <w:sz w:val="16"/>
                <w:szCs w:val="16"/>
              </w:rPr>
            </w:pPr>
            <w:r>
              <w:rPr>
                <w:sz w:val="16"/>
                <w:szCs w:val="16"/>
              </w:rPr>
              <w:t>Yes</w:t>
            </w:r>
          </w:p>
        </w:tc>
      </w:tr>
      <w:tr w:rsidR="0038718A" w14:paraId="57CB1BD6" w14:textId="77777777">
        <w:trPr>
          <w:jc w:val="center"/>
        </w:trPr>
        <w:tc>
          <w:tcPr>
            <w:tcW w:w="885" w:type="dxa"/>
            <w:tcMar>
              <w:top w:w="100" w:type="dxa"/>
              <w:left w:w="100" w:type="dxa"/>
              <w:bottom w:w="100" w:type="dxa"/>
              <w:right w:w="100" w:type="dxa"/>
            </w:tcMar>
            <w:vAlign w:val="center"/>
          </w:tcPr>
          <w:p w14:paraId="603F9AFA" w14:textId="77777777" w:rsidR="0038718A" w:rsidRDefault="00BF184A">
            <w:pPr>
              <w:widowControl w:val="0"/>
              <w:pBdr>
                <w:top w:val="nil"/>
                <w:left w:val="nil"/>
                <w:bottom w:val="nil"/>
                <w:right w:val="nil"/>
                <w:between w:val="nil"/>
              </w:pBdr>
              <w:spacing w:line="240" w:lineRule="auto"/>
              <w:rPr>
                <w:sz w:val="16"/>
                <w:szCs w:val="16"/>
              </w:rPr>
            </w:pPr>
            <w:r>
              <w:rPr>
                <w:sz w:val="16"/>
                <w:szCs w:val="16"/>
              </w:rPr>
              <w:t xml:space="preserve">Phillips </w:t>
            </w:r>
            <w:r>
              <w:rPr>
                <w:i/>
                <w:iCs/>
                <w:sz w:val="16"/>
                <w:szCs w:val="16"/>
              </w:rPr>
              <w:t>et al.,</w:t>
            </w:r>
            <w:r>
              <w:rPr>
                <w:sz w:val="16"/>
                <w:szCs w:val="16"/>
              </w:rPr>
              <w:t xml:space="preserve"> (2024)</w:t>
            </w:r>
          </w:p>
        </w:tc>
        <w:tc>
          <w:tcPr>
            <w:tcW w:w="885" w:type="dxa"/>
            <w:tcMar>
              <w:top w:w="100" w:type="dxa"/>
              <w:left w:w="100" w:type="dxa"/>
              <w:bottom w:w="100" w:type="dxa"/>
              <w:right w:w="100" w:type="dxa"/>
            </w:tcMar>
            <w:vAlign w:val="center"/>
          </w:tcPr>
          <w:p w14:paraId="03295E9D" w14:textId="77777777" w:rsidR="0038718A" w:rsidRDefault="00BF184A">
            <w:pPr>
              <w:widowControl w:val="0"/>
              <w:spacing w:line="240" w:lineRule="auto"/>
              <w:jc w:val="center"/>
              <w:rPr>
                <w:sz w:val="16"/>
                <w:szCs w:val="16"/>
              </w:rPr>
            </w:pPr>
            <w:r>
              <w:rPr>
                <w:sz w:val="16"/>
                <w:szCs w:val="16"/>
              </w:rPr>
              <w:t>Yes</w:t>
            </w:r>
          </w:p>
        </w:tc>
        <w:tc>
          <w:tcPr>
            <w:tcW w:w="885" w:type="dxa"/>
            <w:tcMar>
              <w:top w:w="100" w:type="dxa"/>
              <w:left w:w="100" w:type="dxa"/>
              <w:bottom w:w="100" w:type="dxa"/>
              <w:right w:w="100" w:type="dxa"/>
            </w:tcMar>
            <w:vAlign w:val="center"/>
          </w:tcPr>
          <w:p w14:paraId="651F4ED3" w14:textId="77777777" w:rsidR="0038718A" w:rsidRDefault="00BF184A">
            <w:pPr>
              <w:widowControl w:val="0"/>
              <w:spacing w:line="240" w:lineRule="auto"/>
              <w:jc w:val="center"/>
              <w:rPr>
                <w:sz w:val="16"/>
                <w:szCs w:val="16"/>
              </w:rPr>
            </w:pPr>
            <w:r>
              <w:rPr>
                <w:sz w:val="16"/>
                <w:szCs w:val="16"/>
              </w:rPr>
              <w:t>Yes</w:t>
            </w:r>
          </w:p>
        </w:tc>
        <w:tc>
          <w:tcPr>
            <w:tcW w:w="885" w:type="dxa"/>
            <w:tcMar>
              <w:top w:w="100" w:type="dxa"/>
              <w:left w:w="100" w:type="dxa"/>
              <w:bottom w:w="100" w:type="dxa"/>
              <w:right w:w="100" w:type="dxa"/>
            </w:tcMar>
            <w:vAlign w:val="center"/>
          </w:tcPr>
          <w:p w14:paraId="7D1FF1C8" w14:textId="77777777" w:rsidR="0038718A" w:rsidRDefault="00BF184A">
            <w:pPr>
              <w:widowControl w:val="0"/>
              <w:spacing w:line="240" w:lineRule="auto"/>
              <w:jc w:val="center"/>
              <w:rPr>
                <w:sz w:val="16"/>
                <w:szCs w:val="16"/>
              </w:rPr>
            </w:pPr>
            <w:r>
              <w:rPr>
                <w:sz w:val="16"/>
                <w:szCs w:val="16"/>
              </w:rPr>
              <w:t>Yes</w:t>
            </w:r>
          </w:p>
        </w:tc>
        <w:tc>
          <w:tcPr>
            <w:tcW w:w="885" w:type="dxa"/>
            <w:tcMar>
              <w:top w:w="100" w:type="dxa"/>
              <w:left w:w="100" w:type="dxa"/>
              <w:bottom w:w="100" w:type="dxa"/>
              <w:right w:w="100" w:type="dxa"/>
            </w:tcMar>
            <w:vAlign w:val="center"/>
          </w:tcPr>
          <w:p w14:paraId="4D8B8389" w14:textId="77777777" w:rsidR="0038718A" w:rsidRDefault="00BF184A">
            <w:pPr>
              <w:widowControl w:val="0"/>
              <w:spacing w:line="240" w:lineRule="auto"/>
              <w:jc w:val="center"/>
              <w:rPr>
                <w:sz w:val="16"/>
                <w:szCs w:val="16"/>
              </w:rPr>
            </w:pPr>
            <w:r>
              <w:rPr>
                <w:sz w:val="16"/>
                <w:szCs w:val="16"/>
              </w:rPr>
              <w:t>Yes</w:t>
            </w:r>
          </w:p>
        </w:tc>
        <w:tc>
          <w:tcPr>
            <w:tcW w:w="870" w:type="dxa"/>
            <w:tcMar>
              <w:top w:w="100" w:type="dxa"/>
              <w:left w:w="100" w:type="dxa"/>
              <w:bottom w:w="100" w:type="dxa"/>
              <w:right w:w="100" w:type="dxa"/>
            </w:tcMar>
            <w:vAlign w:val="center"/>
          </w:tcPr>
          <w:p w14:paraId="7C41FE99" w14:textId="77777777" w:rsidR="0038718A" w:rsidRDefault="00BF184A">
            <w:pPr>
              <w:widowControl w:val="0"/>
              <w:spacing w:line="240" w:lineRule="auto"/>
              <w:jc w:val="center"/>
              <w:rPr>
                <w:sz w:val="16"/>
                <w:szCs w:val="16"/>
              </w:rPr>
            </w:pPr>
            <w:r>
              <w:rPr>
                <w:sz w:val="16"/>
                <w:szCs w:val="16"/>
              </w:rPr>
              <w:t>Yes</w:t>
            </w:r>
          </w:p>
        </w:tc>
        <w:tc>
          <w:tcPr>
            <w:tcW w:w="870" w:type="dxa"/>
            <w:tcMar>
              <w:top w:w="100" w:type="dxa"/>
              <w:left w:w="100" w:type="dxa"/>
              <w:bottom w:w="100" w:type="dxa"/>
              <w:right w:w="100" w:type="dxa"/>
            </w:tcMar>
            <w:vAlign w:val="center"/>
          </w:tcPr>
          <w:p w14:paraId="0AD14000" w14:textId="77777777" w:rsidR="0038718A" w:rsidRDefault="00BF184A">
            <w:pPr>
              <w:widowControl w:val="0"/>
              <w:spacing w:line="240" w:lineRule="auto"/>
              <w:jc w:val="center"/>
              <w:rPr>
                <w:sz w:val="16"/>
                <w:szCs w:val="16"/>
              </w:rPr>
            </w:pPr>
            <w:r>
              <w:rPr>
                <w:sz w:val="16"/>
                <w:szCs w:val="16"/>
              </w:rPr>
              <w:t>Yes</w:t>
            </w:r>
          </w:p>
        </w:tc>
        <w:tc>
          <w:tcPr>
            <w:tcW w:w="870" w:type="dxa"/>
            <w:tcMar>
              <w:top w:w="100" w:type="dxa"/>
              <w:left w:w="100" w:type="dxa"/>
              <w:bottom w:w="100" w:type="dxa"/>
              <w:right w:w="100" w:type="dxa"/>
            </w:tcMar>
            <w:vAlign w:val="center"/>
          </w:tcPr>
          <w:p w14:paraId="1891029D" w14:textId="77777777" w:rsidR="0038718A" w:rsidRDefault="00BF184A">
            <w:pPr>
              <w:widowControl w:val="0"/>
              <w:spacing w:line="240" w:lineRule="auto"/>
              <w:jc w:val="center"/>
              <w:rPr>
                <w:sz w:val="16"/>
                <w:szCs w:val="16"/>
              </w:rPr>
            </w:pPr>
            <w:r>
              <w:rPr>
                <w:sz w:val="16"/>
                <w:szCs w:val="16"/>
              </w:rPr>
              <w:t>Yes</w:t>
            </w:r>
          </w:p>
        </w:tc>
        <w:tc>
          <w:tcPr>
            <w:tcW w:w="870" w:type="dxa"/>
            <w:tcMar>
              <w:top w:w="100" w:type="dxa"/>
              <w:left w:w="100" w:type="dxa"/>
              <w:bottom w:w="100" w:type="dxa"/>
              <w:right w:w="100" w:type="dxa"/>
            </w:tcMar>
            <w:vAlign w:val="center"/>
          </w:tcPr>
          <w:p w14:paraId="0E1E06DF" w14:textId="77777777" w:rsidR="0038718A" w:rsidRDefault="00BF184A">
            <w:pPr>
              <w:widowControl w:val="0"/>
              <w:spacing w:line="240" w:lineRule="auto"/>
              <w:jc w:val="center"/>
              <w:rPr>
                <w:sz w:val="16"/>
                <w:szCs w:val="16"/>
              </w:rPr>
            </w:pPr>
            <w:r>
              <w:rPr>
                <w:sz w:val="16"/>
                <w:szCs w:val="16"/>
              </w:rPr>
              <w:t>Yes</w:t>
            </w:r>
          </w:p>
        </w:tc>
        <w:tc>
          <w:tcPr>
            <w:tcW w:w="870" w:type="dxa"/>
            <w:tcMar>
              <w:top w:w="100" w:type="dxa"/>
              <w:left w:w="100" w:type="dxa"/>
              <w:bottom w:w="100" w:type="dxa"/>
              <w:right w:w="100" w:type="dxa"/>
            </w:tcMar>
            <w:vAlign w:val="center"/>
          </w:tcPr>
          <w:p w14:paraId="30FA5794" w14:textId="77777777" w:rsidR="0038718A" w:rsidRDefault="00BF184A">
            <w:pPr>
              <w:widowControl w:val="0"/>
              <w:spacing w:line="240" w:lineRule="auto"/>
              <w:jc w:val="center"/>
              <w:rPr>
                <w:sz w:val="16"/>
                <w:szCs w:val="16"/>
              </w:rPr>
            </w:pPr>
            <w:r>
              <w:rPr>
                <w:sz w:val="16"/>
                <w:szCs w:val="16"/>
              </w:rPr>
              <w:t>Yes</w:t>
            </w:r>
          </w:p>
        </w:tc>
        <w:tc>
          <w:tcPr>
            <w:tcW w:w="855" w:type="dxa"/>
            <w:tcMar>
              <w:top w:w="100" w:type="dxa"/>
              <w:left w:w="100" w:type="dxa"/>
              <w:bottom w:w="100" w:type="dxa"/>
              <w:right w:w="100" w:type="dxa"/>
            </w:tcMar>
            <w:vAlign w:val="center"/>
          </w:tcPr>
          <w:p w14:paraId="0EFE95F2" w14:textId="77777777" w:rsidR="0038718A" w:rsidRDefault="00BF184A">
            <w:pPr>
              <w:widowControl w:val="0"/>
              <w:spacing w:line="240" w:lineRule="auto"/>
              <w:jc w:val="center"/>
              <w:rPr>
                <w:sz w:val="16"/>
                <w:szCs w:val="16"/>
              </w:rPr>
            </w:pPr>
            <w:r>
              <w:rPr>
                <w:sz w:val="16"/>
                <w:szCs w:val="16"/>
              </w:rPr>
              <w:t>Yes</w:t>
            </w:r>
          </w:p>
        </w:tc>
      </w:tr>
      <w:tr w:rsidR="0038718A" w14:paraId="69D3B423" w14:textId="77777777">
        <w:trPr>
          <w:jc w:val="center"/>
        </w:trPr>
        <w:tc>
          <w:tcPr>
            <w:tcW w:w="885" w:type="dxa"/>
            <w:tcMar>
              <w:top w:w="100" w:type="dxa"/>
              <w:left w:w="100" w:type="dxa"/>
              <w:bottom w:w="100" w:type="dxa"/>
              <w:right w:w="100" w:type="dxa"/>
            </w:tcMar>
            <w:vAlign w:val="center"/>
          </w:tcPr>
          <w:p w14:paraId="25F7C00E" w14:textId="77777777" w:rsidR="0038718A" w:rsidRDefault="00BF184A">
            <w:pPr>
              <w:widowControl w:val="0"/>
              <w:pBdr>
                <w:top w:val="nil"/>
                <w:left w:val="nil"/>
                <w:bottom w:val="nil"/>
                <w:right w:val="nil"/>
                <w:between w:val="nil"/>
              </w:pBdr>
              <w:spacing w:line="240" w:lineRule="auto"/>
              <w:rPr>
                <w:sz w:val="16"/>
                <w:szCs w:val="16"/>
              </w:rPr>
            </w:pPr>
            <w:r>
              <w:rPr>
                <w:sz w:val="16"/>
                <w:szCs w:val="16"/>
              </w:rPr>
              <w:t>Sherriff</w:t>
            </w:r>
            <w:r>
              <w:rPr>
                <w:i/>
                <w:iCs/>
                <w:sz w:val="16"/>
                <w:szCs w:val="16"/>
              </w:rPr>
              <w:t xml:space="preserve"> et al., </w:t>
            </w:r>
            <w:r>
              <w:rPr>
                <w:sz w:val="16"/>
                <w:szCs w:val="16"/>
              </w:rPr>
              <w:t>(2024)</w:t>
            </w:r>
          </w:p>
        </w:tc>
        <w:tc>
          <w:tcPr>
            <w:tcW w:w="885" w:type="dxa"/>
            <w:tcMar>
              <w:top w:w="100" w:type="dxa"/>
              <w:left w:w="100" w:type="dxa"/>
              <w:bottom w:w="100" w:type="dxa"/>
              <w:right w:w="100" w:type="dxa"/>
            </w:tcMar>
            <w:vAlign w:val="center"/>
          </w:tcPr>
          <w:p w14:paraId="2C8F8E5D" w14:textId="77777777" w:rsidR="0038718A" w:rsidRDefault="00BF184A">
            <w:pPr>
              <w:widowControl w:val="0"/>
              <w:spacing w:line="240" w:lineRule="auto"/>
              <w:jc w:val="center"/>
              <w:rPr>
                <w:sz w:val="16"/>
                <w:szCs w:val="16"/>
              </w:rPr>
            </w:pPr>
            <w:r>
              <w:rPr>
                <w:sz w:val="16"/>
                <w:szCs w:val="16"/>
              </w:rPr>
              <w:t>Yes</w:t>
            </w:r>
          </w:p>
        </w:tc>
        <w:tc>
          <w:tcPr>
            <w:tcW w:w="885" w:type="dxa"/>
            <w:tcMar>
              <w:top w:w="100" w:type="dxa"/>
              <w:left w:w="100" w:type="dxa"/>
              <w:bottom w:w="100" w:type="dxa"/>
              <w:right w:w="100" w:type="dxa"/>
            </w:tcMar>
            <w:vAlign w:val="center"/>
          </w:tcPr>
          <w:p w14:paraId="1A553EE2" w14:textId="77777777" w:rsidR="0038718A" w:rsidRDefault="00BF184A">
            <w:pPr>
              <w:widowControl w:val="0"/>
              <w:spacing w:line="240" w:lineRule="auto"/>
              <w:jc w:val="center"/>
              <w:rPr>
                <w:sz w:val="16"/>
                <w:szCs w:val="16"/>
              </w:rPr>
            </w:pPr>
            <w:r>
              <w:rPr>
                <w:sz w:val="16"/>
                <w:szCs w:val="16"/>
              </w:rPr>
              <w:t>Yes</w:t>
            </w:r>
          </w:p>
        </w:tc>
        <w:tc>
          <w:tcPr>
            <w:tcW w:w="885" w:type="dxa"/>
            <w:tcMar>
              <w:top w:w="100" w:type="dxa"/>
              <w:left w:w="100" w:type="dxa"/>
              <w:bottom w:w="100" w:type="dxa"/>
              <w:right w:w="100" w:type="dxa"/>
            </w:tcMar>
            <w:vAlign w:val="center"/>
          </w:tcPr>
          <w:p w14:paraId="535A2750" w14:textId="77777777" w:rsidR="0038718A" w:rsidRDefault="00BF184A">
            <w:pPr>
              <w:widowControl w:val="0"/>
              <w:spacing w:line="240" w:lineRule="auto"/>
              <w:jc w:val="center"/>
              <w:rPr>
                <w:sz w:val="16"/>
                <w:szCs w:val="16"/>
              </w:rPr>
            </w:pPr>
            <w:r>
              <w:rPr>
                <w:sz w:val="16"/>
                <w:szCs w:val="16"/>
              </w:rPr>
              <w:t>Yes</w:t>
            </w:r>
          </w:p>
        </w:tc>
        <w:tc>
          <w:tcPr>
            <w:tcW w:w="885" w:type="dxa"/>
            <w:tcMar>
              <w:top w:w="100" w:type="dxa"/>
              <w:left w:w="100" w:type="dxa"/>
              <w:bottom w:w="100" w:type="dxa"/>
              <w:right w:w="100" w:type="dxa"/>
            </w:tcMar>
            <w:vAlign w:val="center"/>
          </w:tcPr>
          <w:p w14:paraId="44A2FF47" w14:textId="77777777" w:rsidR="0038718A" w:rsidRDefault="00BF184A">
            <w:pPr>
              <w:widowControl w:val="0"/>
              <w:spacing w:line="240" w:lineRule="auto"/>
              <w:jc w:val="center"/>
              <w:rPr>
                <w:sz w:val="16"/>
                <w:szCs w:val="16"/>
              </w:rPr>
            </w:pPr>
            <w:r>
              <w:rPr>
                <w:sz w:val="16"/>
                <w:szCs w:val="16"/>
              </w:rPr>
              <w:t>Yes</w:t>
            </w:r>
          </w:p>
        </w:tc>
        <w:tc>
          <w:tcPr>
            <w:tcW w:w="870" w:type="dxa"/>
            <w:tcMar>
              <w:top w:w="100" w:type="dxa"/>
              <w:left w:w="100" w:type="dxa"/>
              <w:bottom w:w="100" w:type="dxa"/>
              <w:right w:w="100" w:type="dxa"/>
            </w:tcMar>
            <w:vAlign w:val="center"/>
          </w:tcPr>
          <w:p w14:paraId="3C28311E" w14:textId="77777777" w:rsidR="0038718A" w:rsidRDefault="00BF184A">
            <w:pPr>
              <w:widowControl w:val="0"/>
              <w:spacing w:line="240" w:lineRule="auto"/>
              <w:jc w:val="center"/>
              <w:rPr>
                <w:sz w:val="16"/>
                <w:szCs w:val="16"/>
              </w:rPr>
            </w:pPr>
            <w:r>
              <w:rPr>
                <w:sz w:val="16"/>
                <w:szCs w:val="16"/>
              </w:rPr>
              <w:t>Yes</w:t>
            </w:r>
          </w:p>
        </w:tc>
        <w:tc>
          <w:tcPr>
            <w:tcW w:w="870" w:type="dxa"/>
            <w:tcMar>
              <w:top w:w="100" w:type="dxa"/>
              <w:left w:w="100" w:type="dxa"/>
              <w:bottom w:w="100" w:type="dxa"/>
              <w:right w:w="100" w:type="dxa"/>
            </w:tcMar>
            <w:vAlign w:val="center"/>
          </w:tcPr>
          <w:p w14:paraId="6CF11C12" w14:textId="77777777" w:rsidR="0038718A" w:rsidRDefault="00BF184A">
            <w:pPr>
              <w:widowControl w:val="0"/>
              <w:spacing w:line="240" w:lineRule="auto"/>
              <w:jc w:val="center"/>
              <w:rPr>
                <w:sz w:val="16"/>
                <w:szCs w:val="16"/>
              </w:rPr>
            </w:pPr>
            <w:r>
              <w:rPr>
                <w:sz w:val="16"/>
                <w:szCs w:val="16"/>
              </w:rPr>
              <w:t>Yes</w:t>
            </w:r>
          </w:p>
        </w:tc>
        <w:tc>
          <w:tcPr>
            <w:tcW w:w="870" w:type="dxa"/>
            <w:tcMar>
              <w:top w:w="100" w:type="dxa"/>
              <w:left w:w="100" w:type="dxa"/>
              <w:bottom w:w="100" w:type="dxa"/>
              <w:right w:w="100" w:type="dxa"/>
            </w:tcMar>
            <w:vAlign w:val="center"/>
          </w:tcPr>
          <w:p w14:paraId="78CEC603" w14:textId="77777777" w:rsidR="0038718A" w:rsidRDefault="00BF184A">
            <w:pPr>
              <w:widowControl w:val="0"/>
              <w:spacing w:line="240" w:lineRule="auto"/>
              <w:jc w:val="center"/>
              <w:rPr>
                <w:sz w:val="16"/>
                <w:szCs w:val="16"/>
              </w:rPr>
            </w:pPr>
            <w:r>
              <w:rPr>
                <w:sz w:val="16"/>
                <w:szCs w:val="16"/>
              </w:rPr>
              <w:t>Yes</w:t>
            </w:r>
          </w:p>
        </w:tc>
        <w:tc>
          <w:tcPr>
            <w:tcW w:w="870" w:type="dxa"/>
            <w:tcMar>
              <w:top w:w="100" w:type="dxa"/>
              <w:left w:w="100" w:type="dxa"/>
              <w:bottom w:w="100" w:type="dxa"/>
              <w:right w:w="100" w:type="dxa"/>
            </w:tcMar>
            <w:vAlign w:val="center"/>
          </w:tcPr>
          <w:p w14:paraId="2F8F5B73" w14:textId="77777777" w:rsidR="0038718A" w:rsidRDefault="00BF184A">
            <w:pPr>
              <w:widowControl w:val="0"/>
              <w:spacing w:line="240" w:lineRule="auto"/>
              <w:jc w:val="center"/>
              <w:rPr>
                <w:sz w:val="16"/>
                <w:szCs w:val="16"/>
              </w:rPr>
            </w:pPr>
            <w:r>
              <w:rPr>
                <w:sz w:val="16"/>
                <w:szCs w:val="16"/>
              </w:rPr>
              <w:t>Yes</w:t>
            </w:r>
          </w:p>
        </w:tc>
        <w:tc>
          <w:tcPr>
            <w:tcW w:w="870" w:type="dxa"/>
            <w:tcMar>
              <w:top w:w="100" w:type="dxa"/>
              <w:left w:w="100" w:type="dxa"/>
              <w:bottom w:w="100" w:type="dxa"/>
              <w:right w:w="100" w:type="dxa"/>
            </w:tcMar>
            <w:vAlign w:val="center"/>
          </w:tcPr>
          <w:p w14:paraId="29B41615" w14:textId="77777777" w:rsidR="0038718A" w:rsidRDefault="00BF184A">
            <w:pPr>
              <w:widowControl w:val="0"/>
              <w:spacing w:line="240" w:lineRule="auto"/>
              <w:jc w:val="center"/>
              <w:rPr>
                <w:sz w:val="16"/>
                <w:szCs w:val="16"/>
              </w:rPr>
            </w:pPr>
            <w:r>
              <w:rPr>
                <w:sz w:val="16"/>
                <w:szCs w:val="16"/>
              </w:rPr>
              <w:t>Yes</w:t>
            </w:r>
          </w:p>
        </w:tc>
        <w:tc>
          <w:tcPr>
            <w:tcW w:w="855" w:type="dxa"/>
            <w:tcMar>
              <w:top w:w="100" w:type="dxa"/>
              <w:left w:w="100" w:type="dxa"/>
              <w:bottom w:w="100" w:type="dxa"/>
              <w:right w:w="100" w:type="dxa"/>
            </w:tcMar>
            <w:vAlign w:val="center"/>
          </w:tcPr>
          <w:p w14:paraId="7CBFEC28" w14:textId="77777777" w:rsidR="0038718A" w:rsidRDefault="00BF184A">
            <w:pPr>
              <w:widowControl w:val="0"/>
              <w:spacing w:line="240" w:lineRule="auto"/>
              <w:jc w:val="center"/>
              <w:rPr>
                <w:sz w:val="16"/>
                <w:szCs w:val="16"/>
              </w:rPr>
            </w:pPr>
            <w:r>
              <w:rPr>
                <w:sz w:val="16"/>
                <w:szCs w:val="16"/>
              </w:rPr>
              <w:t>Yes</w:t>
            </w:r>
          </w:p>
        </w:tc>
      </w:tr>
      <w:tr w:rsidR="0038718A" w14:paraId="510E5C97" w14:textId="77777777">
        <w:trPr>
          <w:jc w:val="center"/>
        </w:trPr>
        <w:tc>
          <w:tcPr>
            <w:tcW w:w="885" w:type="dxa"/>
            <w:tcMar>
              <w:top w:w="100" w:type="dxa"/>
              <w:left w:w="100" w:type="dxa"/>
              <w:bottom w:w="100" w:type="dxa"/>
              <w:right w:w="100" w:type="dxa"/>
            </w:tcMar>
            <w:vAlign w:val="center"/>
          </w:tcPr>
          <w:p w14:paraId="79B29B6C" w14:textId="77777777" w:rsidR="0038718A" w:rsidRDefault="00BF184A">
            <w:pPr>
              <w:widowControl w:val="0"/>
              <w:pBdr>
                <w:top w:val="nil"/>
                <w:left w:val="nil"/>
                <w:bottom w:val="nil"/>
                <w:right w:val="nil"/>
                <w:between w:val="nil"/>
              </w:pBdr>
              <w:spacing w:line="240" w:lineRule="auto"/>
              <w:rPr>
                <w:sz w:val="16"/>
                <w:szCs w:val="16"/>
              </w:rPr>
            </w:pPr>
            <w:r>
              <w:rPr>
                <w:sz w:val="16"/>
                <w:szCs w:val="16"/>
              </w:rPr>
              <w:t xml:space="preserve">Sheringham </w:t>
            </w:r>
            <w:r>
              <w:rPr>
                <w:i/>
                <w:iCs/>
                <w:sz w:val="16"/>
                <w:szCs w:val="16"/>
              </w:rPr>
              <w:t>et al</w:t>
            </w:r>
            <w:r>
              <w:rPr>
                <w:sz w:val="16"/>
                <w:szCs w:val="16"/>
              </w:rPr>
              <w:t>. (2024)</w:t>
            </w:r>
          </w:p>
        </w:tc>
        <w:tc>
          <w:tcPr>
            <w:tcW w:w="885" w:type="dxa"/>
            <w:tcMar>
              <w:top w:w="100" w:type="dxa"/>
              <w:left w:w="100" w:type="dxa"/>
              <w:bottom w:w="100" w:type="dxa"/>
              <w:right w:w="100" w:type="dxa"/>
            </w:tcMar>
            <w:vAlign w:val="center"/>
          </w:tcPr>
          <w:p w14:paraId="54016FFA" w14:textId="77777777" w:rsidR="0038718A" w:rsidRDefault="00BF184A">
            <w:pPr>
              <w:widowControl w:val="0"/>
              <w:spacing w:line="240" w:lineRule="auto"/>
              <w:jc w:val="center"/>
              <w:rPr>
                <w:sz w:val="16"/>
                <w:szCs w:val="16"/>
              </w:rPr>
            </w:pPr>
            <w:r>
              <w:rPr>
                <w:sz w:val="16"/>
                <w:szCs w:val="16"/>
              </w:rPr>
              <w:t>Yes</w:t>
            </w:r>
          </w:p>
        </w:tc>
        <w:tc>
          <w:tcPr>
            <w:tcW w:w="885" w:type="dxa"/>
            <w:tcMar>
              <w:top w:w="100" w:type="dxa"/>
              <w:left w:w="100" w:type="dxa"/>
              <w:bottom w:w="100" w:type="dxa"/>
              <w:right w:w="100" w:type="dxa"/>
            </w:tcMar>
            <w:vAlign w:val="center"/>
          </w:tcPr>
          <w:p w14:paraId="56319951" w14:textId="77777777" w:rsidR="0038718A" w:rsidRDefault="00BF184A">
            <w:pPr>
              <w:widowControl w:val="0"/>
              <w:spacing w:line="240" w:lineRule="auto"/>
              <w:jc w:val="center"/>
              <w:rPr>
                <w:sz w:val="16"/>
                <w:szCs w:val="16"/>
              </w:rPr>
            </w:pPr>
            <w:r>
              <w:rPr>
                <w:sz w:val="16"/>
                <w:szCs w:val="16"/>
              </w:rPr>
              <w:t>Yes</w:t>
            </w:r>
          </w:p>
        </w:tc>
        <w:tc>
          <w:tcPr>
            <w:tcW w:w="885" w:type="dxa"/>
            <w:tcMar>
              <w:top w:w="100" w:type="dxa"/>
              <w:left w:w="100" w:type="dxa"/>
              <w:bottom w:w="100" w:type="dxa"/>
              <w:right w:w="100" w:type="dxa"/>
            </w:tcMar>
            <w:vAlign w:val="center"/>
          </w:tcPr>
          <w:p w14:paraId="47D3ADEA" w14:textId="77777777" w:rsidR="0038718A" w:rsidRDefault="00BF184A">
            <w:pPr>
              <w:widowControl w:val="0"/>
              <w:spacing w:line="240" w:lineRule="auto"/>
              <w:jc w:val="center"/>
              <w:rPr>
                <w:sz w:val="16"/>
                <w:szCs w:val="16"/>
              </w:rPr>
            </w:pPr>
            <w:r>
              <w:rPr>
                <w:sz w:val="16"/>
                <w:szCs w:val="16"/>
              </w:rPr>
              <w:t>Yes</w:t>
            </w:r>
          </w:p>
        </w:tc>
        <w:tc>
          <w:tcPr>
            <w:tcW w:w="885" w:type="dxa"/>
            <w:tcMar>
              <w:top w:w="100" w:type="dxa"/>
              <w:left w:w="100" w:type="dxa"/>
              <w:bottom w:w="100" w:type="dxa"/>
              <w:right w:w="100" w:type="dxa"/>
            </w:tcMar>
            <w:vAlign w:val="center"/>
          </w:tcPr>
          <w:p w14:paraId="1EC3BCA8" w14:textId="77777777" w:rsidR="0038718A" w:rsidRDefault="00BF184A">
            <w:pPr>
              <w:widowControl w:val="0"/>
              <w:spacing w:line="240" w:lineRule="auto"/>
              <w:jc w:val="center"/>
              <w:rPr>
                <w:sz w:val="16"/>
                <w:szCs w:val="16"/>
              </w:rPr>
            </w:pPr>
            <w:r>
              <w:rPr>
                <w:sz w:val="16"/>
                <w:szCs w:val="16"/>
              </w:rPr>
              <w:t>Yes</w:t>
            </w:r>
          </w:p>
        </w:tc>
        <w:tc>
          <w:tcPr>
            <w:tcW w:w="870" w:type="dxa"/>
            <w:tcMar>
              <w:top w:w="100" w:type="dxa"/>
              <w:left w:w="100" w:type="dxa"/>
              <w:bottom w:w="100" w:type="dxa"/>
              <w:right w:w="100" w:type="dxa"/>
            </w:tcMar>
            <w:vAlign w:val="center"/>
          </w:tcPr>
          <w:p w14:paraId="562939EB" w14:textId="77777777" w:rsidR="0038718A" w:rsidRDefault="00BF184A">
            <w:pPr>
              <w:widowControl w:val="0"/>
              <w:spacing w:line="240" w:lineRule="auto"/>
              <w:jc w:val="center"/>
              <w:rPr>
                <w:sz w:val="16"/>
                <w:szCs w:val="16"/>
              </w:rPr>
            </w:pPr>
            <w:r>
              <w:rPr>
                <w:sz w:val="16"/>
                <w:szCs w:val="16"/>
              </w:rPr>
              <w:t>Yes</w:t>
            </w:r>
          </w:p>
        </w:tc>
        <w:tc>
          <w:tcPr>
            <w:tcW w:w="870" w:type="dxa"/>
            <w:tcMar>
              <w:top w:w="100" w:type="dxa"/>
              <w:left w:w="100" w:type="dxa"/>
              <w:bottom w:w="100" w:type="dxa"/>
              <w:right w:w="100" w:type="dxa"/>
            </w:tcMar>
            <w:vAlign w:val="center"/>
          </w:tcPr>
          <w:p w14:paraId="069FD1C1" w14:textId="77777777" w:rsidR="0038718A" w:rsidRDefault="00BF184A">
            <w:pPr>
              <w:widowControl w:val="0"/>
              <w:spacing w:line="240" w:lineRule="auto"/>
              <w:jc w:val="center"/>
              <w:rPr>
                <w:sz w:val="16"/>
                <w:szCs w:val="16"/>
              </w:rPr>
            </w:pPr>
            <w:r>
              <w:rPr>
                <w:sz w:val="16"/>
                <w:szCs w:val="16"/>
              </w:rPr>
              <w:t>N/A</w:t>
            </w:r>
          </w:p>
        </w:tc>
        <w:tc>
          <w:tcPr>
            <w:tcW w:w="870" w:type="dxa"/>
            <w:tcMar>
              <w:top w:w="100" w:type="dxa"/>
              <w:left w:w="100" w:type="dxa"/>
              <w:bottom w:w="100" w:type="dxa"/>
              <w:right w:w="100" w:type="dxa"/>
            </w:tcMar>
            <w:vAlign w:val="center"/>
          </w:tcPr>
          <w:p w14:paraId="3C3E8360" w14:textId="77777777" w:rsidR="0038718A" w:rsidRDefault="00BF184A">
            <w:pPr>
              <w:widowControl w:val="0"/>
              <w:spacing w:line="240" w:lineRule="auto"/>
              <w:jc w:val="center"/>
              <w:rPr>
                <w:sz w:val="16"/>
                <w:szCs w:val="16"/>
              </w:rPr>
            </w:pPr>
            <w:r>
              <w:rPr>
                <w:sz w:val="16"/>
                <w:szCs w:val="16"/>
              </w:rPr>
              <w:t>Yes</w:t>
            </w:r>
          </w:p>
        </w:tc>
        <w:tc>
          <w:tcPr>
            <w:tcW w:w="870" w:type="dxa"/>
            <w:tcMar>
              <w:top w:w="100" w:type="dxa"/>
              <w:left w:w="100" w:type="dxa"/>
              <w:bottom w:w="100" w:type="dxa"/>
              <w:right w:w="100" w:type="dxa"/>
            </w:tcMar>
            <w:vAlign w:val="center"/>
          </w:tcPr>
          <w:p w14:paraId="4542BE6F" w14:textId="77777777" w:rsidR="0038718A" w:rsidRDefault="00BF184A">
            <w:pPr>
              <w:widowControl w:val="0"/>
              <w:spacing w:line="240" w:lineRule="auto"/>
              <w:jc w:val="center"/>
              <w:rPr>
                <w:sz w:val="16"/>
                <w:szCs w:val="16"/>
              </w:rPr>
            </w:pPr>
            <w:r>
              <w:rPr>
                <w:sz w:val="16"/>
                <w:szCs w:val="16"/>
              </w:rPr>
              <w:t>Yes</w:t>
            </w:r>
          </w:p>
        </w:tc>
        <w:tc>
          <w:tcPr>
            <w:tcW w:w="870" w:type="dxa"/>
            <w:tcMar>
              <w:top w:w="100" w:type="dxa"/>
              <w:left w:w="100" w:type="dxa"/>
              <w:bottom w:w="100" w:type="dxa"/>
              <w:right w:w="100" w:type="dxa"/>
            </w:tcMar>
            <w:vAlign w:val="center"/>
          </w:tcPr>
          <w:p w14:paraId="2C9089E2" w14:textId="77777777" w:rsidR="0038718A" w:rsidRDefault="00BF184A">
            <w:pPr>
              <w:widowControl w:val="0"/>
              <w:spacing w:line="240" w:lineRule="auto"/>
              <w:jc w:val="center"/>
              <w:rPr>
                <w:sz w:val="16"/>
                <w:szCs w:val="16"/>
              </w:rPr>
            </w:pPr>
            <w:r>
              <w:rPr>
                <w:sz w:val="16"/>
                <w:szCs w:val="16"/>
              </w:rPr>
              <w:t>Yes</w:t>
            </w:r>
          </w:p>
        </w:tc>
        <w:tc>
          <w:tcPr>
            <w:tcW w:w="855" w:type="dxa"/>
            <w:tcMar>
              <w:top w:w="100" w:type="dxa"/>
              <w:left w:w="100" w:type="dxa"/>
              <w:bottom w:w="100" w:type="dxa"/>
              <w:right w:w="100" w:type="dxa"/>
            </w:tcMar>
            <w:vAlign w:val="center"/>
          </w:tcPr>
          <w:p w14:paraId="4006699C" w14:textId="77777777" w:rsidR="0038718A" w:rsidRDefault="00BF184A">
            <w:pPr>
              <w:widowControl w:val="0"/>
              <w:spacing w:line="240" w:lineRule="auto"/>
              <w:jc w:val="center"/>
              <w:rPr>
                <w:sz w:val="16"/>
                <w:szCs w:val="16"/>
              </w:rPr>
            </w:pPr>
            <w:r>
              <w:rPr>
                <w:sz w:val="16"/>
                <w:szCs w:val="16"/>
              </w:rPr>
              <w:t>Yes</w:t>
            </w:r>
          </w:p>
        </w:tc>
      </w:tr>
      <w:tr w:rsidR="0038718A" w14:paraId="3902C0B8" w14:textId="77777777">
        <w:trPr>
          <w:jc w:val="center"/>
        </w:trPr>
        <w:tc>
          <w:tcPr>
            <w:tcW w:w="885" w:type="dxa"/>
            <w:tcMar>
              <w:top w:w="100" w:type="dxa"/>
              <w:left w:w="100" w:type="dxa"/>
              <w:bottom w:w="100" w:type="dxa"/>
              <w:right w:w="100" w:type="dxa"/>
            </w:tcMar>
            <w:vAlign w:val="center"/>
          </w:tcPr>
          <w:p w14:paraId="2F02DB4F" w14:textId="77777777" w:rsidR="0038718A" w:rsidRDefault="00BF184A">
            <w:pPr>
              <w:widowControl w:val="0"/>
              <w:pBdr>
                <w:top w:val="nil"/>
                <w:left w:val="nil"/>
                <w:bottom w:val="nil"/>
                <w:right w:val="nil"/>
                <w:between w:val="nil"/>
              </w:pBdr>
              <w:spacing w:line="240" w:lineRule="auto"/>
              <w:rPr>
                <w:sz w:val="16"/>
                <w:szCs w:val="16"/>
              </w:rPr>
            </w:pPr>
            <w:r>
              <w:rPr>
                <w:sz w:val="16"/>
                <w:szCs w:val="16"/>
              </w:rPr>
              <w:t>Simpson et al. (2016)</w:t>
            </w:r>
          </w:p>
        </w:tc>
        <w:tc>
          <w:tcPr>
            <w:tcW w:w="885" w:type="dxa"/>
            <w:tcMar>
              <w:top w:w="100" w:type="dxa"/>
              <w:left w:w="100" w:type="dxa"/>
              <w:bottom w:w="100" w:type="dxa"/>
              <w:right w:w="100" w:type="dxa"/>
            </w:tcMar>
            <w:vAlign w:val="center"/>
          </w:tcPr>
          <w:p w14:paraId="1BA41FFF" w14:textId="77777777" w:rsidR="0038718A" w:rsidRDefault="00BF184A">
            <w:pPr>
              <w:widowControl w:val="0"/>
              <w:spacing w:line="240" w:lineRule="auto"/>
              <w:jc w:val="center"/>
              <w:rPr>
                <w:sz w:val="16"/>
                <w:szCs w:val="16"/>
              </w:rPr>
            </w:pPr>
            <w:r>
              <w:rPr>
                <w:sz w:val="16"/>
                <w:szCs w:val="16"/>
              </w:rPr>
              <w:t>Yes</w:t>
            </w:r>
          </w:p>
        </w:tc>
        <w:tc>
          <w:tcPr>
            <w:tcW w:w="885" w:type="dxa"/>
            <w:tcMar>
              <w:top w:w="100" w:type="dxa"/>
              <w:left w:w="100" w:type="dxa"/>
              <w:bottom w:w="100" w:type="dxa"/>
              <w:right w:w="100" w:type="dxa"/>
            </w:tcMar>
            <w:vAlign w:val="center"/>
          </w:tcPr>
          <w:p w14:paraId="026C3941" w14:textId="77777777" w:rsidR="0038718A" w:rsidRDefault="00BF184A">
            <w:pPr>
              <w:widowControl w:val="0"/>
              <w:spacing w:line="240" w:lineRule="auto"/>
              <w:jc w:val="center"/>
              <w:rPr>
                <w:sz w:val="16"/>
                <w:szCs w:val="16"/>
              </w:rPr>
            </w:pPr>
            <w:r>
              <w:rPr>
                <w:sz w:val="16"/>
                <w:szCs w:val="16"/>
              </w:rPr>
              <w:t>Yes</w:t>
            </w:r>
          </w:p>
        </w:tc>
        <w:tc>
          <w:tcPr>
            <w:tcW w:w="885" w:type="dxa"/>
            <w:tcMar>
              <w:top w:w="100" w:type="dxa"/>
              <w:left w:w="100" w:type="dxa"/>
              <w:bottom w:w="100" w:type="dxa"/>
              <w:right w:w="100" w:type="dxa"/>
            </w:tcMar>
            <w:vAlign w:val="center"/>
          </w:tcPr>
          <w:p w14:paraId="0CDD2E42" w14:textId="77777777" w:rsidR="0038718A" w:rsidRDefault="00BF184A">
            <w:pPr>
              <w:widowControl w:val="0"/>
              <w:spacing w:line="240" w:lineRule="auto"/>
              <w:jc w:val="center"/>
              <w:rPr>
                <w:sz w:val="16"/>
                <w:szCs w:val="16"/>
              </w:rPr>
            </w:pPr>
            <w:r>
              <w:rPr>
                <w:sz w:val="16"/>
                <w:szCs w:val="16"/>
              </w:rPr>
              <w:t>Yes</w:t>
            </w:r>
          </w:p>
        </w:tc>
        <w:tc>
          <w:tcPr>
            <w:tcW w:w="885" w:type="dxa"/>
            <w:tcMar>
              <w:top w:w="100" w:type="dxa"/>
              <w:left w:w="100" w:type="dxa"/>
              <w:bottom w:w="100" w:type="dxa"/>
              <w:right w:w="100" w:type="dxa"/>
            </w:tcMar>
            <w:vAlign w:val="center"/>
          </w:tcPr>
          <w:p w14:paraId="1C4463F0" w14:textId="77777777" w:rsidR="0038718A" w:rsidRDefault="00BF184A">
            <w:pPr>
              <w:widowControl w:val="0"/>
              <w:spacing w:line="240" w:lineRule="auto"/>
              <w:jc w:val="center"/>
              <w:rPr>
                <w:sz w:val="16"/>
                <w:szCs w:val="16"/>
              </w:rPr>
            </w:pPr>
            <w:r>
              <w:rPr>
                <w:sz w:val="16"/>
                <w:szCs w:val="16"/>
              </w:rPr>
              <w:t>Yes</w:t>
            </w:r>
          </w:p>
        </w:tc>
        <w:tc>
          <w:tcPr>
            <w:tcW w:w="870" w:type="dxa"/>
            <w:tcMar>
              <w:top w:w="100" w:type="dxa"/>
              <w:left w:w="100" w:type="dxa"/>
              <w:bottom w:w="100" w:type="dxa"/>
              <w:right w:w="100" w:type="dxa"/>
            </w:tcMar>
            <w:vAlign w:val="center"/>
          </w:tcPr>
          <w:p w14:paraId="06BA9D03" w14:textId="77777777" w:rsidR="0038718A" w:rsidRDefault="00BF184A">
            <w:pPr>
              <w:widowControl w:val="0"/>
              <w:spacing w:line="240" w:lineRule="auto"/>
              <w:jc w:val="center"/>
              <w:rPr>
                <w:sz w:val="16"/>
                <w:szCs w:val="16"/>
              </w:rPr>
            </w:pPr>
            <w:r>
              <w:rPr>
                <w:sz w:val="16"/>
                <w:szCs w:val="16"/>
              </w:rPr>
              <w:t>Yes</w:t>
            </w:r>
          </w:p>
        </w:tc>
        <w:tc>
          <w:tcPr>
            <w:tcW w:w="870" w:type="dxa"/>
            <w:tcMar>
              <w:top w:w="100" w:type="dxa"/>
              <w:left w:w="100" w:type="dxa"/>
              <w:bottom w:w="100" w:type="dxa"/>
              <w:right w:w="100" w:type="dxa"/>
            </w:tcMar>
            <w:vAlign w:val="center"/>
          </w:tcPr>
          <w:p w14:paraId="40263479" w14:textId="77777777" w:rsidR="0038718A" w:rsidRDefault="00BF184A">
            <w:pPr>
              <w:widowControl w:val="0"/>
              <w:spacing w:line="240" w:lineRule="auto"/>
              <w:jc w:val="center"/>
              <w:rPr>
                <w:sz w:val="16"/>
                <w:szCs w:val="16"/>
              </w:rPr>
            </w:pPr>
            <w:r>
              <w:rPr>
                <w:sz w:val="16"/>
                <w:szCs w:val="16"/>
              </w:rPr>
              <w:t>Yes</w:t>
            </w:r>
          </w:p>
        </w:tc>
        <w:tc>
          <w:tcPr>
            <w:tcW w:w="870" w:type="dxa"/>
            <w:tcMar>
              <w:top w:w="100" w:type="dxa"/>
              <w:left w:w="100" w:type="dxa"/>
              <w:bottom w:w="100" w:type="dxa"/>
              <w:right w:w="100" w:type="dxa"/>
            </w:tcMar>
            <w:vAlign w:val="center"/>
          </w:tcPr>
          <w:p w14:paraId="14B7E6E1" w14:textId="77777777" w:rsidR="0038718A" w:rsidRDefault="00BF184A">
            <w:pPr>
              <w:widowControl w:val="0"/>
              <w:spacing w:line="240" w:lineRule="auto"/>
              <w:jc w:val="center"/>
              <w:rPr>
                <w:sz w:val="16"/>
                <w:szCs w:val="16"/>
              </w:rPr>
            </w:pPr>
            <w:r>
              <w:rPr>
                <w:sz w:val="16"/>
                <w:szCs w:val="16"/>
              </w:rPr>
              <w:t>Yes</w:t>
            </w:r>
          </w:p>
        </w:tc>
        <w:tc>
          <w:tcPr>
            <w:tcW w:w="870" w:type="dxa"/>
            <w:tcMar>
              <w:top w:w="100" w:type="dxa"/>
              <w:left w:w="100" w:type="dxa"/>
              <w:bottom w:w="100" w:type="dxa"/>
              <w:right w:w="100" w:type="dxa"/>
            </w:tcMar>
            <w:vAlign w:val="center"/>
          </w:tcPr>
          <w:p w14:paraId="6E210A98" w14:textId="77777777" w:rsidR="0038718A" w:rsidRDefault="00BF184A">
            <w:pPr>
              <w:widowControl w:val="0"/>
              <w:spacing w:line="240" w:lineRule="auto"/>
              <w:jc w:val="center"/>
              <w:rPr>
                <w:sz w:val="16"/>
                <w:szCs w:val="16"/>
              </w:rPr>
            </w:pPr>
            <w:r>
              <w:rPr>
                <w:sz w:val="16"/>
                <w:szCs w:val="16"/>
              </w:rPr>
              <w:t>Yes</w:t>
            </w:r>
          </w:p>
        </w:tc>
        <w:tc>
          <w:tcPr>
            <w:tcW w:w="870" w:type="dxa"/>
            <w:tcMar>
              <w:top w:w="100" w:type="dxa"/>
              <w:left w:w="100" w:type="dxa"/>
              <w:bottom w:w="100" w:type="dxa"/>
              <w:right w:w="100" w:type="dxa"/>
            </w:tcMar>
            <w:vAlign w:val="center"/>
          </w:tcPr>
          <w:p w14:paraId="04A066A7" w14:textId="77777777" w:rsidR="0038718A" w:rsidRDefault="00BF184A">
            <w:pPr>
              <w:widowControl w:val="0"/>
              <w:spacing w:line="240" w:lineRule="auto"/>
              <w:jc w:val="center"/>
              <w:rPr>
                <w:sz w:val="16"/>
                <w:szCs w:val="16"/>
              </w:rPr>
            </w:pPr>
            <w:r>
              <w:rPr>
                <w:sz w:val="16"/>
                <w:szCs w:val="16"/>
              </w:rPr>
              <w:t>Yes</w:t>
            </w:r>
          </w:p>
        </w:tc>
        <w:tc>
          <w:tcPr>
            <w:tcW w:w="855" w:type="dxa"/>
            <w:tcMar>
              <w:top w:w="100" w:type="dxa"/>
              <w:left w:w="100" w:type="dxa"/>
              <w:bottom w:w="100" w:type="dxa"/>
              <w:right w:w="100" w:type="dxa"/>
            </w:tcMar>
            <w:vAlign w:val="center"/>
          </w:tcPr>
          <w:p w14:paraId="188ECAB2" w14:textId="77777777" w:rsidR="0038718A" w:rsidRDefault="00BF184A">
            <w:pPr>
              <w:widowControl w:val="0"/>
              <w:spacing w:line="240" w:lineRule="auto"/>
              <w:jc w:val="center"/>
              <w:rPr>
                <w:sz w:val="16"/>
                <w:szCs w:val="16"/>
              </w:rPr>
            </w:pPr>
            <w:r>
              <w:rPr>
                <w:sz w:val="16"/>
                <w:szCs w:val="16"/>
              </w:rPr>
              <w:t>Yes</w:t>
            </w:r>
          </w:p>
        </w:tc>
      </w:tr>
      <w:tr w:rsidR="0038718A" w14:paraId="27CA497B" w14:textId="77777777">
        <w:trPr>
          <w:jc w:val="center"/>
        </w:trPr>
        <w:tc>
          <w:tcPr>
            <w:tcW w:w="885" w:type="dxa"/>
            <w:tcMar>
              <w:top w:w="100" w:type="dxa"/>
              <w:left w:w="100" w:type="dxa"/>
              <w:bottom w:w="100" w:type="dxa"/>
              <w:right w:w="100" w:type="dxa"/>
            </w:tcMar>
            <w:vAlign w:val="center"/>
          </w:tcPr>
          <w:p w14:paraId="39A81335" w14:textId="77777777" w:rsidR="0038718A" w:rsidRDefault="00BF184A">
            <w:pPr>
              <w:widowControl w:val="0"/>
              <w:pBdr>
                <w:top w:val="nil"/>
                <w:left w:val="nil"/>
                <w:bottom w:val="nil"/>
                <w:right w:val="nil"/>
                <w:between w:val="nil"/>
              </w:pBdr>
              <w:spacing w:line="240" w:lineRule="auto"/>
              <w:rPr>
                <w:sz w:val="16"/>
                <w:szCs w:val="16"/>
              </w:rPr>
            </w:pPr>
            <w:r>
              <w:rPr>
                <w:sz w:val="16"/>
                <w:szCs w:val="16"/>
              </w:rPr>
              <w:t xml:space="preserve">Tod </w:t>
            </w:r>
            <w:r>
              <w:rPr>
                <w:i/>
                <w:iCs/>
                <w:sz w:val="16"/>
                <w:szCs w:val="16"/>
              </w:rPr>
              <w:t>et al</w:t>
            </w:r>
            <w:r>
              <w:rPr>
                <w:sz w:val="16"/>
                <w:szCs w:val="16"/>
              </w:rPr>
              <w:t>. (2024)</w:t>
            </w:r>
          </w:p>
        </w:tc>
        <w:tc>
          <w:tcPr>
            <w:tcW w:w="885" w:type="dxa"/>
            <w:tcMar>
              <w:top w:w="100" w:type="dxa"/>
              <w:left w:w="100" w:type="dxa"/>
              <w:bottom w:w="100" w:type="dxa"/>
              <w:right w:w="100" w:type="dxa"/>
            </w:tcMar>
            <w:vAlign w:val="center"/>
          </w:tcPr>
          <w:p w14:paraId="7FF5B337" w14:textId="77777777" w:rsidR="0038718A" w:rsidRDefault="00BF184A">
            <w:pPr>
              <w:widowControl w:val="0"/>
              <w:spacing w:line="240" w:lineRule="auto"/>
              <w:jc w:val="center"/>
              <w:rPr>
                <w:sz w:val="16"/>
                <w:szCs w:val="16"/>
              </w:rPr>
            </w:pPr>
            <w:r>
              <w:rPr>
                <w:sz w:val="16"/>
                <w:szCs w:val="16"/>
              </w:rPr>
              <w:t>Yes</w:t>
            </w:r>
          </w:p>
        </w:tc>
        <w:tc>
          <w:tcPr>
            <w:tcW w:w="885" w:type="dxa"/>
            <w:tcMar>
              <w:top w:w="100" w:type="dxa"/>
              <w:left w:w="100" w:type="dxa"/>
              <w:bottom w:w="100" w:type="dxa"/>
              <w:right w:w="100" w:type="dxa"/>
            </w:tcMar>
            <w:vAlign w:val="center"/>
          </w:tcPr>
          <w:p w14:paraId="0FE93274" w14:textId="77777777" w:rsidR="0038718A" w:rsidRDefault="00BF184A">
            <w:pPr>
              <w:widowControl w:val="0"/>
              <w:spacing w:line="240" w:lineRule="auto"/>
              <w:jc w:val="center"/>
              <w:rPr>
                <w:sz w:val="16"/>
                <w:szCs w:val="16"/>
              </w:rPr>
            </w:pPr>
            <w:r>
              <w:rPr>
                <w:sz w:val="16"/>
                <w:szCs w:val="16"/>
              </w:rPr>
              <w:t>Yes</w:t>
            </w:r>
          </w:p>
        </w:tc>
        <w:tc>
          <w:tcPr>
            <w:tcW w:w="885" w:type="dxa"/>
            <w:tcMar>
              <w:top w:w="100" w:type="dxa"/>
              <w:left w:w="100" w:type="dxa"/>
              <w:bottom w:w="100" w:type="dxa"/>
              <w:right w:w="100" w:type="dxa"/>
            </w:tcMar>
            <w:vAlign w:val="center"/>
          </w:tcPr>
          <w:p w14:paraId="00414E28" w14:textId="77777777" w:rsidR="0038718A" w:rsidRDefault="00BF184A">
            <w:pPr>
              <w:widowControl w:val="0"/>
              <w:spacing w:line="240" w:lineRule="auto"/>
              <w:jc w:val="center"/>
              <w:rPr>
                <w:sz w:val="16"/>
                <w:szCs w:val="16"/>
              </w:rPr>
            </w:pPr>
            <w:r>
              <w:rPr>
                <w:sz w:val="16"/>
                <w:szCs w:val="16"/>
              </w:rPr>
              <w:t>Yes</w:t>
            </w:r>
          </w:p>
        </w:tc>
        <w:tc>
          <w:tcPr>
            <w:tcW w:w="885" w:type="dxa"/>
            <w:tcMar>
              <w:top w:w="100" w:type="dxa"/>
              <w:left w:w="100" w:type="dxa"/>
              <w:bottom w:w="100" w:type="dxa"/>
              <w:right w:w="100" w:type="dxa"/>
            </w:tcMar>
            <w:vAlign w:val="center"/>
          </w:tcPr>
          <w:p w14:paraId="646008FB" w14:textId="77777777" w:rsidR="0038718A" w:rsidRDefault="00BF184A">
            <w:pPr>
              <w:widowControl w:val="0"/>
              <w:spacing w:line="240" w:lineRule="auto"/>
              <w:jc w:val="center"/>
              <w:rPr>
                <w:sz w:val="16"/>
                <w:szCs w:val="16"/>
              </w:rPr>
            </w:pPr>
            <w:r>
              <w:rPr>
                <w:sz w:val="16"/>
                <w:szCs w:val="16"/>
              </w:rPr>
              <w:t>Yes</w:t>
            </w:r>
          </w:p>
        </w:tc>
        <w:tc>
          <w:tcPr>
            <w:tcW w:w="870" w:type="dxa"/>
            <w:tcMar>
              <w:top w:w="100" w:type="dxa"/>
              <w:left w:w="100" w:type="dxa"/>
              <w:bottom w:w="100" w:type="dxa"/>
              <w:right w:w="100" w:type="dxa"/>
            </w:tcMar>
            <w:vAlign w:val="center"/>
          </w:tcPr>
          <w:p w14:paraId="534564B8" w14:textId="77777777" w:rsidR="0038718A" w:rsidRDefault="00BF184A">
            <w:pPr>
              <w:widowControl w:val="0"/>
              <w:spacing w:line="240" w:lineRule="auto"/>
              <w:jc w:val="center"/>
              <w:rPr>
                <w:sz w:val="16"/>
                <w:szCs w:val="16"/>
              </w:rPr>
            </w:pPr>
            <w:r>
              <w:rPr>
                <w:sz w:val="16"/>
                <w:szCs w:val="16"/>
              </w:rPr>
              <w:t>Yes</w:t>
            </w:r>
          </w:p>
        </w:tc>
        <w:tc>
          <w:tcPr>
            <w:tcW w:w="870" w:type="dxa"/>
            <w:tcMar>
              <w:top w:w="100" w:type="dxa"/>
              <w:left w:w="100" w:type="dxa"/>
              <w:bottom w:w="100" w:type="dxa"/>
              <w:right w:w="100" w:type="dxa"/>
            </w:tcMar>
            <w:vAlign w:val="center"/>
          </w:tcPr>
          <w:p w14:paraId="2835BF69" w14:textId="77777777" w:rsidR="0038718A" w:rsidRDefault="00BF184A">
            <w:pPr>
              <w:widowControl w:val="0"/>
              <w:spacing w:line="240" w:lineRule="auto"/>
              <w:jc w:val="center"/>
              <w:rPr>
                <w:sz w:val="16"/>
                <w:szCs w:val="16"/>
              </w:rPr>
            </w:pPr>
            <w:r>
              <w:rPr>
                <w:sz w:val="16"/>
                <w:szCs w:val="16"/>
              </w:rPr>
              <w:t>Yes</w:t>
            </w:r>
          </w:p>
        </w:tc>
        <w:tc>
          <w:tcPr>
            <w:tcW w:w="870" w:type="dxa"/>
            <w:tcMar>
              <w:top w:w="100" w:type="dxa"/>
              <w:left w:w="100" w:type="dxa"/>
              <w:bottom w:w="100" w:type="dxa"/>
              <w:right w:w="100" w:type="dxa"/>
            </w:tcMar>
            <w:vAlign w:val="center"/>
          </w:tcPr>
          <w:p w14:paraId="30FCED72" w14:textId="77777777" w:rsidR="0038718A" w:rsidRDefault="00BF184A">
            <w:pPr>
              <w:widowControl w:val="0"/>
              <w:spacing w:line="240" w:lineRule="auto"/>
              <w:jc w:val="center"/>
              <w:rPr>
                <w:sz w:val="16"/>
                <w:szCs w:val="16"/>
              </w:rPr>
            </w:pPr>
            <w:r>
              <w:rPr>
                <w:sz w:val="16"/>
                <w:szCs w:val="16"/>
              </w:rPr>
              <w:t>Yes</w:t>
            </w:r>
          </w:p>
        </w:tc>
        <w:tc>
          <w:tcPr>
            <w:tcW w:w="870" w:type="dxa"/>
            <w:tcMar>
              <w:top w:w="100" w:type="dxa"/>
              <w:left w:w="100" w:type="dxa"/>
              <w:bottom w:w="100" w:type="dxa"/>
              <w:right w:w="100" w:type="dxa"/>
            </w:tcMar>
            <w:vAlign w:val="center"/>
          </w:tcPr>
          <w:p w14:paraId="722E0122" w14:textId="77777777" w:rsidR="0038718A" w:rsidRDefault="00BF184A">
            <w:pPr>
              <w:widowControl w:val="0"/>
              <w:spacing w:line="240" w:lineRule="auto"/>
              <w:jc w:val="center"/>
              <w:rPr>
                <w:sz w:val="16"/>
                <w:szCs w:val="16"/>
              </w:rPr>
            </w:pPr>
            <w:r>
              <w:rPr>
                <w:sz w:val="16"/>
                <w:szCs w:val="16"/>
              </w:rPr>
              <w:t>Yes</w:t>
            </w:r>
          </w:p>
        </w:tc>
        <w:tc>
          <w:tcPr>
            <w:tcW w:w="870" w:type="dxa"/>
            <w:tcMar>
              <w:top w:w="100" w:type="dxa"/>
              <w:left w:w="100" w:type="dxa"/>
              <w:bottom w:w="100" w:type="dxa"/>
              <w:right w:w="100" w:type="dxa"/>
            </w:tcMar>
            <w:vAlign w:val="center"/>
          </w:tcPr>
          <w:p w14:paraId="69EE6392" w14:textId="77777777" w:rsidR="0038718A" w:rsidRDefault="00BF184A">
            <w:pPr>
              <w:widowControl w:val="0"/>
              <w:spacing w:line="240" w:lineRule="auto"/>
              <w:jc w:val="center"/>
              <w:rPr>
                <w:sz w:val="16"/>
                <w:szCs w:val="16"/>
              </w:rPr>
            </w:pPr>
            <w:r>
              <w:rPr>
                <w:sz w:val="16"/>
                <w:szCs w:val="16"/>
              </w:rPr>
              <w:t>Yes</w:t>
            </w:r>
          </w:p>
        </w:tc>
        <w:tc>
          <w:tcPr>
            <w:tcW w:w="855" w:type="dxa"/>
            <w:tcMar>
              <w:top w:w="100" w:type="dxa"/>
              <w:left w:w="100" w:type="dxa"/>
              <w:bottom w:w="100" w:type="dxa"/>
              <w:right w:w="100" w:type="dxa"/>
            </w:tcMar>
            <w:vAlign w:val="center"/>
          </w:tcPr>
          <w:p w14:paraId="796EB95E" w14:textId="77777777" w:rsidR="0038718A" w:rsidRDefault="00BF184A">
            <w:pPr>
              <w:widowControl w:val="0"/>
              <w:spacing w:line="240" w:lineRule="auto"/>
              <w:jc w:val="center"/>
              <w:rPr>
                <w:sz w:val="16"/>
                <w:szCs w:val="16"/>
              </w:rPr>
            </w:pPr>
            <w:r>
              <w:rPr>
                <w:sz w:val="16"/>
                <w:szCs w:val="16"/>
              </w:rPr>
              <w:t>Yes</w:t>
            </w:r>
          </w:p>
        </w:tc>
      </w:tr>
    </w:tbl>
    <w:p w14:paraId="1671B09A" w14:textId="77777777" w:rsidR="0038718A" w:rsidRDefault="0038718A">
      <w:pPr>
        <w:sectPr w:rsidR="0038718A">
          <w:headerReference w:type="default" r:id="rId122"/>
          <w:footerReference w:type="even" r:id="rId123"/>
          <w:footerReference w:type="default" r:id="rId124"/>
          <w:footerReference w:type="first" r:id="rId125"/>
          <w:pgSz w:w="11906" w:h="16838"/>
          <w:pgMar w:top="1440" w:right="1440" w:bottom="1440" w:left="1440" w:header="708" w:footer="708" w:gutter="0"/>
          <w:pgNumType w:start="1"/>
          <w:cols w:space="720"/>
        </w:sectPr>
      </w:pPr>
    </w:p>
    <w:p w14:paraId="2290D146" w14:textId="77777777" w:rsidR="0038718A" w:rsidRDefault="0038718A"/>
    <w:sectPr w:rsidR="0038718A">
      <w:headerReference w:type="default" r:id="rId126"/>
      <w:pgSz w:w="11906" w:h="16838"/>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3DFB50" w14:textId="77777777" w:rsidR="000E3FC3" w:rsidRDefault="000E3FC3">
      <w:pPr>
        <w:spacing w:after="0" w:line="240" w:lineRule="auto"/>
      </w:pPr>
      <w:r>
        <w:separator/>
      </w:r>
    </w:p>
  </w:endnote>
  <w:endnote w:type="continuationSeparator" w:id="0">
    <w:p w14:paraId="4445F3DC" w14:textId="77777777" w:rsidR="000E3FC3" w:rsidRDefault="000E3F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Noto Sans Symbols">
    <w:altName w:val="Calibri"/>
    <w:charset w:val="00"/>
    <w:family w:val="swiss"/>
    <w:pitch w:val="variable"/>
    <w:sig w:usb0="00000003" w:usb1="0200E0A0" w:usb2="00000000" w:usb3="00000000" w:csb0="00000001"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embedItalic r:id="rId1" w:fontKey="{BB66963B-4CED-4AAA-82F2-8E24A115D055}"/>
  </w:font>
  <w:font w:name="Cambria">
    <w:panose1 w:val="02040503050406030204"/>
    <w:charset w:val="00"/>
    <w:family w:val="roman"/>
    <w:pitch w:val="variable"/>
    <w:sig w:usb0="E00006FF" w:usb1="420024FF" w:usb2="02000000" w:usb3="00000000" w:csb0="0000019F" w:csb1="00000000"/>
    <w:embedRegular r:id="rId2" w:fontKey="{84B234EE-663E-498A-B9C2-35584AF3CD05}"/>
  </w:font>
  <w:font w:name="Calibri">
    <w:panose1 w:val="020F0502020204030204"/>
    <w:charset w:val="00"/>
    <w:family w:val="swiss"/>
    <w:pitch w:val="variable"/>
    <w:sig w:usb0="E4002EFF" w:usb1="C200247B" w:usb2="00000009" w:usb3="00000000" w:csb0="000001FF" w:csb1="00000000"/>
    <w:embedRegular r:id="rId3" w:fontKey="{2FAEF30E-8541-4E27-A549-2E4CAD7A5541}"/>
  </w:font>
  <w:font w:name="Cambria Math">
    <w:panose1 w:val="02040503050406030204"/>
    <w:charset w:val="00"/>
    <w:family w:val="roman"/>
    <w:pitch w:val="variable"/>
    <w:sig w:usb0="E00006FF" w:usb1="420024FF" w:usb2="02000000" w:usb3="00000000" w:csb0="0000019F" w:csb1="00000000"/>
    <w:embedRegular r:id="rId4" w:fontKey="{FEBA7C8C-62FC-472F-8396-E6A5A61E1687}"/>
    <w:embedItalic r:id="rId5" w:fontKey="{4A75C4E6-0419-43DC-BD8E-91441869102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565322E" w14:textId="77777777" w:rsidR="0038718A" w:rsidRDefault="00BF184A">
    <w:pPr>
      <w:spacing w:after="0"/>
      <w:ind w:right="-3"/>
      <w:jc w:val="right"/>
    </w:pPr>
    <w:r>
      <w:rPr>
        <w:rFonts w:ascii="Calibri" w:eastAsia="Calibri" w:hAnsi="Calibri" w:cs="Calibri"/>
      </w:rPr>
      <w:fldChar w:fldCharType="begin"/>
    </w:r>
    <w:r>
      <w:rPr>
        <w:rFonts w:ascii="Calibri" w:eastAsia="Calibri" w:hAnsi="Calibri" w:cs="Calibri"/>
      </w:rPr>
      <w:instrText>PAGE</w:instrText>
    </w:r>
    <w:r>
      <w:rPr>
        <w:rFonts w:ascii="Calibri" w:eastAsia="Calibri" w:hAnsi="Calibri" w:cs="Calibri"/>
      </w:rPr>
      <w:fldChar w:fldCharType="separate"/>
    </w:r>
    <w:r>
      <w:rPr>
        <w:rFonts w:ascii="Calibri" w:eastAsia="Calibri" w:hAnsi="Calibri" w:cs="Calibri"/>
      </w:rPr>
      <w:fldChar w:fldCharType="end"/>
    </w:r>
    <w:r>
      <w:rPr>
        <w:rFonts w:ascii="Calibri" w:eastAsia="Calibri" w:hAnsi="Calibri" w:cs="Calibri"/>
      </w:rPr>
      <w:t xml:space="preserve"> </w:t>
    </w:r>
  </w:p>
  <w:p w14:paraId="3642E51B" w14:textId="77777777" w:rsidR="0038718A" w:rsidRDefault="00BF184A">
    <w:pPr>
      <w:tabs>
        <w:tab w:val="center" w:pos="4405"/>
      </w:tabs>
      <w:spacing w:after="0"/>
    </w:pPr>
    <w:r>
      <w:rPr>
        <w:rFonts w:ascii="Calibri" w:eastAsia="Calibri" w:hAnsi="Calibri" w:cs="Calibri"/>
      </w:rPr>
      <w:t xml:space="preserve">[Your Name] </w:t>
    </w:r>
    <w:r>
      <w:rPr>
        <w:rFonts w:ascii="Calibri" w:eastAsia="Calibri" w:hAnsi="Calibri" w:cs="Calibri"/>
      </w:rPr>
      <w:tab/>
      <w:t xml:space="preserve">Dissertation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99359C" w14:textId="77777777" w:rsidR="0038718A" w:rsidRDefault="00BF184A">
    <w:pPr>
      <w:tabs>
        <w:tab w:val="center" w:pos="4405"/>
      </w:tabs>
      <w:spacing w:after="0"/>
    </w:pPr>
    <w:proofErr w:type="spellStart"/>
    <w:r>
      <w:t>Kajalben</w:t>
    </w:r>
    <w:proofErr w:type="spellEnd"/>
    <w:r>
      <w:t xml:space="preserve"> Patel</w:t>
    </w:r>
    <w:r>
      <w:rPr>
        <w:rFonts w:ascii="Calibri" w:eastAsia="Calibri" w:hAnsi="Calibri" w:cs="Calibri"/>
      </w:rPr>
      <w:tab/>
      <w:t xml:space="preserve">Dissertation </w:t>
    </w:r>
  </w:p>
  <w:p w14:paraId="5BAA8507" w14:textId="6684F7C3" w:rsidR="0038718A" w:rsidRDefault="00BF184A">
    <w:pPr>
      <w:pBdr>
        <w:top w:val="nil"/>
        <w:left w:val="nil"/>
        <w:bottom w:val="nil"/>
        <w:right w:val="nil"/>
        <w:between w:val="nil"/>
      </w:pBdr>
      <w:tabs>
        <w:tab w:val="center" w:pos="4680"/>
        <w:tab w:val="right" w:pos="9360"/>
      </w:tabs>
      <w:spacing w:after="0" w:line="240" w:lineRule="auto"/>
      <w:ind w:left="3960" w:firstLine="4680"/>
      <w:jc w:val="center"/>
      <w:rPr>
        <w:color w:val="000000"/>
      </w:rPr>
    </w:pPr>
    <w:r>
      <w:rPr>
        <w:color w:val="000000"/>
      </w:rPr>
      <w:fldChar w:fldCharType="begin"/>
    </w:r>
    <w:r>
      <w:rPr>
        <w:color w:val="000000"/>
      </w:rPr>
      <w:instrText>PAGE</w:instrText>
    </w:r>
    <w:r>
      <w:rPr>
        <w:color w:val="000000"/>
      </w:rPr>
      <w:fldChar w:fldCharType="separate"/>
    </w:r>
    <w:r w:rsidR="00F83A65">
      <w:rPr>
        <w:noProof/>
        <w:color w:val="000000"/>
      </w:rPr>
      <w:t>1</w:t>
    </w:r>
    <w:r>
      <w:rPr>
        <w:color w:val="000000"/>
      </w:rPr>
      <w:fldChar w:fldCharType="end"/>
    </w:r>
  </w:p>
  <w:p w14:paraId="37BE31D7" w14:textId="77777777" w:rsidR="0038718A" w:rsidRDefault="0038718A">
    <w:pPr>
      <w:pBdr>
        <w:top w:val="nil"/>
        <w:left w:val="nil"/>
        <w:bottom w:val="nil"/>
        <w:right w:val="nil"/>
        <w:between w:val="nil"/>
      </w:pBdr>
      <w:tabs>
        <w:tab w:val="center" w:pos="4680"/>
        <w:tab w:val="right" w:pos="9360"/>
      </w:tabs>
      <w:spacing w:after="0" w:line="240" w:lineRule="auto"/>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D4C6E8" w14:textId="77777777" w:rsidR="0038718A" w:rsidRDefault="00BF184A">
    <w:pPr>
      <w:spacing w:after="0"/>
      <w:ind w:right="-3"/>
      <w:jc w:val="right"/>
    </w:pPr>
    <w:r>
      <w:rPr>
        <w:rFonts w:ascii="Calibri" w:eastAsia="Calibri" w:hAnsi="Calibri" w:cs="Calibri"/>
      </w:rPr>
      <w:fldChar w:fldCharType="begin"/>
    </w:r>
    <w:r>
      <w:rPr>
        <w:rFonts w:ascii="Calibri" w:eastAsia="Calibri" w:hAnsi="Calibri" w:cs="Calibri"/>
      </w:rPr>
      <w:instrText>PAGE</w:instrText>
    </w:r>
    <w:r>
      <w:rPr>
        <w:rFonts w:ascii="Calibri" w:eastAsia="Calibri" w:hAnsi="Calibri" w:cs="Calibri"/>
      </w:rPr>
      <w:fldChar w:fldCharType="separate"/>
    </w:r>
    <w:r>
      <w:rPr>
        <w:rFonts w:ascii="Calibri" w:eastAsia="Calibri" w:hAnsi="Calibri" w:cs="Calibri"/>
      </w:rPr>
      <w:fldChar w:fldCharType="end"/>
    </w:r>
    <w:r>
      <w:rPr>
        <w:rFonts w:ascii="Calibri" w:eastAsia="Calibri" w:hAnsi="Calibri" w:cs="Calibri"/>
      </w:rPr>
      <w:t xml:space="preserve"> </w:t>
    </w:r>
  </w:p>
  <w:p w14:paraId="51DFB182" w14:textId="77777777" w:rsidR="0038718A" w:rsidRDefault="00BF184A">
    <w:pPr>
      <w:tabs>
        <w:tab w:val="center" w:pos="4405"/>
      </w:tabs>
      <w:spacing w:after="0"/>
    </w:pPr>
    <w:r>
      <w:rPr>
        <w:rFonts w:ascii="Calibri" w:eastAsia="Calibri" w:hAnsi="Calibri" w:cs="Calibri"/>
      </w:rPr>
      <w:t xml:space="preserve">[Your Name] </w:t>
    </w:r>
    <w:r>
      <w:rPr>
        <w:rFonts w:ascii="Calibri" w:eastAsia="Calibri" w:hAnsi="Calibri" w:cs="Calibri"/>
      </w:rPr>
      <w:tab/>
      <w:t xml:space="preserve">Dissertation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52D1E0" w14:textId="77777777" w:rsidR="000E3FC3" w:rsidRDefault="000E3FC3">
      <w:pPr>
        <w:spacing w:after="0" w:line="240" w:lineRule="auto"/>
      </w:pPr>
      <w:r>
        <w:separator/>
      </w:r>
    </w:p>
  </w:footnote>
  <w:footnote w:type="continuationSeparator" w:id="0">
    <w:p w14:paraId="6F2FD2C6" w14:textId="77777777" w:rsidR="000E3FC3" w:rsidRDefault="000E3FC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62EC9B" w14:textId="77777777" w:rsidR="0038718A" w:rsidRDefault="0038718A">
    <w:pPr>
      <w:widowControl w:val="0"/>
      <w:pBdr>
        <w:top w:val="nil"/>
        <w:left w:val="nil"/>
        <w:bottom w:val="nil"/>
        <w:right w:val="nil"/>
        <w:between w:val="nil"/>
      </w:pBdr>
      <w:spacing w:after="0" w:line="276" w:lineRule="auto"/>
      <w:jc w:val="left"/>
    </w:pPr>
  </w:p>
  <w:tbl>
    <w:tblPr>
      <w:tblW w:w="9015" w:type="dxa"/>
      <w:tblLayout w:type="fixed"/>
      <w:tblCellMar>
        <w:left w:w="115" w:type="dxa"/>
        <w:right w:w="115" w:type="dxa"/>
      </w:tblCellMar>
      <w:tblLook w:val="0600" w:firstRow="0" w:lastRow="0" w:firstColumn="0" w:lastColumn="0" w:noHBand="1" w:noVBand="1"/>
    </w:tblPr>
    <w:tblGrid>
      <w:gridCol w:w="3005"/>
      <w:gridCol w:w="3005"/>
      <w:gridCol w:w="3005"/>
    </w:tblGrid>
    <w:tr w:rsidR="0038718A" w14:paraId="6E440218" w14:textId="77777777">
      <w:trPr>
        <w:trHeight w:val="300"/>
      </w:trPr>
      <w:tc>
        <w:tcPr>
          <w:tcW w:w="3005" w:type="dxa"/>
        </w:tcPr>
        <w:p w14:paraId="3A1BD41F" w14:textId="77777777" w:rsidR="0038718A" w:rsidRDefault="0038718A">
          <w:pPr>
            <w:pBdr>
              <w:top w:val="nil"/>
              <w:left w:val="nil"/>
              <w:bottom w:val="nil"/>
              <w:right w:val="nil"/>
              <w:between w:val="nil"/>
            </w:pBdr>
            <w:tabs>
              <w:tab w:val="center" w:pos="4513"/>
              <w:tab w:val="right" w:pos="9026"/>
            </w:tabs>
            <w:spacing w:after="0" w:line="240" w:lineRule="auto"/>
            <w:ind w:left="-115"/>
            <w:rPr>
              <w:color w:val="000000"/>
            </w:rPr>
          </w:pPr>
        </w:p>
      </w:tc>
      <w:tc>
        <w:tcPr>
          <w:tcW w:w="3005" w:type="dxa"/>
        </w:tcPr>
        <w:p w14:paraId="58A57B02" w14:textId="77777777" w:rsidR="0038718A" w:rsidRDefault="0038718A">
          <w:pPr>
            <w:pBdr>
              <w:top w:val="nil"/>
              <w:left w:val="nil"/>
              <w:bottom w:val="nil"/>
              <w:right w:val="nil"/>
              <w:between w:val="nil"/>
            </w:pBdr>
            <w:tabs>
              <w:tab w:val="center" w:pos="4513"/>
              <w:tab w:val="right" w:pos="9026"/>
            </w:tabs>
            <w:spacing w:after="0" w:line="240" w:lineRule="auto"/>
            <w:jc w:val="center"/>
            <w:rPr>
              <w:color w:val="000000"/>
            </w:rPr>
          </w:pPr>
        </w:p>
      </w:tc>
      <w:tc>
        <w:tcPr>
          <w:tcW w:w="3005" w:type="dxa"/>
        </w:tcPr>
        <w:p w14:paraId="5F6CDC15" w14:textId="77777777" w:rsidR="0038718A" w:rsidRDefault="0038718A">
          <w:pPr>
            <w:pBdr>
              <w:top w:val="nil"/>
              <w:left w:val="nil"/>
              <w:bottom w:val="nil"/>
              <w:right w:val="nil"/>
              <w:between w:val="nil"/>
            </w:pBdr>
            <w:tabs>
              <w:tab w:val="center" w:pos="4513"/>
              <w:tab w:val="right" w:pos="9026"/>
            </w:tabs>
            <w:spacing w:after="0" w:line="240" w:lineRule="auto"/>
            <w:ind w:right="-115"/>
            <w:jc w:val="right"/>
            <w:rPr>
              <w:color w:val="000000"/>
            </w:rPr>
          </w:pPr>
        </w:p>
      </w:tc>
    </w:tr>
  </w:tbl>
  <w:p w14:paraId="42114536" w14:textId="77777777" w:rsidR="0038718A" w:rsidRDefault="0038718A">
    <w:pPr>
      <w:pBdr>
        <w:top w:val="nil"/>
        <w:left w:val="nil"/>
        <w:bottom w:val="nil"/>
        <w:right w:val="nil"/>
        <w:between w:val="nil"/>
      </w:pBdr>
      <w:tabs>
        <w:tab w:val="center" w:pos="4513"/>
        <w:tab w:val="right" w:pos="9026"/>
      </w:tabs>
      <w:spacing w:after="0" w:line="240" w:lineRule="auto"/>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2DDBA8" w14:textId="77777777" w:rsidR="0038718A" w:rsidRDefault="0038718A">
    <w:pPr>
      <w:widowControl w:val="0"/>
      <w:pBdr>
        <w:top w:val="nil"/>
        <w:left w:val="nil"/>
        <w:bottom w:val="nil"/>
        <w:right w:val="nil"/>
        <w:between w:val="nil"/>
      </w:pBdr>
      <w:spacing w:after="0" w:line="276" w:lineRule="auto"/>
      <w:jc w:val="left"/>
      <w:rPr>
        <w:color w:val="000000"/>
      </w:rPr>
    </w:pPr>
  </w:p>
  <w:tbl>
    <w:tblPr>
      <w:tblW w:w="9026" w:type="dxa"/>
      <w:tblLayout w:type="fixed"/>
      <w:tblCellMar>
        <w:left w:w="115" w:type="dxa"/>
        <w:right w:w="115" w:type="dxa"/>
      </w:tblCellMar>
      <w:tblLook w:val="0600" w:firstRow="0" w:lastRow="0" w:firstColumn="0" w:lastColumn="0" w:noHBand="1" w:noVBand="1"/>
    </w:tblPr>
    <w:tblGrid>
      <w:gridCol w:w="3008"/>
      <w:gridCol w:w="3009"/>
      <w:gridCol w:w="3009"/>
    </w:tblGrid>
    <w:tr w:rsidR="0038718A" w14:paraId="360E7459" w14:textId="77777777">
      <w:trPr>
        <w:trHeight w:val="300"/>
      </w:trPr>
      <w:tc>
        <w:tcPr>
          <w:tcW w:w="3008" w:type="dxa"/>
        </w:tcPr>
        <w:p w14:paraId="74508562" w14:textId="77777777" w:rsidR="0038718A" w:rsidRDefault="0038718A">
          <w:pPr>
            <w:pBdr>
              <w:top w:val="nil"/>
              <w:left w:val="nil"/>
              <w:bottom w:val="nil"/>
              <w:right w:val="nil"/>
              <w:between w:val="nil"/>
            </w:pBdr>
            <w:tabs>
              <w:tab w:val="center" w:pos="4513"/>
              <w:tab w:val="right" w:pos="9026"/>
            </w:tabs>
            <w:spacing w:after="0" w:line="240" w:lineRule="auto"/>
            <w:ind w:left="-115"/>
            <w:rPr>
              <w:color w:val="000000"/>
            </w:rPr>
          </w:pPr>
        </w:p>
      </w:tc>
      <w:tc>
        <w:tcPr>
          <w:tcW w:w="3009" w:type="dxa"/>
        </w:tcPr>
        <w:p w14:paraId="5019FA22" w14:textId="77777777" w:rsidR="0038718A" w:rsidRDefault="0038718A">
          <w:pPr>
            <w:pBdr>
              <w:top w:val="nil"/>
              <w:left w:val="nil"/>
              <w:bottom w:val="nil"/>
              <w:right w:val="nil"/>
              <w:between w:val="nil"/>
            </w:pBdr>
            <w:tabs>
              <w:tab w:val="center" w:pos="4513"/>
              <w:tab w:val="right" w:pos="9026"/>
            </w:tabs>
            <w:spacing w:after="0" w:line="240" w:lineRule="auto"/>
            <w:jc w:val="center"/>
            <w:rPr>
              <w:color w:val="000000"/>
            </w:rPr>
          </w:pPr>
        </w:p>
      </w:tc>
      <w:tc>
        <w:tcPr>
          <w:tcW w:w="3009" w:type="dxa"/>
        </w:tcPr>
        <w:p w14:paraId="0F9DDC05" w14:textId="77777777" w:rsidR="0038718A" w:rsidRDefault="0038718A">
          <w:pPr>
            <w:pBdr>
              <w:top w:val="nil"/>
              <w:left w:val="nil"/>
              <w:bottom w:val="nil"/>
              <w:right w:val="nil"/>
              <w:between w:val="nil"/>
            </w:pBdr>
            <w:tabs>
              <w:tab w:val="center" w:pos="4513"/>
              <w:tab w:val="right" w:pos="9026"/>
            </w:tabs>
            <w:spacing w:after="0" w:line="240" w:lineRule="auto"/>
            <w:ind w:right="-115"/>
            <w:jc w:val="right"/>
            <w:rPr>
              <w:color w:val="000000"/>
            </w:rPr>
          </w:pPr>
        </w:p>
      </w:tc>
    </w:tr>
  </w:tbl>
  <w:p w14:paraId="63924D93" w14:textId="77777777" w:rsidR="0038718A" w:rsidRDefault="0038718A">
    <w:pPr>
      <w:pBdr>
        <w:top w:val="nil"/>
        <w:left w:val="nil"/>
        <w:bottom w:val="nil"/>
        <w:right w:val="nil"/>
        <w:between w:val="nil"/>
      </w:pBdr>
      <w:tabs>
        <w:tab w:val="center" w:pos="4513"/>
        <w:tab w:val="right" w:pos="9026"/>
      </w:tabs>
      <w:spacing w:after="0" w:line="240" w:lineRule="auto"/>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AE1323D"/>
    <w:multiLevelType w:val="hybridMultilevel"/>
    <w:tmpl w:val="FC5AAF1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6123481E"/>
    <w:multiLevelType w:val="multilevel"/>
    <w:tmpl w:val="FFFFFFFF"/>
    <w:lvl w:ilvl="0">
      <w:start w:val="1"/>
      <w:numFmt w:val="bullet"/>
      <w:lvlText w:val="●"/>
      <w:lvlJc w:val="left"/>
      <w:pPr>
        <w:ind w:left="360" w:hanging="360"/>
      </w:pPr>
      <w:rPr>
        <w:rFonts w:ascii="Noto Sans Symbols" w:eastAsia="Noto Sans Symbols" w:hAnsi="Noto Sans Symbols" w:cs="Noto Sans Symbols"/>
      </w:rPr>
    </w:lvl>
    <w:lvl w:ilvl="1">
      <w:start w:val="1"/>
      <w:numFmt w:val="bullet"/>
      <w:lvlText w:val=""/>
      <w:lvlJc w:val="left"/>
      <w:pPr>
        <w:ind w:left="0" w:firstLine="0"/>
      </w:pPr>
    </w:lvl>
    <w:lvl w:ilvl="2">
      <w:start w:val="1"/>
      <w:numFmt w:val="bullet"/>
      <w:lvlText w:val=""/>
      <w:lvlJc w:val="left"/>
      <w:pPr>
        <w:ind w:left="0" w:firstLine="0"/>
      </w:pPr>
    </w:lvl>
    <w:lvl w:ilvl="3">
      <w:start w:val="1"/>
      <w:numFmt w:val="bullet"/>
      <w:lvlText w:val=""/>
      <w:lvlJc w:val="left"/>
      <w:pPr>
        <w:ind w:left="0" w:firstLine="0"/>
      </w:pPr>
    </w:lvl>
    <w:lvl w:ilvl="4">
      <w:start w:val="1"/>
      <w:numFmt w:val="bullet"/>
      <w:lvlText w:val=""/>
      <w:lvlJc w:val="left"/>
      <w:pPr>
        <w:ind w:left="0" w:firstLine="0"/>
      </w:pPr>
    </w:lvl>
    <w:lvl w:ilvl="5">
      <w:start w:val="1"/>
      <w:numFmt w:val="bullet"/>
      <w:lvlText w:val=""/>
      <w:lvlJc w:val="left"/>
      <w:pPr>
        <w:ind w:left="0" w:firstLine="0"/>
      </w:pPr>
    </w:lvl>
    <w:lvl w:ilvl="6">
      <w:start w:val="1"/>
      <w:numFmt w:val="bullet"/>
      <w:lvlText w:val=""/>
      <w:lvlJc w:val="left"/>
      <w:pPr>
        <w:ind w:left="0" w:firstLine="0"/>
      </w:pPr>
    </w:lvl>
    <w:lvl w:ilvl="7">
      <w:start w:val="1"/>
      <w:numFmt w:val="bullet"/>
      <w:lvlText w:val=""/>
      <w:lvlJc w:val="left"/>
      <w:pPr>
        <w:ind w:left="0" w:firstLine="0"/>
      </w:pPr>
    </w:lvl>
    <w:lvl w:ilvl="8">
      <w:start w:val="1"/>
      <w:numFmt w:val="bullet"/>
      <w:lvlText w:val=""/>
      <w:lvlJc w:val="left"/>
      <w:pPr>
        <w:ind w:left="0" w:firstLine="0"/>
      </w:pPr>
    </w:lvl>
  </w:abstractNum>
  <w:abstractNum w:abstractNumId="2" w15:restartNumberingAfterBreak="0">
    <w:nsid w:val="78006840"/>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239900532">
    <w:abstractNumId w:val="1"/>
  </w:num>
  <w:num w:numId="2" w16cid:durableId="1767073895">
    <w:abstractNumId w:val="2"/>
  </w:num>
  <w:num w:numId="3" w16cid:durableId="13621221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5"/>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8718A"/>
    <w:rsid w:val="000C644C"/>
    <w:rsid w:val="000D086A"/>
    <w:rsid w:val="000E3FC3"/>
    <w:rsid w:val="00120DAC"/>
    <w:rsid w:val="001315EA"/>
    <w:rsid w:val="001D494C"/>
    <w:rsid w:val="002E1828"/>
    <w:rsid w:val="00365CC0"/>
    <w:rsid w:val="0038718A"/>
    <w:rsid w:val="00445217"/>
    <w:rsid w:val="004F0A98"/>
    <w:rsid w:val="004F61A5"/>
    <w:rsid w:val="00506C3A"/>
    <w:rsid w:val="00521CE6"/>
    <w:rsid w:val="0053019D"/>
    <w:rsid w:val="00534144"/>
    <w:rsid w:val="00534FA9"/>
    <w:rsid w:val="005E158A"/>
    <w:rsid w:val="005F53E1"/>
    <w:rsid w:val="00600D47"/>
    <w:rsid w:val="00626965"/>
    <w:rsid w:val="00630C88"/>
    <w:rsid w:val="006327BD"/>
    <w:rsid w:val="00681E29"/>
    <w:rsid w:val="006A24F8"/>
    <w:rsid w:val="006D0409"/>
    <w:rsid w:val="00714CF6"/>
    <w:rsid w:val="007574E5"/>
    <w:rsid w:val="00784144"/>
    <w:rsid w:val="007E0CFC"/>
    <w:rsid w:val="00831F90"/>
    <w:rsid w:val="00936385"/>
    <w:rsid w:val="00977983"/>
    <w:rsid w:val="009B47EB"/>
    <w:rsid w:val="00A0720F"/>
    <w:rsid w:val="00AA266E"/>
    <w:rsid w:val="00B17D4B"/>
    <w:rsid w:val="00B44DE5"/>
    <w:rsid w:val="00BA023E"/>
    <w:rsid w:val="00BC5D90"/>
    <w:rsid w:val="00BF184A"/>
    <w:rsid w:val="00C03BB0"/>
    <w:rsid w:val="00C43B93"/>
    <w:rsid w:val="00C445C5"/>
    <w:rsid w:val="00CE47B0"/>
    <w:rsid w:val="00D32F73"/>
    <w:rsid w:val="00D82436"/>
    <w:rsid w:val="00DB28DC"/>
    <w:rsid w:val="00DF626F"/>
    <w:rsid w:val="00EA54A3"/>
    <w:rsid w:val="00EC05AF"/>
    <w:rsid w:val="00EF4E96"/>
    <w:rsid w:val="00F06D0F"/>
    <w:rsid w:val="00F47013"/>
    <w:rsid w:val="00F83A65"/>
    <w:rsid w:val="00FC647C"/>
    <w:rsid w:val="1640EA75"/>
    <w:rsid w:val="3A0CEE9E"/>
    <w:rsid w:val="4C405F9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31"/>
    <o:shapelayout v:ext="edit">
      <o:idmap v:ext="edit" data="1"/>
    </o:shapelayout>
  </w:shapeDefaults>
  <w:decimalSymbol w:val="."/>
  <w:listSeparator w:val=","/>
  <w14:docId w14:val="48874327"/>
  <w15:docId w15:val="{B7361914-DC33-4E6D-AC7E-A4A2BC974C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IN"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pBdr>
        <w:top w:val="nil"/>
        <w:left w:val="nil"/>
        <w:bottom w:val="nil"/>
        <w:right w:val="nil"/>
        <w:between w:val="nil"/>
      </w:pBdr>
      <w:spacing w:after="152" w:line="265" w:lineRule="auto"/>
      <w:ind w:left="10" w:right="2" w:hanging="10"/>
      <w:jc w:val="center"/>
      <w:outlineLvl w:val="0"/>
    </w:pPr>
    <w:rPr>
      <w:b/>
      <w:bCs/>
      <w:color w:val="000000"/>
      <w:sz w:val="28"/>
      <w:szCs w:val="28"/>
    </w:rPr>
  </w:style>
  <w:style w:type="paragraph" w:styleId="Heading2">
    <w:name w:val="heading 2"/>
    <w:basedOn w:val="Normal"/>
    <w:next w:val="Normal"/>
    <w:uiPriority w:val="9"/>
    <w:unhideWhenUsed/>
    <w:qFormat/>
    <w:pPr>
      <w:keepNext/>
      <w:keepLines/>
      <w:spacing w:before="240" w:after="0"/>
      <w:outlineLvl w:val="1"/>
    </w:pPr>
    <w:rPr>
      <w:b/>
      <w:bCs/>
    </w:rPr>
  </w:style>
  <w:style w:type="paragraph" w:styleId="Heading3">
    <w:name w:val="heading 3"/>
    <w:basedOn w:val="Normal"/>
    <w:next w:val="Normal"/>
    <w:uiPriority w:val="9"/>
    <w:unhideWhenUsed/>
    <w:qFormat/>
    <w:pPr>
      <w:spacing w:before="200"/>
      <w:outlineLvl w:val="2"/>
    </w:pPr>
    <w:rPr>
      <w:u w:val="single"/>
    </w:rPr>
  </w:style>
  <w:style w:type="paragraph" w:styleId="Heading4">
    <w:name w:val="heading 4"/>
    <w:basedOn w:val="Normal"/>
    <w:next w:val="Normal"/>
    <w:uiPriority w:val="9"/>
    <w:unhideWhenUsed/>
    <w:qFormat/>
    <w:pPr>
      <w:spacing w:before="200"/>
      <w:jc w:val="center"/>
      <w:outlineLvl w:val="3"/>
    </w:pPr>
    <w:rPr>
      <w:b/>
      <w:bCs/>
    </w:rPr>
  </w:style>
  <w:style w:type="paragraph" w:styleId="Heading5">
    <w:name w:val="heading 5"/>
    <w:basedOn w:val="Normal"/>
    <w:next w:val="Normal"/>
    <w:uiPriority w:val="9"/>
    <w:unhideWhenUsed/>
    <w:qFormat/>
    <w:pPr>
      <w:spacing w:before="200"/>
      <w:jc w:val="center"/>
      <w:outlineLvl w:val="4"/>
    </w:pPr>
    <w:rPr>
      <w:b/>
      <w:bCs/>
    </w:rPr>
  </w:style>
  <w:style w:type="paragraph" w:styleId="Heading6">
    <w:name w:val="heading 6"/>
    <w:basedOn w:val="Normal"/>
    <w:next w:val="Normal"/>
    <w:uiPriority w:val="9"/>
    <w:semiHidden/>
    <w:unhideWhenUsed/>
    <w:qFormat/>
    <w:pPr>
      <w:keepNext/>
      <w:keepLines/>
      <w:spacing w:before="200" w:after="40"/>
      <w:outlineLvl w:val="5"/>
    </w:pPr>
    <w:rPr>
      <w:b/>
      <w:bCs/>
      <w:sz w:val="20"/>
      <w:szCs w:val="20"/>
    </w:rPr>
  </w:style>
  <w:style w:type="character" w:default="1" w:styleId="DefaultParagraphFont">
    <w:name w:val="Default Paragraph Font"/>
    <w:uiPriority w:val="1"/>
    <w:unhideWhenUsed/>
  </w:style>
  <w:style w:type="table" w:default="1" w:styleId="TableNormal">
    <w:name w:val="Normal Table"/>
    <w:uiPriority w:val="99"/>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bCs/>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table" w:customStyle="1" w:styleId="a">
    <w:basedOn w:val="TableNormal0"/>
    <w:tblPr>
      <w:tblStyleRowBandSize w:val="1"/>
      <w:tblStyleColBandSize w:val="1"/>
      <w:tblCellMar>
        <w:top w:w="0" w:type="dxa"/>
        <w:left w:w="115" w:type="dxa"/>
        <w:bottom w:w="0" w:type="dxa"/>
        <w:right w:w="115" w:type="dxa"/>
      </w:tblCellMar>
    </w:tblPr>
  </w:style>
  <w:style w:type="table" w:customStyle="1" w:styleId="a0">
    <w:basedOn w:val="TableNormal0"/>
    <w:tblPr>
      <w:tblStyleRowBandSize w:val="1"/>
      <w:tblStyleColBandSize w:val="1"/>
      <w:tblCellMar>
        <w:top w:w="0" w:type="dxa"/>
        <w:left w:w="115" w:type="dxa"/>
        <w:bottom w:w="0" w:type="dxa"/>
        <w:right w:w="115" w:type="dxa"/>
      </w:tblCellMar>
    </w:tblPr>
  </w:style>
  <w:style w:type="table" w:customStyle="1" w:styleId="a1">
    <w:basedOn w:val="TableNormal0"/>
    <w:tblPr>
      <w:tblStyleRowBandSize w:val="1"/>
      <w:tblStyleColBandSize w:val="1"/>
      <w:tblCellMar>
        <w:top w:w="0" w:type="dxa"/>
        <w:left w:w="115" w:type="dxa"/>
        <w:bottom w:w="0" w:type="dxa"/>
        <w:right w:w="115" w:type="dxa"/>
      </w:tblCellMar>
    </w:tblPr>
  </w:style>
  <w:style w:type="table" w:customStyle="1" w:styleId="a2">
    <w:basedOn w:val="TableNormal0"/>
    <w:tblPr>
      <w:tblStyleRowBandSize w:val="1"/>
      <w:tblStyleColBandSize w:val="1"/>
      <w:tblCellMar>
        <w:top w:w="0" w:type="dxa"/>
        <w:left w:w="115" w:type="dxa"/>
        <w:bottom w:w="0" w:type="dxa"/>
        <w:right w:w="115" w:type="dxa"/>
      </w:tblCellMar>
    </w:tblPr>
  </w:style>
  <w:style w:type="table" w:customStyle="1" w:styleId="a3">
    <w:basedOn w:val="TableNormal0"/>
    <w:tblPr>
      <w:tblStyleRowBandSize w:val="1"/>
      <w:tblStyleColBandSize w:val="1"/>
      <w:tblCellMar>
        <w:top w:w="0" w:type="dxa"/>
        <w:left w:w="115" w:type="dxa"/>
        <w:bottom w:w="0" w:type="dxa"/>
        <w:right w:w="115" w:type="dxa"/>
      </w:tblCellMar>
    </w:tblPr>
  </w:style>
  <w:style w:type="table" w:customStyle="1" w:styleId="a4">
    <w:basedOn w:val="TableNormal0"/>
    <w:tblPr>
      <w:tblStyleRowBandSize w:val="1"/>
      <w:tblStyleColBandSize w:val="1"/>
      <w:tblCellMar>
        <w:top w:w="0" w:type="dxa"/>
        <w:left w:w="115" w:type="dxa"/>
        <w:bottom w:w="0" w:type="dxa"/>
        <w:right w:w="115" w:type="dxa"/>
      </w:tblCellMar>
    </w:tblPr>
  </w:style>
  <w:style w:type="table" w:customStyle="1" w:styleId="a5">
    <w:basedOn w:val="TableNormal0"/>
    <w:tblPr>
      <w:tblStyleRowBandSize w:val="1"/>
      <w:tblStyleColBandSize w:val="1"/>
      <w:tblCellMar>
        <w:top w:w="0" w:type="dxa"/>
        <w:left w:w="115" w:type="dxa"/>
        <w:bottom w:w="0" w:type="dxa"/>
        <w:right w:w="115" w:type="dxa"/>
      </w:tblCellMar>
    </w:tblPr>
  </w:style>
  <w:style w:type="paragraph" w:styleId="TOC2">
    <w:name w:val="toc 2"/>
    <w:basedOn w:val="Normal"/>
    <w:next w:val="Normal"/>
    <w:autoRedefine/>
    <w:uiPriority w:val="39"/>
    <w:unhideWhenUsed/>
    <w:rsid w:val="00F83A65"/>
    <w:pPr>
      <w:spacing w:after="100"/>
      <w:ind w:left="240"/>
    </w:pPr>
  </w:style>
  <w:style w:type="paragraph" w:styleId="TOC1">
    <w:name w:val="toc 1"/>
    <w:basedOn w:val="Normal"/>
    <w:next w:val="Normal"/>
    <w:autoRedefine/>
    <w:uiPriority w:val="39"/>
    <w:unhideWhenUsed/>
    <w:rsid w:val="00F83A65"/>
    <w:pPr>
      <w:spacing w:after="100"/>
    </w:pPr>
  </w:style>
  <w:style w:type="paragraph" w:styleId="TOC3">
    <w:name w:val="toc 3"/>
    <w:basedOn w:val="Normal"/>
    <w:next w:val="Normal"/>
    <w:autoRedefine/>
    <w:uiPriority w:val="39"/>
    <w:unhideWhenUsed/>
    <w:rsid w:val="00F83A65"/>
    <w:pPr>
      <w:spacing w:after="100"/>
      <w:ind w:left="480"/>
    </w:pPr>
  </w:style>
  <w:style w:type="paragraph" w:styleId="TOC4">
    <w:name w:val="toc 4"/>
    <w:basedOn w:val="Normal"/>
    <w:next w:val="Normal"/>
    <w:autoRedefine/>
    <w:uiPriority w:val="39"/>
    <w:unhideWhenUsed/>
    <w:rsid w:val="00F83A65"/>
    <w:pPr>
      <w:spacing w:after="100"/>
      <w:ind w:left="720"/>
    </w:pPr>
  </w:style>
  <w:style w:type="paragraph" w:styleId="TOC5">
    <w:name w:val="toc 5"/>
    <w:basedOn w:val="Normal"/>
    <w:next w:val="Normal"/>
    <w:autoRedefine/>
    <w:uiPriority w:val="39"/>
    <w:unhideWhenUsed/>
    <w:rsid w:val="00F83A65"/>
    <w:pPr>
      <w:spacing w:after="100"/>
      <w:ind w:left="960"/>
    </w:pPr>
  </w:style>
  <w:style w:type="paragraph" w:styleId="TOC6">
    <w:name w:val="toc 6"/>
    <w:basedOn w:val="Normal"/>
    <w:next w:val="Normal"/>
    <w:autoRedefine/>
    <w:uiPriority w:val="39"/>
    <w:unhideWhenUsed/>
    <w:rsid w:val="00F83A65"/>
    <w:pPr>
      <w:spacing w:after="100" w:line="278" w:lineRule="auto"/>
      <w:ind w:left="1200"/>
      <w:jc w:val="left"/>
    </w:pPr>
    <w:rPr>
      <w:rFonts w:asciiTheme="minorHAnsi" w:eastAsiaTheme="minorEastAsia" w:hAnsiTheme="minorHAnsi" w:cstheme="minorBidi"/>
      <w:kern w:val="2"/>
      <w:lang w:eastAsia="en-IN"/>
      <w14:ligatures w14:val="standardContextual"/>
    </w:rPr>
  </w:style>
  <w:style w:type="paragraph" w:styleId="TOC7">
    <w:name w:val="toc 7"/>
    <w:basedOn w:val="Normal"/>
    <w:next w:val="Normal"/>
    <w:autoRedefine/>
    <w:uiPriority w:val="39"/>
    <w:unhideWhenUsed/>
    <w:rsid w:val="00F83A65"/>
    <w:pPr>
      <w:spacing w:after="100" w:line="278" w:lineRule="auto"/>
      <w:ind w:left="1440"/>
      <w:jc w:val="left"/>
    </w:pPr>
    <w:rPr>
      <w:rFonts w:asciiTheme="minorHAnsi" w:eastAsiaTheme="minorEastAsia" w:hAnsiTheme="minorHAnsi" w:cstheme="minorBidi"/>
      <w:kern w:val="2"/>
      <w:lang w:eastAsia="en-IN"/>
      <w14:ligatures w14:val="standardContextual"/>
    </w:rPr>
  </w:style>
  <w:style w:type="paragraph" w:styleId="TOC8">
    <w:name w:val="toc 8"/>
    <w:basedOn w:val="Normal"/>
    <w:next w:val="Normal"/>
    <w:autoRedefine/>
    <w:uiPriority w:val="39"/>
    <w:unhideWhenUsed/>
    <w:rsid w:val="00F83A65"/>
    <w:pPr>
      <w:spacing w:after="100" w:line="278" w:lineRule="auto"/>
      <w:ind w:left="1680"/>
      <w:jc w:val="left"/>
    </w:pPr>
    <w:rPr>
      <w:rFonts w:asciiTheme="minorHAnsi" w:eastAsiaTheme="minorEastAsia" w:hAnsiTheme="minorHAnsi" w:cstheme="minorBidi"/>
      <w:kern w:val="2"/>
      <w:lang w:eastAsia="en-IN"/>
      <w14:ligatures w14:val="standardContextual"/>
    </w:rPr>
  </w:style>
  <w:style w:type="paragraph" w:styleId="TOC9">
    <w:name w:val="toc 9"/>
    <w:basedOn w:val="Normal"/>
    <w:next w:val="Normal"/>
    <w:autoRedefine/>
    <w:uiPriority w:val="39"/>
    <w:unhideWhenUsed/>
    <w:rsid w:val="00F83A65"/>
    <w:pPr>
      <w:spacing w:after="100" w:line="278" w:lineRule="auto"/>
      <w:ind w:left="1920"/>
      <w:jc w:val="left"/>
    </w:pPr>
    <w:rPr>
      <w:rFonts w:asciiTheme="minorHAnsi" w:eastAsiaTheme="minorEastAsia" w:hAnsiTheme="minorHAnsi" w:cstheme="minorBidi"/>
      <w:kern w:val="2"/>
      <w:lang w:eastAsia="en-IN"/>
      <w14:ligatures w14:val="standardContextual"/>
    </w:rPr>
  </w:style>
  <w:style w:type="character" w:styleId="Hyperlink">
    <w:name w:val="Hyperlink"/>
    <w:basedOn w:val="DefaultParagraphFont"/>
    <w:uiPriority w:val="99"/>
    <w:unhideWhenUsed/>
    <w:rsid w:val="00F83A65"/>
    <w:rPr>
      <w:color w:val="0000FF" w:themeColor="hyperlink"/>
      <w:u w:val="single"/>
    </w:rPr>
  </w:style>
  <w:style w:type="character" w:styleId="UnresolvedMention">
    <w:name w:val="Unresolved Mention"/>
    <w:basedOn w:val="DefaultParagraphFont"/>
    <w:uiPriority w:val="99"/>
    <w:semiHidden/>
    <w:unhideWhenUsed/>
    <w:rsid w:val="00F83A65"/>
    <w:rPr>
      <w:color w:val="605E5C"/>
      <w:shd w:val="clear" w:color="auto" w:fill="E1DFDD"/>
    </w:rPr>
  </w:style>
  <w:style w:type="paragraph" w:styleId="ListParagraph">
    <w:name w:val="List Paragraph"/>
    <w:basedOn w:val="Normal"/>
    <w:uiPriority w:val="34"/>
    <w:qFormat/>
    <w:rsid w:val="00A0720F"/>
    <w:pPr>
      <w:ind w:left="720"/>
      <w:contextualSpacing/>
    </w:pPr>
  </w:style>
  <w:style w:type="character" w:styleId="FollowedHyperlink">
    <w:name w:val="FollowedHyperlink"/>
    <w:basedOn w:val="DefaultParagraphFont"/>
    <w:uiPriority w:val="99"/>
    <w:semiHidden/>
    <w:unhideWhenUsed/>
    <w:rsid w:val="00A0720F"/>
    <w:rPr>
      <w:color w:val="800080" w:themeColor="followedHyperlink"/>
      <w:u w:val="single"/>
    </w:rPr>
  </w:style>
  <w:style w:type="paragraph" w:styleId="Header">
    <w:name w:val="header"/>
    <w:basedOn w:val="Normal"/>
    <w:link w:val="HeaderChar"/>
    <w:uiPriority w:val="99"/>
    <w:unhideWhenUsed/>
    <w:rsid w:val="00DF62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626F"/>
  </w:style>
  <w:style w:type="paragraph" w:styleId="Footer">
    <w:name w:val="footer"/>
    <w:basedOn w:val="Normal"/>
    <w:link w:val="FooterChar"/>
    <w:uiPriority w:val="99"/>
    <w:semiHidden/>
    <w:unhideWhenUsed/>
    <w:rsid w:val="00EA54A3"/>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EA54A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hyperlink" Target="https://doi.org/10.1108/QRJ-D-18-00035" TargetMode="External"/><Relationship Id="rId117" Type="http://schemas.openxmlformats.org/officeDocument/2006/relationships/hyperlink" Target="https://www.researchgate.net/profile/Sabine-Zinn/publication/316630393_Large-Scale_Assessments_Potentials_and_Challenges_in_Longitudinal_Designs/links/5908ae39aca272f658f7f901/Large-Scale-Assessments-Potentials-and-Challenges-in-Longitudinal-Designs.pdf" TargetMode="External"/><Relationship Id="rId21" Type="http://schemas.openxmlformats.org/officeDocument/2006/relationships/hyperlink" Target="https://doi.org/10.36348/gajhss.2020.v02i03.001" TargetMode="External"/><Relationship Id="rId42" Type="http://schemas.openxmlformats.org/officeDocument/2006/relationships/hyperlink" Target="https://doi.org/10.3390/ijerph19031854" TargetMode="External"/><Relationship Id="rId47" Type="http://schemas.openxmlformats.org/officeDocument/2006/relationships/hyperlink" Target="https://doi.org/10.4995/vlc.2025.24098" TargetMode="External"/><Relationship Id="rId63" Type="http://schemas.openxmlformats.org/officeDocument/2006/relationships/hyperlink" Target="https://doi.org/10.1183/20734735.0058-2023" TargetMode="External"/><Relationship Id="rId68" Type="http://schemas.openxmlformats.org/officeDocument/2006/relationships/hyperlink" Target="https://pmc.ncbi.nlm.nih.gov/articles/PMC1447157/" TargetMode="External"/><Relationship Id="rId84" Type="http://schemas.openxmlformats.org/officeDocument/2006/relationships/hyperlink" Target="https://doi.org/10.1017/S0266462312000086" TargetMode="External"/><Relationship Id="rId89" Type="http://schemas.openxmlformats.org/officeDocument/2006/relationships/hyperlink" Target="https://doi.org/10.1038/s41431-020-0596-x" TargetMode="External"/><Relationship Id="rId112" Type="http://schemas.openxmlformats.org/officeDocument/2006/relationships/hyperlink" Target="https://doi.org/10.1146/annurev-orgpsych-062021-021303" TargetMode="External"/><Relationship Id="rId16" Type="http://schemas.openxmlformats.org/officeDocument/2006/relationships/image" Target="media/image7.png"/><Relationship Id="rId107" Type="http://schemas.openxmlformats.org/officeDocument/2006/relationships/hyperlink" Target="https://doi.org/10.1007/978-3-658-27602-7_3" TargetMode="External"/><Relationship Id="rId11" Type="http://schemas.openxmlformats.org/officeDocument/2006/relationships/image" Target="media/image2.png"/><Relationship Id="rId32" Type="http://schemas.openxmlformats.org/officeDocument/2006/relationships/hyperlink" Target="https://doi.org/10.1080/2159676X.2019.1628806" TargetMode="External"/><Relationship Id="rId37" Type="http://schemas.openxmlformats.org/officeDocument/2006/relationships/hyperlink" Target="https://doi.org/10.1001/jamanetworkopen.2022.39860" TargetMode="External"/><Relationship Id="rId53" Type="http://schemas.openxmlformats.org/officeDocument/2006/relationships/hyperlink" Target="https://doi.org/10.33422/ijhep.v5i2.612" TargetMode="External"/><Relationship Id="rId58" Type="http://schemas.openxmlformats.org/officeDocument/2006/relationships/hyperlink" Target="https://doi.org/10.1016/j.techfore.2024.123833" TargetMode="External"/><Relationship Id="rId74" Type="http://schemas.openxmlformats.org/officeDocument/2006/relationships/hyperlink" Target="https://doi.org/10.3390/jof10020108" TargetMode="External"/><Relationship Id="rId79" Type="http://schemas.openxmlformats.org/officeDocument/2006/relationships/hyperlink" Target="https://doi.org/10.1080/19491247.2023.2268349" TargetMode="External"/><Relationship Id="rId102" Type="http://schemas.openxmlformats.org/officeDocument/2006/relationships/hyperlink" Target="https://doi.org/10.22399/ijcesen.4533" TargetMode="External"/><Relationship Id="rId123" Type="http://schemas.openxmlformats.org/officeDocument/2006/relationships/footer" Target="footer1.xml"/><Relationship Id="rId128" Type="http://schemas.openxmlformats.org/officeDocument/2006/relationships/theme" Target="theme/theme1.xml"/><Relationship Id="rId5" Type="http://schemas.openxmlformats.org/officeDocument/2006/relationships/styles" Target="styles.xml"/><Relationship Id="rId90" Type="http://schemas.openxmlformats.org/officeDocument/2006/relationships/hyperlink" Target="https://doi.org/10.6007/IJARPED/v11-i2/12938" TargetMode="External"/><Relationship Id="rId95" Type="http://schemas.openxmlformats.org/officeDocument/2006/relationships/hyperlink" Target="https://doi.org/10.3399/bjgp18X695465" TargetMode="External"/><Relationship Id="rId22" Type="http://schemas.openxmlformats.org/officeDocument/2006/relationships/hyperlink" Target="https://www.academia.edu/download/55257152/ZA0611216222.pdf" TargetMode="External"/><Relationship Id="rId27" Type="http://schemas.openxmlformats.org/officeDocument/2006/relationships/hyperlink" Target="https://doi.org/10.3390/microorganisms12112121" TargetMode="External"/><Relationship Id="rId43" Type="http://schemas.openxmlformats.org/officeDocument/2006/relationships/hyperlink" Target="https://sharedhealthfoundation.org.uk/wp-content/uploads/2021/09/Housing-and-Childrens-Health-and-Social-Care-Publication.pdf" TargetMode="External"/><Relationship Id="rId48" Type="http://schemas.openxmlformats.org/officeDocument/2006/relationships/hyperlink" Target="https://doi.org/10.1016/j.envint.2023.108127" TargetMode="External"/><Relationship Id="rId64" Type="http://schemas.openxmlformats.org/officeDocument/2006/relationships/hyperlink" Target="https://doi.org/10.1362/1469347042772428" TargetMode="External"/><Relationship Id="rId69" Type="http://schemas.openxmlformats.org/officeDocument/2006/relationships/hyperlink" Target="https://www.researchgate.net/publication/389880654_Health-Oriented_Interior_Architecture_Principles_for_Primary_Care_Centers_PCCs_Ergonomics_Air_Quality_Lighting_and_Acoustics?utm_source=chatgpt.com" TargetMode="External"/><Relationship Id="rId113" Type="http://schemas.openxmlformats.org/officeDocument/2006/relationships/hyperlink" Target="https://doi.org/10.1183/2312508X.10004822" TargetMode="External"/><Relationship Id="rId118" Type="http://schemas.openxmlformats.org/officeDocument/2006/relationships/hyperlink" Target="https://eprints.bournemouth.ac.uk/36114/1/WHITE%2C%20Andrew_M.Res._2021.pdf" TargetMode="External"/><Relationship Id="rId80" Type="http://schemas.openxmlformats.org/officeDocument/2006/relationships/hyperlink" Target="https://doi.org/10.1016/S0140-6736(21)00458-X" TargetMode="External"/><Relationship Id="rId85" Type="http://schemas.openxmlformats.org/officeDocument/2006/relationships/hyperlink" Target="https://natcen.ac.uk/publications/how-poor-quality-housing-harming-millions-older-adults" TargetMode="External"/><Relationship Id="rId12" Type="http://schemas.openxmlformats.org/officeDocument/2006/relationships/image" Target="media/image3.png"/><Relationship Id="rId17" Type="http://schemas.openxmlformats.org/officeDocument/2006/relationships/image" Target="media/image8.png"/><Relationship Id="rId33" Type="http://schemas.openxmlformats.org/officeDocument/2006/relationships/hyperlink" Target="https://doi.org/10.1080/0312407X.2024.2386438" TargetMode="External"/><Relationship Id="rId38" Type="http://schemas.openxmlformats.org/officeDocument/2006/relationships/hyperlink" Target="https://doi.org/10.1155/2024/1282674" TargetMode="External"/><Relationship Id="rId59" Type="http://schemas.openxmlformats.org/officeDocument/2006/relationships/hyperlink" Target="https://healthequals.org.uk/data_insights/homes-that-harm-health/" TargetMode="External"/><Relationship Id="rId103" Type="http://schemas.openxmlformats.org/officeDocument/2006/relationships/hyperlink" Target="https://doi.org/10.1177/02637758251386715" TargetMode="External"/><Relationship Id="rId108" Type="http://schemas.openxmlformats.org/officeDocument/2006/relationships/hyperlink" Target="https://www.theguardian.com/business/2023/apr/15/young-adults-uk-housing" TargetMode="External"/><Relationship Id="rId124" Type="http://schemas.openxmlformats.org/officeDocument/2006/relationships/footer" Target="footer2.xml"/><Relationship Id="rId54" Type="http://schemas.openxmlformats.org/officeDocument/2006/relationships/hyperlink" Target="https://doi.org/10.1016/j.buildenv.2019.106577" TargetMode="External"/><Relationship Id="rId70" Type="http://schemas.openxmlformats.org/officeDocument/2006/relationships/hyperlink" Target="https://doi.org/10.3389/fpubh.2025.1626827" TargetMode="External"/><Relationship Id="rId75" Type="http://schemas.openxmlformats.org/officeDocument/2006/relationships/hyperlink" Target="https://doi.org/10.1177/0163278718772879" TargetMode="External"/><Relationship Id="rId91" Type="http://schemas.openxmlformats.org/officeDocument/2006/relationships/hyperlink" Target="https://doi.org/10.1186/s40900-024-00613-y" TargetMode="External"/><Relationship Id="rId96" Type="http://schemas.openxmlformats.org/officeDocument/2006/relationships/hyperlink" Target="https://doi.org/10.3390/ijerph182212014" TargetMode="External"/><Relationship Id="rId1" Type="http://schemas.openxmlformats.org/officeDocument/2006/relationships/customXml" Target="../customXml/item1.xml"/><Relationship Id="rId6" Type="http://schemas.openxmlformats.org/officeDocument/2006/relationships/settings" Target="settings.xml"/><Relationship Id="rId23" Type="http://schemas.openxmlformats.org/officeDocument/2006/relationships/hyperlink" Target="https://pubmed.ncbi.nlm.nih.gov/35487725/?utm_source=chatgpt.com" TargetMode="External"/><Relationship Id="rId28" Type="http://schemas.openxmlformats.org/officeDocument/2006/relationships/hyperlink" Target="https://doi.org/10.1093/geroni/igac061" TargetMode="External"/><Relationship Id="rId49" Type="http://schemas.openxmlformats.org/officeDocument/2006/relationships/hyperlink" Target="https://doi.org/10.1080/10530789.2023.2241215?urlappend=%3Futm_source%3Dresearchgate.net%26utm_medium%3Darticle" TargetMode="External"/><Relationship Id="rId114" Type="http://schemas.openxmlformats.org/officeDocument/2006/relationships/hyperlink" Target="https://research.ukhsa.gov.uk/our-research/damp-and-mould/?utm_source=chatgpt.com" TargetMode="External"/><Relationship Id="rId119" Type="http://schemas.openxmlformats.org/officeDocument/2006/relationships/hyperlink" Target="https://doi.org/10.3389/fpubh.2024.1415157" TargetMode="External"/><Relationship Id="rId44" Type="http://schemas.openxmlformats.org/officeDocument/2006/relationships/hyperlink" Target="https://www.thelancet.com/journals/lanpub/article/PIIS2468-2667(21)00235-8/fulltext" TargetMode="External"/><Relationship Id="rId60" Type="http://schemas.openxmlformats.org/officeDocument/2006/relationships/hyperlink" Target="https://doi.org/10.1080/02673037.2019.1621271" TargetMode="External"/><Relationship Id="rId65" Type="http://schemas.openxmlformats.org/officeDocument/2006/relationships/hyperlink" Target="https://doi.org/10.1146/annurev-publhealth-071521-111836" TargetMode="External"/><Relationship Id="rId81" Type="http://schemas.openxmlformats.org/officeDocument/2006/relationships/hyperlink" Target="https://doi.org/10.1044/cicsd_33_S_21" TargetMode="External"/><Relationship Id="rId86" Type="http://schemas.openxmlformats.org/officeDocument/2006/relationships/hyperlink" Target="https://doi.org/10.1039/D1EM00202C" TargetMode="External"/><Relationship Id="rId13" Type="http://schemas.openxmlformats.org/officeDocument/2006/relationships/image" Target="media/image4.png"/><Relationship Id="rId18" Type="http://schemas.openxmlformats.org/officeDocument/2006/relationships/image" Target="media/image9.png"/><Relationship Id="rId39" Type="http://schemas.openxmlformats.org/officeDocument/2006/relationships/hyperlink" Target="https://doi.org/10.3390/environments10080136" TargetMode="External"/><Relationship Id="rId109" Type="http://schemas.openxmlformats.org/officeDocument/2006/relationships/hyperlink" Target="https://doi.org/10.1136/bmjopen-2015-009636" TargetMode="External"/><Relationship Id="rId34" Type="http://schemas.openxmlformats.org/officeDocument/2006/relationships/hyperlink" Target="https://sticerd.lse.ac.uk/dps/case/cr/casereport162.pdf?utm_source=chatgpt.com" TargetMode="External"/><Relationship Id="rId50" Type="http://schemas.openxmlformats.org/officeDocument/2006/relationships/hyperlink" Target="https://doi.org/10.1080/02673037.2024.2419527" TargetMode="External"/><Relationship Id="rId55" Type="http://schemas.openxmlformats.org/officeDocument/2006/relationships/hyperlink" Target="https://www.gov.uk/government/publications/damp-and-mould-understanding-and-addressing-the-health-risks-for-rented-housing-providers/understanding-and-addressing-the-health-risks-of-damp-and-mould-in-the-home--2?utm_source=chatgpt.com" TargetMode="External"/><Relationship Id="rId76" Type="http://schemas.openxmlformats.org/officeDocument/2006/relationships/hyperlink" Target="https://doi.org/10.1186/s12889-024-19163-9" TargetMode="External"/><Relationship Id="rId97" Type="http://schemas.openxmlformats.org/officeDocument/2006/relationships/hyperlink" Target="https://doi.org/10.1186/s13643-021-01671-z" TargetMode="External"/><Relationship Id="rId104" Type="http://schemas.openxmlformats.org/officeDocument/2006/relationships/hyperlink" Target="https://doi.org/10.1016/j.jbusres.2019.07.039" TargetMode="External"/><Relationship Id="rId120" Type="http://schemas.openxmlformats.org/officeDocument/2006/relationships/hyperlink" Target="https://doi.org/10.48379/imist.prsm/mjqr-v5i3.45541" TargetMode="External"/><Relationship Id="rId125" Type="http://schemas.openxmlformats.org/officeDocument/2006/relationships/footer" Target="footer3.xml"/><Relationship Id="rId7" Type="http://schemas.openxmlformats.org/officeDocument/2006/relationships/webSettings" Target="webSettings.xml"/><Relationship Id="rId71" Type="http://schemas.openxmlformats.org/officeDocument/2006/relationships/hyperlink" Target="https://doi.org/10.1007/s11869-021-00978-z" TargetMode="External"/><Relationship Id="rId92" Type="http://schemas.openxmlformats.org/officeDocument/2006/relationships/hyperlink" Target="https://www.prisma-statement.org/prisma-2020-flow-diagram" TargetMode="External"/><Relationship Id="rId2" Type="http://schemas.openxmlformats.org/officeDocument/2006/relationships/customXml" Target="../customXml/item2.xml"/><Relationship Id="rId29" Type="http://schemas.openxmlformats.org/officeDocument/2006/relationships/hyperlink" Target="https://doi.org/10.1016/j.heliyon.2023.e23604" TargetMode="External"/><Relationship Id="rId24" Type="http://schemas.openxmlformats.org/officeDocument/2006/relationships/hyperlink" Target="https://doi.org/10.3389/fpubh.2024.1332078" TargetMode="External"/><Relationship Id="rId40" Type="http://schemas.openxmlformats.org/officeDocument/2006/relationships/hyperlink" Target="https://doi.org/10.3390/environments10080136" TargetMode="External"/><Relationship Id="rId45" Type="http://schemas.openxmlformats.org/officeDocument/2006/relationships/hyperlink" Target="https://doi.org/10.1186/s13031-025-00701-0" TargetMode="External"/><Relationship Id="rId66" Type="http://schemas.openxmlformats.org/officeDocument/2006/relationships/hyperlink" Target="https://doi.org/10.1007/s11524-021-00603-5" TargetMode="External"/><Relationship Id="rId87" Type="http://schemas.openxmlformats.org/officeDocument/2006/relationships/hyperlink" Target="https://doi.org/10.1111/jebm.12266" TargetMode="External"/><Relationship Id="rId110" Type="http://schemas.openxmlformats.org/officeDocument/2006/relationships/hyperlink" Target="https://eu-opensci.org/index.php/ejmed/article/view/42112" TargetMode="External"/><Relationship Id="rId115" Type="http://schemas.openxmlformats.org/officeDocument/2006/relationships/hyperlink" Target="https://hspublishing.org/GRES/article/view/62?utm_source=chatgpt.com" TargetMode="External"/><Relationship Id="rId61" Type="http://schemas.openxmlformats.org/officeDocument/2006/relationships/hyperlink" Target="https://doi.org/10.1128/mmbr.00121-21" TargetMode="External"/><Relationship Id="rId82" Type="http://schemas.openxmlformats.org/officeDocument/2006/relationships/hyperlink" Target="https://doi.org/10.5334/ijic.5666" TargetMode="External"/><Relationship Id="rId19" Type="http://schemas.openxmlformats.org/officeDocument/2006/relationships/image" Target="media/image10.png"/><Relationship Id="rId14" Type="http://schemas.openxmlformats.org/officeDocument/2006/relationships/image" Target="media/image5.png"/><Relationship Id="rId30" Type="http://schemas.openxmlformats.org/officeDocument/2006/relationships/hyperlink" Target="https://www.mdpi.com/2073-4433/16/11/1243?utm_source=chatgpt.com" TargetMode="External"/><Relationship Id="rId35" Type="http://schemas.openxmlformats.org/officeDocument/2006/relationships/hyperlink" Target="https://doi.org/10.1177/1420326X17708018" TargetMode="External"/><Relationship Id="rId56" Type="http://schemas.openxmlformats.org/officeDocument/2006/relationships/hyperlink" Target="https://www.gov.uk/government/statistics/english-housing-survey-2023-to-2024-drivers-and-impacts-of-housing-quality/english-housing-survey-2023-to-2024-drivers-and-impacts-of-housing-quality" TargetMode="External"/><Relationship Id="rId77" Type="http://schemas.openxmlformats.org/officeDocument/2006/relationships/hyperlink" Target="https://doi.org/10.1186/s12889-021-11852-z" TargetMode="External"/><Relationship Id="rId100" Type="http://schemas.openxmlformats.org/officeDocument/2006/relationships/hyperlink" Target="https://salford-repository.worktribe.com/output/3429472/greater-manchester-social-housing-quality-fund-tenant-research?utm_source=chatgpt.com" TargetMode="External"/><Relationship Id="rId105" Type="http://schemas.openxmlformats.org/officeDocument/2006/relationships/hyperlink" Target="https://pubmed.ncbi.nlm.nih.gov/37034137/?utm_source=chatgpt.com" TargetMode="External"/><Relationship Id="rId126" Type="http://schemas.openxmlformats.org/officeDocument/2006/relationships/header" Target="header2.xml"/><Relationship Id="rId8" Type="http://schemas.openxmlformats.org/officeDocument/2006/relationships/footnotes" Target="footnotes.xml"/><Relationship Id="rId51" Type="http://schemas.openxmlformats.org/officeDocument/2006/relationships/hyperlink" Target="https://doi.org/10.1080/12265934.2020.1713864" TargetMode="External"/><Relationship Id="rId72" Type="http://schemas.openxmlformats.org/officeDocument/2006/relationships/hyperlink" Target="http://dx.doi.org/10.5539/jel.v5n2p129" TargetMode="External"/><Relationship Id="rId93" Type="http://schemas.openxmlformats.org/officeDocument/2006/relationships/hyperlink" Target="https://doi.org/10.1145/3540250.3560877" TargetMode="External"/><Relationship Id="rId98" Type="http://schemas.openxmlformats.org/officeDocument/2006/relationships/hyperlink" Target="https://doi.org/10.1186/s12913-022-07671-6" TargetMode="External"/><Relationship Id="rId121" Type="http://schemas.openxmlformats.org/officeDocument/2006/relationships/image" Target="media/image11.png"/><Relationship Id="rId3" Type="http://schemas.openxmlformats.org/officeDocument/2006/relationships/customXml" Target="../customXml/item3.xml"/><Relationship Id="rId25" Type="http://schemas.openxmlformats.org/officeDocument/2006/relationships/hyperlink" Target="https://www.thelancet.com/journals/lanres/article/PIIS2213-2600(21)00095-3/fulltext" TargetMode="External"/><Relationship Id="rId46" Type="http://schemas.openxmlformats.org/officeDocument/2006/relationships/hyperlink" Target="https://doi.org/10.3390/ijerph192315526" TargetMode="External"/><Relationship Id="rId67" Type="http://schemas.openxmlformats.org/officeDocument/2006/relationships/hyperlink" Target="https://doi.org/10.3390/encyclopedia5030090" TargetMode="External"/><Relationship Id="rId116" Type="http://schemas.openxmlformats.org/officeDocument/2006/relationships/hyperlink" Target="https://doi.org/10.1353/pbm.2022.0024" TargetMode="External"/><Relationship Id="rId20" Type="http://schemas.openxmlformats.org/officeDocument/2006/relationships/hyperlink" Target="https://doi.org/10.1007/978-3-030-96523-5" TargetMode="External"/><Relationship Id="rId41" Type="http://schemas.openxmlformats.org/officeDocument/2006/relationships/hyperlink" Target="https://doi.org/10.1038/s42949-025-00318-5" TargetMode="External"/><Relationship Id="rId62" Type="http://schemas.openxmlformats.org/officeDocument/2006/relationships/hyperlink" Target="https://doi.org/10.3310/TWWL4501" TargetMode="External"/><Relationship Id="rId83" Type="http://schemas.openxmlformats.org/officeDocument/2006/relationships/hyperlink" Target="https://doi.org/10.1016/j.jped.2021.11.005" TargetMode="External"/><Relationship Id="rId88" Type="http://schemas.openxmlformats.org/officeDocument/2006/relationships/hyperlink" Target="https://doi.org/10.1007/s11135-025-02359-5" TargetMode="External"/><Relationship Id="rId111" Type="http://schemas.openxmlformats.org/officeDocument/2006/relationships/hyperlink" Target="https://doi.org/10.1111/ina.12835" TargetMode="External"/><Relationship Id="rId15" Type="http://schemas.openxmlformats.org/officeDocument/2006/relationships/image" Target="media/image6.png"/><Relationship Id="rId36" Type="http://schemas.openxmlformats.org/officeDocument/2006/relationships/hyperlink" Target="https://doi.org/10.2174/1573396320666230912103056" TargetMode="External"/><Relationship Id="rId57" Type="http://schemas.openxmlformats.org/officeDocument/2006/relationships/hyperlink" Target="https://doi.org/10.1016/j.prrv.2023.06.003" TargetMode="External"/><Relationship Id="rId106" Type="http://schemas.openxmlformats.org/officeDocument/2006/relationships/hyperlink" Target="https://doi.org/10.1098/rsta.2024.0567" TargetMode="External"/><Relationship Id="rId127" Type="http://schemas.openxmlformats.org/officeDocument/2006/relationships/fontTable" Target="fontTable.xml"/><Relationship Id="rId10" Type="http://schemas.openxmlformats.org/officeDocument/2006/relationships/image" Target="media/image1.png"/><Relationship Id="rId31" Type="http://schemas.openxmlformats.org/officeDocument/2006/relationships/hyperlink" Target="https://doi.org/10.1108/AAAJ-11-2019-4278" TargetMode="External"/><Relationship Id="rId52" Type="http://schemas.openxmlformats.org/officeDocument/2006/relationships/hyperlink" Target="https://doi.org/10.1080/12265934.2020.1713864?urlappend=%3Futm_source%3Dresearchgate.net%26utm_medium%3Darticle" TargetMode="External"/><Relationship Id="rId73" Type="http://schemas.openxmlformats.org/officeDocument/2006/relationships/hyperlink" Target="https://doi.org/10.1177/2632084320947559" TargetMode="External"/><Relationship Id="rId78" Type="http://schemas.openxmlformats.org/officeDocument/2006/relationships/hyperlink" Target="https://doi.org/10.4337/9781800887459.00020" TargetMode="External"/><Relationship Id="rId94" Type="http://schemas.openxmlformats.org/officeDocument/2006/relationships/hyperlink" Target="https://doi.org/10.1111/1468-0009.12640" TargetMode="External"/><Relationship Id="rId99" Type="http://schemas.openxmlformats.org/officeDocument/2006/relationships/hyperlink" Target="https://doi.org/10.3389/fenvh.2024.1358484" TargetMode="External"/><Relationship Id="rId101" Type="http://schemas.openxmlformats.org/officeDocument/2006/relationships/hyperlink" Target="https://doi.org/10.3390/buildings14020316" TargetMode="External"/><Relationship Id="rId122"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d86abe3-ec21-467e-8687-9d211c569818"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9C4DBF88080B948BDB8376217054C6E" ma:contentTypeVersion="5" ma:contentTypeDescription="Create a new document." ma:contentTypeScope="" ma:versionID="07d206e8cced17b8436d1ac2dcd4015c">
  <xsd:schema xmlns:xsd="http://www.w3.org/2001/XMLSchema" xmlns:xs="http://www.w3.org/2001/XMLSchema" xmlns:p="http://schemas.microsoft.com/office/2006/metadata/properties" xmlns:ns3="dd86abe3-ec21-467e-8687-9d211c569818" targetNamespace="http://schemas.microsoft.com/office/2006/metadata/properties" ma:root="true" ma:fieldsID="e5c30f1befa50624fc82b98d3b489726" ns3:_="">
    <xsd:import namespace="dd86abe3-ec21-467e-8687-9d211c569818"/>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86abe3-ec21-467e-8687-9d211c56981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270340F-6BFD-4A52-A08D-32967BB96E17}">
  <ds:schemaRefs>
    <ds:schemaRef ds:uri="http://schemas.microsoft.com/office/2006/metadata/properties"/>
    <ds:schemaRef ds:uri="http://schemas.microsoft.com/office/infopath/2007/PartnerControls"/>
    <ds:schemaRef ds:uri="dd86abe3-ec21-467e-8687-9d211c569818"/>
  </ds:schemaRefs>
</ds:datastoreItem>
</file>

<file path=customXml/itemProps2.xml><?xml version="1.0" encoding="utf-8"?>
<ds:datastoreItem xmlns:ds="http://schemas.openxmlformats.org/officeDocument/2006/customXml" ds:itemID="{E03326B9-E789-4001-893F-16D0C1069BB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86abe3-ec21-467e-8687-9d211c56981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E8C6EE2-1690-4081-98A4-6E65D9573D9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18</TotalTime>
  <Pages>1</Pages>
  <Words>23812</Words>
  <Characters>135730</Characters>
  <Application>Microsoft Office Word</Application>
  <DocSecurity>4</DocSecurity>
  <Lines>1131</Lines>
  <Paragraphs>318</Paragraphs>
  <ScaleCrop>false</ScaleCrop>
  <Company/>
  <LinksUpToDate>false</LinksUpToDate>
  <CharactersWithSpaces>159224</CharactersWithSpaces>
  <SharedDoc>false</SharedDoc>
  <HLinks>
    <vt:vector size="1614" baseType="variant">
      <vt:variant>
        <vt:i4>7536739</vt:i4>
      </vt:variant>
      <vt:variant>
        <vt:i4>1086</vt:i4>
      </vt:variant>
      <vt:variant>
        <vt:i4>0</vt:i4>
      </vt:variant>
      <vt:variant>
        <vt:i4>5</vt:i4>
      </vt:variant>
      <vt:variant>
        <vt:lpwstr>https://doi.org/10.48379/imist.prsm/mjqr-v5i3.45541</vt:lpwstr>
      </vt:variant>
      <vt:variant>
        <vt:lpwstr/>
      </vt:variant>
      <vt:variant>
        <vt:i4>2555953</vt:i4>
      </vt:variant>
      <vt:variant>
        <vt:i4>1083</vt:i4>
      </vt:variant>
      <vt:variant>
        <vt:i4>0</vt:i4>
      </vt:variant>
      <vt:variant>
        <vt:i4>5</vt:i4>
      </vt:variant>
      <vt:variant>
        <vt:lpwstr>https://doi.org/10.3389/fpubh.2024.1415157</vt:lpwstr>
      </vt:variant>
      <vt:variant>
        <vt:lpwstr/>
      </vt:variant>
      <vt:variant>
        <vt:i4>7012384</vt:i4>
      </vt:variant>
      <vt:variant>
        <vt:i4>1080</vt:i4>
      </vt:variant>
      <vt:variant>
        <vt:i4>0</vt:i4>
      </vt:variant>
      <vt:variant>
        <vt:i4>5</vt:i4>
      </vt:variant>
      <vt:variant>
        <vt:lpwstr>https://eprints.bournemouth.ac.uk/36114/1/WHITE%2C Andrew_M.Res._2021.pdf</vt:lpwstr>
      </vt:variant>
      <vt:variant>
        <vt:lpwstr/>
      </vt:variant>
      <vt:variant>
        <vt:i4>3538981</vt:i4>
      </vt:variant>
      <vt:variant>
        <vt:i4>1077</vt:i4>
      </vt:variant>
      <vt:variant>
        <vt:i4>0</vt:i4>
      </vt:variant>
      <vt:variant>
        <vt:i4>5</vt:i4>
      </vt:variant>
      <vt:variant>
        <vt:lpwstr>https://www.researchgate.net/profile/Sabine-Zinn/publication/316630393_Large-Scale_Assessments_Potentials_and_Challenges_in_Longitudinal_Designs/links/5908ae39aca272f658f7f901/Large-Scale-Assessments-Potentials-and-Challenges-in-Longitudinal-Designs.pdf</vt:lpwstr>
      </vt:variant>
      <vt:variant>
        <vt:lpwstr/>
      </vt:variant>
      <vt:variant>
        <vt:i4>5898329</vt:i4>
      </vt:variant>
      <vt:variant>
        <vt:i4>1074</vt:i4>
      </vt:variant>
      <vt:variant>
        <vt:i4>0</vt:i4>
      </vt:variant>
      <vt:variant>
        <vt:i4>5</vt:i4>
      </vt:variant>
      <vt:variant>
        <vt:lpwstr>https://doi.org/10.1353/pbm.2022.0024</vt:lpwstr>
      </vt:variant>
      <vt:variant>
        <vt:lpwstr/>
      </vt:variant>
      <vt:variant>
        <vt:i4>2097239</vt:i4>
      </vt:variant>
      <vt:variant>
        <vt:i4>1071</vt:i4>
      </vt:variant>
      <vt:variant>
        <vt:i4>0</vt:i4>
      </vt:variant>
      <vt:variant>
        <vt:i4>5</vt:i4>
      </vt:variant>
      <vt:variant>
        <vt:lpwstr>https://hspublishing.org/GRES/article/view/62?utm_source=chatgpt.com</vt:lpwstr>
      </vt:variant>
      <vt:variant>
        <vt:lpwstr/>
      </vt:variant>
      <vt:variant>
        <vt:i4>5767222</vt:i4>
      </vt:variant>
      <vt:variant>
        <vt:i4>1068</vt:i4>
      </vt:variant>
      <vt:variant>
        <vt:i4>0</vt:i4>
      </vt:variant>
      <vt:variant>
        <vt:i4>5</vt:i4>
      </vt:variant>
      <vt:variant>
        <vt:lpwstr>https://research.ukhsa.gov.uk/our-research/damp-and-mould/?utm_source=chatgpt.com</vt:lpwstr>
      </vt:variant>
      <vt:variant>
        <vt:lpwstr/>
      </vt:variant>
      <vt:variant>
        <vt:i4>5570624</vt:i4>
      </vt:variant>
      <vt:variant>
        <vt:i4>1065</vt:i4>
      </vt:variant>
      <vt:variant>
        <vt:i4>0</vt:i4>
      </vt:variant>
      <vt:variant>
        <vt:i4>5</vt:i4>
      </vt:variant>
      <vt:variant>
        <vt:lpwstr>https://doi.org/10.1183/2312508X.10004822</vt:lpwstr>
      </vt:variant>
      <vt:variant>
        <vt:lpwstr/>
      </vt:variant>
      <vt:variant>
        <vt:i4>7864421</vt:i4>
      </vt:variant>
      <vt:variant>
        <vt:i4>1062</vt:i4>
      </vt:variant>
      <vt:variant>
        <vt:i4>0</vt:i4>
      </vt:variant>
      <vt:variant>
        <vt:i4>5</vt:i4>
      </vt:variant>
      <vt:variant>
        <vt:lpwstr>https://doi.org/10.1146/annurev-orgpsych-062021-021303</vt:lpwstr>
      </vt:variant>
      <vt:variant>
        <vt:lpwstr/>
      </vt:variant>
      <vt:variant>
        <vt:i4>5439579</vt:i4>
      </vt:variant>
      <vt:variant>
        <vt:i4>1059</vt:i4>
      </vt:variant>
      <vt:variant>
        <vt:i4>0</vt:i4>
      </vt:variant>
      <vt:variant>
        <vt:i4>5</vt:i4>
      </vt:variant>
      <vt:variant>
        <vt:lpwstr>https://doi.org/10.1111/ina.12835</vt:lpwstr>
      </vt:variant>
      <vt:variant>
        <vt:lpwstr/>
      </vt:variant>
      <vt:variant>
        <vt:i4>4784135</vt:i4>
      </vt:variant>
      <vt:variant>
        <vt:i4>1056</vt:i4>
      </vt:variant>
      <vt:variant>
        <vt:i4>0</vt:i4>
      </vt:variant>
      <vt:variant>
        <vt:i4>5</vt:i4>
      </vt:variant>
      <vt:variant>
        <vt:lpwstr>https://eu-opensci.org/index.php/ejmed/article/view/42112</vt:lpwstr>
      </vt:variant>
      <vt:variant>
        <vt:lpwstr/>
      </vt:variant>
      <vt:variant>
        <vt:i4>6619235</vt:i4>
      </vt:variant>
      <vt:variant>
        <vt:i4>1053</vt:i4>
      </vt:variant>
      <vt:variant>
        <vt:i4>0</vt:i4>
      </vt:variant>
      <vt:variant>
        <vt:i4>5</vt:i4>
      </vt:variant>
      <vt:variant>
        <vt:lpwstr>https://doi.org/10.1136/bmjopen-2015-009636</vt:lpwstr>
      </vt:variant>
      <vt:variant>
        <vt:lpwstr/>
      </vt:variant>
      <vt:variant>
        <vt:i4>6029327</vt:i4>
      </vt:variant>
      <vt:variant>
        <vt:i4>1050</vt:i4>
      </vt:variant>
      <vt:variant>
        <vt:i4>0</vt:i4>
      </vt:variant>
      <vt:variant>
        <vt:i4>5</vt:i4>
      </vt:variant>
      <vt:variant>
        <vt:lpwstr>https://www.theguardian.com/business/2023/apr/15/young-adults-uk-housing</vt:lpwstr>
      </vt:variant>
      <vt:variant>
        <vt:lpwstr/>
      </vt:variant>
      <vt:variant>
        <vt:i4>4784224</vt:i4>
      </vt:variant>
      <vt:variant>
        <vt:i4>1047</vt:i4>
      </vt:variant>
      <vt:variant>
        <vt:i4>0</vt:i4>
      </vt:variant>
      <vt:variant>
        <vt:i4>5</vt:i4>
      </vt:variant>
      <vt:variant>
        <vt:lpwstr>https://doi.org/10.1007/978-3-658-27602-7_3</vt:lpwstr>
      </vt:variant>
      <vt:variant>
        <vt:lpwstr/>
      </vt:variant>
      <vt:variant>
        <vt:i4>2359416</vt:i4>
      </vt:variant>
      <vt:variant>
        <vt:i4>1044</vt:i4>
      </vt:variant>
      <vt:variant>
        <vt:i4>0</vt:i4>
      </vt:variant>
      <vt:variant>
        <vt:i4>5</vt:i4>
      </vt:variant>
      <vt:variant>
        <vt:lpwstr>https://doi.org/10.1098/rsta.2024.0567</vt:lpwstr>
      </vt:variant>
      <vt:variant>
        <vt:lpwstr/>
      </vt:variant>
      <vt:variant>
        <vt:i4>8060993</vt:i4>
      </vt:variant>
      <vt:variant>
        <vt:i4>1041</vt:i4>
      </vt:variant>
      <vt:variant>
        <vt:i4>0</vt:i4>
      </vt:variant>
      <vt:variant>
        <vt:i4>5</vt:i4>
      </vt:variant>
      <vt:variant>
        <vt:lpwstr>https://pubmed.ncbi.nlm.nih.gov/37034137/?utm_source=chatgpt.com</vt:lpwstr>
      </vt:variant>
      <vt:variant>
        <vt:lpwstr/>
      </vt:variant>
      <vt:variant>
        <vt:i4>4325378</vt:i4>
      </vt:variant>
      <vt:variant>
        <vt:i4>1038</vt:i4>
      </vt:variant>
      <vt:variant>
        <vt:i4>0</vt:i4>
      </vt:variant>
      <vt:variant>
        <vt:i4>5</vt:i4>
      </vt:variant>
      <vt:variant>
        <vt:lpwstr>https://doi.org/10.1016/j.jbusres.2019.07.039</vt:lpwstr>
      </vt:variant>
      <vt:variant>
        <vt:lpwstr/>
      </vt:variant>
      <vt:variant>
        <vt:i4>1769556</vt:i4>
      </vt:variant>
      <vt:variant>
        <vt:i4>1035</vt:i4>
      </vt:variant>
      <vt:variant>
        <vt:i4>0</vt:i4>
      </vt:variant>
      <vt:variant>
        <vt:i4>5</vt:i4>
      </vt:variant>
      <vt:variant>
        <vt:lpwstr>https://doi.org/10.1177/02637758251386715</vt:lpwstr>
      </vt:variant>
      <vt:variant>
        <vt:lpwstr/>
      </vt:variant>
      <vt:variant>
        <vt:i4>1376271</vt:i4>
      </vt:variant>
      <vt:variant>
        <vt:i4>1032</vt:i4>
      </vt:variant>
      <vt:variant>
        <vt:i4>0</vt:i4>
      </vt:variant>
      <vt:variant>
        <vt:i4>5</vt:i4>
      </vt:variant>
      <vt:variant>
        <vt:lpwstr>https://doi.org/10.22399/ijcesen.4533</vt:lpwstr>
      </vt:variant>
      <vt:variant>
        <vt:lpwstr/>
      </vt:variant>
      <vt:variant>
        <vt:i4>983070</vt:i4>
      </vt:variant>
      <vt:variant>
        <vt:i4>1029</vt:i4>
      </vt:variant>
      <vt:variant>
        <vt:i4>0</vt:i4>
      </vt:variant>
      <vt:variant>
        <vt:i4>5</vt:i4>
      </vt:variant>
      <vt:variant>
        <vt:lpwstr>https://doi.org/10.3390/buildings14020316</vt:lpwstr>
      </vt:variant>
      <vt:variant>
        <vt:lpwstr/>
      </vt:variant>
      <vt:variant>
        <vt:i4>6094948</vt:i4>
      </vt:variant>
      <vt:variant>
        <vt:i4>1026</vt:i4>
      </vt:variant>
      <vt:variant>
        <vt:i4>0</vt:i4>
      </vt:variant>
      <vt:variant>
        <vt:i4>5</vt:i4>
      </vt:variant>
      <vt:variant>
        <vt:lpwstr>https://salford-repository.worktribe.com/output/3429472/greater-manchester-social-housing-quality-fund-tenant-research?utm_source=chatgpt.com</vt:lpwstr>
      </vt:variant>
      <vt:variant>
        <vt:lpwstr/>
      </vt:variant>
      <vt:variant>
        <vt:i4>2359341</vt:i4>
      </vt:variant>
      <vt:variant>
        <vt:i4>1023</vt:i4>
      </vt:variant>
      <vt:variant>
        <vt:i4>0</vt:i4>
      </vt:variant>
      <vt:variant>
        <vt:i4>5</vt:i4>
      </vt:variant>
      <vt:variant>
        <vt:lpwstr>https://doi.org/10.3389/fenvh.2024.1358484</vt:lpwstr>
      </vt:variant>
      <vt:variant>
        <vt:lpwstr/>
      </vt:variant>
      <vt:variant>
        <vt:i4>2293810</vt:i4>
      </vt:variant>
      <vt:variant>
        <vt:i4>1020</vt:i4>
      </vt:variant>
      <vt:variant>
        <vt:i4>0</vt:i4>
      </vt:variant>
      <vt:variant>
        <vt:i4>5</vt:i4>
      </vt:variant>
      <vt:variant>
        <vt:lpwstr>https://doi.org/10.1186/s12913-022-07671-6</vt:lpwstr>
      </vt:variant>
      <vt:variant>
        <vt:lpwstr/>
      </vt:variant>
      <vt:variant>
        <vt:i4>6488112</vt:i4>
      </vt:variant>
      <vt:variant>
        <vt:i4>1017</vt:i4>
      </vt:variant>
      <vt:variant>
        <vt:i4>0</vt:i4>
      </vt:variant>
      <vt:variant>
        <vt:i4>5</vt:i4>
      </vt:variant>
      <vt:variant>
        <vt:lpwstr>https://doi.org/10.1186/s13643-021-01671-z</vt:lpwstr>
      </vt:variant>
      <vt:variant>
        <vt:lpwstr/>
      </vt:variant>
      <vt:variant>
        <vt:i4>6357031</vt:i4>
      </vt:variant>
      <vt:variant>
        <vt:i4>1014</vt:i4>
      </vt:variant>
      <vt:variant>
        <vt:i4>0</vt:i4>
      </vt:variant>
      <vt:variant>
        <vt:i4>5</vt:i4>
      </vt:variant>
      <vt:variant>
        <vt:lpwstr>https://doi.org/10.3390/ijerph182212014</vt:lpwstr>
      </vt:variant>
      <vt:variant>
        <vt:lpwstr/>
      </vt:variant>
      <vt:variant>
        <vt:i4>983057</vt:i4>
      </vt:variant>
      <vt:variant>
        <vt:i4>1011</vt:i4>
      </vt:variant>
      <vt:variant>
        <vt:i4>0</vt:i4>
      </vt:variant>
      <vt:variant>
        <vt:i4>5</vt:i4>
      </vt:variant>
      <vt:variant>
        <vt:lpwstr>https://doi.org/10.3399/bjgp18X695465</vt:lpwstr>
      </vt:variant>
      <vt:variant>
        <vt:lpwstr/>
      </vt:variant>
      <vt:variant>
        <vt:i4>3539070</vt:i4>
      </vt:variant>
      <vt:variant>
        <vt:i4>1008</vt:i4>
      </vt:variant>
      <vt:variant>
        <vt:i4>0</vt:i4>
      </vt:variant>
      <vt:variant>
        <vt:i4>5</vt:i4>
      </vt:variant>
      <vt:variant>
        <vt:lpwstr>https://doi.org/10.1111/1468-0009.12640</vt:lpwstr>
      </vt:variant>
      <vt:variant>
        <vt:lpwstr/>
      </vt:variant>
      <vt:variant>
        <vt:i4>3866726</vt:i4>
      </vt:variant>
      <vt:variant>
        <vt:i4>1005</vt:i4>
      </vt:variant>
      <vt:variant>
        <vt:i4>0</vt:i4>
      </vt:variant>
      <vt:variant>
        <vt:i4>5</vt:i4>
      </vt:variant>
      <vt:variant>
        <vt:lpwstr>https://doi.org/10.1145/3540250.3560877</vt:lpwstr>
      </vt:variant>
      <vt:variant>
        <vt:lpwstr/>
      </vt:variant>
      <vt:variant>
        <vt:i4>5505096</vt:i4>
      </vt:variant>
      <vt:variant>
        <vt:i4>1002</vt:i4>
      </vt:variant>
      <vt:variant>
        <vt:i4>0</vt:i4>
      </vt:variant>
      <vt:variant>
        <vt:i4>5</vt:i4>
      </vt:variant>
      <vt:variant>
        <vt:lpwstr>https://www.prisma-statement.org/prisma-2020-flow-diagram</vt:lpwstr>
      </vt:variant>
      <vt:variant>
        <vt:lpwstr/>
      </vt:variant>
      <vt:variant>
        <vt:i4>7209008</vt:i4>
      </vt:variant>
      <vt:variant>
        <vt:i4>999</vt:i4>
      </vt:variant>
      <vt:variant>
        <vt:i4>0</vt:i4>
      </vt:variant>
      <vt:variant>
        <vt:i4>5</vt:i4>
      </vt:variant>
      <vt:variant>
        <vt:lpwstr>https://doi.org/10.1186/s40900-024-00613-y</vt:lpwstr>
      </vt:variant>
      <vt:variant>
        <vt:lpwstr/>
      </vt:variant>
      <vt:variant>
        <vt:i4>5767233</vt:i4>
      </vt:variant>
      <vt:variant>
        <vt:i4>996</vt:i4>
      </vt:variant>
      <vt:variant>
        <vt:i4>0</vt:i4>
      </vt:variant>
      <vt:variant>
        <vt:i4>5</vt:i4>
      </vt:variant>
      <vt:variant>
        <vt:lpwstr>https://doi.org/10.6007/IJARPED/v11-i2/12938</vt:lpwstr>
      </vt:variant>
      <vt:variant>
        <vt:lpwstr/>
      </vt:variant>
      <vt:variant>
        <vt:i4>327698</vt:i4>
      </vt:variant>
      <vt:variant>
        <vt:i4>993</vt:i4>
      </vt:variant>
      <vt:variant>
        <vt:i4>0</vt:i4>
      </vt:variant>
      <vt:variant>
        <vt:i4>5</vt:i4>
      </vt:variant>
      <vt:variant>
        <vt:lpwstr>https://doi.org/10.1038/s41431-020-0596-x</vt:lpwstr>
      </vt:variant>
      <vt:variant>
        <vt:lpwstr/>
      </vt:variant>
      <vt:variant>
        <vt:i4>2883636</vt:i4>
      </vt:variant>
      <vt:variant>
        <vt:i4>990</vt:i4>
      </vt:variant>
      <vt:variant>
        <vt:i4>0</vt:i4>
      </vt:variant>
      <vt:variant>
        <vt:i4>5</vt:i4>
      </vt:variant>
      <vt:variant>
        <vt:lpwstr>https://doi.org/10.1007/s11135-025-02359-5</vt:lpwstr>
      </vt:variant>
      <vt:variant>
        <vt:lpwstr/>
      </vt:variant>
      <vt:variant>
        <vt:i4>3080312</vt:i4>
      </vt:variant>
      <vt:variant>
        <vt:i4>987</vt:i4>
      </vt:variant>
      <vt:variant>
        <vt:i4>0</vt:i4>
      </vt:variant>
      <vt:variant>
        <vt:i4>5</vt:i4>
      </vt:variant>
      <vt:variant>
        <vt:lpwstr>https://doi.org/10.1111/jebm.12266</vt:lpwstr>
      </vt:variant>
      <vt:variant>
        <vt:lpwstr/>
      </vt:variant>
      <vt:variant>
        <vt:i4>3080290</vt:i4>
      </vt:variant>
      <vt:variant>
        <vt:i4>984</vt:i4>
      </vt:variant>
      <vt:variant>
        <vt:i4>0</vt:i4>
      </vt:variant>
      <vt:variant>
        <vt:i4>5</vt:i4>
      </vt:variant>
      <vt:variant>
        <vt:lpwstr>https://doi.org/10.1039/D1EM00202C</vt:lpwstr>
      </vt:variant>
      <vt:variant>
        <vt:lpwstr/>
      </vt:variant>
      <vt:variant>
        <vt:i4>4653127</vt:i4>
      </vt:variant>
      <vt:variant>
        <vt:i4>981</vt:i4>
      </vt:variant>
      <vt:variant>
        <vt:i4>0</vt:i4>
      </vt:variant>
      <vt:variant>
        <vt:i4>5</vt:i4>
      </vt:variant>
      <vt:variant>
        <vt:lpwstr>https://natcen.ac.uk/publications/how-poor-quality-housing-harming-millions-older-adults</vt:lpwstr>
      </vt:variant>
      <vt:variant>
        <vt:lpwstr/>
      </vt:variant>
      <vt:variant>
        <vt:i4>1769501</vt:i4>
      </vt:variant>
      <vt:variant>
        <vt:i4>978</vt:i4>
      </vt:variant>
      <vt:variant>
        <vt:i4>0</vt:i4>
      </vt:variant>
      <vt:variant>
        <vt:i4>5</vt:i4>
      </vt:variant>
      <vt:variant>
        <vt:lpwstr>https://doi.org/10.1017/S0266462312000086</vt:lpwstr>
      </vt:variant>
      <vt:variant>
        <vt:lpwstr/>
      </vt:variant>
      <vt:variant>
        <vt:i4>3276857</vt:i4>
      </vt:variant>
      <vt:variant>
        <vt:i4>975</vt:i4>
      </vt:variant>
      <vt:variant>
        <vt:i4>0</vt:i4>
      </vt:variant>
      <vt:variant>
        <vt:i4>5</vt:i4>
      </vt:variant>
      <vt:variant>
        <vt:lpwstr>https://doi.org/10.1016/j.jped.2021.11.005</vt:lpwstr>
      </vt:variant>
      <vt:variant>
        <vt:lpwstr/>
      </vt:variant>
      <vt:variant>
        <vt:i4>1966149</vt:i4>
      </vt:variant>
      <vt:variant>
        <vt:i4>972</vt:i4>
      </vt:variant>
      <vt:variant>
        <vt:i4>0</vt:i4>
      </vt:variant>
      <vt:variant>
        <vt:i4>5</vt:i4>
      </vt:variant>
      <vt:variant>
        <vt:lpwstr>https://doi.org/10.5334/ijic.5666</vt:lpwstr>
      </vt:variant>
      <vt:variant>
        <vt:lpwstr/>
      </vt:variant>
      <vt:variant>
        <vt:i4>2097161</vt:i4>
      </vt:variant>
      <vt:variant>
        <vt:i4>969</vt:i4>
      </vt:variant>
      <vt:variant>
        <vt:i4>0</vt:i4>
      </vt:variant>
      <vt:variant>
        <vt:i4>5</vt:i4>
      </vt:variant>
      <vt:variant>
        <vt:lpwstr>https://doi.org/10.1044/cicsd_33_S_21</vt:lpwstr>
      </vt:variant>
      <vt:variant>
        <vt:lpwstr/>
      </vt:variant>
      <vt:variant>
        <vt:i4>589838</vt:i4>
      </vt:variant>
      <vt:variant>
        <vt:i4>966</vt:i4>
      </vt:variant>
      <vt:variant>
        <vt:i4>0</vt:i4>
      </vt:variant>
      <vt:variant>
        <vt:i4>5</vt:i4>
      </vt:variant>
      <vt:variant>
        <vt:lpwstr>https://doi.org/10.1016/S0140-6736(21)00458-X</vt:lpwstr>
      </vt:variant>
      <vt:variant>
        <vt:lpwstr/>
      </vt:variant>
      <vt:variant>
        <vt:i4>917568</vt:i4>
      </vt:variant>
      <vt:variant>
        <vt:i4>963</vt:i4>
      </vt:variant>
      <vt:variant>
        <vt:i4>0</vt:i4>
      </vt:variant>
      <vt:variant>
        <vt:i4>5</vt:i4>
      </vt:variant>
      <vt:variant>
        <vt:lpwstr>https://doi.org/10.1080/19491247.2023.2268349</vt:lpwstr>
      </vt:variant>
      <vt:variant>
        <vt:lpwstr/>
      </vt:variant>
      <vt:variant>
        <vt:i4>3473506</vt:i4>
      </vt:variant>
      <vt:variant>
        <vt:i4>960</vt:i4>
      </vt:variant>
      <vt:variant>
        <vt:i4>0</vt:i4>
      </vt:variant>
      <vt:variant>
        <vt:i4>5</vt:i4>
      </vt:variant>
      <vt:variant>
        <vt:lpwstr>https://doi.org/10.4337/9781800887459.00020</vt:lpwstr>
      </vt:variant>
      <vt:variant>
        <vt:lpwstr/>
      </vt:variant>
      <vt:variant>
        <vt:i4>7012415</vt:i4>
      </vt:variant>
      <vt:variant>
        <vt:i4>957</vt:i4>
      </vt:variant>
      <vt:variant>
        <vt:i4>0</vt:i4>
      </vt:variant>
      <vt:variant>
        <vt:i4>5</vt:i4>
      </vt:variant>
      <vt:variant>
        <vt:lpwstr>https://doi.org/10.1186/s12889-021-11852-z</vt:lpwstr>
      </vt:variant>
      <vt:variant>
        <vt:lpwstr/>
      </vt:variant>
      <vt:variant>
        <vt:i4>2424884</vt:i4>
      </vt:variant>
      <vt:variant>
        <vt:i4>954</vt:i4>
      </vt:variant>
      <vt:variant>
        <vt:i4>0</vt:i4>
      </vt:variant>
      <vt:variant>
        <vt:i4>5</vt:i4>
      </vt:variant>
      <vt:variant>
        <vt:lpwstr>https://doi.org/10.1186/s12889-024-19163-9</vt:lpwstr>
      </vt:variant>
      <vt:variant>
        <vt:lpwstr/>
      </vt:variant>
      <vt:variant>
        <vt:i4>1572947</vt:i4>
      </vt:variant>
      <vt:variant>
        <vt:i4>951</vt:i4>
      </vt:variant>
      <vt:variant>
        <vt:i4>0</vt:i4>
      </vt:variant>
      <vt:variant>
        <vt:i4>5</vt:i4>
      </vt:variant>
      <vt:variant>
        <vt:lpwstr>https://doi.org/10.1177/0163278718772879</vt:lpwstr>
      </vt:variant>
      <vt:variant>
        <vt:lpwstr/>
      </vt:variant>
      <vt:variant>
        <vt:i4>7733350</vt:i4>
      </vt:variant>
      <vt:variant>
        <vt:i4>948</vt:i4>
      </vt:variant>
      <vt:variant>
        <vt:i4>0</vt:i4>
      </vt:variant>
      <vt:variant>
        <vt:i4>5</vt:i4>
      </vt:variant>
      <vt:variant>
        <vt:lpwstr>https://doi.org/10.3390/jof10020108</vt:lpwstr>
      </vt:variant>
      <vt:variant>
        <vt:lpwstr/>
      </vt:variant>
      <vt:variant>
        <vt:i4>1245264</vt:i4>
      </vt:variant>
      <vt:variant>
        <vt:i4>945</vt:i4>
      </vt:variant>
      <vt:variant>
        <vt:i4>0</vt:i4>
      </vt:variant>
      <vt:variant>
        <vt:i4>5</vt:i4>
      </vt:variant>
      <vt:variant>
        <vt:lpwstr>https://doi.org/10.1177/2632084320947559</vt:lpwstr>
      </vt:variant>
      <vt:variant>
        <vt:lpwstr/>
      </vt:variant>
      <vt:variant>
        <vt:i4>2097211</vt:i4>
      </vt:variant>
      <vt:variant>
        <vt:i4>942</vt:i4>
      </vt:variant>
      <vt:variant>
        <vt:i4>0</vt:i4>
      </vt:variant>
      <vt:variant>
        <vt:i4>5</vt:i4>
      </vt:variant>
      <vt:variant>
        <vt:lpwstr>http://dx.doi.org/10.5539/jel.v5n2p129</vt:lpwstr>
      </vt:variant>
      <vt:variant>
        <vt:lpwstr/>
      </vt:variant>
      <vt:variant>
        <vt:i4>6881329</vt:i4>
      </vt:variant>
      <vt:variant>
        <vt:i4>939</vt:i4>
      </vt:variant>
      <vt:variant>
        <vt:i4>0</vt:i4>
      </vt:variant>
      <vt:variant>
        <vt:i4>5</vt:i4>
      </vt:variant>
      <vt:variant>
        <vt:lpwstr>https://doi.org/10.1007/s11869-021-00978-z</vt:lpwstr>
      </vt:variant>
      <vt:variant>
        <vt:lpwstr/>
      </vt:variant>
      <vt:variant>
        <vt:i4>2883639</vt:i4>
      </vt:variant>
      <vt:variant>
        <vt:i4>936</vt:i4>
      </vt:variant>
      <vt:variant>
        <vt:i4>0</vt:i4>
      </vt:variant>
      <vt:variant>
        <vt:i4>5</vt:i4>
      </vt:variant>
      <vt:variant>
        <vt:lpwstr>https://doi.org/10.3389/fpubh.2025.1626827</vt:lpwstr>
      </vt:variant>
      <vt:variant>
        <vt:lpwstr/>
      </vt:variant>
      <vt:variant>
        <vt:i4>6488176</vt:i4>
      </vt:variant>
      <vt:variant>
        <vt:i4>933</vt:i4>
      </vt:variant>
      <vt:variant>
        <vt:i4>0</vt:i4>
      </vt:variant>
      <vt:variant>
        <vt:i4>5</vt:i4>
      </vt:variant>
      <vt:variant>
        <vt:lpwstr>https://www.researchgate.net/publication/389880654_Health-Oriented_Interior_Architecture_Principles_for_Primary_Care_Centers_PCCs_Ergonomics_Air_Quality_Lighting_and_Acoustics?utm_source=chatgpt.com</vt:lpwstr>
      </vt:variant>
      <vt:variant>
        <vt:lpwstr/>
      </vt:variant>
      <vt:variant>
        <vt:i4>1966101</vt:i4>
      </vt:variant>
      <vt:variant>
        <vt:i4>930</vt:i4>
      </vt:variant>
      <vt:variant>
        <vt:i4>0</vt:i4>
      </vt:variant>
      <vt:variant>
        <vt:i4>5</vt:i4>
      </vt:variant>
      <vt:variant>
        <vt:lpwstr>https://pmc.ncbi.nlm.nih.gov/articles/PMC1447157/</vt:lpwstr>
      </vt:variant>
      <vt:variant>
        <vt:lpwstr/>
      </vt:variant>
      <vt:variant>
        <vt:i4>3080297</vt:i4>
      </vt:variant>
      <vt:variant>
        <vt:i4>927</vt:i4>
      </vt:variant>
      <vt:variant>
        <vt:i4>0</vt:i4>
      </vt:variant>
      <vt:variant>
        <vt:i4>5</vt:i4>
      </vt:variant>
      <vt:variant>
        <vt:lpwstr>https://doi.org/10.3390/encyclopedia5030090</vt:lpwstr>
      </vt:variant>
      <vt:variant>
        <vt:lpwstr/>
      </vt:variant>
      <vt:variant>
        <vt:i4>2228274</vt:i4>
      </vt:variant>
      <vt:variant>
        <vt:i4>924</vt:i4>
      </vt:variant>
      <vt:variant>
        <vt:i4>0</vt:i4>
      </vt:variant>
      <vt:variant>
        <vt:i4>5</vt:i4>
      </vt:variant>
      <vt:variant>
        <vt:lpwstr>https://doi.org/10.1007/s11524-021-00603-5</vt:lpwstr>
      </vt:variant>
      <vt:variant>
        <vt:lpwstr/>
      </vt:variant>
      <vt:variant>
        <vt:i4>1900564</vt:i4>
      </vt:variant>
      <vt:variant>
        <vt:i4>921</vt:i4>
      </vt:variant>
      <vt:variant>
        <vt:i4>0</vt:i4>
      </vt:variant>
      <vt:variant>
        <vt:i4>5</vt:i4>
      </vt:variant>
      <vt:variant>
        <vt:lpwstr>https://doi.org/10.1146/annurev-publhealth-071521-111836</vt:lpwstr>
      </vt:variant>
      <vt:variant>
        <vt:lpwstr/>
      </vt:variant>
      <vt:variant>
        <vt:i4>1376347</vt:i4>
      </vt:variant>
      <vt:variant>
        <vt:i4>918</vt:i4>
      </vt:variant>
      <vt:variant>
        <vt:i4>0</vt:i4>
      </vt:variant>
      <vt:variant>
        <vt:i4>5</vt:i4>
      </vt:variant>
      <vt:variant>
        <vt:lpwstr>https://doi.org/10.1362/1469347042772428</vt:lpwstr>
      </vt:variant>
      <vt:variant>
        <vt:lpwstr/>
      </vt:variant>
      <vt:variant>
        <vt:i4>3211388</vt:i4>
      </vt:variant>
      <vt:variant>
        <vt:i4>915</vt:i4>
      </vt:variant>
      <vt:variant>
        <vt:i4>0</vt:i4>
      </vt:variant>
      <vt:variant>
        <vt:i4>5</vt:i4>
      </vt:variant>
      <vt:variant>
        <vt:lpwstr>https://doi.org/10.1183/20734735.0058-2023</vt:lpwstr>
      </vt:variant>
      <vt:variant>
        <vt:lpwstr/>
      </vt:variant>
      <vt:variant>
        <vt:i4>983134</vt:i4>
      </vt:variant>
      <vt:variant>
        <vt:i4>912</vt:i4>
      </vt:variant>
      <vt:variant>
        <vt:i4>0</vt:i4>
      </vt:variant>
      <vt:variant>
        <vt:i4>5</vt:i4>
      </vt:variant>
      <vt:variant>
        <vt:lpwstr>https://doi.org/10.3310/TWWL4501</vt:lpwstr>
      </vt:variant>
      <vt:variant>
        <vt:lpwstr/>
      </vt:variant>
      <vt:variant>
        <vt:i4>786525</vt:i4>
      </vt:variant>
      <vt:variant>
        <vt:i4>909</vt:i4>
      </vt:variant>
      <vt:variant>
        <vt:i4>0</vt:i4>
      </vt:variant>
      <vt:variant>
        <vt:i4>5</vt:i4>
      </vt:variant>
      <vt:variant>
        <vt:lpwstr>https://doi.org/10.1128/mmbr.00121-21</vt:lpwstr>
      </vt:variant>
      <vt:variant>
        <vt:lpwstr/>
      </vt:variant>
      <vt:variant>
        <vt:i4>262218</vt:i4>
      </vt:variant>
      <vt:variant>
        <vt:i4>906</vt:i4>
      </vt:variant>
      <vt:variant>
        <vt:i4>0</vt:i4>
      </vt:variant>
      <vt:variant>
        <vt:i4>5</vt:i4>
      </vt:variant>
      <vt:variant>
        <vt:lpwstr>https://doi.org/10.1080/02673037.2019.1621271</vt:lpwstr>
      </vt:variant>
      <vt:variant>
        <vt:lpwstr/>
      </vt:variant>
      <vt:variant>
        <vt:i4>655412</vt:i4>
      </vt:variant>
      <vt:variant>
        <vt:i4>903</vt:i4>
      </vt:variant>
      <vt:variant>
        <vt:i4>0</vt:i4>
      </vt:variant>
      <vt:variant>
        <vt:i4>5</vt:i4>
      </vt:variant>
      <vt:variant>
        <vt:lpwstr>https://healthequals.org.uk/data_insights/homes-that-harm-health/</vt:lpwstr>
      </vt:variant>
      <vt:variant>
        <vt:lpwstr/>
      </vt:variant>
      <vt:variant>
        <vt:i4>2883630</vt:i4>
      </vt:variant>
      <vt:variant>
        <vt:i4>900</vt:i4>
      </vt:variant>
      <vt:variant>
        <vt:i4>0</vt:i4>
      </vt:variant>
      <vt:variant>
        <vt:i4>5</vt:i4>
      </vt:variant>
      <vt:variant>
        <vt:lpwstr>https://doi.org/10.1016/j.techfore.2024.123833</vt:lpwstr>
      </vt:variant>
      <vt:variant>
        <vt:lpwstr/>
      </vt:variant>
      <vt:variant>
        <vt:i4>2293815</vt:i4>
      </vt:variant>
      <vt:variant>
        <vt:i4>897</vt:i4>
      </vt:variant>
      <vt:variant>
        <vt:i4>0</vt:i4>
      </vt:variant>
      <vt:variant>
        <vt:i4>5</vt:i4>
      </vt:variant>
      <vt:variant>
        <vt:lpwstr>https://doi.org/10.1016/j.prrv.2023.06.003</vt:lpwstr>
      </vt:variant>
      <vt:variant>
        <vt:lpwstr/>
      </vt:variant>
      <vt:variant>
        <vt:i4>2424947</vt:i4>
      </vt:variant>
      <vt:variant>
        <vt:i4>894</vt:i4>
      </vt:variant>
      <vt:variant>
        <vt:i4>0</vt:i4>
      </vt:variant>
      <vt:variant>
        <vt:i4>5</vt:i4>
      </vt:variant>
      <vt:variant>
        <vt:lpwstr>https://www.gov.uk/government/statistics/english-housing-survey-2023-to-2024-drivers-and-impacts-of-housing-quality/english-housing-survey-2023-to-2024-drivers-and-impacts-of-housing-quality</vt:lpwstr>
      </vt:variant>
      <vt:variant>
        <vt:lpwstr/>
      </vt:variant>
      <vt:variant>
        <vt:i4>4259885</vt:i4>
      </vt:variant>
      <vt:variant>
        <vt:i4>891</vt:i4>
      </vt:variant>
      <vt:variant>
        <vt:i4>0</vt:i4>
      </vt:variant>
      <vt:variant>
        <vt:i4>5</vt:i4>
      </vt:variant>
      <vt:variant>
        <vt:lpwstr>https://www.gov.uk/government/publications/damp-and-mould-understanding-and-addressing-the-health-risks-for-rented-housing-providers/understanding-and-addressing-the-health-risks-of-damp-and-mould-in-the-home--2?utm_source=chatgpt.com</vt:lpwstr>
      </vt:variant>
      <vt:variant>
        <vt:lpwstr/>
      </vt:variant>
      <vt:variant>
        <vt:i4>2687008</vt:i4>
      </vt:variant>
      <vt:variant>
        <vt:i4>888</vt:i4>
      </vt:variant>
      <vt:variant>
        <vt:i4>0</vt:i4>
      </vt:variant>
      <vt:variant>
        <vt:i4>5</vt:i4>
      </vt:variant>
      <vt:variant>
        <vt:lpwstr>https://doi.org/10.1016/j.buildenv.2019.106577</vt:lpwstr>
      </vt:variant>
      <vt:variant>
        <vt:lpwstr/>
      </vt:variant>
      <vt:variant>
        <vt:i4>7929956</vt:i4>
      </vt:variant>
      <vt:variant>
        <vt:i4>885</vt:i4>
      </vt:variant>
      <vt:variant>
        <vt:i4>0</vt:i4>
      </vt:variant>
      <vt:variant>
        <vt:i4>5</vt:i4>
      </vt:variant>
      <vt:variant>
        <vt:lpwstr>https://doi.org/10.33422/ijhep.v5i2.612</vt:lpwstr>
      </vt:variant>
      <vt:variant>
        <vt:lpwstr/>
      </vt:variant>
      <vt:variant>
        <vt:i4>6946929</vt:i4>
      </vt:variant>
      <vt:variant>
        <vt:i4>882</vt:i4>
      </vt:variant>
      <vt:variant>
        <vt:i4>0</vt:i4>
      </vt:variant>
      <vt:variant>
        <vt:i4>5</vt:i4>
      </vt:variant>
      <vt:variant>
        <vt:lpwstr>https://doi.org/10.1080/12265934.2020.1713864?urlappend=%3Futm_source%3Dresearchgate.net%26utm_medium%3Darticle</vt:lpwstr>
      </vt:variant>
      <vt:variant>
        <vt:lpwstr/>
      </vt:variant>
      <vt:variant>
        <vt:i4>917577</vt:i4>
      </vt:variant>
      <vt:variant>
        <vt:i4>879</vt:i4>
      </vt:variant>
      <vt:variant>
        <vt:i4>0</vt:i4>
      </vt:variant>
      <vt:variant>
        <vt:i4>5</vt:i4>
      </vt:variant>
      <vt:variant>
        <vt:lpwstr>https://doi.org/10.1080/12265934.2020.1713864</vt:lpwstr>
      </vt:variant>
      <vt:variant>
        <vt:lpwstr/>
      </vt:variant>
      <vt:variant>
        <vt:i4>524352</vt:i4>
      </vt:variant>
      <vt:variant>
        <vt:i4>876</vt:i4>
      </vt:variant>
      <vt:variant>
        <vt:i4>0</vt:i4>
      </vt:variant>
      <vt:variant>
        <vt:i4>5</vt:i4>
      </vt:variant>
      <vt:variant>
        <vt:lpwstr>https://doi.org/10.1080/02673037.2024.2419527</vt:lpwstr>
      </vt:variant>
      <vt:variant>
        <vt:lpwstr/>
      </vt:variant>
      <vt:variant>
        <vt:i4>7209078</vt:i4>
      </vt:variant>
      <vt:variant>
        <vt:i4>873</vt:i4>
      </vt:variant>
      <vt:variant>
        <vt:i4>0</vt:i4>
      </vt:variant>
      <vt:variant>
        <vt:i4>5</vt:i4>
      </vt:variant>
      <vt:variant>
        <vt:lpwstr>https://doi.org/10.1080/10530789.2023.2241215?urlappend=%3Futm_source%3Dresearchgate.net%26utm_medium%3Darticle</vt:lpwstr>
      </vt:variant>
      <vt:variant>
        <vt:lpwstr/>
      </vt:variant>
      <vt:variant>
        <vt:i4>5701725</vt:i4>
      </vt:variant>
      <vt:variant>
        <vt:i4>870</vt:i4>
      </vt:variant>
      <vt:variant>
        <vt:i4>0</vt:i4>
      </vt:variant>
      <vt:variant>
        <vt:i4>5</vt:i4>
      </vt:variant>
      <vt:variant>
        <vt:lpwstr>https://doi.org/10.1016/j.envint.2023.108127</vt:lpwstr>
      </vt:variant>
      <vt:variant>
        <vt:lpwstr/>
      </vt:variant>
      <vt:variant>
        <vt:i4>6422624</vt:i4>
      </vt:variant>
      <vt:variant>
        <vt:i4>867</vt:i4>
      </vt:variant>
      <vt:variant>
        <vt:i4>0</vt:i4>
      </vt:variant>
      <vt:variant>
        <vt:i4>5</vt:i4>
      </vt:variant>
      <vt:variant>
        <vt:lpwstr>https://doi.org/10.4995/vlc.2025.24098</vt:lpwstr>
      </vt:variant>
      <vt:variant>
        <vt:lpwstr/>
      </vt:variant>
      <vt:variant>
        <vt:i4>6619170</vt:i4>
      </vt:variant>
      <vt:variant>
        <vt:i4>864</vt:i4>
      </vt:variant>
      <vt:variant>
        <vt:i4>0</vt:i4>
      </vt:variant>
      <vt:variant>
        <vt:i4>5</vt:i4>
      </vt:variant>
      <vt:variant>
        <vt:lpwstr>https://doi.org/10.3390/ijerph192315526</vt:lpwstr>
      </vt:variant>
      <vt:variant>
        <vt:lpwstr/>
      </vt:variant>
      <vt:variant>
        <vt:i4>2621489</vt:i4>
      </vt:variant>
      <vt:variant>
        <vt:i4>861</vt:i4>
      </vt:variant>
      <vt:variant>
        <vt:i4>0</vt:i4>
      </vt:variant>
      <vt:variant>
        <vt:i4>5</vt:i4>
      </vt:variant>
      <vt:variant>
        <vt:lpwstr>https://doi.org/10.1186/s13031-025-00701-0</vt:lpwstr>
      </vt:variant>
      <vt:variant>
        <vt:lpwstr/>
      </vt:variant>
      <vt:variant>
        <vt:i4>2359340</vt:i4>
      </vt:variant>
      <vt:variant>
        <vt:i4>858</vt:i4>
      </vt:variant>
      <vt:variant>
        <vt:i4>0</vt:i4>
      </vt:variant>
      <vt:variant>
        <vt:i4>5</vt:i4>
      </vt:variant>
      <vt:variant>
        <vt:lpwstr>https://www.thelancet.com/journals/lanpub/article/PIIS2468-2667(21)00235-8/fulltext</vt:lpwstr>
      </vt:variant>
      <vt:variant>
        <vt:lpwstr/>
      </vt:variant>
      <vt:variant>
        <vt:i4>4849677</vt:i4>
      </vt:variant>
      <vt:variant>
        <vt:i4>855</vt:i4>
      </vt:variant>
      <vt:variant>
        <vt:i4>0</vt:i4>
      </vt:variant>
      <vt:variant>
        <vt:i4>5</vt:i4>
      </vt:variant>
      <vt:variant>
        <vt:lpwstr>https://sharedhealthfoundation.org.uk/wp-content/uploads/2021/09/Housing-and-Childrens-Health-and-Social-Care-Publication.pdf</vt:lpwstr>
      </vt:variant>
      <vt:variant>
        <vt:lpwstr/>
      </vt:variant>
      <vt:variant>
        <vt:i4>7208992</vt:i4>
      </vt:variant>
      <vt:variant>
        <vt:i4>852</vt:i4>
      </vt:variant>
      <vt:variant>
        <vt:i4>0</vt:i4>
      </vt:variant>
      <vt:variant>
        <vt:i4>5</vt:i4>
      </vt:variant>
      <vt:variant>
        <vt:lpwstr>https://doi.org/10.3390/ijerph19031854</vt:lpwstr>
      </vt:variant>
      <vt:variant>
        <vt:lpwstr/>
      </vt:variant>
      <vt:variant>
        <vt:i4>3080249</vt:i4>
      </vt:variant>
      <vt:variant>
        <vt:i4>849</vt:i4>
      </vt:variant>
      <vt:variant>
        <vt:i4>0</vt:i4>
      </vt:variant>
      <vt:variant>
        <vt:i4>5</vt:i4>
      </vt:variant>
      <vt:variant>
        <vt:lpwstr>https://doi.org/10.1038/s42949-025-00318-5</vt:lpwstr>
      </vt:variant>
      <vt:variant>
        <vt:lpwstr/>
      </vt:variant>
      <vt:variant>
        <vt:i4>983109</vt:i4>
      </vt:variant>
      <vt:variant>
        <vt:i4>846</vt:i4>
      </vt:variant>
      <vt:variant>
        <vt:i4>0</vt:i4>
      </vt:variant>
      <vt:variant>
        <vt:i4>5</vt:i4>
      </vt:variant>
      <vt:variant>
        <vt:lpwstr>https://doi.org/10.3390/environments10080136</vt:lpwstr>
      </vt:variant>
      <vt:variant>
        <vt:lpwstr/>
      </vt:variant>
      <vt:variant>
        <vt:i4>983109</vt:i4>
      </vt:variant>
      <vt:variant>
        <vt:i4>843</vt:i4>
      </vt:variant>
      <vt:variant>
        <vt:i4>0</vt:i4>
      </vt:variant>
      <vt:variant>
        <vt:i4>5</vt:i4>
      </vt:variant>
      <vt:variant>
        <vt:lpwstr>https://doi.org/10.3390/environments10080136</vt:lpwstr>
      </vt:variant>
      <vt:variant>
        <vt:lpwstr/>
      </vt:variant>
      <vt:variant>
        <vt:i4>1638470</vt:i4>
      </vt:variant>
      <vt:variant>
        <vt:i4>840</vt:i4>
      </vt:variant>
      <vt:variant>
        <vt:i4>0</vt:i4>
      </vt:variant>
      <vt:variant>
        <vt:i4>5</vt:i4>
      </vt:variant>
      <vt:variant>
        <vt:lpwstr>https://doi.org/10.1155/2024/1282674</vt:lpwstr>
      </vt:variant>
      <vt:variant>
        <vt:lpwstr/>
      </vt:variant>
      <vt:variant>
        <vt:i4>7209085</vt:i4>
      </vt:variant>
      <vt:variant>
        <vt:i4>837</vt:i4>
      </vt:variant>
      <vt:variant>
        <vt:i4>0</vt:i4>
      </vt:variant>
      <vt:variant>
        <vt:i4>5</vt:i4>
      </vt:variant>
      <vt:variant>
        <vt:lpwstr>https://doi.org/10.1001/jamanetworkopen.2022.39860</vt:lpwstr>
      </vt:variant>
      <vt:variant>
        <vt:lpwstr/>
      </vt:variant>
      <vt:variant>
        <vt:i4>1638486</vt:i4>
      </vt:variant>
      <vt:variant>
        <vt:i4>834</vt:i4>
      </vt:variant>
      <vt:variant>
        <vt:i4>0</vt:i4>
      </vt:variant>
      <vt:variant>
        <vt:i4>5</vt:i4>
      </vt:variant>
      <vt:variant>
        <vt:lpwstr>https://doi.org/10.2174/1573396320666230912103056</vt:lpwstr>
      </vt:variant>
      <vt:variant>
        <vt:lpwstr/>
      </vt:variant>
      <vt:variant>
        <vt:i4>5570645</vt:i4>
      </vt:variant>
      <vt:variant>
        <vt:i4>831</vt:i4>
      </vt:variant>
      <vt:variant>
        <vt:i4>0</vt:i4>
      </vt:variant>
      <vt:variant>
        <vt:i4>5</vt:i4>
      </vt:variant>
      <vt:variant>
        <vt:lpwstr>https://doi.org/10.1177/1420326X17708018</vt:lpwstr>
      </vt:variant>
      <vt:variant>
        <vt:lpwstr/>
      </vt:variant>
      <vt:variant>
        <vt:i4>6029364</vt:i4>
      </vt:variant>
      <vt:variant>
        <vt:i4>828</vt:i4>
      </vt:variant>
      <vt:variant>
        <vt:i4>0</vt:i4>
      </vt:variant>
      <vt:variant>
        <vt:i4>5</vt:i4>
      </vt:variant>
      <vt:variant>
        <vt:lpwstr>https://sticerd.lse.ac.uk/dps/case/cr/casereport162.pdf?utm_source=chatgpt.com</vt:lpwstr>
      </vt:variant>
      <vt:variant>
        <vt:lpwstr/>
      </vt:variant>
      <vt:variant>
        <vt:i4>4849740</vt:i4>
      </vt:variant>
      <vt:variant>
        <vt:i4>825</vt:i4>
      </vt:variant>
      <vt:variant>
        <vt:i4>0</vt:i4>
      </vt:variant>
      <vt:variant>
        <vt:i4>5</vt:i4>
      </vt:variant>
      <vt:variant>
        <vt:lpwstr>https://doi.org/10.1080/0312407X.2024.2386438</vt:lpwstr>
      </vt:variant>
      <vt:variant>
        <vt:lpwstr/>
      </vt:variant>
      <vt:variant>
        <vt:i4>5177409</vt:i4>
      </vt:variant>
      <vt:variant>
        <vt:i4>822</vt:i4>
      </vt:variant>
      <vt:variant>
        <vt:i4>0</vt:i4>
      </vt:variant>
      <vt:variant>
        <vt:i4>5</vt:i4>
      </vt:variant>
      <vt:variant>
        <vt:lpwstr>https://doi.org/10.1080/2159676X.2019.1628806</vt:lpwstr>
      </vt:variant>
      <vt:variant>
        <vt:lpwstr/>
      </vt:variant>
      <vt:variant>
        <vt:i4>917587</vt:i4>
      </vt:variant>
      <vt:variant>
        <vt:i4>819</vt:i4>
      </vt:variant>
      <vt:variant>
        <vt:i4>0</vt:i4>
      </vt:variant>
      <vt:variant>
        <vt:i4>5</vt:i4>
      </vt:variant>
      <vt:variant>
        <vt:lpwstr>https://doi.org/10.1108/AAAJ-11-2019-4278</vt:lpwstr>
      </vt:variant>
      <vt:variant>
        <vt:lpwstr/>
      </vt:variant>
      <vt:variant>
        <vt:i4>3997788</vt:i4>
      </vt:variant>
      <vt:variant>
        <vt:i4>816</vt:i4>
      </vt:variant>
      <vt:variant>
        <vt:i4>0</vt:i4>
      </vt:variant>
      <vt:variant>
        <vt:i4>5</vt:i4>
      </vt:variant>
      <vt:variant>
        <vt:lpwstr>https://www.mdpi.com/2073-4433/16/11/1243?utm_source=chatgpt.com</vt:lpwstr>
      </vt:variant>
      <vt:variant>
        <vt:lpwstr/>
      </vt:variant>
      <vt:variant>
        <vt:i4>1310735</vt:i4>
      </vt:variant>
      <vt:variant>
        <vt:i4>813</vt:i4>
      </vt:variant>
      <vt:variant>
        <vt:i4>0</vt:i4>
      </vt:variant>
      <vt:variant>
        <vt:i4>5</vt:i4>
      </vt:variant>
      <vt:variant>
        <vt:lpwstr>https://doi.org/10.1016/j.heliyon.2023.e23604</vt:lpwstr>
      </vt:variant>
      <vt:variant>
        <vt:lpwstr/>
      </vt:variant>
      <vt:variant>
        <vt:i4>7340095</vt:i4>
      </vt:variant>
      <vt:variant>
        <vt:i4>810</vt:i4>
      </vt:variant>
      <vt:variant>
        <vt:i4>0</vt:i4>
      </vt:variant>
      <vt:variant>
        <vt:i4>5</vt:i4>
      </vt:variant>
      <vt:variant>
        <vt:lpwstr>https://doi.org/10.1093/geroni/igac061</vt:lpwstr>
      </vt:variant>
      <vt:variant>
        <vt:lpwstr/>
      </vt:variant>
      <vt:variant>
        <vt:i4>6684719</vt:i4>
      </vt:variant>
      <vt:variant>
        <vt:i4>807</vt:i4>
      </vt:variant>
      <vt:variant>
        <vt:i4>0</vt:i4>
      </vt:variant>
      <vt:variant>
        <vt:i4>5</vt:i4>
      </vt:variant>
      <vt:variant>
        <vt:lpwstr>https://doi.org/10.3390/microorganisms12112121</vt:lpwstr>
      </vt:variant>
      <vt:variant>
        <vt:lpwstr/>
      </vt:variant>
      <vt:variant>
        <vt:i4>7077939</vt:i4>
      </vt:variant>
      <vt:variant>
        <vt:i4>804</vt:i4>
      </vt:variant>
      <vt:variant>
        <vt:i4>0</vt:i4>
      </vt:variant>
      <vt:variant>
        <vt:i4>5</vt:i4>
      </vt:variant>
      <vt:variant>
        <vt:lpwstr>https://doi.org/10.1108/QRJ-D-18-00035</vt:lpwstr>
      </vt:variant>
      <vt:variant>
        <vt:lpwstr/>
      </vt:variant>
      <vt:variant>
        <vt:i4>3538997</vt:i4>
      </vt:variant>
      <vt:variant>
        <vt:i4>801</vt:i4>
      </vt:variant>
      <vt:variant>
        <vt:i4>0</vt:i4>
      </vt:variant>
      <vt:variant>
        <vt:i4>5</vt:i4>
      </vt:variant>
      <vt:variant>
        <vt:lpwstr>https://www.thelancet.com/journals/lanres/article/PIIS2213-2600(21)00095-3/fulltext</vt:lpwstr>
      </vt:variant>
      <vt:variant>
        <vt:lpwstr/>
      </vt:variant>
      <vt:variant>
        <vt:i4>2818099</vt:i4>
      </vt:variant>
      <vt:variant>
        <vt:i4>798</vt:i4>
      </vt:variant>
      <vt:variant>
        <vt:i4>0</vt:i4>
      </vt:variant>
      <vt:variant>
        <vt:i4>5</vt:i4>
      </vt:variant>
      <vt:variant>
        <vt:lpwstr>https://doi.org/10.3389/fpubh.2024.1332078</vt:lpwstr>
      </vt:variant>
      <vt:variant>
        <vt:lpwstr/>
      </vt:variant>
      <vt:variant>
        <vt:i4>7733319</vt:i4>
      </vt:variant>
      <vt:variant>
        <vt:i4>795</vt:i4>
      </vt:variant>
      <vt:variant>
        <vt:i4>0</vt:i4>
      </vt:variant>
      <vt:variant>
        <vt:i4>5</vt:i4>
      </vt:variant>
      <vt:variant>
        <vt:lpwstr>https://pubmed.ncbi.nlm.nih.gov/35487725/?utm_source=chatgpt.com</vt:lpwstr>
      </vt:variant>
      <vt:variant>
        <vt:lpwstr/>
      </vt:variant>
      <vt:variant>
        <vt:i4>6684718</vt:i4>
      </vt:variant>
      <vt:variant>
        <vt:i4>792</vt:i4>
      </vt:variant>
      <vt:variant>
        <vt:i4>0</vt:i4>
      </vt:variant>
      <vt:variant>
        <vt:i4>5</vt:i4>
      </vt:variant>
      <vt:variant>
        <vt:lpwstr>https://www.academia.edu/download/55257152/ZA0611216222.pdf</vt:lpwstr>
      </vt:variant>
      <vt:variant>
        <vt:lpwstr/>
      </vt:variant>
      <vt:variant>
        <vt:i4>4128889</vt:i4>
      </vt:variant>
      <vt:variant>
        <vt:i4>789</vt:i4>
      </vt:variant>
      <vt:variant>
        <vt:i4>0</vt:i4>
      </vt:variant>
      <vt:variant>
        <vt:i4>5</vt:i4>
      </vt:variant>
      <vt:variant>
        <vt:lpwstr>https://doi.org/10.36348/gajhss.2020.v02i03.001</vt:lpwstr>
      </vt:variant>
      <vt:variant>
        <vt:lpwstr/>
      </vt:variant>
      <vt:variant>
        <vt:i4>1245264</vt:i4>
      </vt:variant>
      <vt:variant>
        <vt:i4>786</vt:i4>
      </vt:variant>
      <vt:variant>
        <vt:i4>0</vt:i4>
      </vt:variant>
      <vt:variant>
        <vt:i4>5</vt:i4>
      </vt:variant>
      <vt:variant>
        <vt:lpwstr>https://doi.org/10.1007/978-3-030-96523-5</vt:lpwstr>
      </vt:variant>
      <vt:variant>
        <vt:lpwstr/>
      </vt:variant>
      <vt:variant>
        <vt:i4>4587640</vt:i4>
      </vt:variant>
      <vt:variant>
        <vt:i4>782</vt:i4>
      </vt:variant>
      <vt:variant>
        <vt:i4>0</vt:i4>
      </vt:variant>
      <vt:variant>
        <vt:i4>5</vt:i4>
      </vt:variant>
      <vt:variant>
        <vt:lpwstr/>
      </vt:variant>
      <vt:variant>
        <vt:lpwstr>_652akh7bmys3</vt:lpwstr>
      </vt:variant>
      <vt:variant>
        <vt:i4>1835054</vt:i4>
      </vt:variant>
      <vt:variant>
        <vt:i4>779</vt:i4>
      </vt:variant>
      <vt:variant>
        <vt:i4>0</vt:i4>
      </vt:variant>
      <vt:variant>
        <vt:i4>5</vt:i4>
      </vt:variant>
      <vt:variant>
        <vt:lpwstr/>
      </vt:variant>
      <vt:variant>
        <vt:lpwstr>_tu0w69sxe2xy</vt:lpwstr>
      </vt:variant>
      <vt:variant>
        <vt:i4>196671</vt:i4>
      </vt:variant>
      <vt:variant>
        <vt:i4>776</vt:i4>
      </vt:variant>
      <vt:variant>
        <vt:i4>0</vt:i4>
      </vt:variant>
      <vt:variant>
        <vt:i4>5</vt:i4>
      </vt:variant>
      <vt:variant>
        <vt:lpwstr/>
      </vt:variant>
      <vt:variant>
        <vt:lpwstr>_mxwjyo2j8wj0</vt:lpwstr>
      </vt:variant>
      <vt:variant>
        <vt:i4>5374061</vt:i4>
      </vt:variant>
      <vt:variant>
        <vt:i4>773</vt:i4>
      </vt:variant>
      <vt:variant>
        <vt:i4>0</vt:i4>
      </vt:variant>
      <vt:variant>
        <vt:i4>5</vt:i4>
      </vt:variant>
      <vt:variant>
        <vt:lpwstr/>
      </vt:variant>
      <vt:variant>
        <vt:lpwstr>_c6krxl9rihru</vt:lpwstr>
      </vt:variant>
      <vt:variant>
        <vt:i4>1703990</vt:i4>
      </vt:variant>
      <vt:variant>
        <vt:i4>764</vt:i4>
      </vt:variant>
      <vt:variant>
        <vt:i4>0</vt:i4>
      </vt:variant>
      <vt:variant>
        <vt:i4>5</vt:i4>
      </vt:variant>
      <vt:variant>
        <vt:lpwstr/>
      </vt:variant>
      <vt:variant>
        <vt:lpwstr>_Toc220324686</vt:lpwstr>
      </vt:variant>
      <vt:variant>
        <vt:i4>1703990</vt:i4>
      </vt:variant>
      <vt:variant>
        <vt:i4>758</vt:i4>
      </vt:variant>
      <vt:variant>
        <vt:i4>0</vt:i4>
      </vt:variant>
      <vt:variant>
        <vt:i4>5</vt:i4>
      </vt:variant>
      <vt:variant>
        <vt:lpwstr/>
      </vt:variant>
      <vt:variant>
        <vt:lpwstr>_Toc220324685</vt:lpwstr>
      </vt:variant>
      <vt:variant>
        <vt:i4>1703990</vt:i4>
      </vt:variant>
      <vt:variant>
        <vt:i4>752</vt:i4>
      </vt:variant>
      <vt:variant>
        <vt:i4>0</vt:i4>
      </vt:variant>
      <vt:variant>
        <vt:i4>5</vt:i4>
      </vt:variant>
      <vt:variant>
        <vt:lpwstr/>
      </vt:variant>
      <vt:variant>
        <vt:lpwstr>_Toc220324684</vt:lpwstr>
      </vt:variant>
      <vt:variant>
        <vt:i4>1703990</vt:i4>
      </vt:variant>
      <vt:variant>
        <vt:i4>746</vt:i4>
      </vt:variant>
      <vt:variant>
        <vt:i4>0</vt:i4>
      </vt:variant>
      <vt:variant>
        <vt:i4>5</vt:i4>
      </vt:variant>
      <vt:variant>
        <vt:lpwstr/>
      </vt:variant>
      <vt:variant>
        <vt:lpwstr>_Toc220324683</vt:lpwstr>
      </vt:variant>
      <vt:variant>
        <vt:i4>1703990</vt:i4>
      </vt:variant>
      <vt:variant>
        <vt:i4>740</vt:i4>
      </vt:variant>
      <vt:variant>
        <vt:i4>0</vt:i4>
      </vt:variant>
      <vt:variant>
        <vt:i4>5</vt:i4>
      </vt:variant>
      <vt:variant>
        <vt:lpwstr/>
      </vt:variant>
      <vt:variant>
        <vt:lpwstr>_Toc220324682</vt:lpwstr>
      </vt:variant>
      <vt:variant>
        <vt:i4>1703990</vt:i4>
      </vt:variant>
      <vt:variant>
        <vt:i4>734</vt:i4>
      </vt:variant>
      <vt:variant>
        <vt:i4>0</vt:i4>
      </vt:variant>
      <vt:variant>
        <vt:i4>5</vt:i4>
      </vt:variant>
      <vt:variant>
        <vt:lpwstr/>
      </vt:variant>
      <vt:variant>
        <vt:lpwstr>_Toc220324681</vt:lpwstr>
      </vt:variant>
      <vt:variant>
        <vt:i4>1703990</vt:i4>
      </vt:variant>
      <vt:variant>
        <vt:i4>728</vt:i4>
      </vt:variant>
      <vt:variant>
        <vt:i4>0</vt:i4>
      </vt:variant>
      <vt:variant>
        <vt:i4>5</vt:i4>
      </vt:variant>
      <vt:variant>
        <vt:lpwstr/>
      </vt:variant>
      <vt:variant>
        <vt:lpwstr>_Toc220324680</vt:lpwstr>
      </vt:variant>
      <vt:variant>
        <vt:i4>1376310</vt:i4>
      </vt:variant>
      <vt:variant>
        <vt:i4>722</vt:i4>
      </vt:variant>
      <vt:variant>
        <vt:i4>0</vt:i4>
      </vt:variant>
      <vt:variant>
        <vt:i4>5</vt:i4>
      </vt:variant>
      <vt:variant>
        <vt:lpwstr/>
      </vt:variant>
      <vt:variant>
        <vt:lpwstr>_Toc220324679</vt:lpwstr>
      </vt:variant>
      <vt:variant>
        <vt:i4>1376310</vt:i4>
      </vt:variant>
      <vt:variant>
        <vt:i4>716</vt:i4>
      </vt:variant>
      <vt:variant>
        <vt:i4>0</vt:i4>
      </vt:variant>
      <vt:variant>
        <vt:i4>5</vt:i4>
      </vt:variant>
      <vt:variant>
        <vt:lpwstr/>
      </vt:variant>
      <vt:variant>
        <vt:lpwstr>_Toc220324678</vt:lpwstr>
      </vt:variant>
      <vt:variant>
        <vt:i4>1376310</vt:i4>
      </vt:variant>
      <vt:variant>
        <vt:i4>710</vt:i4>
      </vt:variant>
      <vt:variant>
        <vt:i4>0</vt:i4>
      </vt:variant>
      <vt:variant>
        <vt:i4>5</vt:i4>
      </vt:variant>
      <vt:variant>
        <vt:lpwstr/>
      </vt:variant>
      <vt:variant>
        <vt:lpwstr>_Toc220324677</vt:lpwstr>
      </vt:variant>
      <vt:variant>
        <vt:i4>1376310</vt:i4>
      </vt:variant>
      <vt:variant>
        <vt:i4>704</vt:i4>
      </vt:variant>
      <vt:variant>
        <vt:i4>0</vt:i4>
      </vt:variant>
      <vt:variant>
        <vt:i4>5</vt:i4>
      </vt:variant>
      <vt:variant>
        <vt:lpwstr/>
      </vt:variant>
      <vt:variant>
        <vt:lpwstr>_Toc220324676</vt:lpwstr>
      </vt:variant>
      <vt:variant>
        <vt:i4>1376310</vt:i4>
      </vt:variant>
      <vt:variant>
        <vt:i4>698</vt:i4>
      </vt:variant>
      <vt:variant>
        <vt:i4>0</vt:i4>
      </vt:variant>
      <vt:variant>
        <vt:i4>5</vt:i4>
      </vt:variant>
      <vt:variant>
        <vt:lpwstr/>
      </vt:variant>
      <vt:variant>
        <vt:lpwstr>_Toc220324675</vt:lpwstr>
      </vt:variant>
      <vt:variant>
        <vt:i4>1376310</vt:i4>
      </vt:variant>
      <vt:variant>
        <vt:i4>692</vt:i4>
      </vt:variant>
      <vt:variant>
        <vt:i4>0</vt:i4>
      </vt:variant>
      <vt:variant>
        <vt:i4>5</vt:i4>
      </vt:variant>
      <vt:variant>
        <vt:lpwstr/>
      </vt:variant>
      <vt:variant>
        <vt:lpwstr>_Toc220324674</vt:lpwstr>
      </vt:variant>
      <vt:variant>
        <vt:i4>1376310</vt:i4>
      </vt:variant>
      <vt:variant>
        <vt:i4>686</vt:i4>
      </vt:variant>
      <vt:variant>
        <vt:i4>0</vt:i4>
      </vt:variant>
      <vt:variant>
        <vt:i4>5</vt:i4>
      </vt:variant>
      <vt:variant>
        <vt:lpwstr/>
      </vt:variant>
      <vt:variant>
        <vt:lpwstr>_Toc220324673</vt:lpwstr>
      </vt:variant>
      <vt:variant>
        <vt:i4>1376310</vt:i4>
      </vt:variant>
      <vt:variant>
        <vt:i4>680</vt:i4>
      </vt:variant>
      <vt:variant>
        <vt:i4>0</vt:i4>
      </vt:variant>
      <vt:variant>
        <vt:i4>5</vt:i4>
      </vt:variant>
      <vt:variant>
        <vt:lpwstr/>
      </vt:variant>
      <vt:variant>
        <vt:lpwstr>_Toc220324672</vt:lpwstr>
      </vt:variant>
      <vt:variant>
        <vt:i4>1376310</vt:i4>
      </vt:variant>
      <vt:variant>
        <vt:i4>674</vt:i4>
      </vt:variant>
      <vt:variant>
        <vt:i4>0</vt:i4>
      </vt:variant>
      <vt:variant>
        <vt:i4>5</vt:i4>
      </vt:variant>
      <vt:variant>
        <vt:lpwstr/>
      </vt:variant>
      <vt:variant>
        <vt:lpwstr>_Toc220324671</vt:lpwstr>
      </vt:variant>
      <vt:variant>
        <vt:i4>1376310</vt:i4>
      </vt:variant>
      <vt:variant>
        <vt:i4>668</vt:i4>
      </vt:variant>
      <vt:variant>
        <vt:i4>0</vt:i4>
      </vt:variant>
      <vt:variant>
        <vt:i4>5</vt:i4>
      </vt:variant>
      <vt:variant>
        <vt:lpwstr/>
      </vt:variant>
      <vt:variant>
        <vt:lpwstr>_Toc220324670</vt:lpwstr>
      </vt:variant>
      <vt:variant>
        <vt:i4>1310774</vt:i4>
      </vt:variant>
      <vt:variant>
        <vt:i4>662</vt:i4>
      </vt:variant>
      <vt:variant>
        <vt:i4>0</vt:i4>
      </vt:variant>
      <vt:variant>
        <vt:i4>5</vt:i4>
      </vt:variant>
      <vt:variant>
        <vt:lpwstr/>
      </vt:variant>
      <vt:variant>
        <vt:lpwstr>_Toc220324669</vt:lpwstr>
      </vt:variant>
      <vt:variant>
        <vt:i4>1310774</vt:i4>
      </vt:variant>
      <vt:variant>
        <vt:i4>656</vt:i4>
      </vt:variant>
      <vt:variant>
        <vt:i4>0</vt:i4>
      </vt:variant>
      <vt:variant>
        <vt:i4>5</vt:i4>
      </vt:variant>
      <vt:variant>
        <vt:lpwstr/>
      </vt:variant>
      <vt:variant>
        <vt:lpwstr>_Toc220324668</vt:lpwstr>
      </vt:variant>
      <vt:variant>
        <vt:i4>1310774</vt:i4>
      </vt:variant>
      <vt:variant>
        <vt:i4>650</vt:i4>
      </vt:variant>
      <vt:variant>
        <vt:i4>0</vt:i4>
      </vt:variant>
      <vt:variant>
        <vt:i4>5</vt:i4>
      </vt:variant>
      <vt:variant>
        <vt:lpwstr/>
      </vt:variant>
      <vt:variant>
        <vt:lpwstr>_Toc220324667</vt:lpwstr>
      </vt:variant>
      <vt:variant>
        <vt:i4>1310774</vt:i4>
      </vt:variant>
      <vt:variant>
        <vt:i4>644</vt:i4>
      </vt:variant>
      <vt:variant>
        <vt:i4>0</vt:i4>
      </vt:variant>
      <vt:variant>
        <vt:i4>5</vt:i4>
      </vt:variant>
      <vt:variant>
        <vt:lpwstr/>
      </vt:variant>
      <vt:variant>
        <vt:lpwstr>_Toc220324666</vt:lpwstr>
      </vt:variant>
      <vt:variant>
        <vt:i4>1310774</vt:i4>
      </vt:variant>
      <vt:variant>
        <vt:i4>638</vt:i4>
      </vt:variant>
      <vt:variant>
        <vt:i4>0</vt:i4>
      </vt:variant>
      <vt:variant>
        <vt:i4>5</vt:i4>
      </vt:variant>
      <vt:variant>
        <vt:lpwstr/>
      </vt:variant>
      <vt:variant>
        <vt:lpwstr>_Toc220324665</vt:lpwstr>
      </vt:variant>
      <vt:variant>
        <vt:i4>1310774</vt:i4>
      </vt:variant>
      <vt:variant>
        <vt:i4>632</vt:i4>
      </vt:variant>
      <vt:variant>
        <vt:i4>0</vt:i4>
      </vt:variant>
      <vt:variant>
        <vt:i4>5</vt:i4>
      </vt:variant>
      <vt:variant>
        <vt:lpwstr/>
      </vt:variant>
      <vt:variant>
        <vt:lpwstr>_Toc220324664</vt:lpwstr>
      </vt:variant>
      <vt:variant>
        <vt:i4>1310774</vt:i4>
      </vt:variant>
      <vt:variant>
        <vt:i4>626</vt:i4>
      </vt:variant>
      <vt:variant>
        <vt:i4>0</vt:i4>
      </vt:variant>
      <vt:variant>
        <vt:i4>5</vt:i4>
      </vt:variant>
      <vt:variant>
        <vt:lpwstr/>
      </vt:variant>
      <vt:variant>
        <vt:lpwstr>_Toc220324663</vt:lpwstr>
      </vt:variant>
      <vt:variant>
        <vt:i4>1310774</vt:i4>
      </vt:variant>
      <vt:variant>
        <vt:i4>620</vt:i4>
      </vt:variant>
      <vt:variant>
        <vt:i4>0</vt:i4>
      </vt:variant>
      <vt:variant>
        <vt:i4>5</vt:i4>
      </vt:variant>
      <vt:variant>
        <vt:lpwstr/>
      </vt:variant>
      <vt:variant>
        <vt:lpwstr>_Toc220324662</vt:lpwstr>
      </vt:variant>
      <vt:variant>
        <vt:i4>1310774</vt:i4>
      </vt:variant>
      <vt:variant>
        <vt:i4>614</vt:i4>
      </vt:variant>
      <vt:variant>
        <vt:i4>0</vt:i4>
      </vt:variant>
      <vt:variant>
        <vt:i4>5</vt:i4>
      </vt:variant>
      <vt:variant>
        <vt:lpwstr/>
      </vt:variant>
      <vt:variant>
        <vt:lpwstr>_Toc220324661</vt:lpwstr>
      </vt:variant>
      <vt:variant>
        <vt:i4>1310774</vt:i4>
      </vt:variant>
      <vt:variant>
        <vt:i4>608</vt:i4>
      </vt:variant>
      <vt:variant>
        <vt:i4>0</vt:i4>
      </vt:variant>
      <vt:variant>
        <vt:i4>5</vt:i4>
      </vt:variant>
      <vt:variant>
        <vt:lpwstr/>
      </vt:variant>
      <vt:variant>
        <vt:lpwstr>_Toc220324660</vt:lpwstr>
      </vt:variant>
      <vt:variant>
        <vt:i4>1507382</vt:i4>
      </vt:variant>
      <vt:variant>
        <vt:i4>602</vt:i4>
      </vt:variant>
      <vt:variant>
        <vt:i4>0</vt:i4>
      </vt:variant>
      <vt:variant>
        <vt:i4>5</vt:i4>
      </vt:variant>
      <vt:variant>
        <vt:lpwstr/>
      </vt:variant>
      <vt:variant>
        <vt:lpwstr>_Toc220324659</vt:lpwstr>
      </vt:variant>
      <vt:variant>
        <vt:i4>1507382</vt:i4>
      </vt:variant>
      <vt:variant>
        <vt:i4>596</vt:i4>
      </vt:variant>
      <vt:variant>
        <vt:i4>0</vt:i4>
      </vt:variant>
      <vt:variant>
        <vt:i4>5</vt:i4>
      </vt:variant>
      <vt:variant>
        <vt:lpwstr/>
      </vt:variant>
      <vt:variant>
        <vt:lpwstr>_Toc220324658</vt:lpwstr>
      </vt:variant>
      <vt:variant>
        <vt:i4>1507382</vt:i4>
      </vt:variant>
      <vt:variant>
        <vt:i4>590</vt:i4>
      </vt:variant>
      <vt:variant>
        <vt:i4>0</vt:i4>
      </vt:variant>
      <vt:variant>
        <vt:i4>5</vt:i4>
      </vt:variant>
      <vt:variant>
        <vt:lpwstr/>
      </vt:variant>
      <vt:variant>
        <vt:lpwstr>_Toc220324657</vt:lpwstr>
      </vt:variant>
      <vt:variant>
        <vt:i4>1507382</vt:i4>
      </vt:variant>
      <vt:variant>
        <vt:i4>584</vt:i4>
      </vt:variant>
      <vt:variant>
        <vt:i4>0</vt:i4>
      </vt:variant>
      <vt:variant>
        <vt:i4>5</vt:i4>
      </vt:variant>
      <vt:variant>
        <vt:lpwstr/>
      </vt:variant>
      <vt:variant>
        <vt:lpwstr>_Toc220324656</vt:lpwstr>
      </vt:variant>
      <vt:variant>
        <vt:i4>1507382</vt:i4>
      </vt:variant>
      <vt:variant>
        <vt:i4>578</vt:i4>
      </vt:variant>
      <vt:variant>
        <vt:i4>0</vt:i4>
      </vt:variant>
      <vt:variant>
        <vt:i4>5</vt:i4>
      </vt:variant>
      <vt:variant>
        <vt:lpwstr/>
      </vt:variant>
      <vt:variant>
        <vt:lpwstr>_Toc220324655</vt:lpwstr>
      </vt:variant>
      <vt:variant>
        <vt:i4>1507382</vt:i4>
      </vt:variant>
      <vt:variant>
        <vt:i4>572</vt:i4>
      </vt:variant>
      <vt:variant>
        <vt:i4>0</vt:i4>
      </vt:variant>
      <vt:variant>
        <vt:i4>5</vt:i4>
      </vt:variant>
      <vt:variant>
        <vt:lpwstr/>
      </vt:variant>
      <vt:variant>
        <vt:lpwstr>_Toc220324654</vt:lpwstr>
      </vt:variant>
      <vt:variant>
        <vt:i4>1507382</vt:i4>
      </vt:variant>
      <vt:variant>
        <vt:i4>566</vt:i4>
      </vt:variant>
      <vt:variant>
        <vt:i4>0</vt:i4>
      </vt:variant>
      <vt:variant>
        <vt:i4>5</vt:i4>
      </vt:variant>
      <vt:variant>
        <vt:lpwstr/>
      </vt:variant>
      <vt:variant>
        <vt:lpwstr>_Toc220324653</vt:lpwstr>
      </vt:variant>
      <vt:variant>
        <vt:i4>1507382</vt:i4>
      </vt:variant>
      <vt:variant>
        <vt:i4>560</vt:i4>
      </vt:variant>
      <vt:variant>
        <vt:i4>0</vt:i4>
      </vt:variant>
      <vt:variant>
        <vt:i4>5</vt:i4>
      </vt:variant>
      <vt:variant>
        <vt:lpwstr/>
      </vt:variant>
      <vt:variant>
        <vt:lpwstr>_Toc220324652</vt:lpwstr>
      </vt:variant>
      <vt:variant>
        <vt:i4>1507382</vt:i4>
      </vt:variant>
      <vt:variant>
        <vt:i4>554</vt:i4>
      </vt:variant>
      <vt:variant>
        <vt:i4>0</vt:i4>
      </vt:variant>
      <vt:variant>
        <vt:i4>5</vt:i4>
      </vt:variant>
      <vt:variant>
        <vt:lpwstr/>
      </vt:variant>
      <vt:variant>
        <vt:lpwstr>_Toc220324651</vt:lpwstr>
      </vt:variant>
      <vt:variant>
        <vt:i4>1507382</vt:i4>
      </vt:variant>
      <vt:variant>
        <vt:i4>548</vt:i4>
      </vt:variant>
      <vt:variant>
        <vt:i4>0</vt:i4>
      </vt:variant>
      <vt:variant>
        <vt:i4>5</vt:i4>
      </vt:variant>
      <vt:variant>
        <vt:lpwstr/>
      </vt:variant>
      <vt:variant>
        <vt:lpwstr>_Toc220324650</vt:lpwstr>
      </vt:variant>
      <vt:variant>
        <vt:i4>1441846</vt:i4>
      </vt:variant>
      <vt:variant>
        <vt:i4>542</vt:i4>
      </vt:variant>
      <vt:variant>
        <vt:i4>0</vt:i4>
      </vt:variant>
      <vt:variant>
        <vt:i4>5</vt:i4>
      </vt:variant>
      <vt:variant>
        <vt:lpwstr/>
      </vt:variant>
      <vt:variant>
        <vt:lpwstr>_Toc220324649</vt:lpwstr>
      </vt:variant>
      <vt:variant>
        <vt:i4>1441846</vt:i4>
      </vt:variant>
      <vt:variant>
        <vt:i4>536</vt:i4>
      </vt:variant>
      <vt:variant>
        <vt:i4>0</vt:i4>
      </vt:variant>
      <vt:variant>
        <vt:i4>5</vt:i4>
      </vt:variant>
      <vt:variant>
        <vt:lpwstr/>
      </vt:variant>
      <vt:variant>
        <vt:lpwstr>_Toc220324648</vt:lpwstr>
      </vt:variant>
      <vt:variant>
        <vt:i4>1441846</vt:i4>
      </vt:variant>
      <vt:variant>
        <vt:i4>530</vt:i4>
      </vt:variant>
      <vt:variant>
        <vt:i4>0</vt:i4>
      </vt:variant>
      <vt:variant>
        <vt:i4>5</vt:i4>
      </vt:variant>
      <vt:variant>
        <vt:lpwstr/>
      </vt:variant>
      <vt:variant>
        <vt:lpwstr>_Toc220324647</vt:lpwstr>
      </vt:variant>
      <vt:variant>
        <vt:i4>1441846</vt:i4>
      </vt:variant>
      <vt:variant>
        <vt:i4>524</vt:i4>
      </vt:variant>
      <vt:variant>
        <vt:i4>0</vt:i4>
      </vt:variant>
      <vt:variant>
        <vt:i4>5</vt:i4>
      </vt:variant>
      <vt:variant>
        <vt:lpwstr/>
      </vt:variant>
      <vt:variant>
        <vt:lpwstr>_Toc220324646</vt:lpwstr>
      </vt:variant>
      <vt:variant>
        <vt:i4>1441846</vt:i4>
      </vt:variant>
      <vt:variant>
        <vt:i4>518</vt:i4>
      </vt:variant>
      <vt:variant>
        <vt:i4>0</vt:i4>
      </vt:variant>
      <vt:variant>
        <vt:i4>5</vt:i4>
      </vt:variant>
      <vt:variant>
        <vt:lpwstr/>
      </vt:variant>
      <vt:variant>
        <vt:lpwstr>_Toc220324645</vt:lpwstr>
      </vt:variant>
      <vt:variant>
        <vt:i4>1441846</vt:i4>
      </vt:variant>
      <vt:variant>
        <vt:i4>512</vt:i4>
      </vt:variant>
      <vt:variant>
        <vt:i4>0</vt:i4>
      </vt:variant>
      <vt:variant>
        <vt:i4>5</vt:i4>
      </vt:variant>
      <vt:variant>
        <vt:lpwstr/>
      </vt:variant>
      <vt:variant>
        <vt:lpwstr>_Toc220324644</vt:lpwstr>
      </vt:variant>
      <vt:variant>
        <vt:i4>1441846</vt:i4>
      </vt:variant>
      <vt:variant>
        <vt:i4>506</vt:i4>
      </vt:variant>
      <vt:variant>
        <vt:i4>0</vt:i4>
      </vt:variant>
      <vt:variant>
        <vt:i4>5</vt:i4>
      </vt:variant>
      <vt:variant>
        <vt:lpwstr/>
      </vt:variant>
      <vt:variant>
        <vt:lpwstr>_Toc220324643</vt:lpwstr>
      </vt:variant>
      <vt:variant>
        <vt:i4>1441846</vt:i4>
      </vt:variant>
      <vt:variant>
        <vt:i4>500</vt:i4>
      </vt:variant>
      <vt:variant>
        <vt:i4>0</vt:i4>
      </vt:variant>
      <vt:variant>
        <vt:i4>5</vt:i4>
      </vt:variant>
      <vt:variant>
        <vt:lpwstr/>
      </vt:variant>
      <vt:variant>
        <vt:lpwstr>_Toc220324642</vt:lpwstr>
      </vt:variant>
      <vt:variant>
        <vt:i4>1441846</vt:i4>
      </vt:variant>
      <vt:variant>
        <vt:i4>494</vt:i4>
      </vt:variant>
      <vt:variant>
        <vt:i4>0</vt:i4>
      </vt:variant>
      <vt:variant>
        <vt:i4>5</vt:i4>
      </vt:variant>
      <vt:variant>
        <vt:lpwstr/>
      </vt:variant>
      <vt:variant>
        <vt:lpwstr>_Toc220324641</vt:lpwstr>
      </vt:variant>
      <vt:variant>
        <vt:i4>1441846</vt:i4>
      </vt:variant>
      <vt:variant>
        <vt:i4>488</vt:i4>
      </vt:variant>
      <vt:variant>
        <vt:i4>0</vt:i4>
      </vt:variant>
      <vt:variant>
        <vt:i4>5</vt:i4>
      </vt:variant>
      <vt:variant>
        <vt:lpwstr/>
      </vt:variant>
      <vt:variant>
        <vt:lpwstr>_Toc220324640</vt:lpwstr>
      </vt:variant>
      <vt:variant>
        <vt:i4>1114166</vt:i4>
      </vt:variant>
      <vt:variant>
        <vt:i4>482</vt:i4>
      </vt:variant>
      <vt:variant>
        <vt:i4>0</vt:i4>
      </vt:variant>
      <vt:variant>
        <vt:i4>5</vt:i4>
      </vt:variant>
      <vt:variant>
        <vt:lpwstr/>
      </vt:variant>
      <vt:variant>
        <vt:lpwstr>_Toc220324639</vt:lpwstr>
      </vt:variant>
      <vt:variant>
        <vt:i4>1114166</vt:i4>
      </vt:variant>
      <vt:variant>
        <vt:i4>476</vt:i4>
      </vt:variant>
      <vt:variant>
        <vt:i4>0</vt:i4>
      </vt:variant>
      <vt:variant>
        <vt:i4>5</vt:i4>
      </vt:variant>
      <vt:variant>
        <vt:lpwstr/>
      </vt:variant>
      <vt:variant>
        <vt:lpwstr>_Toc220324638</vt:lpwstr>
      </vt:variant>
      <vt:variant>
        <vt:i4>1114166</vt:i4>
      </vt:variant>
      <vt:variant>
        <vt:i4>470</vt:i4>
      </vt:variant>
      <vt:variant>
        <vt:i4>0</vt:i4>
      </vt:variant>
      <vt:variant>
        <vt:i4>5</vt:i4>
      </vt:variant>
      <vt:variant>
        <vt:lpwstr/>
      </vt:variant>
      <vt:variant>
        <vt:lpwstr>_Toc220324637</vt:lpwstr>
      </vt:variant>
      <vt:variant>
        <vt:i4>1114166</vt:i4>
      </vt:variant>
      <vt:variant>
        <vt:i4>464</vt:i4>
      </vt:variant>
      <vt:variant>
        <vt:i4>0</vt:i4>
      </vt:variant>
      <vt:variant>
        <vt:i4>5</vt:i4>
      </vt:variant>
      <vt:variant>
        <vt:lpwstr/>
      </vt:variant>
      <vt:variant>
        <vt:lpwstr>_Toc220324636</vt:lpwstr>
      </vt:variant>
      <vt:variant>
        <vt:i4>1114166</vt:i4>
      </vt:variant>
      <vt:variant>
        <vt:i4>458</vt:i4>
      </vt:variant>
      <vt:variant>
        <vt:i4>0</vt:i4>
      </vt:variant>
      <vt:variant>
        <vt:i4>5</vt:i4>
      </vt:variant>
      <vt:variant>
        <vt:lpwstr/>
      </vt:variant>
      <vt:variant>
        <vt:lpwstr>_Toc220324635</vt:lpwstr>
      </vt:variant>
      <vt:variant>
        <vt:i4>1114166</vt:i4>
      </vt:variant>
      <vt:variant>
        <vt:i4>452</vt:i4>
      </vt:variant>
      <vt:variant>
        <vt:i4>0</vt:i4>
      </vt:variant>
      <vt:variant>
        <vt:i4>5</vt:i4>
      </vt:variant>
      <vt:variant>
        <vt:lpwstr/>
      </vt:variant>
      <vt:variant>
        <vt:lpwstr>_Toc220324634</vt:lpwstr>
      </vt:variant>
      <vt:variant>
        <vt:i4>1114166</vt:i4>
      </vt:variant>
      <vt:variant>
        <vt:i4>446</vt:i4>
      </vt:variant>
      <vt:variant>
        <vt:i4>0</vt:i4>
      </vt:variant>
      <vt:variant>
        <vt:i4>5</vt:i4>
      </vt:variant>
      <vt:variant>
        <vt:lpwstr/>
      </vt:variant>
      <vt:variant>
        <vt:lpwstr>_Toc220324633</vt:lpwstr>
      </vt:variant>
      <vt:variant>
        <vt:i4>1114166</vt:i4>
      </vt:variant>
      <vt:variant>
        <vt:i4>440</vt:i4>
      </vt:variant>
      <vt:variant>
        <vt:i4>0</vt:i4>
      </vt:variant>
      <vt:variant>
        <vt:i4>5</vt:i4>
      </vt:variant>
      <vt:variant>
        <vt:lpwstr/>
      </vt:variant>
      <vt:variant>
        <vt:lpwstr>_Toc220324632</vt:lpwstr>
      </vt:variant>
      <vt:variant>
        <vt:i4>1114166</vt:i4>
      </vt:variant>
      <vt:variant>
        <vt:i4>434</vt:i4>
      </vt:variant>
      <vt:variant>
        <vt:i4>0</vt:i4>
      </vt:variant>
      <vt:variant>
        <vt:i4>5</vt:i4>
      </vt:variant>
      <vt:variant>
        <vt:lpwstr/>
      </vt:variant>
      <vt:variant>
        <vt:lpwstr>_Toc220324631</vt:lpwstr>
      </vt:variant>
      <vt:variant>
        <vt:i4>1114166</vt:i4>
      </vt:variant>
      <vt:variant>
        <vt:i4>428</vt:i4>
      </vt:variant>
      <vt:variant>
        <vt:i4>0</vt:i4>
      </vt:variant>
      <vt:variant>
        <vt:i4>5</vt:i4>
      </vt:variant>
      <vt:variant>
        <vt:lpwstr/>
      </vt:variant>
      <vt:variant>
        <vt:lpwstr>_Toc220324630</vt:lpwstr>
      </vt:variant>
      <vt:variant>
        <vt:i4>1048630</vt:i4>
      </vt:variant>
      <vt:variant>
        <vt:i4>422</vt:i4>
      </vt:variant>
      <vt:variant>
        <vt:i4>0</vt:i4>
      </vt:variant>
      <vt:variant>
        <vt:i4>5</vt:i4>
      </vt:variant>
      <vt:variant>
        <vt:lpwstr/>
      </vt:variant>
      <vt:variant>
        <vt:lpwstr>_Toc220324629</vt:lpwstr>
      </vt:variant>
      <vt:variant>
        <vt:i4>1048630</vt:i4>
      </vt:variant>
      <vt:variant>
        <vt:i4>416</vt:i4>
      </vt:variant>
      <vt:variant>
        <vt:i4>0</vt:i4>
      </vt:variant>
      <vt:variant>
        <vt:i4>5</vt:i4>
      </vt:variant>
      <vt:variant>
        <vt:lpwstr/>
      </vt:variant>
      <vt:variant>
        <vt:lpwstr>_Toc220324628</vt:lpwstr>
      </vt:variant>
      <vt:variant>
        <vt:i4>1048630</vt:i4>
      </vt:variant>
      <vt:variant>
        <vt:i4>410</vt:i4>
      </vt:variant>
      <vt:variant>
        <vt:i4>0</vt:i4>
      </vt:variant>
      <vt:variant>
        <vt:i4>5</vt:i4>
      </vt:variant>
      <vt:variant>
        <vt:lpwstr/>
      </vt:variant>
      <vt:variant>
        <vt:lpwstr>_Toc220324627</vt:lpwstr>
      </vt:variant>
      <vt:variant>
        <vt:i4>1048630</vt:i4>
      </vt:variant>
      <vt:variant>
        <vt:i4>404</vt:i4>
      </vt:variant>
      <vt:variant>
        <vt:i4>0</vt:i4>
      </vt:variant>
      <vt:variant>
        <vt:i4>5</vt:i4>
      </vt:variant>
      <vt:variant>
        <vt:lpwstr/>
      </vt:variant>
      <vt:variant>
        <vt:lpwstr>_Toc220324626</vt:lpwstr>
      </vt:variant>
      <vt:variant>
        <vt:i4>1048630</vt:i4>
      </vt:variant>
      <vt:variant>
        <vt:i4>398</vt:i4>
      </vt:variant>
      <vt:variant>
        <vt:i4>0</vt:i4>
      </vt:variant>
      <vt:variant>
        <vt:i4>5</vt:i4>
      </vt:variant>
      <vt:variant>
        <vt:lpwstr/>
      </vt:variant>
      <vt:variant>
        <vt:lpwstr>_Toc220324625</vt:lpwstr>
      </vt:variant>
      <vt:variant>
        <vt:i4>1048630</vt:i4>
      </vt:variant>
      <vt:variant>
        <vt:i4>392</vt:i4>
      </vt:variant>
      <vt:variant>
        <vt:i4>0</vt:i4>
      </vt:variant>
      <vt:variant>
        <vt:i4>5</vt:i4>
      </vt:variant>
      <vt:variant>
        <vt:lpwstr/>
      </vt:variant>
      <vt:variant>
        <vt:lpwstr>_Toc220324624</vt:lpwstr>
      </vt:variant>
      <vt:variant>
        <vt:i4>1048630</vt:i4>
      </vt:variant>
      <vt:variant>
        <vt:i4>386</vt:i4>
      </vt:variant>
      <vt:variant>
        <vt:i4>0</vt:i4>
      </vt:variant>
      <vt:variant>
        <vt:i4>5</vt:i4>
      </vt:variant>
      <vt:variant>
        <vt:lpwstr/>
      </vt:variant>
      <vt:variant>
        <vt:lpwstr>_Toc220324623</vt:lpwstr>
      </vt:variant>
      <vt:variant>
        <vt:i4>1048630</vt:i4>
      </vt:variant>
      <vt:variant>
        <vt:i4>380</vt:i4>
      </vt:variant>
      <vt:variant>
        <vt:i4>0</vt:i4>
      </vt:variant>
      <vt:variant>
        <vt:i4>5</vt:i4>
      </vt:variant>
      <vt:variant>
        <vt:lpwstr/>
      </vt:variant>
      <vt:variant>
        <vt:lpwstr>_Toc220324622</vt:lpwstr>
      </vt:variant>
      <vt:variant>
        <vt:i4>1048630</vt:i4>
      </vt:variant>
      <vt:variant>
        <vt:i4>374</vt:i4>
      </vt:variant>
      <vt:variant>
        <vt:i4>0</vt:i4>
      </vt:variant>
      <vt:variant>
        <vt:i4>5</vt:i4>
      </vt:variant>
      <vt:variant>
        <vt:lpwstr/>
      </vt:variant>
      <vt:variant>
        <vt:lpwstr>_Toc220324621</vt:lpwstr>
      </vt:variant>
      <vt:variant>
        <vt:i4>1048630</vt:i4>
      </vt:variant>
      <vt:variant>
        <vt:i4>368</vt:i4>
      </vt:variant>
      <vt:variant>
        <vt:i4>0</vt:i4>
      </vt:variant>
      <vt:variant>
        <vt:i4>5</vt:i4>
      </vt:variant>
      <vt:variant>
        <vt:lpwstr/>
      </vt:variant>
      <vt:variant>
        <vt:lpwstr>_Toc220324620</vt:lpwstr>
      </vt:variant>
      <vt:variant>
        <vt:i4>1245238</vt:i4>
      </vt:variant>
      <vt:variant>
        <vt:i4>362</vt:i4>
      </vt:variant>
      <vt:variant>
        <vt:i4>0</vt:i4>
      </vt:variant>
      <vt:variant>
        <vt:i4>5</vt:i4>
      </vt:variant>
      <vt:variant>
        <vt:lpwstr/>
      </vt:variant>
      <vt:variant>
        <vt:lpwstr>_Toc220324619</vt:lpwstr>
      </vt:variant>
      <vt:variant>
        <vt:i4>1245238</vt:i4>
      </vt:variant>
      <vt:variant>
        <vt:i4>356</vt:i4>
      </vt:variant>
      <vt:variant>
        <vt:i4>0</vt:i4>
      </vt:variant>
      <vt:variant>
        <vt:i4>5</vt:i4>
      </vt:variant>
      <vt:variant>
        <vt:lpwstr/>
      </vt:variant>
      <vt:variant>
        <vt:lpwstr>_Toc220324618</vt:lpwstr>
      </vt:variant>
      <vt:variant>
        <vt:i4>1245238</vt:i4>
      </vt:variant>
      <vt:variant>
        <vt:i4>350</vt:i4>
      </vt:variant>
      <vt:variant>
        <vt:i4>0</vt:i4>
      </vt:variant>
      <vt:variant>
        <vt:i4>5</vt:i4>
      </vt:variant>
      <vt:variant>
        <vt:lpwstr/>
      </vt:variant>
      <vt:variant>
        <vt:lpwstr>_Toc220324617</vt:lpwstr>
      </vt:variant>
      <vt:variant>
        <vt:i4>1245238</vt:i4>
      </vt:variant>
      <vt:variant>
        <vt:i4>344</vt:i4>
      </vt:variant>
      <vt:variant>
        <vt:i4>0</vt:i4>
      </vt:variant>
      <vt:variant>
        <vt:i4>5</vt:i4>
      </vt:variant>
      <vt:variant>
        <vt:lpwstr/>
      </vt:variant>
      <vt:variant>
        <vt:lpwstr>_Toc220324616</vt:lpwstr>
      </vt:variant>
      <vt:variant>
        <vt:i4>1245238</vt:i4>
      </vt:variant>
      <vt:variant>
        <vt:i4>338</vt:i4>
      </vt:variant>
      <vt:variant>
        <vt:i4>0</vt:i4>
      </vt:variant>
      <vt:variant>
        <vt:i4>5</vt:i4>
      </vt:variant>
      <vt:variant>
        <vt:lpwstr/>
      </vt:variant>
      <vt:variant>
        <vt:lpwstr>_Toc220324615</vt:lpwstr>
      </vt:variant>
      <vt:variant>
        <vt:i4>1245238</vt:i4>
      </vt:variant>
      <vt:variant>
        <vt:i4>332</vt:i4>
      </vt:variant>
      <vt:variant>
        <vt:i4>0</vt:i4>
      </vt:variant>
      <vt:variant>
        <vt:i4>5</vt:i4>
      </vt:variant>
      <vt:variant>
        <vt:lpwstr/>
      </vt:variant>
      <vt:variant>
        <vt:lpwstr>_Toc220324614</vt:lpwstr>
      </vt:variant>
      <vt:variant>
        <vt:i4>1245238</vt:i4>
      </vt:variant>
      <vt:variant>
        <vt:i4>326</vt:i4>
      </vt:variant>
      <vt:variant>
        <vt:i4>0</vt:i4>
      </vt:variant>
      <vt:variant>
        <vt:i4>5</vt:i4>
      </vt:variant>
      <vt:variant>
        <vt:lpwstr/>
      </vt:variant>
      <vt:variant>
        <vt:lpwstr>_Toc220324613</vt:lpwstr>
      </vt:variant>
      <vt:variant>
        <vt:i4>1245238</vt:i4>
      </vt:variant>
      <vt:variant>
        <vt:i4>320</vt:i4>
      </vt:variant>
      <vt:variant>
        <vt:i4>0</vt:i4>
      </vt:variant>
      <vt:variant>
        <vt:i4>5</vt:i4>
      </vt:variant>
      <vt:variant>
        <vt:lpwstr/>
      </vt:variant>
      <vt:variant>
        <vt:lpwstr>_Toc220324612</vt:lpwstr>
      </vt:variant>
      <vt:variant>
        <vt:i4>1245238</vt:i4>
      </vt:variant>
      <vt:variant>
        <vt:i4>314</vt:i4>
      </vt:variant>
      <vt:variant>
        <vt:i4>0</vt:i4>
      </vt:variant>
      <vt:variant>
        <vt:i4>5</vt:i4>
      </vt:variant>
      <vt:variant>
        <vt:lpwstr/>
      </vt:variant>
      <vt:variant>
        <vt:lpwstr>_Toc220324611</vt:lpwstr>
      </vt:variant>
      <vt:variant>
        <vt:i4>1245238</vt:i4>
      </vt:variant>
      <vt:variant>
        <vt:i4>308</vt:i4>
      </vt:variant>
      <vt:variant>
        <vt:i4>0</vt:i4>
      </vt:variant>
      <vt:variant>
        <vt:i4>5</vt:i4>
      </vt:variant>
      <vt:variant>
        <vt:lpwstr/>
      </vt:variant>
      <vt:variant>
        <vt:lpwstr>_Toc220324610</vt:lpwstr>
      </vt:variant>
      <vt:variant>
        <vt:i4>1179702</vt:i4>
      </vt:variant>
      <vt:variant>
        <vt:i4>302</vt:i4>
      </vt:variant>
      <vt:variant>
        <vt:i4>0</vt:i4>
      </vt:variant>
      <vt:variant>
        <vt:i4>5</vt:i4>
      </vt:variant>
      <vt:variant>
        <vt:lpwstr/>
      </vt:variant>
      <vt:variant>
        <vt:lpwstr>_Toc220324609</vt:lpwstr>
      </vt:variant>
      <vt:variant>
        <vt:i4>1179702</vt:i4>
      </vt:variant>
      <vt:variant>
        <vt:i4>296</vt:i4>
      </vt:variant>
      <vt:variant>
        <vt:i4>0</vt:i4>
      </vt:variant>
      <vt:variant>
        <vt:i4>5</vt:i4>
      </vt:variant>
      <vt:variant>
        <vt:lpwstr/>
      </vt:variant>
      <vt:variant>
        <vt:lpwstr>_Toc220324608</vt:lpwstr>
      </vt:variant>
      <vt:variant>
        <vt:i4>1179702</vt:i4>
      </vt:variant>
      <vt:variant>
        <vt:i4>290</vt:i4>
      </vt:variant>
      <vt:variant>
        <vt:i4>0</vt:i4>
      </vt:variant>
      <vt:variant>
        <vt:i4>5</vt:i4>
      </vt:variant>
      <vt:variant>
        <vt:lpwstr/>
      </vt:variant>
      <vt:variant>
        <vt:lpwstr>_Toc220324607</vt:lpwstr>
      </vt:variant>
      <vt:variant>
        <vt:i4>1179702</vt:i4>
      </vt:variant>
      <vt:variant>
        <vt:i4>284</vt:i4>
      </vt:variant>
      <vt:variant>
        <vt:i4>0</vt:i4>
      </vt:variant>
      <vt:variant>
        <vt:i4>5</vt:i4>
      </vt:variant>
      <vt:variant>
        <vt:lpwstr/>
      </vt:variant>
      <vt:variant>
        <vt:lpwstr>_Toc220324606</vt:lpwstr>
      </vt:variant>
      <vt:variant>
        <vt:i4>1179702</vt:i4>
      </vt:variant>
      <vt:variant>
        <vt:i4>278</vt:i4>
      </vt:variant>
      <vt:variant>
        <vt:i4>0</vt:i4>
      </vt:variant>
      <vt:variant>
        <vt:i4>5</vt:i4>
      </vt:variant>
      <vt:variant>
        <vt:lpwstr/>
      </vt:variant>
      <vt:variant>
        <vt:lpwstr>_Toc220324605</vt:lpwstr>
      </vt:variant>
      <vt:variant>
        <vt:i4>1179702</vt:i4>
      </vt:variant>
      <vt:variant>
        <vt:i4>272</vt:i4>
      </vt:variant>
      <vt:variant>
        <vt:i4>0</vt:i4>
      </vt:variant>
      <vt:variant>
        <vt:i4>5</vt:i4>
      </vt:variant>
      <vt:variant>
        <vt:lpwstr/>
      </vt:variant>
      <vt:variant>
        <vt:lpwstr>_Toc220324604</vt:lpwstr>
      </vt:variant>
      <vt:variant>
        <vt:i4>1179702</vt:i4>
      </vt:variant>
      <vt:variant>
        <vt:i4>266</vt:i4>
      </vt:variant>
      <vt:variant>
        <vt:i4>0</vt:i4>
      </vt:variant>
      <vt:variant>
        <vt:i4>5</vt:i4>
      </vt:variant>
      <vt:variant>
        <vt:lpwstr/>
      </vt:variant>
      <vt:variant>
        <vt:lpwstr>_Toc220324603</vt:lpwstr>
      </vt:variant>
      <vt:variant>
        <vt:i4>1179702</vt:i4>
      </vt:variant>
      <vt:variant>
        <vt:i4>260</vt:i4>
      </vt:variant>
      <vt:variant>
        <vt:i4>0</vt:i4>
      </vt:variant>
      <vt:variant>
        <vt:i4>5</vt:i4>
      </vt:variant>
      <vt:variant>
        <vt:lpwstr/>
      </vt:variant>
      <vt:variant>
        <vt:lpwstr>_Toc220324602</vt:lpwstr>
      </vt:variant>
      <vt:variant>
        <vt:i4>1179702</vt:i4>
      </vt:variant>
      <vt:variant>
        <vt:i4>254</vt:i4>
      </vt:variant>
      <vt:variant>
        <vt:i4>0</vt:i4>
      </vt:variant>
      <vt:variant>
        <vt:i4>5</vt:i4>
      </vt:variant>
      <vt:variant>
        <vt:lpwstr/>
      </vt:variant>
      <vt:variant>
        <vt:lpwstr>_Toc220324601</vt:lpwstr>
      </vt:variant>
      <vt:variant>
        <vt:i4>1179702</vt:i4>
      </vt:variant>
      <vt:variant>
        <vt:i4>248</vt:i4>
      </vt:variant>
      <vt:variant>
        <vt:i4>0</vt:i4>
      </vt:variant>
      <vt:variant>
        <vt:i4>5</vt:i4>
      </vt:variant>
      <vt:variant>
        <vt:lpwstr/>
      </vt:variant>
      <vt:variant>
        <vt:lpwstr>_Toc220324600</vt:lpwstr>
      </vt:variant>
      <vt:variant>
        <vt:i4>1769525</vt:i4>
      </vt:variant>
      <vt:variant>
        <vt:i4>242</vt:i4>
      </vt:variant>
      <vt:variant>
        <vt:i4>0</vt:i4>
      </vt:variant>
      <vt:variant>
        <vt:i4>5</vt:i4>
      </vt:variant>
      <vt:variant>
        <vt:lpwstr/>
      </vt:variant>
      <vt:variant>
        <vt:lpwstr>_Toc220324599</vt:lpwstr>
      </vt:variant>
      <vt:variant>
        <vt:i4>1769525</vt:i4>
      </vt:variant>
      <vt:variant>
        <vt:i4>236</vt:i4>
      </vt:variant>
      <vt:variant>
        <vt:i4>0</vt:i4>
      </vt:variant>
      <vt:variant>
        <vt:i4>5</vt:i4>
      </vt:variant>
      <vt:variant>
        <vt:lpwstr/>
      </vt:variant>
      <vt:variant>
        <vt:lpwstr>_Toc220324598</vt:lpwstr>
      </vt:variant>
      <vt:variant>
        <vt:i4>1769525</vt:i4>
      </vt:variant>
      <vt:variant>
        <vt:i4>230</vt:i4>
      </vt:variant>
      <vt:variant>
        <vt:i4>0</vt:i4>
      </vt:variant>
      <vt:variant>
        <vt:i4>5</vt:i4>
      </vt:variant>
      <vt:variant>
        <vt:lpwstr/>
      </vt:variant>
      <vt:variant>
        <vt:lpwstr>_Toc220324597</vt:lpwstr>
      </vt:variant>
      <vt:variant>
        <vt:i4>4784255</vt:i4>
      </vt:variant>
      <vt:variant>
        <vt:i4>224</vt:i4>
      </vt:variant>
      <vt:variant>
        <vt:i4>0</vt:i4>
      </vt:variant>
      <vt:variant>
        <vt:i4>5</vt:i4>
      </vt:variant>
      <vt:variant>
        <vt:lpwstr/>
      </vt:variant>
      <vt:variant>
        <vt:lpwstr>_8zjie5lpvvdo</vt:lpwstr>
      </vt:variant>
      <vt:variant>
        <vt:i4>5570614</vt:i4>
      </vt:variant>
      <vt:variant>
        <vt:i4>221</vt:i4>
      </vt:variant>
      <vt:variant>
        <vt:i4>0</vt:i4>
      </vt:variant>
      <vt:variant>
        <vt:i4>5</vt:i4>
      </vt:variant>
      <vt:variant>
        <vt:lpwstr/>
      </vt:variant>
      <vt:variant>
        <vt:lpwstr>_ip83d2raaysc</vt:lpwstr>
      </vt:variant>
      <vt:variant>
        <vt:i4>1703985</vt:i4>
      </vt:variant>
      <vt:variant>
        <vt:i4>218</vt:i4>
      </vt:variant>
      <vt:variant>
        <vt:i4>0</vt:i4>
      </vt:variant>
      <vt:variant>
        <vt:i4>5</vt:i4>
      </vt:variant>
      <vt:variant>
        <vt:lpwstr/>
      </vt:variant>
      <vt:variant>
        <vt:lpwstr>_o9gbt3l1a7k4</vt:lpwstr>
      </vt:variant>
      <vt:variant>
        <vt:i4>1179762</vt:i4>
      </vt:variant>
      <vt:variant>
        <vt:i4>215</vt:i4>
      </vt:variant>
      <vt:variant>
        <vt:i4>0</vt:i4>
      </vt:variant>
      <vt:variant>
        <vt:i4>5</vt:i4>
      </vt:variant>
      <vt:variant>
        <vt:lpwstr/>
      </vt:variant>
      <vt:variant>
        <vt:lpwstr>_yfkjvtj2igud</vt:lpwstr>
      </vt:variant>
      <vt:variant>
        <vt:i4>1966133</vt:i4>
      </vt:variant>
      <vt:variant>
        <vt:i4>212</vt:i4>
      </vt:variant>
      <vt:variant>
        <vt:i4>0</vt:i4>
      </vt:variant>
      <vt:variant>
        <vt:i4>5</vt:i4>
      </vt:variant>
      <vt:variant>
        <vt:lpwstr/>
      </vt:variant>
      <vt:variant>
        <vt:lpwstr>_o5yln7x3h7v8</vt:lpwstr>
      </vt:variant>
      <vt:variant>
        <vt:i4>721002</vt:i4>
      </vt:variant>
      <vt:variant>
        <vt:i4>209</vt:i4>
      </vt:variant>
      <vt:variant>
        <vt:i4>0</vt:i4>
      </vt:variant>
      <vt:variant>
        <vt:i4>5</vt:i4>
      </vt:variant>
      <vt:variant>
        <vt:lpwstr/>
      </vt:variant>
      <vt:variant>
        <vt:lpwstr>_8d0f1tcth79d</vt:lpwstr>
      </vt:variant>
      <vt:variant>
        <vt:i4>4784175</vt:i4>
      </vt:variant>
      <vt:variant>
        <vt:i4>206</vt:i4>
      </vt:variant>
      <vt:variant>
        <vt:i4>0</vt:i4>
      </vt:variant>
      <vt:variant>
        <vt:i4>5</vt:i4>
      </vt:variant>
      <vt:variant>
        <vt:lpwstr/>
      </vt:variant>
      <vt:variant>
        <vt:lpwstr>_qe8uea1l8ml3</vt:lpwstr>
      </vt:variant>
      <vt:variant>
        <vt:i4>1114220</vt:i4>
      </vt:variant>
      <vt:variant>
        <vt:i4>203</vt:i4>
      </vt:variant>
      <vt:variant>
        <vt:i4>0</vt:i4>
      </vt:variant>
      <vt:variant>
        <vt:i4>5</vt:i4>
      </vt:variant>
      <vt:variant>
        <vt:lpwstr/>
      </vt:variant>
      <vt:variant>
        <vt:lpwstr>_w50cgcdwdq1v</vt:lpwstr>
      </vt:variant>
      <vt:variant>
        <vt:i4>786539</vt:i4>
      </vt:variant>
      <vt:variant>
        <vt:i4>200</vt:i4>
      </vt:variant>
      <vt:variant>
        <vt:i4>0</vt:i4>
      </vt:variant>
      <vt:variant>
        <vt:i4>5</vt:i4>
      </vt:variant>
      <vt:variant>
        <vt:lpwstr/>
      </vt:variant>
      <vt:variant>
        <vt:lpwstr>_xg2ed5tl4oby</vt:lpwstr>
      </vt:variant>
      <vt:variant>
        <vt:i4>1048675</vt:i4>
      </vt:variant>
      <vt:variant>
        <vt:i4>197</vt:i4>
      </vt:variant>
      <vt:variant>
        <vt:i4>0</vt:i4>
      </vt:variant>
      <vt:variant>
        <vt:i4>5</vt:i4>
      </vt:variant>
      <vt:variant>
        <vt:lpwstr/>
      </vt:variant>
      <vt:variant>
        <vt:lpwstr>_ybk8z6624bzk</vt:lpwstr>
      </vt:variant>
      <vt:variant>
        <vt:i4>458806</vt:i4>
      </vt:variant>
      <vt:variant>
        <vt:i4>194</vt:i4>
      </vt:variant>
      <vt:variant>
        <vt:i4>0</vt:i4>
      </vt:variant>
      <vt:variant>
        <vt:i4>5</vt:i4>
      </vt:variant>
      <vt:variant>
        <vt:lpwstr/>
      </vt:variant>
      <vt:variant>
        <vt:lpwstr>_f240or3q0h9</vt:lpwstr>
      </vt:variant>
      <vt:variant>
        <vt:i4>4259903</vt:i4>
      </vt:variant>
      <vt:variant>
        <vt:i4>191</vt:i4>
      </vt:variant>
      <vt:variant>
        <vt:i4>0</vt:i4>
      </vt:variant>
      <vt:variant>
        <vt:i4>5</vt:i4>
      </vt:variant>
      <vt:variant>
        <vt:lpwstr/>
      </vt:variant>
      <vt:variant>
        <vt:lpwstr>_tnem7ngyctcb</vt:lpwstr>
      </vt:variant>
      <vt:variant>
        <vt:i4>5570663</vt:i4>
      </vt:variant>
      <vt:variant>
        <vt:i4>188</vt:i4>
      </vt:variant>
      <vt:variant>
        <vt:i4>0</vt:i4>
      </vt:variant>
      <vt:variant>
        <vt:i4>5</vt:i4>
      </vt:variant>
      <vt:variant>
        <vt:lpwstr/>
      </vt:variant>
      <vt:variant>
        <vt:lpwstr>_m10souaxdwb4</vt:lpwstr>
      </vt:variant>
      <vt:variant>
        <vt:i4>5505130</vt:i4>
      </vt:variant>
      <vt:variant>
        <vt:i4>185</vt:i4>
      </vt:variant>
      <vt:variant>
        <vt:i4>0</vt:i4>
      </vt:variant>
      <vt:variant>
        <vt:i4>5</vt:i4>
      </vt:variant>
      <vt:variant>
        <vt:lpwstr/>
      </vt:variant>
      <vt:variant>
        <vt:lpwstr>_oalrbm6z417h</vt:lpwstr>
      </vt:variant>
      <vt:variant>
        <vt:i4>65636</vt:i4>
      </vt:variant>
      <vt:variant>
        <vt:i4>182</vt:i4>
      </vt:variant>
      <vt:variant>
        <vt:i4>0</vt:i4>
      </vt:variant>
      <vt:variant>
        <vt:i4>5</vt:i4>
      </vt:variant>
      <vt:variant>
        <vt:lpwstr/>
      </vt:variant>
      <vt:variant>
        <vt:lpwstr>_5qzbesa33hyg</vt:lpwstr>
      </vt:variant>
      <vt:variant>
        <vt:i4>327723</vt:i4>
      </vt:variant>
      <vt:variant>
        <vt:i4>179</vt:i4>
      </vt:variant>
      <vt:variant>
        <vt:i4>0</vt:i4>
      </vt:variant>
      <vt:variant>
        <vt:i4>5</vt:i4>
      </vt:variant>
      <vt:variant>
        <vt:lpwstr/>
      </vt:variant>
      <vt:variant>
        <vt:lpwstr>_7f8r88oil114</vt:lpwstr>
      </vt:variant>
      <vt:variant>
        <vt:i4>6225963</vt:i4>
      </vt:variant>
      <vt:variant>
        <vt:i4>176</vt:i4>
      </vt:variant>
      <vt:variant>
        <vt:i4>0</vt:i4>
      </vt:variant>
      <vt:variant>
        <vt:i4>5</vt:i4>
      </vt:variant>
      <vt:variant>
        <vt:lpwstr/>
      </vt:variant>
      <vt:variant>
        <vt:lpwstr>_cii513bpmkk0</vt:lpwstr>
      </vt:variant>
      <vt:variant>
        <vt:i4>5570685</vt:i4>
      </vt:variant>
      <vt:variant>
        <vt:i4>173</vt:i4>
      </vt:variant>
      <vt:variant>
        <vt:i4>0</vt:i4>
      </vt:variant>
      <vt:variant>
        <vt:i4>5</vt:i4>
      </vt:variant>
      <vt:variant>
        <vt:lpwstr/>
      </vt:variant>
      <vt:variant>
        <vt:lpwstr>_47p5yb143vj</vt:lpwstr>
      </vt:variant>
      <vt:variant>
        <vt:i4>6029434</vt:i4>
      </vt:variant>
      <vt:variant>
        <vt:i4>170</vt:i4>
      </vt:variant>
      <vt:variant>
        <vt:i4>0</vt:i4>
      </vt:variant>
      <vt:variant>
        <vt:i4>5</vt:i4>
      </vt:variant>
      <vt:variant>
        <vt:lpwstr/>
      </vt:variant>
      <vt:variant>
        <vt:lpwstr>_t0xhpltx5ia</vt:lpwstr>
      </vt:variant>
      <vt:variant>
        <vt:i4>5570598</vt:i4>
      </vt:variant>
      <vt:variant>
        <vt:i4>167</vt:i4>
      </vt:variant>
      <vt:variant>
        <vt:i4>0</vt:i4>
      </vt:variant>
      <vt:variant>
        <vt:i4>5</vt:i4>
      </vt:variant>
      <vt:variant>
        <vt:lpwstr/>
      </vt:variant>
      <vt:variant>
        <vt:lpwstr>_avhlxh69z2hf</vt:lpwstr>
      </vt:variant>
      <vt:variant>
        <vt:i4>5308543</vt:i4>
      </vt:variant>
      <vt:variant>
        <vt:i4>164</vt:i4>
      </vt:variant>
      <vt:variant>
        <vt:i4>0</vt:i4>
      </vt:variant>
      <vt:variant>
        <vt:i4>5</vt:i4>
      </vt:variant>
      <vt:variant>
        <vt:lpwstr/>
      </vt:variant>
      <vt:variant>
        <vt:lpwstr>_pkqmqkixy51j</vt:lpwstr>
      </vt:variant>
      <vt:variant>
        <vt:i4>1966125</vt:i4>
      </vt:variant>
      <vt:variant>
        <vt:i4>161</vt:i4>
      </vt:variant>
      <vt:variant>
        <vt:i4>0</vt:i4>
      </vt:variant>
      <vt:variant>
        <vt:i4>5</vt:i4>
      </vt:variant>
      <vt:variant>
        <vt:lpwstr/>
      </vt:variant>
      <vt:variant>
        <vt:lpwstr>_r4wkmps6nkkg</vt:lpwstr>
      </vt:variant>
      <vt:variant>
        <vt:i4>1966202</vt:i4>
      </vt:variant>
      <vt:variant>
        <vt:i4>158</vt:i4>
      </vt:variant>
      <vt:variant>
        <vt:i4>0</vt:i4>
      </vt:variant>
      <vt:variant>
        <vt:i4>5</vt:i4>
      </vt:variant>
      <vt:variant>
        <vt:lpwstr/>
      </vt:variant>
      <vt:variant>
        <vt:lpwstr>_ncbwf8g0i9zy</vt:lpwstr>
      </vt:variant>
      <vt:variant>
        <vt:i4>65590</vt:i4>
      </vt:variant>
      <vt:variant>
        <vt:i4>155</vt:i4>
      </vt:variant>
      <vt:variant>
        <vt:i4>0</vt:i4>
      </vt:variant>
      <vt:variant>
        <vt:i4>5</vt:i4>
      </vt:variant>
      <vt:variant>
        <vt:lpwstr/>
      </vt:variant>
      <vt:variant>
        <vt:lpwstr>_vtwwqppukojv</vt:lpwstr>
      </vt:variant>
      <vt:variant>
        <vt:i4>5046311</vt:i4>
      </vt:variant>
      <vt:variant>
        <vt:i4>152</vt:i4>
      </vt:variant>
      <vt:variant>
        <vt:i4>0</vt:i4>
      </vt:variant>
      <vt:variant>
        <vt:i4>5</vt:i4>
      </vt:variant>
      <vt:variant>
        <vt:lpwstr/>
      </vt:variant>
      <vt:variant>
        <vt:lpwstr>_1hlbmevzdmob</vt:lpwstr>
      </vt:variant>
      <vt:variant>
        <vt:i4>196668</vt:i4>
      </vt:variant>
      <vt:variant>
        <vt:i4>149</vt:i4>
      </vt:variant>
      <vt:variant>
        <vt:i4>0</vt:i4>
      </vt:variant>
      <vt:variant>
        <vt:i4>5</vt:i4>
      </vt:variant>
      <vt:variant>
        <vt:lpwstr/>
      </vt:variant>
      <vt:variant>
        <vt:lpwstr>_xafvqtdcfcne</vt:lpwstr>
      </vt:variant>
      <vt:variant>
        <vt:i4>5832822</vt:i4>
      </vt:variant>
      <vt:variant>
        <vt:i4>143</vt:i4>
      </vt:variant>
      <vt:variant>
        <vt:i4>0</vt:i4>
      </vt:variant>
      <vt:variant>
        <vt:i4>5</vt:i4>
      </vt:variant>
      <vt:variant>
        <vt:lpwstr/>
      </vt:variant>
      <vt:variant>
        <vt:lpwstr>_g38ebnvahpzp</vt:lpwstr>
      </vt:variant>
      <vt:variant>
        <vt:i4>5832740</vt:i4>
      </vt:variant>
      <vt:variant>
        <vt:i4>140</vt:i4>
      </vt:variant>
      <vt:variant>
        <vt:i4>0</vt:i4>
      </vt:variant>
      <vt:variant>
        <vt:i4>5</vt:i4>
      </vt:variant>
      <vt:variant>
        <vt:lpwstr/>
      </vt:variant>
      <vt:variant>
        <vt:lpwstr>_p9m25lezrffk</vt:lpwstr>
      </vt:variant>
      <vt:variant>
        <vt:i4>4980798</vt:i4>
      </vt:variant>
      <vt:variant>
        <vt:i4>137</vt:i4>
      </vt:variant>
      <vt:variant>
        <vt:i4>0</vt:i4>
      </vt:variant>
      <vt:variant>
        <vt:i4>5</vt:i4>
      </vt:variant>
      <vt:variant>
        <vt:lpwstr/>
      </vt:variant>
      <vt:variant>
        <vt:lpwstr>_20p52z9qjool</vt:lpwstr>
      </vt:variant>
      <vt:variant>
        <vt:i4>6029353</vt:i4>
      </vt:variant>
      <vt:variant>
        <vt:i4>134</vt:i4>
      </vt:variant>
      <vt:variant>
        <vt:i4>0</vt:i4>
      </vt:variant>
      <vt:variant>
        <vt:i4>5</vt:i4>
      </vt:variant>
      <vt:variant>
        <vt:lpwstr/>
      </vt:variant>
      <vt:variant>
        <vt:lpwstr>_y0e1w67ue4e9</vt:lpwstr>
      </vt:variant>
      <vt:variant>
        <vt:i4>1441899</vt:i4>
      </vt:variant>
      <vt:variant>
        <vt:i4>131</vt:i4>
      </vt:variant>
      <vt:variant>
        <vt:i4>0</vt:i4>
      </vt:variant>
      <vt:variant>
        <vt:i4>5</vt:i4>
      </vt:variant>
      <vt:variant>
        <vt:lpwstr/>
      </vt:variant>
      <vt:variant>
        <vt:lpwstr>_svx1tqm1k3ox</vt:lpwstr>
      </vt:variant>
      <vt:variant>
        <vt:i4>852075</vt:i4>
      </vt:variant>
      <vt:variant>
        <vt:i4>128</vt:i4>
      </vt:variant>
      <vt:variant>
        <vt:i4>0</vt:i4>
      </vt:variant>
      <vt:variant>
        <vt:i4>5</vt:i4>
      </vt:variant>
      <vt:variant>
        <vt:lpwstr/>
      </vt:variant>
      <vt:variant>
        <vt:lpwstr>_wbwo92wr5yv4</vt:lpwstr>
      </vt:variant>
      <vt:variant>
        <vt:i4>655468</vt:i4>
      </vt:variant>
      <vt:variant>
        <vt:i4>125</vt:i4>
      </vt:variant>
      <vt:variant>
        <vt:i4>0</vt:i4>
      </vt:variant>
      <vt:variant>
        <vt:i4>5</vt:i4>
      </vt:variant>
      <vt:variant>
        <vt:lpwstr/>
      </vt:variant>
      <vt:variant>
        <vt:lpwstr>_qmqmy1y0b2hv</vt:lpwstr>
      </vt:variant>
      <vt:variant>
        <vt:i4>1114209</vt:i4>
      </vt:variant>
      <vt:variant>
        <vt:i4>122</vt:i4>
      </vt:variant>
      <vt:variant>
        <vt:i4>0</vt:i4>
      </vt:variant>
      <vt:variant>
        <vt:i4>5</vt:i4>
      </vt:variant>
      <vt:variant>
        <vt:lpwstr/>
      </vt:variant>
      <vt:variant>
        <vt:lpwstr>_qrj6vatvmme2</vt:lpwstr>
      </vt:variant>
      <vt:variant>
        <vt:i4>5767223</vt:i4>
      </vt:variant>
      <vt:variant>
        <vt:i4>119</vt:i4>
      </vt:variant>
      <vt:variant>
        <vt:i4>0</vt:i4>
      </vt:variant>
      <vt:variant>
        <vt:i4>5</vt:i4>
      </vt:variant>
      <vt:variant>
        <vt:lpwstr/>
      </vt:variant>
      <vt:variant>
        <vt:lpwstr>_4fimkuhgnqh5</vt:lpwstr>
      </vt:variant>
      <vt:variant>
        <vt:i4>4653179</vt:i4>
      </vt:variant>
      <vt:variant>
        <vt:i4>116</vt:i4>
      </vt:variant>
      <vt:variant>
        <vt:i4>0</vt:i4>
      </vt:variant>
      <vt:variant>
        <vt:i4>5</vt:i4>
      </vt:variant>
      <vt:variant>
        <vt:lpwstr/>
      </vt:variant>
      <vt:variant>
        <vt:lpwstr>_ydw2dq4ehfqi</vt:lpwstr>
      </vt:variant>
      <vt:variant>
        <vt:i4>983147</vt:i4>
      </vt:variant>
      <vt:variant>
        <vt:i4>113</vt:i4>
      </vt:variant>
      <vt:variant>
        <vt:i4>0</vt:i4>
      </vt:variant>
      <vt:variant>
        <vt:i4>5</vt:i4>
      </vt:variant>
      <vt:variant>
        <vt:lpwstr/>
      </vt:variant>
      <vt:variant>
        <vt:lpwstr>_sv147iyhhwkt</vt:lpwstr>
      </vt:variant>
      <vt:variant>
        <vt:i4>262251</vt:i4>
      </vt:variant>
      <vt:variant>
        <vt:i4>110</vt:i4>
      </vt:variant>
      <vt:variant>
        <vt:i4>0</vt:i4>
      </vt:variant>
      <vt:variant>
        <vt:i4>5</vt:i4>
      </vt:variant>
      <vt:variant>
        <vt:lpwstr/>
      </vt:variant>
      <vt:variant>
        <vt:lpwstr>_g92pwhcf4sqs</vt:lpwstr>
      </vt:variant>
      <vt:variant>
        <vt:i4>6160425</vt:i4>
      </vt:variant>
      <vt:variant>
        <vt:i4>107</vt:i4>
      </vt:variant>
      <vt:variant>
        <vt:i4>0</vt:i4>
      </vt:variant>
      <vt:variant>
        <vt:i4>5</vt:i4>
      </vt:variant>
      <vt:variant>
        <vt:lpwstr/>
      </vt:variant>
      <vt:variant>
        <vt:lpwstr>_pkprcq7flxf6</vt:lpwstr>
      </vt:variant>
      <vt:variant>
        <vt:i4>4915252</vt:i4>
      </vt:variant>
      <vt:variant>
        <vt:i4>104</vt:i4>
      </vt:variant>
      <vt:variant>
        <vt:i4>0</vt:i4>
      </vt:variant>
      <vt:variant>
        <vt:i4>5</vt:i4>
      </vt:variant>
      <vt:variant>
        <vt:lpwstr/>
      </vt:variant>
      <vt:variant>
        <vt:lpwstr>_o1uhy4p224j8</vt:lpwstr>
      </vt:variant>
      <vt:variant>
        <vt:i4>4980837</vt:i4>
      </vt:variant>
      <vt:variant>
        <vt:i4>101</vt:i4>
      </vt:variant>
      <vt:variant>
        <vt:i4>0</vt:i4>
      </vt:variant>
      <vt:variant>
        <vt:i4>5</vt:i4>
      </vt:variant>
      <vt:variant>
        <vt:lpwstr/>
      </vt:variant>
      <vt:variant>
        <vt:lpwstr>_hb49lnqi5f84</vt:lpwstr>
      </vt:variant>
      <vt:variant>
        <vt:i4>458877</vt:i4>
      </vt:variant>
      <vt:variant>
        <vt:i4>98</vt:i4>
      </vt:variant>
      <vt:variant>
        <vt:i4>0</vt:i4>
      </vt:variant>
      <vt:variant>
        <vt:i4>5</vt:i4>
      </vt:variant>
      <vt:variant>
        <vt:lpwstr/>
      </vt:variant>
      <vt:variant>
        <vt:lpwstr>_s8vhgs54h58r</vt:lpwstr>
      </vt:variant>
      <vt:variant>
        <vt:i4>4653112</vt:i4>
      </vt:variant>
      <vt:variant>
        <vt:i4>95</vt:i4>
      </vt:variant>
      <vt:variant>
        <vt:i4>0</vt:i4>
      </vt:variant>
      <vt:variant>
        <vt:i4>5</vt:i4>
      </vt:variant>
      <vt:variant>
        <vt:lpwstr/>
      </vt:variant>
      <vt:variant>
        <vt:lpwstr>_56wuomi16x5v</vt:lpwstr>
      </vt:variant>
      <vt:variant>
        <vt:i4>1835114</vt:i4>
      </vt:variant>
      <vt:variant>
        <vt:i4>92</vt:i4>
      </vt:variant>
      <vt:variant>
        <vt:i4>0</vt:i4>
      </vt:variant>
      <vt:variant>
        <vt:i4>5</vt:i4>
      </vt:variant>
      <vt:variant>
        <vt:lpwstr/>
      </vt:variant>
      <vt:variant>
        <vt:lpwstr>_6r7f8ia0ux1f</vt:lpwstr>
      </vt:variant>
      <vt:variant>
        <vt:i4>4522109</vt:i4>
      </vt:variant>
      <vt:variant>
        <vt:i4>89</vt:i4>
      </vt:variant>
      <vt:variant>
        <vt:i4>0</vt:i4>
      </vt:variant>
      <vt:variant>
        <vt:i4>5</vt:i4>
      </vt:variant>
      <vt:variant>
        <vt:lpwstr/>
      </vt:variant>
      <vt:variant>
        <vt:lpwstr>_s02b17xp47yl</vt:lpwstr>
      </vt:variant>
      <vt:variant>
        <vt:i4>655417</vt:i4>
      </vt:variant>
      <vt:variant>
        <vt:i4>86</vt:i4>
      </vt:variant>
      <vt:variant>
        <vt:i4>0</vt:i4>
      </vt:variant>
      <vt:variant>
        <vt:i4>5</vt:i4>
      </vt:variant>
      <vt:variant>
        <vt:lpwstr/>
      </vt:variant>
      <vt:variant>
        <vt:lpwstr>_bpeoisas7y2m</vt:lpwstr>
      </vt:variant>
      <vt:variant>
        <vt:i4>6226020</vt:i4>
      </vt:variant>
      <vt:variant>
        <vt:i4>83</vt:i4>
      </vt:variant>
      <vt:variant>
        <vt:i4>0</vt:i4>
      </vt:variant>
      <vt:variant>
        <vt:i4>5</vt:i4>
      </vt:variant>
      <vt:variant>
        <vt:lpwstr/>
      </vt:variant>
      <vt:variant>
        <vt:lpwstr>_n51clh5vos6b</vt:lpwstr>
      </vt:variant>
      <vt:variant>
        <vt:i4>5439584</vt:i4>
      </vt:variant>
      <vt:variant>
        <vt:i4>80</vt:i4>
      </vt:variant>
      <vt:variant>
        <vt:i4>0</vt:i4>
      </vt:variant>
      <vt:variant>
        <vt:i4>5</vt:i4>
      </vt:variant>
      <vt:variant>
        <vt:lpwstr/>
      </vt:variant>
      <vt:variant>
        <vt:lpwstr>_acv8lkfa4nzd</vt:lpwstr>
      </vt:variant>
      <vt:variant>
        <vt:i4>4980859</vt:i4>
      </vt:variant>
      <vt:variant>
        <vt:i4>77</vt:i4>
      </vt:variant>
      <vt:variant>
        <vt:i4>0</vt:i4>
      </vt:variant>
      <vt:variant>
        <vt:i4>5</vt:i4>
      </vt:variant>
      <vt:variant>
        <vt:lpwstr/>
      </vt:variant>
      <vt:variant>
        <vt:lpwstr>_celx4dr76j3n</vt:lpwstr>
      </vt:variant>
      <vt:variant>
        <vt:i4>5505071</vt:i4>
      </vt:variant>
      <vt:variant>
        <vt:i4>74</vt:i4>
      </vt:variant>
      <vt:variant>
        <vt:i4>0</vt:i4>
      </vt:variant>
      <vt:variant>
        <vt:i4>5</vt:i4>
      </vt:variant>
      <vt:variant>
        <vt:lpwstr/>
      </vt:variant>
      <vt:variant>
        <vt:lpwstr>_us5utjoqamni</vt:lpwstr>
      </vt:variant>
      <vt:variant>
        <vt:i4>5701742</vt:i4>
      </vt:variant>
      <vt:variant>
        <vt:i4>71</vt:i4>
      </vt:variant>
      <vt:variant>
        <vt:i4>0</vt:i4>
      </vt:variant>
      <vt:variant>
        <vt:i4>5</vt:i4>
      </vt:variant>
      <vt:variant>
        <vt:lpwstr/>
      </vt:variant>
      <vt:variant>
        <vt:lpwstr>_9fw2al8svz62</vt:lpwstr>
      </vt:variant>
      <vt:variant>
        <vt:i4>4391029</vt:i4>
      </vt:variant>
      <vt:variant>
        <vt:i4>68</vt:i4>
      </vt:variant>
      <vt:variant>
        <vt:i4>0</vt:i4>
      </vt:variant>
      <vt:variant>
        <vt:i4>5</vt:i4>
      </vt:variant>
      <vt:variant>
        <vt:lpwstr/>
      </vt:variant>
      <vt:variant>
        <vt:lpwstr>_bolxhl1hc9w7</vt:lpwstr>
      </vt:variant>
      <vt:variant>
        <vt:i4>6160442</vt:i4>
      </vt:variant>
      <vt:variant>
        <vt:i4>65</vt:i4>
      </vt:variant>
      <vt:variant>
        <vt:i4>0</vt:i4>
      </vt:variant>
      <vt:variant>
        <vt:i4>5</vt:i4>
      </vt:variant>
      <vt:variant>
        <vt:lpwstr/>
      </vt:variant>
      <vt:variant>
        <vt:lpwstr>_du2fqsacjfrg</vt:lpwstr>
      </vt:variant>
      <vt:variant>
        <vt:i4>1114237</vt:i4>
      </vt:variant>
      <vt:variant>
        <vt:i4>62</vt:i4>
      </vt:variant>
      <vt:variant>
        <vt:i4>0</vt:i4>
      </vt:variant>
      <vt:variant>
        <vt:i4>5</vt:i4>
      </vt:variant>
      <vt:variant>
        <vt:lpwstr/>
      </vt:variant>
      <vt:variant>
        <vt:lpwstr>_kqydrc6f42sw</vt:lpwstr>
      </vt:variant>
      <vt:variant>
        <vt:i4>5046381</vt:i4>
      </vt:variant>
      <vt:variant>
        <vt:i4>59</vt:i4>
      </vt:variant>
      <vt:variant>
        <vt:i4>0</vt:i4>
      </vt:variant>
      <vt:variant>
        <vt:i4>5</vt:i4>
      </vt:variant>
      <vt:variant>
        <vt:lpwstr/>
      </vt:variant>
      <vt:variant>
        <vt:lpwstr>_39173jtbd4l4</vt:lpwstr>
      </vt:variant>
      <vt:variant>
        <vt:i4>4259936</vt:i4>
      </vt:variant>
      <vt:variant>
        <vt:i4>56</vt:i4>
      </vt:variant>
      <vt:variant>
        <vt:i4>0</vt:i4>
      </vt:variant>
      <vt:variant>
        <vt:i4>5</vt:i4>
      </vt:variant>
      <vt:variant>
        <vt:lpwstr/>
      </vt:variant>
      <vt:variant>
        <vt:lpwstr>_hcx8wq7dhqy4</vt:lpwstr>
      </vt:variant>
      <vt:variant>
        <vt:i4>786551</vt:i4>
      </vt:variant>
      <vt:variant>
        <vt:i4>53</vt:i4>
      </vt:variant>
      <vt:variant>
        <vt:i4>0</vt:i4>
      </vt:variant>
      <vt:variant>
        <vt:i4>5</vt:i4>
      </vt:variant>
      <vt:variant>
        <vt:lpwstr/>
      </vt:variant>
      <vt:variant>
        <vt:lpwstr>_jhv0kexawttj</vt:lpwstr>
      </vt:variant>
      <vt:variant>
        <vt:i4>6029434</vt:i4>
      </vt:variant>
      <vt:variant>
        <vt:i4>50</vt:i4>
      </vt:variant>
      <vt:variant>
        <vt:i4>0</vt:i4>
      </vt:variant>
      <vt:variant>
        <vt:i4>5</vt:i4>
      </vt:variant>
      <vt:variant>
        <vt:lpwstr/>
      </vt:variant>
      <vt:variant>
        <vt:lpwstr>_ofx272x3opkm</vt:lpwstr>
      </vt:variant>
      <vt:variant>
        <vt:i4>4849711</vt:i4>
      </vt:variant>
      <vt:variant>
        <vt:i4>47</vt:i4>
      </vt:variant>
      <vt:variant>
        <vt:i4>0</vt:i4>
      </vt:variant>
      <vt:variant>
        <vt:i4>5</vt:i4>
      </vt:variant>
      <vt:variant>
        <vt:lpwstr/>
      </vt:variant>
      <vt:variant>
        <vt:lpwstr>_o4e21666wv0q</vt:lpwstr>
      </vt:variant>
      <vt:variant>
        <vt:i4>1376309</vt:i4>
      </vt:variant>
      <vt:variant>
        <vt:i4>44</vt:i4>
      </vt:variant>
      <vt:variant>
        <vt:i4>0</vt:i4>
      </vt:variant>
      <vt:variant>
        <vt:i4>5</vt:i4>
      </vt:variant>
      <vt:variant>
        <vt:lpwstr/>
      </vt:variant>
      <vt:variant>
        <vt:lpwstr>_cfxms8bmm4rl</vt:lpwstr>
      </vt:variant>
      <vt:variant>
        <vt:i4>4784181</vt:i4>
      </vt:variant>
      <vt:variant>
        <vt:i4>41</vt:i4>
      </vt:variant>
      <vt:variant>
        <vt:i4>0</vt:i4>
      </vt:variant>
      <vt:variant>
        <vt:i4>5</vt:i4>
      </vt:variant>
      <vt:variant>
        <vt:lpwstr/>
      </vt:variant>
      <vt:variant>
        <vt:lpwstr>_kr1f09bp57tf</vt:lpwstr>
      </vt:variant>
      <vt:variant>
        <vt:i4>1507375</vt:i4>
      </vt:variant>
      <vt:variant>
        <vt:i4>38</vt:i4>
      </vt:variant>
      <vt:variant>
        <vt:i4>0</vt:i4>
      </vt:variant>
      <vt:variant>
        <vt:i4>5</vt:i4>
      </vt:variant>
      <vt:variant>
        <vt:lpwstr/>
      </vt:variant>
      <vt:variant>
        <vt:lpwstr>_nf64p0jcdq18</vt:lpwstr>
      </vt:variant>
      <vt:variant>
        <vt:i4>4653119</vt:i4>
      </vt:variant>
      <vt:variant>
        <vt:i4>35</vt:i4>
      </vt:variant>
      <vt:variant>
        <vt:i4>0</vt:i4>
      </vt:variant>
      <vt:variant>
        <vt:i4>5</vt:i4>
      </vt:variant>
      <vt:variant>
        <vt:lpwstr/>
      </vt:variant>
      <vt:variant>
        <vt:lpwstr>_lkmh63ui590j</vt:lpwstr>
      </vt:variant>
      <vt:variant>
        <vt:i4>4325417</vt:i4>
      </vt:variant>
      <vt:variant>
        <vt:i4>32</vt:i4>
      </vt:variant>
      <vt:variant>
        <vt:i4>0</vt:i4>
      </vt:variant>
      <vt:variant>
        <vt:i4>5</vt:i4>
      </vt:variant>
      <vt:variant>
        <vt:lpwstr/>
      </vt:variant>
      <vt:variant>
        <vt:lpwstr>_w00key9go36i</vt:lpwstr>
      </vt:variant>
      <vt:variant>
        <vt:i4>1310823</vt:i4>
      </vt:variant>
      <vt:variant>
        <vt:i4>29</vt:i4>
      </vt:variant>
      <vt:variant>
        <vt:i4>0</vt:i4>
      </vt:variant>
      <vt:variant>
        <vt:i4>5</vt:i4>
      </vt:variant>
      <vt:variant>
        <vt:lpwstr/>
      </vt:variant>
      <vt:variant>
        <vt:lpwstr>_67zdzgxy4unc</vt:lpwstr>
      </vt:variant>
      <vt:variant>
        <vt:i4>53</vt:i4>
      </vt:variant>
      <vt:variant>
        <vt:i4>26</vt:i4>
      </vt:variant>
      <vt:variant>
        <vt:i4>0</vt:i4>
      </vt:variant>
      <vt:variant>
        <vt:i4>5</vt:i4>
      </vt:variant>
      <vt:variant>
        <vt:lpwstr/>
      </vt:variant>
      <vt:variant>
        <vt:lpwstr>_e2q4jimhjmyh</vt:lpwstr>
      </vt:variant>
      <vt:variant>
        <vt:i4>1245247</vt:i4>
      </vt:variant>
      <vt:variant>
        <vt:i4>23</vt:i4>
      </vt:variant>
      <vt:variant>
        <vt:i4>0</vt:i4>
      </vt:variant>
      <vt:variant>
        <vt:i4>5</vt:i4>
      </vt:variant>
      <vt:variant>
        <vt:lpwstr/>
      </vt:variant>
      <vt:variant>
        <vt:lpwstr>_moes42z87vbx</vt:lpwstr>
      </vt:variant>
      <vt:variant>
        <vt:i4>1835057</vt:i4>
      </vt:variant>
      <vt:variant>
        <vt:i4>20</vt:i4>
      </vt:variant>
      <vt:variant>
        <vt:i4>0</vt:i4>
      </vt:variant>
      <vt:variant>
        <vt:i4>5</vt:i4>
      </vt:variant>
      <vt:variant>
        <vt:lpwstr/>
      </vt:variant>
      <vt:variant>
        <vt:lpwstr>_fuxifkyxuahp</vt:lpwstr>
      </vt:variant>
      <vt:variant>
        <vt:i4>5767216</vt:i4>
      </vt:variant>
      <vt:variant>
        <vt:i4>17</vt:i4>
      </vt:variant>
      <vt:variant>
        <vt:i4>0</vt:i4>
      </vt:variant>
      <vt:variant>
        <vt:i4>5</vt:i4>
      </vt:variant>
      <vt:variant>
        <vt:lpwstr/>
      </vt:variant>
      <vt:variant>
        <vt:lpwstr>_bw8xlujv0c49</vt:lpwstr>
      </vt:variant>
      <vt:variant>
        <vt:i4>1048633</vt:i4>
      </vt:variant>
      <vt:variant>
        <vt:i4>14</vt:i4>
      </vt:variant>
      <vt:variant>
        <vt:i4>0</vt:i4>
      </vt:variant>
      <vt:variant>
        <vt:i4>5</vt:i4>
      </vt:variant>
      <vt:variant>
        <vt:lpwstr/>
      </vt:variant>
      <vt:variant>
        <vt:lpwstr>_svubgeimmzuz</vt:lpwstr>
      </vt:variant>
      <vt:variant>
        <vt:i4>589866</vt:i4>
      </vt:variant>
      <vt:variant>
        <vt:i4>11</vt:i4>
      </vt:variant>
      <vt:variant>
        <vt:i4>0</vt:i4>
      </vt:variant>
      <vt:variant>
        <vt:i4>5</vt:i4>
      </vt:variant>
      <vt:variant>
        <vt:lpwstr/>
      </vt:variant>
      <vt:variant>
        <vt:lpwstr>_2ixlqrmzox0p</vt:lpwstr>
      </vt:variant>
      <vt:variant>
        <vt:i4>6094956</vt:i4>
      </vt:variant>
      <vt:variant>
        <vt:i4>8</vt:i4>
      </vt:variant>
      <vt:variant>
        <vt:i4>0</vt:i4>
      </vt:variant>
      <vt:variant>
        <vt:i4>5</vt:i4>
      </vt:variant>
      <vt:variant>
        <vt:lpwstr/>
      </vt:variant>
      <vt:variant>
        <vt:lpwstr>_3jucaindg7s</vt:lpwstr>
      </vt:variant>
      <vt:variant>
        <vt:i4>458856</vt:i4>
      </vt:variant>
      <vt:variant>
        <vt:i4>5</vt:i4>
      </vt:variant>
      <vt:variant>
        <vt:i4>0</vt:i4>
      </vt:variant>
      <vt:variant>
        <vt:i4>5</vt:i4>
      </vt:variant>
      <vt:variant>
        <vt:lpwstr/>
      </vt:variant>
      <vt:variant>
        <vt:lpwstr>_64kiccce1lk9</vt:lpwstr>
      </vt:variant>
      <vt:variant>
        <vt:i4>4915309</vt:i4>
      </vt:variant>
      <vt:variant>
        <vt:i4>2</vt:i4>
      </vt:variant>
      <vt:variant>
        <vt:i4>0</vt:i4>
      </vt:variant>
      <vt:variant>
        <vt:i4>5</vt:i4>
      </vt:variant>
      <vt:variant>
        <vt:lpwstr/>
      </vt:variant>
      <vt:variant>
        <vt:lpwstr>_ozymej6zb5l1</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patel meshwa</dc:creator>
  <cp:keywords/>
  <cp:lastModifiedBy>Kajalben Pankajkumar Patel (2407645)</cp:lastModifiedBy>
  <cp:revision>13</cp:revision>
  <dcterms:created xsi:type="dcterms:W3CDTF">2026-01-27T01:18:00Z</dcterms:created>
  <dcterms:modified xsi:type="dcterms:W3CDTF">2026-01-26T17:35:00Z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0x01010059C4DBF88080B948BDB8376217054C6E</vt:lpwstr>
  </property>
</Properties>
</file>