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CC2AC" w14:textId="6CD999D5" w:rsidR="00D67BDC" w:rsidRDefault="00410072">
      <w:r>
        <w:rPr>
          <w:noProof/>
        </w:rPr>
        <w:drawing>
          <wp:inline distT="0" distB="0" distL="0" distR="0" wp14:anchorId="72EF7C4F" wp14:editId="167BE06D">
            <wp:extent cx="1087395" cy="1087395"/>
            <wp:effectExtent l="0" t="0" r="5080" b="5080"/>
            <wp:docPr id="2041613326"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613326" name="Picture 1" descr="A logo with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096867" cy="1096867"/>
                    </a:xfrm>
                    <a:prstGeom prst="rect">
                      <a:avLst/>
                    </a:prstGeom>
                  </pic:spPr>
                </pic:pic>
              </a:graphicData>
            </a:graphic>
          </wp:inline>
        </w:drawing>
      </w:r>
    </w:p>
    <w:p w14:paraId="4F93ABD2" w14:textId="59FE01C6" w:rsidR="00403B3D" w:rsidRPr="00410072" w:rsidRDefault="00410072" w:rsidP="00410072">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B70478" w:rsidRPr="0041007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Elizabeta Naydenova</w:t>
      </w:r>
      <w:r w:rsidR="00866C82" w:rsidRPr="0041007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Student ID</w:t>
      </w:r>
      <w:r w:rsidR="00851F41">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A1215">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2417507</w:t>
      </w:r>
      <w:r w:rsidR="00866C82" w:rsidRPr="0041007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Module: Ma</w:t>
      </w:r>
      <w:r w:rsidR="00FB5E49" w:rsidRPr="0041007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nagement Accounting for Managers </w:t>
      </w:r>
      <w:r w:rsidR="00FB5E49" w:rsidRPr="0041007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Module Code: LCBB5010</w:t>
      </w:r>
    </w:p>
    <w:p w14:paraId="1AC0043F" w14:textId="24D80B64" w:rsidR="00FB5E49" w:rsidRPr="00410072" w:rsidRDefault="00FB5E49" w:rsidP="00410072">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007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w:t>
      </w:r>
      <w:r w:rsidR="00410072" w:rsidRPr="0041007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Zainab Atta</w:t>
      </w:r>
    </w:p>
    <w:p w14:paraId="2309565A" w14:textId="77777777" w:rsidR="00403B3D" w:rsidRPr="00410072" w:rsidRDefault="00403B3D" w:rsidP="00410072">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A57052" w14:textId="77777777" w:rsidR="00403B3D" w:rsidRPr="00410072" w:rsidRDefault="00403B3D">
      <w:pPr>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AEA6CBF" w14:textId="77777777" w:rsidR="00403B3D" w:rsidRDefault="00403B3D"/>
    <w:p w14:paraId="3A265563" w14:textId="77777777" w:rsidR="00403B3D" w:rsidRDefault="00403B3D"/>
    <w:p w14:paraId="706CDC3D" w14:textId="77777777" w:rsidR="00403B3D" w:rsidRDefault="00403B3D"/>
    <w:p w14:paraId="00323644" w14:textId="77777777" w:rsidR="00403B3D" w:rsidRDefault="00403B3D"/>
    <w:p w14:paraId="59ACA5B9" w14:textId="77777777" w:rsidR="00403B3D" w:rsidRDefault="00403B3D"/>
    <w:p w14:paraId="787DEC35" w14:textId="77777777" w:rsidR="00403B3D" w:rsidRDefault="00403B3D"/>
    <w:p w14:paraId="347D48F6" w14:textId="77777777" w:rsidR="00403B3D" w:rsidRDefault="00403B3D"/>
    <w:p w14:paraId="46F6C6E7" w14:textId="77777777" w:rsidR="00403B3D" w:rsidRDefault="00403B3D"/>
    <w:p w14:paraId="2B321BEE" w14:textId="77777777" w:rsidR="00403B3D" w:rsidRDefault="00403B3D"/>
    <w:p w14:paraId="3CD2DFEE" w14:textId="77777777" w:rsidR="00403B3D" w:rsidRDefault="00403B3D"/>
    <w:p w14:paraId="7EFA985C" w14:textId="77777777" w:rsidR="00403B3D" w:rsidRDefault="00403B3D"/>
    <w:p w14:paraId="08FD27DE" w14:textId="77777777" w:rsidR="00403B3D" w:rsidRDefault="00403B3D"/>
    <w:p w14:paraId="5C318824" w14:textId="77777777" w:rsidR="00403B3D" w:rsidRDefault="00403B3D"/>
    <w:p w14:paraId="38B76799"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EE974D8"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285D23B"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05492D9"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A78159C"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0A6B9AD"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1192875"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21E4F68" w14:textId="77777777" w:rsidR="00E32C1D" w:rsidRDefault="00E32C1D" w:rsidP="00410072">
      <w:pPr>
        <w:spacing w:line="360" w:lineRule="auto"/>
        <w:ind w:left="720"/>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F19E516" w14:textId="4D31FF5C" w:rsidR="00410072" w:rsidRDefault="00E8329D" w:rsidP="00410072">
      <w:pPr>
        <w:spacing w:line="360" w:lineRule="auto"/>
        <w:ind w:left="720"/>
        <w:rPr>
          <w:rFonts w:ascii="Arial" w:hAnsi="Arial" w:cs="Arial"/>
          <w:b/>
          <w:bC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B70478">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Table of Content</w:t>
      </w:r>
      <w:r w:rsidRPr="00B70478">
        <w:rPr>
          <w:rFonts w:ascii="Arial" w:hAnsi="Arial" w:cs="Arial"/>
          <w:b/>
          <w:bC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6088CBF2" w14:textId="77777777" w:rsidR="00E32C1D" w:rsidRDefault="00E32C1D" w:rsidP="00E32C1D">
      <w:pPr>
        <w:spacing w:line="360" w:lineRule="auto"/>
        <w:rPr>
          <w:rFonts w:ascii="Arial" w:hAnsi="Arial" w:cs="Arial"/>
          <w:b/>
          <w:bC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EDD0796" w14:textId="3D981993" w:rsidR="00403B3D" w:rsidRPr="00B70478" w:rsidRDefault="00E8329D" w:rsidP="00410072">
      <w:pPr>
        <w:spacing w:line="360" w:lineRule="auto"/>
        <w:ind w:left="720"/>
        <w:rPr>
          <w:rFonts w:ascii="Arial" w:hAnsi="Arial" w:cs="Arial"/>
          <w:b/>
          <w:bCs/>
          <w:sz w:val="28"/>
          <w:szCs w:val="28"/>
        </w:rPr>
      </w:pPr>
      <w:r w:rsidRPr="00B70478">
        <w:rPr>
          <w:rFonts w:ascii="Arial" w:hAnsi="Arial" w:cs="Arial"/>
          <w:b/>
          <w:bCs/>
          <w:sz w:val="28"/>
          <w:szCs w:val="28"/>
        </w:rPr>
        <w:t xml:space="preserve">1. Introduction </w:t>
      </w:r>
    </w:p>
    <w:p w14:paraId="77BA240D" w14:textId="758F57F3" w:rsidR="00E8329D" w:rsidRPr="00B70478" w:rsidRDefault="00410072">
      <w:pPr>
        <w:rPr>
          <w:rFonts w:ascii="Arial" w:hAnsi="Arial" w:cs="Arial"/>
          <w:b/>
          <w:bCs/>
          <w:sz w:val="28"/>
          <w:szCs w:val="28"/>
        </w:rPr>
      </w:pPr>
      <w:r>
        <w:rPr>
          <w:rFonts w:ascii="Arial" w:hAnsi="Arial" w:cs="Arial"/>
          <w:b/>
          <w:bCs/>
          <w:sz w:val="28"/>
          <w:szCs w:val="28"/>
        </w:rPr>
        <w:t xml:space="preserve">         </w:t>
      </w:r>
      <w:r w:rsidR="00E8329D" w:rsidRPr="00B70478">
        <w:rPr>
          <w:rFonts w:ascii="Arial" w:hAnsi="Arial" w:cs="Arial"/>
          <w:b/>
          <w:bCs/>
          <w:sz w:val="28"/>
          <w:szCs w:val="28"/>
        </w:rPr>
        <w:t xml:space="preserve">2. Cost Analysis and Business Model </w:t>
      </w:r>
    </w:p>
    <w:p w14:paraId="31701364" w14:textId="2FD0AB3C" w:rsidR="00E8329D" w:rsidRPr="00B70478" w:rsidRDefault="00410072">
      <w:pPr>
        <w:rPr>
          <w:rFonts w:ascii="Arial" w:hAnsi="Arial" w:cs="Arial"/>
          <w:b/>
          <w:bCs/>
          <w:sz w:val="28"/>
          <w:szCs w:val="28"/>
        </w:rPr>
      </w:pPr>
      <w:r>
        <w:rPr>
          <w:rFonts w:ascii="Arial" w:hAnsi="Arial" w:cs="Arial"/>
          <w:b/>
          <w:bCs/>
          <w:sz w:val="28"/>
          <w:szCs w:val="28"/>
        </w:rPr>
        <w:t xml:space="preserve">         </w:t>
      </w:r>
      <w:r w:rsidR="00E8329D" w:rsidRPr="00B70478">
        <w:rPr>
          <w:rFonts w:ascii="Arial" w:hAnsi="Arial" w:cs="Arial"/>
          <w:b/>
          <w:bCs/>
          <w:sz w:val="28"/>
          <w:szCs w:val="28"/>
        </w:rPr>
        <w:t xml:space="preserve">3. Budgeting and Financial Planning </w:t>
      </w:r>
    </w:p>
    <w:p w14:paraId="60A31736" w14:textId="7A2BCE35" w:rsidR="00E8329D" w:rsidRPr="00B70478" w:rsidRDefault="00410072">
      <w:pPr>
        <w:rPr>
          <w:rFonts w:ascii="Arial" w:hAnsi="Arial" w:cs="Arial"/>
          <w:b/>
          <w:bCs/>
          <w:sz w:val="28"/>
          <w:szCs w:val="28"/>
        </w:rPr>
      </w:pPr>
      <w:r>
        <w:rPr>
          <w:rFonts w:ascii="Arial" w:hAnsi="Arial" w:cs="Arial"/>
          <w:b/>
          <w:bCs/>
          <w:sz w:val="28"/>
          <w:szCs w:val="28"/>
        </w:rPr>
        <w:t xml:space="preserve">         </w:t>
      </w:r>
      <w:r w:rsidR="00E8329D" w:rsidRPr="00B70478">
        <w:rPr>
          <w:rFonts w:ascii="Arial" w:hAnsi="Arial" w:cs="Arial"/>
          <w:b/>
          <w:bCs/>
          <w:sz w:val="28"/>
          <w:szCs w:val="28"/>
        </w:rPr>
        <w:t>4. Performance Measurement and Decision-Making</w:t>
      </w:r>
    </w:p>
    <w:p w14:paraId="760E90E5" w14:textId="26440F33" w:rsidR="006B2320" w:rsidRPr="00B70478" w:rsidRDefault="00410072" w:rsidP="006B2320">
      <w:pPr>
        <w:rPr>
          <w:rFonts w:ascii="Arial" w:hAnsi="Arial" w:cs="Arial"/>
          <w:b/>
          <w:bCs/>
          <w:sz w:val="28"/>
          <w:szCs w:val="28"/>
        </w:rPr>
      </w:pPr>
      <w:r>
        <w:rPr>
          <w:rFonts w:ascii="Arial" w:hAnsi="Arial" w:cs="Arial"/>
          <w:b/>
          <w:bCs/>
          <w:sz w:val="28"/>
          <w:szCs w:val="28"/>
        </w:rPr>
        <w:t xml:space="preserve">         </w:t>
      </w:r>
      <w:r w:rsidR="00E8329D" w:rsidRPr="00B70478">
        <w:rPr>
          <w:rFonts w:ascii="Arial" w:hAnsi="Arial" w:cs="Arial"/>
          <w:b/>
          <w:bCs/>
          <w:sz w:val="28"/>
          <w:szCs w:val="28"/>
        </w:rPr>
        <w:t>5.</w:t>
      </w:r>
      <w:r w:rsidR="006B2320" w:rsidRPr="00B70478">
        <w:rPr>
          <w:rFonts w:ascii="Arial" w:hAnsi="Arial" w:cs="Arial"/>
          <w:b/>
          <w:bCs/>
          <w:sz w:val="28"/>
          <w:szCs w:val="28"/>
        </w:rPr>
        <w:t xml:space="preserve"> Sustainability and Ethical Considerations </w:t>
      </w:r>
    </w:p>
    <w:p w14:paraId="2515C35B" w14:textId="6ABB2674" w:rsidR="006B2320" w:rsidRPr="00B70478" w:rsidRDefault="00410072" w:rsidP="006B2320">
      <w:pPr>
        <w:rPr>
          <w:rFonts w:ascii="Arial" w:hAnsi="Arial" w:cs="Arial"/>
          <w:b/>
          <w:bCs/>
          <w:sz w:val="28"/>
          <w:szCs w:val="28"/>
        </w:rPr>
      </w:pPr>
      <w:r>
        <w:rPr>
          <w:rFonts w:ascii="Arial" w:hAnsi="Arial" w:cs="Arial"/>
          <w:b/>
          <w:bCs/>
          <w:sz w:val="28"/>
          <w:szCs w:val="28"/>
        </w:rPr>
        <w:t xml:space="preserve">         </w:t>
      </w:r>
      <w:r w:rsidR="006B2320" w:rsidRPr="00B70478">
        <w:rPr>
          <w:rFonts w:ascii="Arial" w:hAnsi="Arial" w:cs="Arial"/>
          <w:b/>
          <w:bCs/>
          <w:sz w:val="28"/>
          <w:szCs w:val="28"/>
        </w:rPr>
        <w:t xml:space="preserve">6. Recommendations </w:t>
      </w:r>
    </w:p>
    <w:p w14:paraId="0F55F7AC" w14:textId="32E6E59C" w:rsidR="006B2320" w:rsidRPr="00B70478" w:rsidRDefault="00410072" w:rsidP="006B2320">
      <w:pPr>
        <w:rPr>
          <w:rFonts w:ascii="Arial" w:hAnsi="Arial" w:cs="Arial"/>
          <w:b/>
          <w:bCs/>
          <w:sz w:val="28"/>
          <w:szCs w:val="28"/>
        </w:rPr>
      </w:pPr>
      <w:r>
        <w:rPr>
          <w:rFonts w:ascii="Arial" w:hAnsi="Arial" w:cs="Arial"/>
          <w:b/>
          <w:bCs/>
          <w:sz w:val="28"/>
          <w:szCs w:val="28"/>
        </w:rPr>
        <w:t xml:space="preserve">         </w:t>
      </w:r>
      <w:r w:rsidR="006B2320" w:rsidRPr="00B70478">
        <w:rPr>
          <w:rFonts w:ascii="Arial" w:hAnsi="Arial" w:cs="Arial"/>
          <w:b/>
          <w:bCs/>
          <w:sz w:val="28"/>
          <w:szCs w:val="28"/>
        </w:rPr>
        <w:t xml:space="preserve">7. Conclusion </w:t>
      </w:r>
    </w:p>
    <w:p w14:paraId="71DAF28A" w14:textId="60826A44" w:rsidR="006B2320" w:rsidRPr="00B70478" w:rsidRDefault="00851F41" w:rsidP="006B2320">
      <w:pPr>
        <w:rPr>
          <w:rFonts w:ascii="Arial" w:hAnsi="Arial" w:cs="Arial"/>
          <w:b/>
          <w:bCs/>
          <w:sz w:val="28"/>
          <w:szCs w:val="28"/>
        </w:rPr>
      </w:pPr>
      <w:r>
        <w:rPr>
          <w:rFonts w:ascii="Arial" w:hAnsi="Arial" w:cs="Arial"/>
          <w:b/>
          <w:bCs/>
          <w:sz w:val="28"/>
          <w:szCs w:val="28"/>
        </w:rPr>
        <w:t xml:space="preserve">         </w:t>
      </w:r>
      <w:r w:rsidR="006B2320" w:rsidRPr="00B70478">
        <w:rPr>
          <w:rFonts w:ascii="Arial" w:hAnsi="Arial" w:cs="Arial"/>
          <w:b/>
          <w:bCs/>
          <w:sz w:val="28"/>
          <w:szCs w:val="28"/>
        </w:rPr>
        <w:t xml:space="preserve">8. References </w:t>
      </w:r>
    </w:p>
    <w:p w14:paraId="1A452D1B" w14:textId="0A143EA7" w:rsidR="006B2320" w:rsidRPr="00B70478" w:rsidRDefault="006B2320" w:rsidP="006B2320">
      <w:pPr>
        <w:rPr>
          <w:rFonts w:ascii="Arial" w:hAnsi="Arial" w:cs="Arial"/>
          <w:b/>
          <w:bCs/>
        </w:rPr>
      </w:pPr>
    </w:p>
    <w:p w14:paraId="3204A524"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74369"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93C795"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80B9FD"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9AD880"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89EFA0"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BBFBEC"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938DD1"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17B58E"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86C939"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A0319E"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F5E4AD"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D64C22"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962806" w14:textId="77777777" w:rsidR="00E32C1D" w:rsidRDefault="00E32C1D" w:rsidP="004C31F1">
      <w:pPr>
        <w:spacing w:line="360" w:lineRule="auto"/>
        <w:jc w:val="both"/>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BE2F65" w14:textId="7C336427" w:rsidR="004C31F1" w:rsidRDefault="005B61CA" w:rsidP="004C31F1">
      <w:pPr>
        <w:spacing w:line="360" w:lineRule="auto"/>
        <w:jc w:val="both"/>
        <w:rPr>
          <w:rFonts w:ascii="Arial" w:hAnsi="Arial" w:cs="Arial"/>
        </w:rPr>
      </w:pPr>
      <w:r w:rsidRPr="00B70478">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00403B3D" w:rsidRPr="00B70478">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403B3D" w:rsidRPr="00B70478">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403B3D" w:rsidRPr="005B61CA">
        <w:rPr>
          <w:rFonts w:ascii="Arial" w:hAnsi="Arial" w:cs="Arial"/>
        </w:rPr>
        <w:t xml:space="preserve"> Management according is the process of collecting, analysing and presenting financial and non-financial information to assist managers in making effective business decisions (Drury, 2021). Unlike financial accounting, which focused on external stakeholders’ management according is primary used internally to support planning, controlling and decision making (Atrill and McLaney, 2022). Tesla is a leading electric vehicle and clean energy company headquarter in United States. Founded in 2003, the company designs, manufactures and sells electric vehicles, batter storage systems, solar energy products and related technologies (Tesla, 2025). Tesla operates globally and is listed on the NASDAQ stock exchange under the ticker symbol TSLA (Yahoo Finance, 2025). Management according plays a significant role in Tesla’s success. Through techniques such as cost analysis, budgeting, performance measurement and strategic planning, management can make informed decisions regarding production, pricing, expansion and investment (Kaplan and Atkinson, 2019). These tools enable Tesla to improve efficiency, control cost and maintain its competitive position within the global automotive industry (Drury,2021). </w:t>
      </w:r>
      <w:r w:rsidR="00403B3D" w:rsidRPr="005B61CA">
        <w:rPr>
          <w:rFonts w:ascii="Arial" w:hAnsi="Arial" w:cs="Arial"/>
        </w:rPr>
        <w:br/>
      </w:r>
      <w:r w:rsidR="00403B3D" w:rsidRPr="005B61CA">
        <w:rPr>
          <w:rFonts w:ascii="Arial" w:hAnsi="Arial" w:cs="Arial"/>
        </w:rPr>
        <w:br/>
      </w:r>
      <w:r w:rsidR="00403B3D" w:rsidRPr="005B61CA">
        <w:rPr>
          <w:rFonts w:ascii="Arial" w:hAnsi="Arial" w:cs="Arial"/>
          <w:b/>
          <w:bCs/>
          <w:sz w:val="32"/>
          <w:szCs w:val="32"/>
        </w:rPr>
        <w:t xml:space="preserve">2. Cost Analysis and Business Model </w:t>
      </w:r>
    </w:p>
    <w:p w14:paraId="58447847" w14:textId="58A30330" w:rsidR="00185972" w:rsidRDefault="00403B3D" w:rsidP="004C31F1">
      <w:pPr>
        <w:spacing w:line="360" w:lineRule="auto"/>
        <w:jc w:val="both"/>
        <w:rPr>
          <w:rFonts w:ascii="Arial" w:hAnsi="Arial" w:cs="Arial"/>
        </w:rPr>
      </w:pPr>
      <w:r w:rsidRPr="005B61CA">
        <w:rPr>
          <w:rFonts w:ascii="Arial" w:hAnsi="Arial" w:cs="Arial"/>
        </w:rPr>
        <w:t xml:space="preserve">Cost analysis is a management accounting technique used to identify, classify and evaluate cost incurred by a business (Horngren et al., 2022). Understanding costs allows managers to improve profitability and allocate resources efficiently. Tesla operates though a diversified revenue model. The company’s primary source of </w:t>
      </w:r>
      <w:proofErr w:type="spellStart"/>
      <w:r w:rsidRPr="005B61CA">
        <w:rPr>
          <w:rFonts w:ascii="Arial" w:hAnsi="Arial" w:cs="Arial"/>
        </w:rPr>
        <w:t>revenuer</w:t>
      </w:r>
      <w:proofErr w:type="spellEnd"/>
      <w:r w:rsidRPr="005B61CA">
        <w:rPr>
          <w:rFonts w:ascii="Arial" w:hAnsi="Arial" w:cs="Arial"/>
        </w:rPr>
        <w:t xml:space="preserve"> is vehicle sales, including the Model 3, Model Y, Model S, Model X and CyberTracker. </w:t>
      </w:r>
      <w:r w:rsidR="00F37160">
        <w:rPr>
          <w:rFonts w:ascii="Arial" w:hAnsi="Arial" w:cs="Arial"/>
        </w:rPr>
        <w:t xml:space="preserve"> Tesla’s main source of revenue is vehicle sales, </w:t>
      </w:r>
      <w:proofErr w:type="spellStart"/>
      <w:r w:rsidR="00F37160">
        <w:rPr>
          <w:rFonts w:ascii="Arial" w:hAnsi="Arial" w:cs="Arial"/>
        </w:rPr>
        <w:t>particulary</w:t>
      </w:r>
      <w:proofErr w:type="spellEnd"/>
      <w:r w:rsidR="00F37160">
        <w:rPr>
          <w:rFonts w:ascii="Arial" w:hAnsi="Arial" w:cs="Arial"/>
        </w:rPr>
        <w:t xml:space="preserve"> the Model 3 and Model Y</w:t>
      </w:r>
      <w:r w:rsidR="00F92DF8">
        <w:rPr>
          <w:rFonts w:ascii="Arial" w:hAnsi="Arial" w:cs="Arial"/>
        </w:rPr>
        <w:t xml:space="preserve"> (Telsa.2026). </w:t>
      </w:r>
      <w:r w:rsidR="00F37160">
        <w:rPr>
          <w:rFonts w:ascii="Arial" w:hAnsi="Arial" w:cs="Arial"/>
        </w:rPr>
        <w:t>Vehicle deliveries increased from 936,172 in 2021 to 1,636,129 in 2025 representing an overall increase of approximately 75%. Tesla has also remained one of the world’s leading EV manufacturers, holding around 17% of the global battery electric vehicle (BEV) market in 2025, despite increasing competition from BYD and other manufacturers</w:t>
      </w:r>
      <w:r w:rsidR="00F92DF8">
        <w:rPr>
          <w:rFonts w:ascii="Arial" w:hAnsi="Arial" w:cs="Arial"/>
        </w:rPr>
        <w:t xml:space="preserve"> (International Energy Agency,2025).</w:t>
      </w:r>
      <w:r w:rsidR="00F37160">
        <w:rPr>
          <w:rFonts w:ascii="Arial" w:hAnsi="Arial" w:cs="Arial"/>
        </w:rPr>
        <w:t xml:space="preserve"> These figures shows that Tesla’s strong sales growth and market position make effectively cost analysis essential for maintaining profitability and controlling production cost.</w:t>
      </w:r>
      <w:r w:rsidR="00F92DF8">
        <w:rPr>
          <w:rFonts w:ascii="Arial" w:hAnsi="Arial" w:cs="Arial"/>
        </w:rPr>
        <w:t xml:space="preserve"> </w:t>
      </w:r>
      <w:r w:rsidRPr="005B61CA">
        <w:rPr>
          <w:rFonts w:ascii="Arial" w:hAnsi="Arial" w:cs="Arial"/>
        </w:rPr>
        <w:t xml:space="preserve">Additional revenue is generated from energy generation and storage products, regulatory credit sales, vehicle servicing, insurance services and charging </w:t>
      </w:r>
      <w:r w:rsidRPr="005B61CA">
        <w:rPr>
          <w:rFonts w:ascii="Arial" w:hAnsi="Arial" w:cs="Arial"/>
        </w:rPr>
        <w:lastRenderedPageBreak/>
        <w:t>infrastructure (Tesla, 2025a). this diversified business model reduces dependence on a single source of income and supports long-term growth. Management accounting information helps Tesla evaluate the profitability of each revenue stream.</w:t>
      </w:r>
    </w:p>
    <w:p w14:paraId="1E880C75" w14:textId="5BBB7928" w:rsidR="00403B3D" w:rsidRPr="00F92DF8" w:rsidRDefault="00403B3D" w:rsidP="004C31F1">
      <w:pPr>
        <w:spacing w:line="360" w:lineRule="auto"/>
        <w:jc w:val="both"/>
        <w:rPr>
          <w:rFonts w:ascii="Arial" w:hAnsi="Arial" w:cs="Arial"/>
        </w:rPr>
      </w:pPr>
      <w:r w:rsidRPr="005B61CA">
        <w:rPr>
          <w:rFonts w:ascii="Arial" w:hAnsi="Arial" w:cs="Arial"/>
        </w:rPr>
        <w:t xml:space="preserve"> By analysing contribution margins and operating costs, managers can identify which products and services create the greatest value for the business (Atrill and McLaney, 2022). Tesla cost structure consists of both fixed and variable costs. Fixed costs remain constant regardless of production levels and include factory depreciation, executive salaries, research facilities and software development expenses (Drury, 2021). Tesla invests heavily in Gigafactories and technological innovation, resulting in substantial fixed costs (Tesla, 2025a). </w:t>
      </w:r>
      <w:r w:rsidR="00F92DF8">
        <w:rPr>
          <w:rFonts w:ascii="Arial" w:hAnsi="Arial" w:cs="Arial"/>
        </w:rPr>
        <w:t xml:space="preserve">China’s lower labour costs, combined with Tesla’s highly automated production facility (with automation reaching up to 95% in certain processes). Enable the company to reduce manufacturing expenses by spreading fixed overhead cost over a large volume of vehicle production (Wang, B 2025). </w:t>
      </w:r>
      <w:r w:rsidRPr="005B61CA">
        <w:rPr>
          <w:rFonts w:ascii="Arial" w:hAnsi="Arial" w:cs="Arial"/>
        </w:rPr>
        <w:t xml:space="preserve">As a vehicle production increases, </w:t>
      </w:r>
      <w:proofErr w:type="gramStart"/>
      <w:r w:rsidRPr="005B61CA">
        <w:rPr>
          <w:rFonts w:ascii="Arial" w:hAnsi="Arial" w:cs="Arial"/>
        </w:rPr>
        <w:t>these cost</w:t>
      </w:r>
      <w:proofErr w:type="gramEnd"/>
      <w:r w:rsidRPr="005B61CA">
        <w:rPr>
          <w:rFonts w:ascii="Arial" w:hAnsi="Arial" w:cs="Arial"/>
        </w:rPr>
        <w:t xml:space="preserve"> also increase. Effective management of variable cost is critical because battery materials represent a significant proportion of Tesla’s manufacturing expenses (Statista,2025). Management accounting techniques such as cost-volume-profit analysis help Tesla understand the relationship between cost, sales volume and profitability (Horngren et al.,2022). This information support decisions regarding pricing, production levels and investments in new technologies. Furthermore, Tesla uses variance analysis to compare actual costs against expected cost, allowing management to identify inefficiencies and improve operation</w:t>
      </w:r>
      <w:r w:rsidR="00F92DF8">
        <w:rPr>
          <w:rFonts w:ascii="Arial" w:hAnsi="Arial" w:cs="Arial"/>
        </w:rPr>
        <w:t xml:space="preserve"> </w:t>
      </w:r>
      <w:r w:rsidRPr="005B61CA">
        <w:rPr>
          <w:rFonts w:ascii="Arial" w:hAnsi="Arial" w:cs="Arial"/>
        </w:rPr>
        <w:t>performance (Drury, 2021).</w:t>
      </w:r>
      <w:r w:rsidR="005778DD">
        <w:rPr>
          <w:rFonts w:ascii="Arial" w:hAnsi="Arial" w:cs="Arial"/>
        </w:rPr>
        <w:t xml:space="preserve"> For example, Tesla reduced its cost of goods sold (COGS) per vehicle to approximately £262,233 in 2024, the lowest in the company’s history while maintaining an automotive gross margin of 18.4%. These improvements demonstrate how continuous cost monitoring and variance analysis help Tesla control production costs and enhance profitability (Tesla, 2025; Reuters,2024).</w:t>
      </w:r>
      <w:r w:rsidRPr="005B61CA">
        <w:rPr>
          <w:rFonts w:ascii="Arial" w:hAnsi="Arial" w:cs="Arial"/>
        </w:rPr>
        <w:br/>
      </w:r>
      <w:r w:rsidRPr="005B61CA">
        <w:rPr>
          <w:rFonts w:ascii="Arial" w:hAnsi="Arial" w:cs="Arial"/>
        </w:rPr>
        <w:br/>
      </w:r>
      <w:r w:rsidRPr="005B61CA">
        <w:rPr>
          <w:rFonts w:ascii="Arial" w:hAnsi="Arial" w:cs="Arial"/>
          <w:b/>
          <w:bCs/>
          <w:sz w:val="32"/>
          <w:szCs w:val="32"/>
        </w:rPr>
        <w:t xml:space="preserve">3. Budgeting and Financial Planning </w:t>
      </w:r>
    </w:p>
    <w:p w14:paraId="416612CA" w14:textId="77777777" w:rsidR="00185972" w:rsidRDefault="00403B3D" w:rsidP="004C31F1">
      <w:pPr>
        <w:spacing w:line="360" w:lineRule="auto"/>
        <w:jc w:val="both"/>
        <w:rPr>
          <w:rFonts w:ascii="Arial" w:hAnsi="Arial" w:cs="Arial"/>
        </w:rPr>
      </w:pPr>
      <w:r w:rsidRPr="005B61CA">
        <w:rPr>
          <w:rFonts w:ascii="Arial" w:hAnsi="Arial" w:cs="Arial"/>
        </w:rPr>
        <w:t xml:space="preserve">Budgeting refers to the process of preparing financial plans for future business activities (Atrill and McLaney, 2022). Budgets provide targets for revenue, expenditure and investment while assisting managers in controlling organisational resources. At Tesla, budgeting plays a critical role in strategic planning and operational </w:t>
      </w:r>
      <w:r w:rsidRPr="005B61CA">
        <w:rPr>
          <w:rFonts w:ascii="Arial" w:hAnsi="Arial" w:cs="Arial"/>
        </w:rPr>
        <w:lastRenderedPageBreak/>
        <w:t xml:space="preserve">management. The company uses budgets to forecast vehicle demand, plan production schedules, allocate research and development funds and manage capital expenditure projects (Tesla, 2025). Effective budgeting ensures that resources are allocated to activities that support long-term organisational objectives (CIMA,2024). </w:t>
      </w:r>
      <w:r w:rsidR="00185972">
        <w:rPr>
          <w:rFonts w:ascii="Arial" w:hAnsi="Arial" w:cs="Arial"/>
        </w:rPr>
        <w:t xml:space="preserve"> </w:t>
      </w:r>
    </w:p>
    <w:p w14:paraId="00B3F94F" w14:textId="2ADDCBF9" w:rsidR="00185972" w:rsidRDefault="00403B3D" w:rsidP="004C31F1">
      <w:pPr>
        <w:spacing w:line="360" w:lineRule="auto"/>
        <w:jc w:val="both"/>
        <w:rPr>
          <w:rFonts w:ascii="Arial" w:hAnsi="Arial" w:cs="Arial"/>
        </w:rPr>
      </w:pPr>
      <w:r w:rsidRPr="005B61CA">
        <w:rPr>
          <w:rFonts w:ascii="Arial" w:hAnsi="Arial" w:cs="Arial"/>
        </w:rPr>
        <w:t xml:space="preserve">One important are of budgeting at Tesla is capital expenditure planning. Capital expenditure refers to investments in long-term assets such as factories, machinery and technology infrastructure (Drury,2021). Tesla has </w:t>
      </w:r>
      <w:proofErr w:type="gramStart"/>
      <w:r w:rsidRPr="005B61CA">
        <w:rPr>
          <w:rFonts w:ascii="Arial" w:hAnsi="Arial" w:cs="Arial"/>
        </w:rPr>
        <w:t>invest</w:t>
      </w:r>
      <w:proofErr w:type="gramEnd"/>
      <w:r w:rsidRPr="005B61CA">
        <w:rPr>
          <w:rFonts w:ascii="Arial" w:hAnsi="Arial" w:cs="Arial"/>
        </w:rPr>
        <w:t xml:space="preserve"> heavily in Gigafactories located in Texas, Berlin, Shanghai and Nevada to support global demand growth (Tesla,2025). </w:t>
      </w:r>
      <w:r w:rsidR="005778DD">
        <w:rPr>
          <w:rFonts w:ascii="Arial" w:hAnsi="Arial" w:cs="Arial"/>
        </w:rPr>
        <w:t>In 2024 Tesla invest approximately US$ 11.3 billion in capital expenditure, largely to expand manufac</w:t>
      </w:r>
      <w:r w:rsidR="006E563F">
        <w:rPr>
          <w:rFonts w:ascii="Arial" w:hAnsi="Arial" w:cs="Arial"/>
        </w:rPr>
        <w:t xml:space="preserve">turing capacity. In </w:t>
      </w:r>
      <w:proofErr w:type="spellStart"/>
      <w:r w:rsidR="006E563F">
        <w:rPr>
          <w:rFonts w:ascii="Arial" w:hAnsi="Arial" w:cs="Arial"/>
        </w:rPr>
        <w:t>addiction</w:t>
      </w:r>
      <w:proofErr w:type="spellEnd"/>
      <w:r w:rsidR="006E563F">
        <w:rPr>
          <w:rFonts w:ascii="Arial" w:hAnsi="Arial" w:cs="Arial"/>
        </w:rPr>
        <w:t xml:space="preserve">, Tesla spend US$4.5 billion on research and development in 2024, reflecting its continued investment in battery technology, artificial intelligence and autonomous driving systems (Tesla,2025). </w:t>
      </w:r>
      <w:r w:rsidRPr="005B61CA">
        <w:rPr>
          <w:rFonts w:ascii="Arial" w:hAnsi="Arial" w:cs="Arial"/>
        </w:rPr>
        <w:t xml:space="preserve">Research and development budgeting is another important aspect of Tesla’s financial planning. The company allocates substantial resources towards battery technology, artificial intelligence and autonomous driving system (Tesla,2025). Through management accounting information, executives can evaluate whether these investments are generating sufficient returns (Kaplan and Atkinson, 2019). According to Tesla’s annual reports and financial data available through Google Finance, operating expenses have fluctuated due to both internal and external factors (Google Finance, 2025). </w:t>
      </w:r>
      <w:r w:rsidR="00C32663">
        <w:rPr>
          <w:rFonts w:ascii="Arial" w:hAnsi="Arial" w:cs="Arial"/>
        </w:rPr>
        <w:t>According to Tesla’s annual reports, operating expenses have increased over the past three years as the company expanded production and invest in a new technology. Operating expenses rose from US$7.17 billion in 2022 to US$ 8.77 billion in 2023 (an increase of 22.3%), before declining slightly to US$8.54 billion in 2024 (decrease of 2.6%) the reduction 2024 reflects Tesla’s continued focus on cost control while maintain investment in research, development and global manufacturing expansion (Tesla,2023; Tesla,2024; Tesla, 2025).</w:t>
      </w:r>
    </w:p>
    <w:p w14:paraId="536277D3" w14:textId="03EB9B5D" w:rsidR="00403B3D" w:rsidRPr="005B61CA" w:rsidRDefault="00403B3D" w:rsidP="004C31F1">
      <w:pPr>
        <w:spacing w:line="360" w:lineRule="auto"/>
        <w:jc w:val="both"/>
        <w:rPr>
          <w:rFonts w:ascii="Arial" w:hAnsi="Arial" w:cs="Arial"/>
        </w:rPr>
      </w:pPr>
      <w:r w:rsidRPr="005B61CA">
        <w:rPr>
          <w:rFonts w:ascii="Arial" w:hAnsi="Arial" w:cs="Arial"/>
        </w:rPr>
        <w:t xml:space="preserve">Internal factors include increase spending on research and development, expansion of manufacturing facilities and investments in new technologies. The launch of new products such as the Cybertruck has also contributed to increase expenditure (Tesla,2025). External factors influencing operating expenses include inflation, rising labour cost, supply chain disruptions and fluctuations in new raw material prices (Word Economic Forum, 2024). Additionally, higher interest rates have increased financing cost across many industries (IMF,2024). Management accounting assists Tesla in monitoring these changes through budgetary control and variance analysis. By </w:t>
      </w:r>
      <w:r w:rsidRPr="005B61CA">
        <w:rPr>
          <w:rFonts w:ascii="Arial" w:hAnsi="Arial" w:cs="Arial"/>
        </w:rPr>
        <w:lastRenderedPageBreak/>
        <w:t xml:space="preserve">comparing actual performance against budgeted targets, managers can identify areas requiring corrective action and improve financial performance (Horngren et al.,2022). </w:t>
      </w:r>
    </w:p>
    <w:p w14:paraId="2A8C5891" w14:textId="5F9F0A81" w:rsidR="00403B3D" w:rsidRPr="00E8329D" w:rsidRDefault="00403B3D" w:rsidP="004C31F1">
      <w:pPr>
        <w:spacing w:line="360" w:lineRule="auto"/>
        <w:jc w:val="both"/>
        <w:rPr>
          <w:rFonts w:ascii="Arial" w:hAnsi="Arial" w:cs="Arial"/>
          <w:b/>
          <w:bCs/>
          <w:sz w:val="32"/>
          <w:szCs w:val="32"/>
        </w:rPr>
      </w:pPr>
      <w:r w:rsidRPr="00E8329D">
        <w:rPr>
          <w:rFonts w:ascii="Arial" w:hAnsi="Arial" w:cs="Arial"/>
          <w:b/>
          <w:bCs/>
          <w:sz w:val="32"/>
          <w:szCs w:val="32"/>
        </w:rPr>
        <w:t xml:space="preserve">4. Performance Measurement and Decision-Making </w:t>
      </w:r>
    </w:p>
    <w:p w14:paraId="14B9ED24" w14:textId="77777777" w:rsidR="00185972" w:rsidRDefault="00403B3D" w:rsidP="004C31F1">
      <w:pPr>
        <w:spacing w:line="360" w:lineRule="auto"/>
        <w:jc w:val="both"/>
        <w:rPr>
          <w:rFonts w:ascii="Arial" w:hAnsi="Arial" w:cs="Arial"/>
        </w:rPr>
      </w:pPr>
      <w:r w:rsidRPr="005B61CA">
        <w:rPr>
          <w:rFonts w:ascii="Arial" w:hAnsi="Arial" w:cs="Arial"/>
        </w:rPr>
        <w:t xml:space="preserve">Performance measurement involves evaluating organisational performance using financial and non-financial indicators known as Key Performance Indicators (KPIs) (Kaplan and Norton,1996). Tesla uses several financial KPIs including revenue growth, gross profit margin, operating margin, net income and free cash flow (Tesla, 2025; Yahoo Finance,2025). These indicators provide information regarding profitability, efficiency and long-term financial sustainability. Tesla also monitors non-financial KPIs such as vehicle deliveries, production volume, battery efficiency, customer satisfaction and environmental performance (Tesla, 2025). These indicators help management evaluate operational effectiveness and strategic progress. Management accounting information support strategic decision-making by providing relevant and timely performance data (Drury,2021). One major strategic decision undertaken by Tesla was the expansion of global manufacturing capacity through the development of Gigafactories. </w:t>
      </w:r>
    </w:p>
    <w:p w14:paraId="354E68A0" w14:textId="52795B8C" w:rsidR="00403B3D" w:rsidRPr="005B61CA" w:rsidRDefault="00403B3D" w:rsidP="004C31F1">
      <w:pPr>
        <w:spacing w:line="360" w:lineRule="auto"/>
        <w:jc w:val="both"/>
        <w:rPr>
          <w:rFonts w:ascii="Arial" w:hAnsi="Arial" w:cs="Arial"/>
        </w:rPr>
      </w:pPr>
      <w:r w:rsidRPr="005B61CA">
        <w:rPr>
          <w:rFonts w:ascii="Arial" w:hAnsi="Arial" w:cs="Arial"/>
        </w:rPr>
        <w:t>Financial analysis indicated that increased production capacity would reduce per-unit cost and support future demand growth (Tesla,2025). Another strategic decision making involved reducing vehicle prices in several markets. These pricing decisions were implemented to increase demand and strengthen Tesla’s competitive position within the electric vehicle market (Forbes, 2024). Management accounting techniques such as break-even analysis and profitability analysis helped evaluate the impact of these decisions on profit margins (Horngren et al., 2022). Tesla also invested heavily in artificial intelligence and autonomous driving technologies. Cost-benefit analysis and performance forecast were used to support these investments decisions (Tesla,2025). These investments are expected to create future revenue opportunities and competitive advantages. Regular monitoring of KPIs enables Tesla to identify operational weaknesses, improve efficiency and enhance customer satisfaction. Consequently, management accounting serves as an essential tool for both short-term operational control and long-term strategic planning (</w:t>
      </w:r>
      <w:proofErr w:type="spellStart"/>
      <w:r w:rsidRPr="005B61CA">
        <w:rPr>
          <w:rFonts w:ascii="Arial" w:hAnsi="Arial" w:cs="Arial"/>
        </w:rPr>
        <w:t>Atrill</w:t>
      </w:r>
      <w:proofErr w:type="spellEnd"/>
      <w:r w:rsidRPr="005B61CA">
        <w:rPr>
          <w:rFonts w:ascii="Arial" w:hAnsi="Arial" w:cs="Arial"/>
        </w:rPr>
        <w:t xml:space="preserve"> and McLaney, 2022).</w:t>
      </w:r>
    </w:p>
    <w:p w14:paraId="473C27C2" w14:textId="1F77148E" w:rsidR="009C1D16" w:rsidRPr="005B61CA" w:rsidRDefault="009C1D16" w:rsidP="004C31F1">
      <w:pPr>
        <w:spacing w:line="360" w:lineRule="auto"/>
        <w:jc w:val="both"/>
        <w:rPr>
          <w:rFonts w:ascii="Arial" w:hAnsi="Arial" w:cs="Arial"/>
          <w:b/>
          <w:bCs/>
          <w:sz w:val="32"/>
          <w:szCs w:val="32"/>
        </w:rPr>
      </w:pPr>
      <w:r w:rsidRPr="005B61CA">
        <w:rPr>
          <w:rFonts w:ascii="Arial" w:hAnsi="Arial" w:cs="Arial"/>
          <w:b/>
          <w:bCs/>
          <w:sz w:val="32"/>
          <w:szCs w:val="32"/>
        </w:rPr>
        <w:t xml:space="preserve">5. Sustainability and Ethical Considerations </w:t>
      </w:r>
    </w:p>
    <w:p w14:paraId="0E561EAF" w14:textId="57DDB562" w:rsidR="009C1D16" w:rsidRPr="005B61CA" w:rsidRDefault="009C1D16" w:rsidP="004C31F1">
      <w:pPr>
        <w:spacing w:line="360" w:lineRule="auto"/>
        <w:jc w:val="both"/>
        <w:rPr>
          <w:rFonts w:ascii="Arial" w:hAnsi="Arial" w:cs="Arial"/>
        </w:rPr>
      </w:pPr>
      <w:r w:rsidRPr="005B61CA">
        <w:rPr>
          <w:rFonts w:ascii="Arial" w:hAnsi="Arial" w:cs="Arial"/>
        </w:rPr>
        <w:t xml:space="preserve">Sustainability refers to business practices that meet present needs without compromising the ability of future generations to meet their own needs (Brundtland </w:t>
      </w:r>
      <w:r w:rsidRPr="005B61CA">
        <w:rPr>
          <w:rFonts w:ascii="Arial" w:hAnsi="Arial" w:cs="Arial"/>
        </w:rPr>
        <w:lastRenderedPageBreak/>
        <w:t xml:space="preserve">Commission, 1987). Tesla’s mission is centred on accelerating the world’s transition to sustainable energy (Tesla,2025). The company contributes to environmental sustainability through the production of electric vehicle, solar energy systems and battery storage technologies. These products help reduce greenhouse gas emissions and support renewable energy adoption (Tesla,2025). Sustainability considerations influence many of Tesla’s financial decisions. Management regularly </w:t>
      </w:r>
      <w:proofErr w:type="gramStart"/>
      <w:r w:rsidRPr="005B61CA">
        <w:rPr>
          <w:rFonts w:ascii="Arial" w:hAnsi="Arial" w:cs="Arial"/>
        </w:rPr>
        <w:t>invest</w:t>
      </w:r>
      <w:proofErr w:type="gramEnd"/>
      <w:r w:rsidRPr="005B61CA">
        <w:rPr>
          <w:rFonts w:ascii="Arial" w:hAnsi="Arial" w:cs="Arial"/>
        </w:rPr>
        <w:t xml:space="preserve"> in renewable energy technologies, battery innovation and energy-efficient manufacturing processes (Tesla,2025). </w:t>
      </w:r>
      <w:r w:rsidR="009D611D">
        <w:rPr>
          <w:rFonts w:ascii="Arial" w:hAnsi="Arial" w:cs="Arial"/>
        </w:rPr>
        <w:t>Sustainability also influences Tesla’s approach to battery disposal. The company recycles end-of-life lithium-ion batteries to recover valuable materials such as lithium nickel cobalt and cooper, reducing waste, lower raw material costs and supporting a circular economy</w:t>
      </w:r>
      <w:r w:rsidR="004C31F1">
        <w:rPr>
          <w:rFonts w:ascii="Arial" w:hAnsi="Arial" w:cs="Arial"/>
        </w:rPr>
        <w:t>.</w:t>
      </w:r>
      <w:r w:rsidR="009D611D">
        <w:rPr>
          <w:rFonts w:ascii="Arial" w:hAnsi="Arial" w:cs="Arial"/>
        </w:rPr>
        <w:t xml:space="preserve"> </w:t>
      </w:r>
      <w:r w:rsidR="004C31F1">
        <w:rPr>
          <w:rFonts w:ascii="Arial" w:hAnsi="Arial" w:cs="Arial"/>
        </w:rPr>
        <w:t xml:space="preserve"> </w:t>
      </w:r>
      <w:r w:rsidRPr="005B61CA">
        <w:rPr>
          <w:rFonts w:ascii="Arial" w:hAnsi="Arial" w:cs="Arial"/>
        </w:rPr>
        <w:t xml:space="preserve">Although these investments </w:t>
      </w:r>
      <w:r w:rsidR="00E84748" w:rsidRPr="005B61CA">
        <w:rPr>
          <w:rFonts w:ascii="Arial" w:hAnsi="Arial" w:cs="Arial"/>
        </w:rPr>
        <w:t>increase short-term cost, they are expected to generate long-term financial and environmental benefits</w:t>
      </w:r>
      <w:r w:rsidR="004C31F1">
        <w:rPr>
          <w:rFonts w:ascii="Arial" w:hAnsi="Arial" w:cs="Arial"/>
        </w:rPr>
        <w:t xml:space="preserve"> (Tesla,2025).</w:t>
      </w:r>
      <w:r w:rsidR="00E84748" w:rsidRPr="005B61CA">
        <w:rPr>
          <w:rFonts w:ascii="Arial" w:hAnsi="Arial" w:cs="Arial"/>
        </w:rPr>
        <w:t xml:space="preserve"> Ethical considerations are equally important in management accounting. Ethical cost management requires organisations to control cost without compromising product quality, employee welfare or customer safety (CIMA,2024). Excessive cost-cutting can damage organisational reputation and create long-term financial risks. Similarly, ethical pricing strategies require transparency, fairness and customer value (</w:t>
      </w:r>
      <w:proofErr w:type="spellStart"/>
      <w:r w:rsidR="00E84748" w:rsidRPr="005B61CA">
        <w:rPr>
          <w:rFonts w:ascii="Arial" w:hAnsi="Arial" w:cs="Arial"/>
        </w:rPr>
        <w:t>Atrill</w:t>
      </w:r>
      <w:proofErr w:type="spellEnd"/>
      <w:r w:rsidR="00E84748" w:rsidRPr="005B61CA">
        <w:rPr>
          <w:rFonts w:ascii="Arial" w:hAnsi="Arial" w:cs="Arial"/>
        </w:rPr>
        <w:t xml:space="preserve"> and McLAney,2022). While Tesla promotes sustainability and innovation, the company continues to face challenges regarding labour practices workplace safety and supply chain management (Financial Times, 2024). Therefore, management must balance profitability objectives with ethical responsibilities to stakeholders. </w:t>
      </w:r>
    </w:p>
    <w:p w14:paraId="1B2AE8B9" w14:textId="4B9FFF8E" w:rsidR="00E84748" w:rsidRPr="005B61CA" w:rsidRDefault="00E84748" w:rsidP="004C31F1">
      <w:pPr>
        <w:spacing w:line="360" w:lineRule="auto"/>
        <w:jc w:val="both"/>
        <w:rPr>
          <w:rFonts w:ascii="Arial" w:hAnsi="Arial" w:cs="Arial"/>
          <w:b/>
          <w:bCs/>
          <w:sz w:val="32"/>
          <w:szCs w:val="32"/>
        </w:rPr>
      </w:pPr>
      <w:r w:rsidRPr="005B61CA">
        <w:rPr>
          <w:rFonts w:ascii="Arial" w:hAnsi="Arial" w:cs="Arial"/>
          <w:b/>
          <w:bCs/>
          <w:sz w:val="32"/>
          <w:szCs w:val="32"/>
        </w:rPr>
        <w:t xml:space="preserve">6.Recommendations </w:t>
      </w:r>
    </w:p>
    <w:p w14:paraId="48BB763A" w14:textId="1A425DCE" w:rsidR="00E84748" w:rsidRPr="005B61CA" w:rsidRDefault="00E84748" w:rsidP="004C31F1">
      <w:pPr>
        <w:spacing w:line="360" w:lineRule="auto"/>
        <w:jc w:val="both"/>
        <w:rPr>
          <w:rFonts w:ascii="Arial" w:hAnsi="Arial" w:cs="Arial"/>
        </w:rPr>
      </w:pPr>
      <w:r w:rsidRPr="005B61CA">
        <w:rPr>
          <w:rFonts w:ascii="Arial" w:hAnsi="Arial" w:cs="Arial"/>
        </w:rPr>
        <w:t xml:space="preserve">1. Tesla should strengthen predictive budgeting techniques through advanced data analytics to improve forecasting accuracy. </w:t>
      </w:r>
    </w:p>
    <w:p w14:paraId="2E94F496" w14:textId="4C704732" w:rsidR="005B61CA" w:rsidRPr="005B61CA" w:rsidRDefault="00E84748" w:rsidP="004C31F1">
      <w:pPr>
        <w:spacing w:line="360" w:lineRule="auto"/>
        <w:jc w:val="both"/>
        <w:rPr>
          <w:rFonts w:ascii="Arial" w:hAnsi="Arial" w:cs="Arial"/>
        </w:rPr>
      </w:pPr>
      <w:r w:rsidRPr="005B61CA">
        <w:rPr>
          <w:rFonts w:ascii="Arial" w:hAnsi="Arial" w:cs="Arial"/>
        </w:rPr>
        <w:t xml:space="preserve">2. The company should continue implementing cost-management initiatives that reduce </w:t>
      </w:r>
      <w:r w:rsidR="005B61CA" w:rsidRPr="005B61CA">
        <w:rPr>
          <w:rFonts w:ascii="Arial" w:hAnsi="Arial" w:cs="Arial"/>
        </w:rPr>
        <w:t>manufacturing expenses while maintaining product quality and customer satisfaction.</w:t>
      </w:r>
    </w:p>
    <w:p w14:paraId="5B18EC3F" w14:textId="301EE34D" w:rsidR="005B61CA" w:rsidRPr="005B61CA" w:rsidRDefault="005B61CA" w:rsidP="004C31F1">
      <w:pPr>
        <w:spacing w:line="360" w:lineRule="auto"/>
        <w:jc w:val="both"/>
        <w:rPr>
          <w:rFonts w:ascii="Arial" w:hAnsi="Arial" w:cs="Arial"/>
        </w:rPr>
      </w:pPr>
      <w:r w:rsidRPr="005B61CA">
        <w:rPr>
          <w:rFonts w:ascii="Arial" w:hAnsi="Arial" w:cs="Arial"/>
        </w:rPr>
        <w:t xml:space="preserve">3.Tesla should expand sustainability-related performance indicators to measure environmental and social performance alongside traditional financial measures. </w:t>
      </w:r>
    </w:p>
    <w:p w14:paraId="05184929" w14:textId="77777777" w:rsidR="005B61CA" w:rsidRPr="005B61CA" w:rsidRDefault="005B61CA" w:rsidP="004C31F1">
      <w:pPr>
        <w:spacing w:line="360" w:lineRule="auto"/>
        <w:jc w:val="both"/>
        <w:rPr>
          <w:rFonts w:ascii="Arial" w:hAnsi="Arial" w:cs="Arial"/>
        </w:rPr>
      </w:pPr>
    </w:p>
    <w:p w14:paraId="28B19803" w14:textId="77777777" w:rsidR="004C31F1" w:rsidRDefault="004C31F1" w:rsidP="004C31F1">
      <w:pPr>
        <w:spacing w:line="360" w:lineRule="auto"/>
        <w:jc w:val="both"/>
        <w:rPr>
          <w:rFonts w:ascii="Arial" w:hAnsi="Arial" w:cs="Arial"/>
          <w:b/>
          <w:bCs/>
          <w:sz w:val="32"/>
          <w:szCs w:val="32"/>
        </w:rPr>
      </w:pPr>
    </w:p>
    <w:p w14:paraId="60CA5212" w14:textId="77777777" w:rsidR="004C31F1" w:rsidRDefault="004C31F1" w:rsidP="004C31F1">
      <w:pPr>
        <w:spacing w:line="360" w:lineRule="auto"/>
        <w:jc w:val="both"/>
        <w:rPr>
          <w:rFonts w:ascii="Arial" w:hAnsi="Arial" w:cs="Arial"/>
          <w:b/>
          <w:bCs/>
          <w:sz w:val="32"/>
          <w:szCs w:val="32"/>
        </w:rPr>
      </w:pPr>
    </w:p>
    <w:p w14:paraId="3C99F8D7" w14:textId="402183CE" w:rsidR="005B61CA" w:rsidRPr="005B61CA" w:rsidRDefault="005B61CA" w:rsidP="004C31F1">
      <w:pPr>
        <w:spacing w:line="360" w:lineRule="auto"/>
        <w:jc w:val="both"/>
        <w:rPr>
          <w:rFonts w:ascii="Arial" w:hAnsi="Arial" w:cs="Arial"/>
          <w:b/>
          <w:bCs/>
          <w:sz w:val="32"/>
          <w:szCs w:val="32"/>
        </w:rPr>
      </w:pPr>
      <w:r w:rsidRPr="005B61CA">
        <w:rPr>
          <w:rFonts w:ascii="Arial" w:hAnsi="Arial" w:cs="Arial"/>
          <w:b/>
          <w:bCs/>
          <w:sz w:val="32"/>
          <w:szCs w:val="32"/>
        </w:rPr>
        <w:lastRenderedPageBreak/>
        <w:t xml:space="preserve">7. Conclusion </w:t>
      </w:r>
    </w:p>
    <w:p w14:paraId="21A0BB32" w14:textId="1CA9F34A" w:rsidR="005B61CA" w:rsidRPr="005B61CA" w:rsidRDefault="005B61CA" w:rsidP="004C31F1">
      <w:pPr>
        <w:spacing w:line="360" w:lineRule="auto"/>
        <w:jc w:val="both"/>
        <w:rPr>
          <w:rFonts w:ascii="Arial" w:hAnsi="Arial" w:cs="Arial"/>
          <w:b/>
          <w:bCs/>
          <w:sz w:val="32"/>
          <w:szCs w:val="32"/>
        </w:rPr>
      </w:pPr>
      <w:r w:rsidRPr="005B61CA">
        <w:rPr>
          <w:rFonts w:ascii="Arial" w:hAnsi="Arial" w:cs="Arial"/>
        </w:rPr>
        <w:t>This report has evaluated the role of management accounting in supporting financial decision-making at Tesla. Cost analysis enable the company to understand and control production expenses, while budgeting supports planning and resource allocation. Performance measurement through financial and non-financial KPIs assist managers in evaluating organisational success and making strategic decisions. Furthermore, sustainability and ethical considerations increasingly influence Tesla’s financial planning and operational activities.</w:t>
      </w:r>
      <w:r w:rsidR="006E50E1">
        <w:rPr>
          <w:rFonts w:ascii="Arial" w:hAnsi="Arial" w:cs="Arial"/>
          <w:b/>
          <w:bCs/>
          <w:sz w:val="32"/>
          <w:szCs w:val="32"/>
        </w:rPr>
        <w:t xml:space="preserve"> </w:t>
      </w:r>
      <w:r w:rsidR="00A36A6E">
        <w:rPr>
          <w:rFonts w:ascii="Arial" w:hAnsi="Arial" w:cs="Arial"/>
        </w:rPr>
        <w:t xml:space="preserve">The report also </w:t>
      </w:r>
      <w:proofErr w:type="gramStart"/>
      <w:r w:rsidR="00A36A6E">
        <w:rPr>
          <w:rFonts w:ascii="Arial" w:hAnsi="Arial" w:cs="Arial"/>
        </w:rPr>
        <w:t>highlight</w:t>
      </w:r>
      <w:proofErr w:type="gramEnd"/>
      <w:r w:rsidR="00A36A6E">
        <w:rPr>
          <w:rFonts w:ascii="Arial" w:hAnsi="Arial" w:cs="Arial"/>
        </w:rPr>
        <w:t xml:space="preserve"> that management acco</w:t>
      </w:r>
      <w:r w:rsidR="001E15E1">
        <w:rPr>
          <w:rFonts w:ascii="Arial" w:hAnsi="Arial" w:cs="Arial"/>
        </w:rPr>
        <w:t>unting provides valuable information that helps Tesla improve efficiency</w:t>
      </w:r>
      <w:r w:rsidR="00D34B55">
        <w:rPr>
          <w:rFonts w:ascii="Arial" w:hAnsi="Arial" w:cs="Arial"/>
        </w:rPr>
        <w:t>, reduce unnecessary cost and achieve long-term</w:t>
      </w:r>
      <w:r w:rsidR="00A25610">
        <w:rPr>
          <w:rFonts w:ascii="Arial" w:hAnsi="Arial" w:cs="Arial"/>
        </w:rPr>
        <w:t xml:space="preserve"> business objectives. By analy</w:t>
      </w:r>
      <w:r w:rsidR="00DA3298">
        <w:rPr>
          <w:rFonts w:ascii="Arial" w:hAnsi="Arial" w:cs="Arial"/>
        </w:rPr>
        <w:t xml:space="preserve">sing financial data, mangers ate able to monitor business performance, identify </w:t>
      </w:r>
      <w:r w:rsidR="00CF0BFC">
        <w:rPr>
          <w:rFonts w:ascii="Arial" w:hAnsi="Arial" w:cs="Arial"/>
        </w:rPr>
        <w:t xml:space="preserve">areas that require improvement and respond quickly </w:t>
      </w:r>
      <w:r w:rsidR="00677B03">
        <w:rPr>
          <w:rFonts w:ascii="Arial" w:hAnsi="Arial" w:cs="Arial"/>
        </w:rPr>
        <w:t>to changes in the market. Management accounting tools such as budgeting, variance analysis and cost analysis also support better resou</w:t>
      </w:r>
      <w:r w:rsidR="00996437">
        <w:rPr>
          <w:rFonts w:ascii="Arial" w:hAnsi="Arial" w:cs="Arial"/>
        </w:rPr>
        <w:t xml:space="preserve">rce management and help ensure that investments </w:t>
      </w:r>
      <w:r w:rsidR="00B75F4D">
        <w:rPr>
          <w:rFonts w:ascii="Arial" w:hAnsi="Arial" w:cs="Arial"/>
        </w:rPr>
        <w:t xml:space="preserve">generate long-term value for the company. </w:t>
      </w:r>
      <w:r w:rsidR="00AC04C6">
        <w:rPr>
          <w:rFonts w:ascii="Arial" w:hAnsi="Arial" w:cs="Arial"/>
        </w:rPr>
        <w:t xml:space="preserve">In </w:t>
      </w:r>
      <w:r w:rsidR="00B70478">
        <w:rPr>
          <w:rFonts w:ascii="Arial" w:hAnsi="Arial" w:cs="Arial"/>
        </w:rPr>
        <w:t>addition,</w:t>
      </w:r>
      <w:r w:rsidR="00AC04C6">
        <w:rPr>
          <w:rFonts w:ascii="Arial" w:hAnsi="Arial" w:cs="Arial"/>
        </w:rPr>
        <w:t xml:space="preserve"> Tesla’s stra</w:t>
      </w:r>
      <w:r w:rsidR="00CD2A35">
        <w:rPr>
          <w:rFonts w:ascii="Arial" w:hAnsi="Arial" w:cs="Arial"/>
        </w:rPr>
        <w:t xml:space="preserve">tegic decisions, including expanding </w:t>
      </w:r>
      <w:r w:rsidR="00D10F7A">
        <w:rPr>
          <w:rFonts w:ascii="Arial" w:hAnsi="Arial" w:cs="Arial"/>
        </w:rPr>
        <w:t xml:space="preserve">manufacturing facilities, investors in research and development </w:t>
      </w:r>
      <w:r w:rsidR="00134774">
        <w:rPr>
          <w:rFonts w:ascii="Arial" w:hAnsi="Arial" w:cs="Arial"/>
        </w:rPr>
        <w:t>and adjusting vehicle prices, demonst</w:t>
      </w:r>
      <w:r w:rsidR="00624206">
        <w:rPr>
          <w:rFonts w:ascii="Arial" w:hAnsi="Arial" w:cs="Arial"/>
        </w:rPr>
        <w:t xml:space="preserve">rate how financial and non-financial information can support </w:t>
      </w:r>
      <w:r w:rsidR="00052E7B">
        <w:rPr>
          <w:rFonts w:ascii="Arial" w:hAnsi="Arial" w:cs="Arial"/>
        </w:rPr>
        <w:t xml:space="preserve">business growth and maintain a competitive advantage. Overall, management accounting is an essential </w:t>
      </w:r>
      <w:r w:rsidR="00507932">
        <w:rPr>
          <w:rFonts w:ascii="Arial" w:hAnsi="Arial" w:cs="Arial"/>
        </w:rPr>
        <w:t xml:space="preserve">part of Tesla’s decision-making process as it </w:t>
      </w:r>
      <w:proofErr w:type="gramStart"/>
      <w:r w:rsidR="00507932">
        <w:rPr>
          <w:rFonts w:ascii="Arial" w:hAnsi="Arial" w:cs="Arial"/>
        </w:rPr>
        <w:t>support</w:t>
      </w:r>
      <w:proofErr w:type="gramEnd"/>
      <w:r w:rsidR="00507932">
        <w:rPr>
          <w:rFonts w:ascii="Arial" w:hAnsi="Arial" w:cs="Arial"/>
        </w:rPr>
        <w:t xml:space="preserve"> effective planning</w:t>
      </w:r>
      <w:r w:rsidR="00A27960">
        <w:rPr>
          <w:rFonts w:ascii="Arial" w:hAnsi="Arial" w:cs="Arial"/>
        </w:rPr>
        <w:t xml:space="preserve">, improves operational efficiency, strengthens financial performance and contributes to the </w:t>
      </w:r>
      <w:r w:rsidR="00B70478">
        <w:rPr>
          <w:rFonts w:ascii="Arial" w:hAnsi="Arial" w:cs="Arial"/>
        </w:rPr>
        <w:t xml:space="preserve">company long-term sustainability and success in the global automotive industry. </w:t>
      </w:r>
      <w:r w:rsidRPr="006E50E1">
        <w:rPr>
          <w:rFonts w:ascii="Arial" w:hAnsi="Arial" w:cs="Arial"/>
          <w:b/>
          <w:bCs/>
          <w:sz w:val="32"/>
          <w:szCs w:val="32"/>
        </w:rPr>
        <w:br/>
      </w:r>
    </w:p>
    <w:p w14:paraId="0DB6EC34" w14:textId="77777777" w:rsidR="006B2320" w:rsidRDefault="006B2320" w:rsidP="004C31F1">
      <w:pPr>
        <w:spacing w:line="360" w:lineRule="auto"/>
        <w:jc w:val="both"/>
        <w:rPr>
          <w:rFonts w:ascii="Arial" w:hAnsi="Arial" w:cs="Arial"/>
          <w:b/>
          <w:bCs/>
          <w:sz w:val="32"/>
          <w:szCs w:val="32"/>
        </w:rPr>
      </w:pPr>
    </w:p>
    <w:p w14:paraId="601C2554" w14:textId="77777777" w:rsidR="006B2320" w:rsidRDefault="006B2320" w:rsidP="004C31F1">
      <w:pPr>
        <w:spacing w:line="360" w:lineRule="auto"/>
        <w:jc w:val="both"/>
        <w:rPr>
          <w:rFonts w:ascii="Arial" w:hAnsi="Arial" w:cs="Arial"/>
          <w:b/>
          <w:bCs/>
          <w:sz w:val="32"/>
          <w:szCs w:val="32"/>
        </w:rPr>
      </w:pPr>
    </w:p>
    <w:p w14:paraId="1589ED65" w14:textId="77777777" w:rsidR="006B2320" w:rsidRDefault="006B2320" w:rsidP="004C31F1">
      <w:pPr>
        <w:spacing w:line="360" w:lineRule="auto"/>
        <w:jc w:val="both"/>
        <w:rPr>
          <w:rFonts w:ascii="Arial" w:hAnsi="Arial" w:cs="Arial"/>
          <w:b/>
          <w:bCs/>
          <w:sz w:val="32"/>
          <w:szCs w:val="32"/>
        </w:rPr>
      </w:pPr>
    </w:p>
    <w:p w14:paraId="7A93F344" w14:textId="77777777" w:rsidR="004C31F1" w:rsidRDefault="006B2320" w:rsidP="004C31F1">
      <w:pPr>
        <w:spacing w:line="360" w:lineRule="auto"/>
        <w:jc w:val="both"/>
        <w:rPr>
          <w:rFonts w:ascii="Arial" w:hAnsi="Arial" w:cs="Arial"/>
          <w:b/>
          <w:bCs/>
          <w:sz w:val="32"/>
          <w:szCs w:val="32"/>
        </w:rPr>
      </w:pPr>
      <w:r>
        <w:rPr>
          <w:rFonts w:ascii="Arial" w:hAnsi="Arial" w:cs="Arial"/>
          <w:b/>
          <w:bCs/>
          <w:sz w:val="32"/>
          <w:szCs w:val="32"/>
        </w:rPr>
        <w:br/>
      </w:r>
      <w:r>
        <w:rPr>
          <w:rFonts w:ascii="Arial" w:hAnsi="Arial" w:cs="Arial"/>
          <w:b/>
          <w:bCs/>
          <w:sz w:val="32"/>
          <w:szCs w:val="32"/>
        </w:rPr>
        <w:br/>
      </w:r>
      <w:r>
        <w:rPr>
          <w:rFonts w:ascii="Arial" w:hAnsi="Arial" w:cs="Arial"/>
          <w:b/>
          <w:bCs/>
          <w:sz w:val="32"/>
          <w:szCs w:val="32"/>
        </w:rPr>
        <w:br/>
      </w:r>
      <w:r>
        <w:rPr>
          <w:rFonts w:ascii="Arial" w:hAnsi="Arial" w:cs="Arial"/>
          <w:b/>
          <w:bCs/>
          <w:sz w:val="32"/>
          <w:szCs w:val="32"/>
        </w:rPr>
        <w:lastRenderedPageBreak/>
        <w:br/>
      </w:r>
    </w:p>
    <w:p w14:paraId="1DFECFD8" w14:textId="1EF00F9E" w:rsidR="00E84748" w:rsidRPr="005B61CA" w:rsidRDefault="005B61CA" w:rsidP="004C31F1">
      <w:pPr>
        <w:spacing w:line="360" w:lineRule="auto"/>
        <w:jc w:val="both"/>
        <w:rPr>
          <w:rFonts w:ascii="Arial" w:hAnsi="Arial" w:cs="Arial"/>
          <w:b/>
          <w:bCs/>
          <w:sz w:val="32"/>
          <w:szCs w:val="32"/>
        </w:rPr>
      </w:pPr>
      <w:r w:rsidRPr="005B61CA">
        <w:rPr>
          <w:rFonts w:ascii="Arial" w:hAnsi="Arial" w:cs="Arial"/>
          <w:b/>
          <w:bCs/>
          <w:sz w:val="32"/>
          <w:szCs w:val="32"/>
        </w:rPr>
        <w:t xml:space="preserve">8.References </w:t>
      </w:r>
    </w:p>
    <w:p w14:paraId="49E279AC" w14:textId="77777777" w:rsidR="00180E50" w:rsidRPr="00180E50" w:rsidRDefault="00180E50" w:rsidP="004C31F1">
      <w:pPr>
        <w:pStyle w:val="isselectedend"/>
        <w:spacing w:line="360" w:lineRule="auto"/>
        <w:jc w:val="both"/>
        <w:rPr>
          <w:rFonts w:ascii="Arial" w:hAnsi="Arial" w:cs="Arial"/>
          <w:color w:val="000000"/>
        </w:rPr>
      </w:pPr>
      <w:proofErr w:type="spellStart"/>
      <w:r w:rsidRPr="00180E50">
        <w:rPr>
          <w:rFonts w:ascii="Arial" w:hAnsi="Arial" w:cs="Arial"/>
          <w:color w:val="000000"/>
        </w:rPr>
        <w:t>Atrill</w:t>
      </w:r>
      <w:proofErr w:type="spellEnd"/>
      <w:r w:rsidRPr="00180E50">
        <w:rPr>
          <w:rFonts w:ascii="Arial" w:hAnsi="Arial" w:cs="Arial"/>
          <w:color w:val="000000"/>
        </w:rPr>
        <w:t>, P. and McLaney, E. (2022)</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Management Accounting for Decision Makers</w:t>
      </w:r>
      <w:r w:rsidRPr="00180E50">
        <w:rPr>
          <w:rFonts w:ascii="Arial" w:hAnsi="Arial" w:cs="Arial"/>
          <w:color w:val="000000"/>
        </w:rPr>
        <w:t xml:space="preserve">. 11th </w:t>
      </w:r>
      <w:proofErr w:type="spellStart"/>
      <w:r w:rsidRPr="00180E50">
        <w:rPr>
          <w:rFonts w:ascii="Arial" w:hAnsi="Arial" w:cs="Arial"/>
          <w:color w:val="000000"/>
        </w:rPr>
        <w:t>edn</w:t>
      </w:r>
      <w:proofErr w:type="spellEnd"/>
      <w:r w:rsidRPr="00180E50">
        <w:rPr>
          <w:rFonts w:ascii="Arial" w:hAnsi="Arial" w:cs="Arial"/>
          <w:color w:val="000000"/>
        </w:rPr>
        <w:t>. Harlow: Pearson.</w:t>
      </w:r>
    </w:p>
    <w:p w14:paraId="10629121"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Brundtland Commission (1987)</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Our Common Future</w:t>
      </w:r>
      <w:r w:rsidRPr="00180E50">
        <w:rPr>
          <w:rFonts w:ascii="Arial" w:hAnsi="Arial" w:cs="Arial"/>
          <w:color w:val="000000"/>
        </w:rPr>
        <w:t>. Oxford: Oxford University Press.</w:t>
      </w:r>
    </w:p>
    <w:p w14:paraId="30666A11"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CIMA (2024)</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Management Accounting Official Terminology</w:t>
      </w:r>
      <w:r w:rsidRPr="00180E50">
        <w:rPr>
          <w:rFonts w:ascii="Arial" w:hAnsi="Arial" w:cs="Arial"/>
          <w:color w:val="000000"/>
        </w:rPr>
        <w:t>. London: Chartered Institute of Management Accountants.</w:t>
      </w:r>
    </w:p>
    <w:p w14:paraId="63FFE82A"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Drury, C. (2021)</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Management and Cost Accounting</w:t>
      </w:r>
      <w:r w:rsidRPr="00180E50">
        <w:rPr>
          <w:rFonts w:ascii="Arial" w:hAnsi="Arial" w:cs="Arial"/>
          <w:color w:val="000000"/>
        </w:rPr>
        <w:t xml:space="preserve">. 11th </w:t>
      </w:r>
      <w:proofErr w:type="spellStart"/>
      <w:r w:rsidRPr="00180E50">
        <w:rPr>
          <w:rFonts w:ascii="Arial" w:hAnsi="Arial" w:cs="Arial"/>
          <w:color w:val="000000"/>
        </w:rPr>
        <w:t>edn</w:t>
      </w:r>
      <w:proofErr w:type="spellEnd"/>
      <w:r w:rsidRPr="00180E50">
        <w:rPr>
          <w:rFonts w:ascii="Arial" w:hAnsi="Arial" w:cs="Arial"/>
          <w:color w:val="000000"/>
        </w:rPr>
        <w:t>. Andover: Cengage Learning.</w:t>
      </w:r>
    </w:p>
    <w:p w14:paraId="6B7A72DD" w14:textId="6E5541BA"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Financial Times (2024) 'Tesla and sustainability challenges'. Available at:</w:t>
      </w:r>
      <w:r w:rsidRPr="00180E50">
        <w:rPr>
          <w:rStyle w:val="apple-converted-space"/>
          <w:rFonts w:ascii="Arial" w:eastAsiaTheme="majorEastAsia" w:hAnsi="Arial" w:cs="Arial"/>
          <w:color w:val="000000"/>
        </w:rPr>
        <w:t> </w:t>
      </w:r>
      <w:hyperlink r:id="rId6" w:history="1">
        <w:r w:rsidRPr="00180E50">
          <w:rPr>
            <w:rStyle w:val="Hyperlink"/>
            <w:rFonts w:ascii="Arial" w:eastAsiaTheme="majorEastAsia" w:hAnsi="Arial" w:cs="Arial"/>
          </w:rPr>
          <w:t>https://www.ft.com</w:t>
        </w:r>
      </w:hyperlink>
      <w:r w:rsidRPr="00180E50">
        <w:rPr>
          <w:rStyle w:val="apple-converted-space"/>
          <w:rFonts w:ascii="Arial" w:eastAsiaTheme="majorEastAsia" w:hAnsi="Arial" w:cs="Arial"/>
          <w:color w:val="000000"/>
        </w:rPr>
        <w:t> </w:t>
      </w:r>
      <w:r w:rsidRPr="00180E50">
        <w:rPr>
          <w:rFonts w:ascii="Arial" w:hAnsi="Arial" w:cs="Arial"/>
          <w:color w:val="000000"/>
        </w:rPr>
        <w:t xml:space="preserve">(Accessed: </w:t>
      </w:r>
      <w:r>
        <w:rPr>
          <w:rFonts w:ascii="Arial" w:hAnsi="Arial" w:cs="Arial"/>
          <w:color w:val="000000"/>
        </w:rPr>
        <w:t xml:space="preserve">3 July </w:t>
      </w:r>
      <w:r w:rsidRPr="00180E50">
        <w:rPr>
          <w:rFonts w:ascii="Arial" w:hAnsi="Arial" w:cs="Arial"/>
          <w:color w:val="000000"/>
        </w:rPr>
        <w:t>2026).</w:t>
      </w:r>
    </w:p>
    <w:p w14:paraId="53957FCB" w14:textId="46F1476A"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Forbes (2024) 'Tesla pricing strategy and market competition'. Available at:</w:t>
      </w:r>
      <w:r w:rsidRPr="00180E50">
        <w:rPr>
          <w:rStyle w:val="apple-converted-space"/>
          <w:rFonts w:ascii="Arial" w:eastAsiaTheme="majorEastAsia" w:hAnsi="Arial" w:cs="Arial"/>
          <w:color w:val="000000"/>
        </w:rPr>
        <w:t> </w:t>
      </w:r>
      <w:hyperlink r:id="rId7" w:history="1">
        <w:r w:rsidRPr="00180E50">
          <w:rPr>
            <w:rStyle w:val="Hyperlink"/>
            <w:rFonts w:ascii="Arial" w:eastAsiaTheme="majorEastAsia" w:hAnsi="Arial" w:cs="Arial"/>
          </w:rPr>
          <w:t>https://www.forbes.com</w:t>
        </w:r>
      </w:hyperlink>
      <w:r w:rsidRPr="00180E50">
        <w:rPr>
          <w:rStyle w:val="apple-converted-space"/>
          <w:rFonts w:ascii="Arial" w:eastAsiaTheme="majorEastAsia" w:hAnsi="Arial" w:cs="Arial"/>
          <w:color w:val="000000"/>
        </w:rPr>
        <w:t> </w:t>
      </w:r>
      <w:r w:rsidRPr="00180E50">
        <w:rPr>
          <w:rFonts w:ascii="Arial" w:hAnsi="Arial" w:cs="Arial"/>
          <w:color w:val="000000"/>
        </w:rPr>
        <w:t xml:space="preserve">(Accessed: </w:t>
      </w:r>
      <w:r>
        <w:rPr>
          <w:rFonts w:ascii="Arial" w:hAnsi="Arial" w:cs="Arial"/>
          <w:color w:val="000000"/>
        </w:rPr>
        <w:t>3 July</w:t>
      </w:r>
      <w:r w:rsidRPr="00180E50">
        <w:rPr>
          <w:rFonts w:ascii="Arial" w:hAnsi="Arial" w:cs="Arial"/>
          <w:color w:val="000000"/>
        </w:rPr>
        <w:t xml:space="preserve"> 2026).</w:t>
      </w:r>
    </w:p>
    <w:p w14:paraId="29548429" w14:textId="0BDB1766"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Google Finance (2025) Tesla Inc. Financial Information. Available at:</w:t>
      </w:r>
      <w:r w:rsidRPr="00180E50">
        <w:rPr>
          <w:rStyle w:val="apple-converted-space"/>
          <w:rFonts w:ascii="Arial" w:eastAsiaTheme="majorEastAsia" w:hAnsi="Arial" w:cs="Arial"/>
          <w:color w:val="000000"/>
        </w:rPr>
        <w:t> </w:t>
      </w:r>
      <w:hyperlink r:id="rId8" w:history="1">
        <w:r w:rsidRPr="00180E50">
          <w:rPr>
            <w:rStyle w:val="Hyperlink"/>
            <w:rFonts w:ascii="Arial" w:eastAsiaTheme="majorEastAsia" w:hAnsi="Arial" w:cs="Arial"/>
          </w:rPr>
          <w:t>https://www.google.com/finance</w:t>
        </w:r>
      </w:hyperlink>
      <w:r w:rsidRPr="00180E50">
        <w:rPr>
          <w:rStyle w:val="apple-converted-space"/>
          <w:rFonts w:ascii="Arial" w:eastAsiaTheme="majorEastAsia" w:hAnsi="Arial" w:cs="Arial"/>
          <w:color w:val="000000"/>
        </w:rPr>
        <w:t> </w:t>
      </w:r>
      <w:r w:rsidRPr="00180E50">
        <w:rPr>
          <w:rFonts w:ascii="Arial" w:hAnsi="Arial" w:cs="Arial"/>
          <w:color w:val="000000"/>
        </w:rPr>
        <w:t xml:space="preserve">(Accessed: </w:t>
      </w:r>
      <w:r>
        <w:rPr>
          <w:rFonts w:ascii="Arial" w:hAnsi="Arial" w:cs="Arial"/>
          <w:color w:val="000000"/>
        </w:rPr>
        <w:t>3 July</w:t>
      </w:r>
      <w:r w:rsidRPr="00180E50">
        <w:rPr>
          <w:rFonts w:ascii="Arial" w:hAnsi="Arial" w:cs="Arial"/>
          <w:color w:val="000000"/>
        </w:rPr>
        <w:t xml:space="preserve"> 2026).</w:t>
      </w:r>
    </w:p>
    <w:p w14:paraId="2A5EE493"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Horngren, C., Datar, S. and Rajan, M. (2022)</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Cost Accounting: A Managerial Emphasis</w:t>
      </w:r>
      <w:r w:rsidRPr="00180E50">
        <w:rPr>
          <w:rFonts w:ascii="Arial" w:hAnsi="Arial" w:cs="Arial"/>
          <w:color w:val="000000"/>
        </w:rPr>
        <w:t xml:space="preserve">. 17th </w:t>
      </w:r>
      <w:proofErr w:type="spellStart"/>
      <w:r w:rsidRPr="00180E50">
        <w:rPr>
          <w:rFonts w:ascii="Arial" w:hAnsi="Arial" w:cs="Arial"/>
          <w:color w:val="000000"/>
        </w:rPr>
        <w:t>edn</w:t>
      </w:r>
      <w:proofErr w:type="spellEnd"/>
      <w:r w:rsidRPr="00180E50">
        <w:rPr>
          <w:rFonts w:ascii="Arial" w:hAnsi="Arial" w:cs="Arial"/>
          <w:color w:val="000000"/>
        </w:rPr>
        <w:t>. Harlow: Pearson.</w:t>
      </w:r>
    </w:p>
    <w:p w14:paraId="1573A06A"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IMF (2024)</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World Economic Outlook Report</w:t>
      </w:r>
      <w:r w:rsidRPr="00180E50">
        <w:rPr>
          <w:rFonts w:ascii="Arial" w:hAnsi="Arial" w:cs="Arial"/>
          <w:color w:val="000000"/>
        </w:rPr>
        <w:t>. Washington DC: International Monetary Fund.</w:t>
      </w:r>
    </w:p>
    <w:p w14:paraId="0FDDC127"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Kaplan, R. and Atkinson, A. (2019)</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Advanced Management Accounting</w:t>
      </w:r>
      <w:r w:rsidRPr="00180E50">
        <w:rPr>
          <w:rFonts w:ascii="Arial" w:hAnsi="Arial" w:cs="Arial"/>
          <w:color w:val="000000"/>
        </w:rPr>
        <w:t xml:space="preserve">. 3rd </w:t>
      </w:r>
      <w:proofErr w:type="spellStart"/>
      <w:r w:rsidRPr="00180E50">
        <w:rPr>
          <w:rFonts w:ascii="Arial" w:hAnsi="Arial" w:cs="Arial"/>
          <w:color w:val="000000"/>
        </w:rPr>
        <w:t>edn</w:t>
      </w:r>
      <w:proofErr w:type="spellEnd"/>
      <w:r w:rsidRPr="00180E50">
        <w:rPr>
          <w:rFonts w:ascii="Arial" w:hAnsi="Arial" w:cs="Arial"/>
          <w:color w:val="000000"/>
        </w:rPr>
        <w:t>. Harlow: Pearson.</w:t>
      </w:r>
    </w:p>
    <w:p w14:paraId="4947A2F3"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Kaplan, R. and Norton, D. (1996)</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The Balanced Scorecard</w:t>
      </w:r>
      <w:r w:rsidRPr="00180E50">
        <w:rPr>
          <w:rFonts w:ascii="Arial" w:hAnsi="Arial" w:cs="Arial"/>
          <w:color w:val="000000"/>
        </w:rPr>
        <w:t>. Boston: Harvard Business School Press.</w:t>
      </w:r>
    </w:p>
    <w:p w14:paraId="5C431D71" w14:textId="7504A58A"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lastRenderedPageBreak/>
        <w:t>Statista (2025) Electric Vehicle Industry Statistics. Available at:</w:t>
      </w:r>
      <w:r w:rsidRPr="00180E50">
        <w:rPr>
          <w:rStyle w:val="apple-converted-space"/>
          <w:rFonts w:ascii="Arial" w:eastAsiaTheme="majorEastAsia" w:hAnsi="Arial" w:cs="Arial"/>
          <w:color w:val="000000"/>
        </w:rPr>
        <w:t> </w:t>
      </w:r>
      <w:hyperlink r:id="rId9" w:history="1">
        <w:r w:rsidRPr="00180E50">
          <w:rPr>
            <w:rStyle w:val="Hyperlink"/>
            <w:rFonts w:ascii="Arial" w:eastAsiaTheme="majorEastAsia" w:hAnsi="Arial" w:cs="Arial"/>
          </w:rPr>
          <w:t>https://www.statista.com</w:t>
        </w:r>
      </w:hyperlink>
      <w:r w:rsidRPr="00180E50">
        <w:rPr>
          <w:rStyle w:val="apple-converted-space"/>
          <w:rFonts w:ascii="Arial" w:eastAsiaTheme="majorEastAsia" w:hAnsi="Arial" w:cs="Arial"/>
          <w:color w:val="000000"/>
        </w:rPr>
        <w:t> </w:t>
      </w:r>
      <w:r w:rsidRPr="00180E50">
        <w:rPr>
          <w:rFonts w:ascii="Arial" w:hAnsi="Arial" w:cs="Arial"/>
          <w:color w:val="000000"/>
        </w:rPr>
        <w:t xml:space="preserve">(Accessed: </w:t>
      </w:r>
      <w:r>
        <w:rPr>
          <w:rFonts w:ascii="Arial" w:hAnsi="Arial" w:cs="Arial"/>
          <w:color w:val="000000"/>
        </w:rPr>
        <w:t>3 July</w:t>
      </w:r>
      <w:r w:rsidRPr="00180E50">
        <w:rPr>
          <w:rFonts w:ascii="Arial" w:hAnsi="Arial" w:cs="Arial"/>
          <w:color w:val="000000"/>
        </w:rPr>
        <w:t xml:space="preserve"> 2026).</w:t>
      </w:r>
    </w:p>
    <w:p w14:paraId="15CD57BD" w14:textId="5CA0FA71"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Tesla (2025)</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Annual Report 2024 (Form 10-K)</w:t>
      </w:r>
      <w:r w:rsidRPr="00180E50">
        <w:rPr>
          <w:rFonts w:ascii="Arial" w:hAnsi="Arial" w:cs="Arial"/>
          <w:color w:val="000000"/>
        </w:rPr>
        <w:t>. Austin, Texas: Tesla Inc.</w:t>
      </w:r>
    </w:p>
    <w:p w14:paraId="01AB9F6B" w14:textId="4E4F8B54"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Tesla (2025)</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Impact Report 2024</w:t>
      </w:r>
      <w:r w:rsidRPr="00180E50">
        <w:rPr>
          <w:rFonts w:ascii="Arial" w:hAnsi="Arial" w:cs="Arial"/>
          <w:color w:val="000000"/>
        </w:rPr>
        <w:t>. Austin, Texas: Tesla Inc.</w:t>
      </w:r>
    </w:p>
    <w:p w14:paraId="300F705D" w14:textId="77777777" w:rsidR="00180E50" w:rsidRPr="00180E50" w:rsidRDefault="00180E50" w:rsidP="004C31F1">
      <w:pPr>
        <w:pStyle w:val="isselectedend"/>
        <w:spacing w:line="360" w:lineRule="auto"/>
        <w:jc w:val="both"/>
        <w:rPr>
          <w:rFonts w:ascii="Arial" w:hAnsi="Arial" w:cs="Arial"/>
          <w:color w:val="000000"/>
        </w:rPr>
      </w:pPr>
      <w:r w:rsidRPr="00180E50">
        <w:rPr>
          <w:rFonts w:ascii="Arial" w:hAnsi="Arial" w:cs="Arial"/>
          <w:color w:val="000000"/>
        </w:rPr>
        <w:t>World Economic Forum (2024)</w:t>
      </w:r>
      <w:r w:rsidRPr="00180E50">
        <w:rPr>
          <w:rStyle w:val="apple-converted-space"/>
          <w:rFonts w:ascii="Arial" w:eastAsiaTheme="majorEastAsia" w:hAnsi="Arial" w:cs="Arial"/>
          <w:color w:val="000000"/>
        </w:rPr>
        <w:t> </w:t>
      </w:r>
      <w:r w:rsidRPr="00180E50">
        <w:rPr>
          <w:rStyle w:val="Emphasis"/>
          <w:rFonts w:ascii="Arial" w:eastAsiaTheme="majorEastAsia" w:hAnsi="Arial" w:cs="Arial"/>
          <w:color w:val="000000"/>
        </w:rPr>
        <w:t>Global Economic Outlook</w:t>
      </w:r>
      <w:r w:rsidRPr="00180E50">
        <w:rPr>
          <w:rFonts w:ascii="Arial" w:hAnsi="Arial" w:cs="Arial"/>
          <w:color w:val="000000"/>
        </w:rPr>
        <w:t>. Geneva: World Economic Forum.</w:t>
      </w:r>
    </w:p>
    <w:p w14:paraId="5B5664DF" w14:textId="5D9633FE" w:rsidR="00180E50" w:rsidRDefault="00180E50" w:rsidP="004C31F1">
      <w:pPr>
        <w:pStyle w:val="NormalWeb"/>
        <w:spacing w:line="360" w:lineRule="auto"/>
        <w:jc w:val="both"/>
        <w:rPr>
          <w:rFonts w:ascii="Arial" w:hAnsi="Arial" w:cs="Arial"/>
          <w:color w:val="000000"/>
        </w:rPr>
      </w:pPr>
      <w:r w:rsidRPr="00180E50">
        <w:rPr>
          <w:rFonts w:ascii="Arial" w:hAnsi="Arial" w:cs="Arial"/>
          <w:color w:val="000000"/>
        </w:rPr>
        <w:t>Yahoo Finance (2025) Tesla Inc. Company Financial Data. Available at:</w:t>
      </w:r>
      <w:r w:rsidRPr="00180E50">
        <w:rPr>
          <w:rStyle w:val="apple-converted-space"/>
          <w:rFonts w:ascii="Arial" w:eastAsiaTheme="majorEastAsia" w:hAnsi="Arial" w:cs="Arial"/>
          <w:color w:val="000000"/>
        </w:rPr>
        <w:t> </w:t>
      </w:r>
      <w:hyperlink r:id="rId10" w:history="1">
        <w:r w:rsidRPr="00180E50">
          <w:rPr>
            <w:rStyle w:val="Hyperlink"/>
            <w:rFonts w:ascii="Arial" w:eastAsiaTheme="majorEastAsia" w:hAnsi="Arial" w:cs="Arial"/>
          </w:rPr>
          <w:t>https://finance.yahoo.com</w:t>
        </w:r>
      </w:hyperlink>
      <w:r w:rsidRPr="00180E50">
        <w:rPr>
          <w:rStyle w:val="apple-converted-space"/>
          <w:rFonts w:ascii="Arial" w:eastAsiaTheme="majorEastAsia" w:hAnsi="Arial" w:cs="Arial"/>
          <w:color w:val="000000"/>
        </w:rPr>
        <w:t> </w:t>
      </w:r>
      <w:r w:rsidRPr="00180E50">
        <w:rPr>
          <w:rFonts w:ascii="Arial" w:hAnsi="Arial" w:cs="Arial"/>
          <w:color w:val="000000"/>
        </w:rPr>
        <w:t xml:space="preserve">(Accessed: </w:t>
      </w:r>
      <w:r>
        <w:rPr>
          <w:rFonts w:ascii="Arial" w:hAnsi="Arial" w:cs="Arial"/>
          <w:color w:val="000000"/>
        </w:rPr>
        <w:t>3 July</w:t>
      </w:r>
      <w:r w:rsidRPr="00180E50">
        <w:rPr>
          <w:rFonts w:ascii="Arial" w:hAnsi="Arial" w:cs="Arial"/>
          <w:color w:val="000000"/>
        </w:rPr>
        <w:t xml:space="preserve"> 2026).</w:t>
      </w:r>
    </w:p>
    <w:p w14:paraId="782DDD55" w14:textId="34553B30" w:rsidR="006E563F" w:rsidRPr="006E563F" w:rsidRDefault="006E563F" w:rsidP="004C31F1">
      <w:pPr>
        <w:pStyle w:val="NormalWeb"/>
        <w:spacing w:line="360" w:lineRule="auto"/>
        <w:jc w:val="both"/>
        <w:rPr>
          <w:rFonts w:ascii="Arial" w:hAnsi="Arial" w:cs="Arial"/>
          <w:color w:val="000000"/>
        </w:rPr>
      </w:pPr>
      <w:r w:rsidRPr="006E563F">
        <w:rPr>
          <w:rFonts w:ascii="Arial" w:hAnsi="Arial" w:cs="Arial"/>
          <w:color w:val="000000"/>
          <w:sz w:val="27"/>
          <w:szCs w:val="27"/>
        </w:rPr>
        <w:t>Tesla, Inc. (2025).</w:t>
      </w:r>
      <w:r w:rsidRPr="006E563F">
        <w:rPr>
          <w:rStyle w:val="apple-converted-space"/>
          <w:rFonts w:ascii="Arial" w:eastAsiaTheme="majorEastAsia" w:hAnsi="Arial" w:cs="Arial"/>
          <w:color w:val="000000"/>
          <w:sz w:val="27"/>
          <w:szCs w:val="27"/>
        </w:rPr>
        <w:t> </w:t>
      </w:r>
      <w:r w:rsidRPr="006E563F">
        <w:rPr>
          <w:rStyle w:val="Emphasis"/>
          <w:rFonts w:ascii="Arial" w:eastAsiaTheme="majorEastAsia" w:hAnsi="Arial" w:cs="Arial"/>
          <w:color w:val="000000"/>
        </w:rPr>
        <w:t>Annual Report 2024 (Form 10-K).</w:t>
      </w:r>
      <w:hyperlink r:id="rId11" w:tgtFrame="_new" w:history="1">
        <w:r w:rsidRPr="006E563F">
          <w:rPr>
            <w:rStyle w:val="Hyperlink"/>
            <w:rFonts w:ascii="Arial" w:eastAsiaTheme="majorEastAsia" w:hAnsi="Arial" w:cs="Arial"/>
          </w:rPr>
          <w:t>https://www.sec.gov/Archives/edgar/data/1318605/000162828025003063/tsla-20241231.htm</w:t>
        </w:r>
      </w:hyperlink>
    </w:p>
    <w:p w14:paraId="223ED1A7" w14:textId="1B51E882" w:rsidR="009C1D16" w:rsidRPr="006E563F" w:rsidRDefault="006E563F" w:rsidP="004C31F1">
      <w:pPr>
        <w:spacing w:line="360" w:lineRule="auto"/>
        <w:jc w:val="both"/>
        <w:rPr>
          <w:rFonts w:ascii="Arial" w:hAnsi="Arial" w:cs="Arial"/>
        </w:rPr>
      </w:pPr>
      <w:r w:rsidRPr="006E563F">
        <w:rPr>
          <w:rFonts w:ascii="Arial" w:hAnsi="Arial" w:cs="Arial"/>
          <w:color w:val="000000"/>
          <w:sz w:val="27"/>
          <w:szCs w:val="27"/>
        </w:rPr>
        <w:t>Reuters. (2024).</w:t>
      </w:r>
      <w:r w:rsidRPr="006E563F">
        <w:rPr>
          <w:rStyle w:val="apple-converted-space"/>
          <w:rFonts w:ascii="Arial" w:eastAsiaTheme="majorEastAsia" w:hAnsi="Arial" w:cs="Arial"/>
          <w:color w:val="000000"/>
          <w:sz w:val="27"/>
          <w:szCs w:val="27"/>
        </w:rPr>
        <w:t> </w:t>
      </w:r>
      <w:r w:rsidRPr="006E563F">
        <w:rPr>
          <w:rStyle w:val="Emphasis"/>
          <w:rFonts w:ascii="Arial" w:eastAsiaTheme="majorEastAsia" w:hAnsi="Arial" w:cs="Arial"/>
          <w:color w:val="000000"/>
        </w:rPr>
        <w:t>Tesla surprises with sales forecast and cost efficiency, shares jump.</w:t>
      </w:r>
    </w:p>
    <w:p w14:paraId="014FB179" w14:textId="7DD560F4" w:rsidR="009D611D" w:rsidRPr="009D611D" w:rsidRDefault="009D611D" w:rsidP="004C31F1">
      <w:pPr>
        <w:spacing w:before="100" w:beforeAutospacing="1" w:after="100" w:afterAutospacing="1" w:line="360" w:lineRule="auto"/>
        <w:jc w:val="both"/>
        <w:rPr>
          <w:rFonts w:ascii="Arial" w:hAnsi="Arial" w:cs="Arial"/>
          <w:color w:val="000000"/>
        </w:rPr>
      </w:pPr>
      <w:r w:rsidRPr="009D611D">
        <w:rPr>
          <w:rFonts w:ascii="Arial" w:hAnsi="Arial" w:cs="Arial"/>
          <w:color w:val="000000"/>
        </w:rPr>
        <w:t>Tesla, Inc. (2023). </w:t>
      </w:r>
      <w:r w:rsidRPr="009D611D">
        <w:rPr>
          <w:rFonts w:ascii="Arial" w:hAnsi="Arial" w:cs="Arial"/>
          <w:i/>
          <w:iCs/>
          <w:color w:val="000000"/>
        </w:rPr>
        <w:t>Annual Report 2022 (Form 10-K).</w:t>
      </w:r>
      <w:r w:rsidRPr="009D611D">
        <w:rPr>
          <w:rFonts w:ascii="Arial" w:hAnsi="Arial" w:cs="Arial"/>
          <w:color w:val="000000"/>
        </w:rPr>
        <w:t> </w:t>
      </w:r>
      <w:hyperlink r:id="rId12" w:tgtFrame="_new" w:history="1">
        <w:r w:rsidRPr="009D611D">
          <w:rPr>
            <w:rFonts w:ascii="Arial" w:hAnsi="Arial" w:cs="Arial"/>
            <w:color w:val="0000FF"/>
            <w:u w:val="single"/>
          </w:rPr>
          <w:t>https://www.sec.gov/</w:t>
        </w:r>
      </w:hyperlink>
    </w:p>
    <w:p w14:paraId="69582F05" w14:textId="77777777" w:rsidR="009D611D" w:rsidRPr="009D611D" w:rsidRDefault="009D611D" w:rsidP="004C31F1">
      <w:pPr>
        <w:spacing w:before="100" w:beforeAutospacing="1" w:after="100" w:afterAutospacing="1" w:line="360" w:lineRule="auto"/>
        <w:jc w:val="both"/>
        <w:rPr>
          <w:rFonts w:ascii="Arial" w:hAnsi="Arial" w:cs="Arial"/>
          <w:color w:val="000000"/>
        </w:rPr>
      </w:pPr>
      <w:r w:rsidRPr="009D611D">
        <w:rPr>
          <w:rFonts w:ascii="Arial" w:hAnsi="Arial" w:cs="Arial"/>
          <w:color w:val="000000"/>
        </w:rPr>
        <w:t>Tesla, Inc. (2024). </w:t>
      </w:r>
      <w:r w:rsidRPr="009D611D">
        <w:rPr>
          <w:rFonts w:ascii="Arial" w:hAnsi="Arial" w:cs="Arial"/>
          <w:i/>
          <w:iCs/>
          <w:color w:val="000000"/>
        </w:rPr>
        <w:t>Annual Report 2023 (Form 10-K).</w:t>
      </w:r>
      <w:r w:rsidRPr="009D611D">
        <w:rPr>
          <w:rFonts w:ascii="Arial" w:hAnsi="Arial" w:cs="Arial"/>
          <w:color w:val="000000"/>
        </w:rPr>
        <w:t> </w:t>
      </w:r>
      <w:hyperlink r:id="rId13" w:tgtFrame="_new" w:history="1">
        <w:r w:rsidRPr="009D611D">
          <w:rPr>
            <w:rFonts w:ascii="Arial" w:hAnsi="Arial" w:cs="Arial"/>
            <w:color w:val="0000FF"/>
            <w:u w:val="single"/>
          </w:rPr>
          <w:t>https://www.sec.gov/</w:t>
        </w:r>
      </w:hyperlink>
    </w:p>
    <w:p w14:paraId="7710B844" w14:textId="77777777" w:rsidR="009D611D" w:rsidRPr="009D611D" w:rsidRDefault="009D611D" w:rsidP="004C31F1">
      <w:pPr>
        <w:spacing w:before="100" w:beforeAutospacing="1" w:after="100" w:afterAutospacing="1" w:line="360" w:lineRule="auto"/>
        <w:jc w:val="both"/>
        <w:rPr>
          <w:rFonts w:ascii="Arial" w:hAnsi="Arial" w:cs="Arial"/>
          <w:color w:val="000000"/>
        </w:rPr>
      </w:pPr>
      <w:r w:rsidRPr="009D611D">
        <w:rPr>
          <w:rFonts w:ascii="Arial" w:hAnsi="Arial" w:cs="Arial"/>
          <w:color w:val="000000"/>
        </w:rPr>
        <w:t>Tesla, Inc. (2025). </w:t>
      </w:r>
      <w:r w:rsidRPr="009D611D">
        <w:rPr>
          <w:rFonts w:ascii="Arial" w:hAnsi="Arial" w:cs="Arial"/>
          <w:i/>
          <w:iCs/>
          <w:color w:val="000000"/>
        </w:rPr>
        <w:t>Annual Report 2024 (Form 10-K).</w:t>
      </w:r>
      <w:r w:rsidRPr="009D611D">
        <w:rPr>
          <w:rFonts w:ascii="Arial" w:hAnsi="Arial" w:cs="Arial"/>
          <w:color w:val="000000"/>
        </w:rPr>
        <w:t> </w:t>
      </w:r>
      <w:hyperlink r:id="rId14" w:tgtFrame="_new" w:history="1">
        <w:r w:rsidRPr="009D611D">
          <w:rPr>
            <w:rFonts w:ascii="Arial" w:hAnsi="Arial" w:cs="Arial"/>
            <w:color w:val="0000FF"/>
            <w:u w:val="single"/>
          </w:rPr>
          <w:t>https://www.sec.gov/</w:t>
        </w:r>
      </w:hyperlink>
    </w:p>
    <w:p w14:paraId="41F92F44" w14:textId="77777777" w:rsidR="00403B3D" w:rsidRPr="009D611D" w:rsidRDefault="00403B3D" w:rsidP="004C31F1">
      <w:pPr>
        <w:spacing w:line="360" w:lineRule="auto"/>
        <w:jc w:val="both"/>
        <w:rPr>
          <w:rFonts w:ascii="Arial" w:hAnsi="Arial" w:cs="Arial"/>
        </w:rPr>
      </w:pPr>
    </w:p>
    <w:sectPr w:rsidR="00403B3D" w:rsidRPr="009D61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5219B"/>
    <w:multiLevelType w:val="multilevel"/>
    <w:tmpl w:val="FEC4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7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B3D"/>
    <w:rsid w:val="00052E7B"/>
    <w:rsid w:val="00060015"/>
    <w:rsid w:val="000901C1"/>
    <w:rsid w:val="000E5851"/>
    <w:rsid w:val="00134774"/>
    <w:rsid w:val="00180E50"/>
    <w:rsid w:val="00185972"/>
    <w:rsid w:val="001E15E1"/>
    <w:rsid w:val="003A1215"/>
    <w:rsid w:val="00403B3D"/>
    <w:rsid w:val="00410072"/>
    <w:rsid w:val="004C31F1"/>
    <w:rsid w:val="004F4169"/>
    <w:rsid w:val="00507932"/>
    <w:rsid w:val="005778DD"/>
    <w:rsid w:val="005B61CA"/>
    <w:rsid w:val="00624206"/>
    <w:rsid w:val="00677B03"/>
    <w:rsid w:val="006B2320"/>
    <w:rsid w:val="006E50E1"/>
    <w:rsid w:val="006E563F"/>
    <w:rsid w:val="00851F41"/>
    <w:rsid w:val="00866C82"/>
    <w:rsid w:val="00883017"/>
    <w:rsid w:val="008E622D"/>
    <w:rsid w:val="00996437"/>
    <w:rsid w:val="009C1D16"/>
    <w:rsid w:val="009D611D"/>
    <w:rsid w:val="00A25610"/>
    <w:rsid w:val="00A27960"/>
    <w:rsid w:val="00A36A6E"/>
    <w:rsid w:val="00AC04C6"/>
    <w:rsid w:val="00B70478"/>
    <w:rsid w:val="00B75F4D"/>
    <w:rsid w:val="00BC5D46"/>
    <w:rsid w:val="00C32663"/>
    <w:rsid w:val="00CB0D37"/>
    <w:rsid w:val="00CD2A35"/>
    <w:rsid w:val="00CF0BFC"/>
    <w:rsid w:val="00D10F7A"/>
    <w:rsid w:val="00D16A2A"/>
    <w:rsid w:val="00D34B55"/>
    <w:rsid w:val="00D67BDC"/>
    <w:rsid w:val="00DA3298"/>
    <w:rsid w:val="00E32C1D"/>
    <w:rsid w:val="00E8329D"/>
    <w:rsid w:val="00E84748"/>
    <w:rsid w:val="00F37160"/>
    <w:rsid w:val="00F92DF8"/>
    <w:rsid w:val="00FB5E49"/>
    <w:rsid w:val="00FD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C09FB6"/>
  <w15:chartTrackingRefBased/>
  <w15:docId w15:val="{78FAAA16-A3AE-5C4E-9396-DC3B6EFD1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11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03B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B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B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B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B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B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B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B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B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B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B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B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B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B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B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B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B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B3D"/>
    <w:rPr>
      <w:rFonts w:eastAsiaTheme="majorEastAsia" w:cstheme="majorBidi"/>
      <w:color w:val="272727" w:themeColor="text1" w:themeTint="D8"/>
    </w:rPr>
  </w:style>
  <w:style w:type="paragraph" w:styleId="Title">
    <w:name w:val="Title"/>
    <w:basedOn w:val="Normal"/>
    <w:next w:val="Normal"/>
    <w:link w:val="TitleChar"/>
    <w:uiPriority w:val="10"/>
    <w:qFormat/>
    <w:rsid w:val="00403B3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B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B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B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B3D"/>
    <w:pPr>
      <w:spacing w:before="160"/>
      <w:jc w:val="center"/>
    </w:pPr>
    <w:rPr>
      <w:i/>
      <w:iCs/>
      <w:color w:val="404040" w:themeColor="text1" w:themeTint="BF"/>
    </w:rPr>
  </w:style>
  <w:style w:type="character" w:customStyle="1" w:styleId="QuoteChar">
    <w:name w:val="Quote Char"/>
    <w:basedOn w:val="DefaultParagraphFont"/>
    <w:link w:val="Quote"/>
    <w:uiPriority w:val="29"/>
    <w:rsid w:val="00403B3D"/>
    <w:rPr>
      <w:i/>
      <w:iCs/>
      <w:color w:val="404040" w:themeColor="text1" w:themeTint="BF"/>
    </w:rPr>
  </w:style>
  <w:style w:type="paragraph" w:styleId="ListParagraph">
    <w:name w:val="List Paragraph"/>
    <w:basedOn w:val="Normal"/>
    <w:uiPriority w:val="34"/>
    <w:qFormat/>
    <w:rsid w:val="00403B3D"/>
    <w:pPr>
      <w:ind w:left="720"/>
      <w:contextualSpacing/>
    </w:pPr>
  </w:style>
  <w:style w:type="character" w:styleId="IntenseEmphasis">
    <w:name w:val="Intense Emphasis"/>
    <w:basedOn w:val="DefaultParagraphFont"/>
    <w:uiPriority w:val="21"/>
    <w:qFormat/>
    <w:rsid w:val="00403B3D"/>
    <w:rPr>
      <w:i/>
      <w:iCs/>
      <w:color w:val="0F4761" w:themeColor="accent1" w:themeShade="BF"/>
    </w:rPr>
  </w:style>
  <w:style w:type="paragraph" w:styleId="IntenseQuote">
    <w:name w:val="Intense Quote"/>
    <w:basedOn w:val="Normal"/>
    <w:next w:val="Normal"/>
    <w:link w:val="IntenseQuoteChar"/>
    <w:uiPriority w:val="30"/>
    <w:qFormat/>
    <w:rsid w:val="00403B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B3D"/>
    <w:rPr>
      <w:i/>
      <w:iCs/>
      <w:color w:val="0F4761" w:themeColor="accent1" w:themeShade="BF"/>
    </w:rPr>
  </w:style>
  <w:style w:type="character" w:styleId="IntenseReference">
    <w:name w:val="Intense Reference"/>
    <w:basedOn w:val="DefaultParagraphFont"/>
    <w:uiPriority w:val="32"/>
    <w:qFormat/>
    <w:rsid w:val="00403B3D"/>
    <w:rPr>
      <w:b/>
      <w:bCs/>
      <w:smallCaps/>
      <w:color w:val="0F4761" w:themeColor="accent1" w:themeShade="BF"/>
      <w:spacing w:val="5"/>
    </w:rPr>
  </w:style>
  <w:style w:type="paragraph" w:customStyle="1" w:styleId="isselectedend">
    <w:name w:val="isselectedend"/>
    <w:basedOn w:val="Normal"/>
    <w:rsid w:val="00180E50"/>
    <w:pPr>
      <w:spacing w:before="100" w:beforeAutospacing="1" w:after="100" w:afterAutospacing="1"/>
    </w:pPr>
  </w:style>
  <w:style w:type="character" w:customStyle="1" w:styleId="apple-converted-space">
    <w:name w:val="apple-converted-space"/>
    <w:basedOn w:val="DefaultParagraphFont"/>
    <w:rsid w:val="00180E50"/>
  </w:style>
  <w:style w:type="character" w:styleId="Emphasis">
    <w:name w:val="Emphasis"/>
    <w:basedOn w:val="DefaultParagraphFont"/>
    <w:uiPriority w:val="20"/>
    <w:qFormat/>
    <w:rsid w:val="00180E50"/>
    <w:rPr>
      <w:i/>
      <w:iCs/>
    </w:rPr>
  </w:style>
  <w:style w:type="character" w:styleId="Hyperlink">
    <w:name w:val="Hyperlink"/>
    <w:basedOn w:val="DefaultParagraphFont"/>
    <w:uiPriority w:val="99"/>
    <w:semiHidden/>
    <w:unhideWhenUsed/>
    <w:rsid w:val="00180E50"/>
    <w:rPr>
      <w:color w:val="0000FF"/>
      <w:u w:val="single"/>
    </w:rPr>
  </w:style>
  <w:style w:type="paragraph" w:styleId="NormalWeb">
    <w:name w:val="Normal (Web)"/>
    <w:basedOn w:val="Normal"/>
    <w:uiPriority w:val="99"/>
    <w:semiHidden/>
    <w:unhideWhenUsed/>
    <w:rsid w:val="00180E50"/>
    <w:pPr>
      <w:spacing w:before="100" w:beforeAutospacing="1" w:after="100" w:afterAutospacing="1"/>
    </w:pPr>
  </w:style>
  <w:style w:type="character" w:styleId="FollowedHyperlink">
    <w:name w:val="FollowedHyperlink"/>
    <w:basedOn w:val="DefaultParagraphFont"/>
    <w:uiPriority w:val="99"/>
    <w:semiHidden/>
    <w:unhideWhenUsed/>
    <w:rsid w:val="00180E50"/>
    <w:rPr>
      <w:color w:val="96607D" w:themeColor="followedHyperlink"/>
      <w:u w:val="single"/>
    </w:rPr>
  </w:style>
  <w:style w:type="character" w:styleId="CommentReference">
    <w:name w:val="annotation reference"/>
    <w:basedOn w:val="DefaultParagraphFont"/>
    <w:uiPriority w:val="99"/>
    <w:semiHidden/>
    <w:unhideWhenUsed/>
    <w:rsid w:val="00185972"/>
    <w:rPr>
      <w:sz w:val="16"/>
      <w:szCs w:val="16"/>
    </w:rPr>
  </w:style>
  <w:style w:type="paragraph" w:styleId="CommentText">
    <w:name w:val="annotation text"/>
    <w:basedOn w:val="Normal"/>
    <w:link w:val="CommentTextChar"/>
    <w:uiPriority w:val="99"/>
    <w:semiHidden/>
    <w:unhideWhenUsed/>
    <w:rsid w:val="00185972"/>
    <w:rPr>
      <w:sz w:val="20"/>
      <w:szCs w:val="20"/>
    </w:rPr>
  </w:style>
  <w:style w:type="character" w:customStyle="1" w:styleId="CommentTextChar">
    <w:name w:val="Comment Text Char"/>
    <w:basedOn w:val="DefaultParagraphFont"/>
    <w:link w:val="CommentText"/>
    <w:uiPriority w:val="99"/>
    <w:semiHidden/>
    <w:rsid w:val="00185972"/>
    <w:rPr>
      <w:sz w:val="20"/>
      <w:szCs w:val="20"/>
    </w:rPr>
  </w:style>
  <w:style w:type="paragraph" w:styleId="CommentSubject">
    <w:name w:val="annotation subject"/>
    <w:basedOn w:val="CommentText"/>
    <w:next w:val="CommentText"/>
    <w:link w:val="CommentSubjectChar"/>
    <w:uiPriority w:val="99"/>
    <w:semiHidden/>
    <w:unhideWhenUsed/>
    <w:rsid w:val="00185972"/>
    <w:rPr>
      <w:b/>
      <w:bCs/>
    </w:rPr>
  </w:style>
  <w:style w:type="character" w:customStyle="1" w:styleId="CommentSubjectChar">
    <w:name w:val="Comment Subject Char"/>
    <w:basedOn w:val="CommentTextChar"/>
    <w:link w:val="CommentSubject"/>
    <w:uiPriority w:val="99"/>
    <w:semiHidden/>
    <w:rsid w:val="001859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675747">
      <w:bodyDiv w:val="1"/>
      <w:marLeft w:val="0"/>
      <w:marRight w:val="0"/>
      <w:marTop w:val="0"/>
      <w:marBottom w:val="0"/>
      <w:divBdr>
        <w:top w:val="none" w:sz="0" w:space="0" w:color="auto"/>
        <w:left w:val="none" w:sz="0" w:space="0" w:color="auto"/>
        <w:bottom w:val="none" w:sz="0" w:space="0" w:color="auto"/>
        <w:right w:val="none" w:sz="0" w:space="0" w:color="auto"/>
      </w:divBdr>
    </w:div>
    <w:div w:id="908344269">
      <w:bodyDiv w:val="1"/>
      <w:marLeft w:val="0"/>
      <w:marRight w:val="0"/>
      <w:marTop w:val="0"/>
      <w:marBottom w:val="0"/>
      <w:divBdr>
        <w:top w:val="none" w:sz="0" w:space="0" w:color="auto"/>
        <w:left w:val="none" w:sz="0" w:space="0" w:color="auto"/>
        <w:bottom w:val="none" w:sz="0" w:space="0" w:color="auto"/>
        <w:right w:val="none" w:sz="0" w:space="0" w:color="auto"/>
      </w:divBdr>
      <w:divsChild>
        <w:div w:id="1760170947">
          <w:marLeft w:val="0"/>
          <w:marRight w:val="0"/>
          <w:marTop w:val="0"/>
          <w:marBottom w:val="0"/>
          <w:divBdr>
            <w:top w:val="none" w:sz="0" w:space="0" w:color="auto"/>
            <w:left w:val="none" w:sz="0" w:space="0" w:color="auto"/>
            <w:bottom w:val="none" w:sz="0" w:space="0" w:color="auto"/>
            <w:right w:val="none" w:sz="0" w:space="0" w:color="auto"/>
          </w:divBdr>
          <w:divsChild>
            <w:div w:id="649019129">
              <w:marLeft w:val="0"/>
              <w:marRight w:val="0"/>
              <w:marTop w:val="0"/>
              <w:marBottom w:val="0"/>
              <w:divBdr>
                <w:top w:val="none" w:sz="0" w:space="0" w:color="auto"/>
                <w:left w:val="none" w:sz="0" w:space="0" w:color="auto"/>
                <w:bottom w:val="none" w:sz="0" w:space="0" w:color="auto"/>
                <w:right w:val="none" w:sz="0" w:space="0" w:color="auto"/>
              </w:divBdr>
              <w:divsChild>
                <w:div w:id="191387064">
                  <w:marLeft w:val="0"/>
                  <w:marRight w:val="0"/>
                  <w:marTop w:val="0"/>
                  <w:marBottom w:val="0"/>
                  <w:divBdr>
                    <w:top w:val="none" w:sz="0" w:space="0" w:color="auto"/>
                    <w:left w:val="none" w:sz="0" w:space="0" w:color="auto"/>
                    <w:bottom w:val="none" w:sz="0" w:space="0" w:color="auto"/>
                    <w:right w:val="none" w:sz="0" w:space="0" w:color="auto"/>
                  </w:divBdr>
                  <w:divsChild>
                    <w:div w:id="152694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finance" TargetMode="External"/><Relationship Id="rId13" Type="http://schemas.openxmlformats.org/officeDocument/2006/relationships/hyperlink" Target="https://www.sec.gov/" TargetMode="External"/><Relationship Id="rId3" Type="http://schemas.openxmlformats.org/officeDocument/2006/relationships/settings" Target="settings.xml"/><Relationship Id="rId7" Type="http://schemas.openxmlformats.org/officeDocument/2006/relationships/hyperlink" Target="https://www.forbes.com/" TargetMode="External"/><Relationship Id="rId12" Type="http://schemas.openxmlformats.org/officeDocument/2006/relationships/hyperlink" Target="https://www.sec.go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ft.com/" TargetMode="External"/><Relationship Id="rId11" Type="http://schemas.openxmlformats.org/officeDocument/2006/relationships/hyperlink" Target="https://www.sec.gov/Archives/edgar/data/1318605/000162828025003063/tsla-20241231.ht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finance.yahoo.com/" TargetMode="External"/><Relationship Id="rId4" Type="http://schemas.openxmlformats.org/officeDocument/2006/relationships/webSettings" Target="webSettings.xml"/><Relationship Id="rId9" Type="http://schemas.openxmlformats.org/officeDocument/2006/relationships/hyperlink" Target="https://www.statista.com/" TargetMode="External"/><Relationship Id="rId14" Type="http://schemas.openxmlformats.org/officeDocument/2006/relationships/hyperlink" Target="https://www.sec.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2569</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Stefanova Naydenova (2417507)</dc:creator>
  <cp:keywords/>
  <dc:description/>
  <cp:lastModifiedBy>Elizabeta Stefanova Naydenova (2417507)</cp:lastModifiedBy>
  <cp:revision>2</cp:revision>
  <dcterms:created xsi:type="dcterms:W3CDTF">2026-07-14T17:37:00Z</dcterms:created>
  <dcterms:modified xsi:type="dcterms:W3CDTF">2026-07-14T17:37:00Z</dcterms:modified>
</cp:coreProperties>
</file>