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CBB" w:rsidRDefault="00BA1DC3">
      <w:pPr>
        <w:rPr>
          <w:b/>
          <w:sz w:val="24"/>
          <w:szCs w:val="24"/>
        </w:rPr>
      </w:pPr>
      <w:r w:rsidRPr="00BA1DC3">
        <w:rPr>
          <w:b/>
          <w:sz w:val="24"/>
          <w:szCs w:val="24"/>
        </w:rPr>
        <w:t>Did the Seleucids interact with the Babylonian elite in a meaningful way to secure their empire? If so, what were the mechanisms through which they did this?</w:t>
      </w:r>
    </w:p>
    <w:p w:rsidR="00BA1DC3" w:rsidRDefault="00BA1DC3">
      <w:pPr>
        <w:rPr>
          <w:b/>
          <w:sz w:val="24"/>
          <w:szCs w:val="24"/>
        </w:rPr>
      </w:pPr>
    </w:p>
    <w:p w:rsidR="00010B74" w:rsidRDefault="00BA1DC3">
      <w:pPr>
        <w:rPr>
          <w:sz w:val="24"/>
          <w:szCs w:val="24"/>
        </w:rPr>
      </w:pPr>
      <w:r>
        <w:rPr>
          <w:sz w:val="24"/>
          <w:szCs w:val="24"/>
        </w:rPr>
        <w:t>The evidence which we can draw on to answer this question is both partial and unclear</w:t>
      </w:r>
      <w:r w:rsidR="00686902">
        <w:rPr>
          <w:sz w:val="24"/>
          <w:szCs w:val="24"/>
        </w:rPr>
        <w:t xml:space="preserve"> and it</w:t>
      </w:r>
      <w:r w:rsidR="00CB1869">
        <w:rPr>
          <w:sz w:val="24"/>
          <w:szCs w:val="24"/>
        </w:rPr>
        <w:t xml:space="preserve"> i</w:t>
      </w:r>
      <w:r w:rsidR="00686902">
        <w:rPr>
          <w:sz w:val="24"/>
          <w:szCs w:val="24"/>
        </w:rPr>
        <w:t>s a tempting</w:t>
      </w:r>
      <w:r w:rsidR="003F57B4">
        <w:rPr>
          <w:sz w:val="24"/>
          <w:szCs w:val="24"/>
        </w:rPr>
        <w:t xml:space="preserve"> to draw questionable conclusions</w:t>
      </w:r>
      <w:r w:rsidR="00CB1869">
        <w:rPr>
          <w:sz w:val="24"/>
          <w:szCs w:val="24"/>
        </w:rPr>
        <w:t xml:space="preserve">, both from silence </w:t>
      </w:r>
      <w:r w:rsidR="005109D1">
        <w:rPr>
          <w:sz w:val="24"/>
          <w:szCs w:val="24"/>
        </w:rPr>
        <w:t>and fro</w:t>
      </w:r>
      <w:r w:rsidR="00CB1869">
        <w:rPr>
          <w:sz w:val="24"/>
          <w:szCs w:val="24"/>
        </w:rPr>
        <w:t>m practice elsewhere.</w:t>
      </w:r>
      <w:r w:rsidR="00B05540">
        <w:rPr>
          <w:sz w:val="24"/>
          <w:szCs w:val="24"/>
        </w:rPr>
        <w:t xml:space="preserve"> </w:t>
      </w:r>
      <w:r w:rsidR="005109D1">
        <w:rPr>
          <w:sz w:val="24"/>
          <w:szCs w:val="24"/>
        </w:rPr>
        <w:t>The impression is that the S</w:t>
      </w:r>
      <w:r w:rsidR="00686902">
        <w:rPr>
          <w:sz w:val="24"/>
          <w:szCs w:val="24"/>
        </w:rPr>
        <w:t>e</w:t>
      </w:r>
      <w:r w:rsidR="005109D1">
        <w:rPr>
          <w:sz w:val="24"/>
          <w:szCs w:val="24"/>
        </w:rPr>
        <w:t>leucids did develop good relationships with Babylonian elite, but at the same time made no attempt to “</w:t>
      </w:r>
      <w:proofErr w:type="spellStart"/>
      <w:r w:rsidR="005109D1">
        <w:rPr>
          <w:sz w:val="24"/>
          <w:szCs w:val="24"/>
        </w:rPr>
        <w:t>hellenize</w:t>
      </w:r>
      <w:proofErr w:type="spellEnd"/>
      <w:r w:rsidR="005109D1">
        <w:rPr>
          <w:sz w:val="24"/>
          <w:szCs w:val="24"/>
        </w:rPr>
        <w:t>” them.  The two communities appear to have lived alongside each other, in reasonable</w:t>
      </w:r>
      <w:r w:rsidR="003F57B4">
        <w:rPr>
          <w:sz w:val="24"/>
          <w:szCs w:val="24"/>
        </w:rPr>
        <w:t xml:space="preserve"> harmony </w:t>
      </w:r>
      <w:r w:rsidR="000B329C">
        <w:rPr>
          <w:sz w:val="24"/>
          <w:szCs w:val="24"/>
        </w:rPr>
        <w:t xml:space="preserve">and without </w:t>
      </w:r>
      <w:bookmarkStart w:id="0" w:name="_GoBack"/>
      <w:bookmarkEnd w:id="0"/>
      <w:r w:rsidR="000B329C">
        <w:rPr>
          <w:sz w:val="24"/>
          <w:szCs w:val="24"/>
        </w:rPr>
        <w:t>overt culture clashes. This was assisted by the fo</w:t>
      </w:r>
      <w:r w:rsidR="00686902">
        <w:rPr>
          <w:sz w:val="24"/>
          <w:szCs w:val="24"/>
        </w:rPr>
        <w:t>u</w:t>
      </w:r>
      <w:r w:rsidR="000B329C">
        <w:rPr>
          <w:sz w:val="24"/>
          <w:szCs w:val="24"/>
        </w:rPr>
        <w:t>nding of new Greek cities.</w:t>
      </w:r>
      <w:r w:rsidR="000B329C">
        <w:rPr>
          <w:rStyle w:val="FootnoteReference"/>
          <w:sz w:val="24"/>
          <w:szCs w:val="24"/>
        </w:rPr>
        <w:footnoteReference w:id="1"/>
      </w:r>
      <w:r w:rsidR="000B329C">
        <w:rPr>
          <w:sz w:val="24"/>
          <w:szCs w:val="24"/>
        </w:rPr>
        <w:t xml:space="preserve"> </w:t>
      </w:r>
      <w:r w:rsidR="003F57B4">
        <w:rPr>
          <w:sz w:val="24"/>
          <w:szCs w:val="24"/>
        </w:rPr>
        <w:t>As an example, t</w:t>
      </w:r>
      <w:r w:rsidR="00D71490">
        <w:rPr>
          <w:sz w:val="24"/>
          <w:szCs w:val="24"/>
        </w:rPr>
        <w:t xml:space="preserve">o date there is no evidence from </w:t>
      </w:r>
      <w:proofErr w:type="spellStart"/>
      <w:r w:rsidR="00D71490">
        <w:rPr>
          <w:sz w:val="24"/>
          <w:szCs w:val="24"/>
        </w:rPr>
        <w:t>Uruk</w:t>
      </w:r>
      <w:proofErr w:type="spellEnd"/>
      <w:r w:rsidR="00D71490">
        <w:rPr>
          <w:sz w:val="24"/>
          <w:szCs w:val="24"/>
        </w:rPr>
        <w:t xml:space="preserve"> of any Greek inscriptions or writing, </w:t>
      </w:r>
      <w:proofErr w:type="gramStart"/>
      <w:r w:rsidR="00D71490">
        <w:rPr>
          <w:sz w:val="24"/>
          <w:szCs w:val="24"/>
        </w:rPr>
        <w:t>with the ex</w:t>
      </w:r>
      <w:r w:rsidR="003F57B4">
        <w:rPr>
          <w:sz w:val="24"/>
          <w:szCs w:val="24"/>
        </w:rPr>
        <w:t>c</w:t>
      </w:r>
      <w:r w:rsidR="00D71490">
        <w:rPr>
          <w:sz w:val="24"/>
          <w:szCs w:val="24"/>
        </w:rPr>
        <w:t>eption of</w:t>
      </w:r>
      <w:proofErr w:type="gramEnd"/>
      <w:r w:rsidR="00D71490">
        <w:rPr>
          <w:sz w:val="24"/>
          <w:szCs w:val="24"/>
        </w:rPr>
        <w:t xml:space="preserve"> some tax records</w:t>
      </w:r>
      <w:r w:rsidR="00686902">
        <w:rPr>
          <w:sz w:val="24"/>
          <w:szCs w:val="24"/>
        </w:rPr>
        <w:t>, suggesting Greek presence there was limited</w:t>
      </w:r>
      <w:r w:rsidR="003F57B4">
        <w:rPr>
          <w:sz w:val="24"/>
          <w:szCs w:val="24"/>
        </w:rPr>
        <w:t>.</w:t>
      </w:r>
      <w:r w:rsidR="00D71490">
        <w:rPr>
          <w:rStyle w:val="FootnoteReference"/>
          <w:sz w:val="24"/>
          <w:szCs w:val="24"/>
        </w:rPr>
        <w:footnoteReference w:id="2"/>
      </w:r>
      <w:r w:rsidR="005109D1">
        <w:rPr>
          <w:sz w:val="24"/>
          <w:szCs w:val="24"/>
        </w:rPr>
        <w:t xml:space="preserve"> </w:t>
      </w:r>
    </w:p>
    <w:p w:rsidR="003F57B4" w:rsidRDefault="00B8011B">
      <w:pPr>
        <w:rPr>
          <w:sz w:val="24"/>
          <w:szCs w:val="24"/>
        </w:rPr>
      </w:pPr>
      <w:r>
        <w:rPr>
          <w:sz w:val="24"/>
          <w:szCs w:val="24"/>
        </w:rPr>
        <w:t>The Babylonian</w:t>
      </w:r>
      <w:r w:rsidR="00686902">
        <w:rPr>
          <w:sz w:val="24"/>
          <w:szCs w:val="24"/>
        </w:rPr>
        <w:t xml:space="preserve"> Chronicle does not</w:t>
      </w:r>
      <w:r>
        <w:rPr>
          <w:sz w:val="24"/>
          <w:szCs w:val="24"/>
        </w:rPr>
        <w:t xml:space="preserve"> question Seleucid right to rule</w:t>
      </w:r>
      <w:r w:rsidR="003A100E">
        <w:rPr>
          <w:rStyle w:val="FootnoteReference"/>
          <w:sz w:val="24"/>
          <w:szCs w:val="24"/>
        </w:rPr>
        <w:footnoteReference w:id="3"/>
      </w:r>
      <w:r>
        <w:rPr>
          <w:sz w:val="24"/>
          <w:szCs w:val="24"/>
        </w:rPr>
        <w:t xml:space="preserve">. </w:t>
      </w:r>
      <w:proofErr w:type="spellStart"/>
      <w:proofErr w:type="gramStart"/>
      <w:r w:rsidR="00686902">
        <w:rPr>
          <w:sz w:val="24"/>
          <w:szCs w:val="24"/>
        </w:rPr>
        <w:t>Seleucus</w:t>
      </w:r>
      <w:proofErr w:type="spellEnd"/>
      <w:r w:rsidR="00686902">
        <w:rPr>
          <w:sz w:val="24"/>
          <w:szCs w:val="24"/>
        </w:rPr>
        <w:t xml:space="preserve"> </w:t>
      </w:r>
      <w:r w:rsidR="00BA1DC3">
        <w:rPr>
          <w:sz w:val="24"/>
          <w:szCs w:val="24"/>
        </w:rPr>
        <w:t xml:space="preserve"> given</w:t>
      </w:r>
      <w:proofErr w:type="gramEnd"/>
      <w:r w:rsidR="00BA1DC3">
        <w:rPr>
          <w:sz w:val="24"/>
          <w:szCs w:val="24"/>
        </w:rPr>
        <w:t xml:space="preserve"> control of Babylo</w:t>
      </w:r>
      <w:r w:rsidR="00686902">
        <w:rPr>
          <w:sz w:val="24"/>
          <w:szCs w:val="24"/>
        </w:rPr>
        <w:t>nia</w:t>
      </w:r>
      <w:r w:rsidR="00BA1DC3">
        <w:rPr>
          <w:sz w:val="24"/>
          <w:szCs w:val="24"/>
        </w:rPr>
        <w:t xml:space="preserve"> in 320BC</w:t>
      </w:r>
      <w:r w:rsidR="00BA1DC3">
        <w:rPr>
          <w:rStyle w:val="FootnoteReference"/>
          <w:sz w:val="24"/>
          <w:szCs w:val="24"/>
        </w:rPr>
        <w:footnoteReference w:id="4"/>
      </w:r>
      <w:r w:rsidR="00B05540">
        <w:rPr>
          <w:sz w:val="24"/>
          <w:szCs w:val="24"/>
        </w:rPr>
        <w:t>,</w:t>
      </w:r>
      <w:r w:rsidR="005D3C52">
        <w:rPr>
          <w:sz w:val="24"/>
          <w:szCs w:val="24"/>
        </w:rPr>
        <w:t xml:space="preserve">  </w:t>
      </w:r>
      <w:r>
        <w:rPr>
          <w:sz w:val="24"/>
          <w:szCs w:val="24"/>
        </w:rPr>
        <w:t>used this initial period</w:t>
      </w:r>
      <w:r w:rsidR="00BA1DC3">
        <w:rPr>
          <w:sz w:val="24"/>
          <w:szCs w:val="24"/>
        </w:rPr>
        <w:t xml:space="preserve"> as </w:t>
      </w:r>
      <w:r w:rsidR="003F57B4">
        <w:rPr>
          <w:sz w:val="24"/>
          <w:szCs w:val="24"/>
        </w:rPr>
        <w:t>strap</w:t>
      </w:r>
      <w:r w:rsidR="005109D1">
        <w:rPr>
          <w:sz w:val="24"/>
          <w:szCs w:val="24"/>
        </w:rPr>
        <w:t xml:space="preserve"> as </w:t>
      </w:r>
      <w:r w:rsidR="00BA1DC3">
        <w:rPr>
          <w:sz w:val="24"/>
          <w:szCs w:val="24"/>
        </w:rPr>
        <w:t>an opportunity to</w:t>
      </w:r>
      <w:r w:rsidR="00686902">
        <w:rPr>
          <w:sz w:val="24"/>
          <w:szCs w:val="24"/>
        </w:rPr>
        <w:t>:</w:t>
      </w:r>
      <w:r w:rsidR="00D71490">
        <w:rPr>
          <w:sz w:val="24"/>
          <w:szCs w:val="24"/>
        </w:rPr>
        <w:t xml:space="preserve">  </w:t>
      </w:r>
    </w:p>
    <w:p w:rsidR="003F57B4" w:rsidRDefault="00B8011B" w:rsidP="003F57B4">
      <w:pPr>
        <w:ind w:left="210"/>
        <w:rPr>
          <w:sz w:val="24"/>
          <w:szCs w:val="24"/>
        </w:rPr>
      </w:pPr>
      <w:r>
        <w:rPr>
          <w:sz w:val="24"/>
          <w:szCs w:val="24"/>
        </w:rPr>
        <w:t>“</w:t>
      </w:r>
      <w:r w:rsidRPr="005109D1">
        <w:rPr>
          <w:i/>
          <w:sz w:val="24"/>
          <w:szCs w:val="24"/>
        </w:rPr>
        <w:t>show himself generous to all, winning the goodwill of the common people, and long in advance securing men who would assist him if an opportunity arose…</w:t>
      </w:r>
      <w:r w:rsidR="00BA1DC3" w:rsidRPr="005109D1">
        <w:rPr>
          <w:i/>
          <w:sz w:val="24"/>
          <w:szCs w:val="24"/>
        </w:rPr>
        <w:t>”</w:t>
      </w:r>
      <w:r w:rsidR="00BA1DC3" w:rsidRPr="005109D1">
        <w:rPr>
          <w:rStyle w:val="FootnoteReference"/>
          <w:i/>
          <w:sz w:val="24"/>
          <w:szCs w:val="24"/>
        </w:rPr>
        <w:footnoteReference w:id="5"/>
      </w:r>
      <w:r>
        <w:rPr>
          <w:sz w:val="24"/>
          <w:szCs w:val="24"/>
        </w:rPr>
        <w:t xml:space="preserve"> </w:t>
      </w:r>
    </w:p>
    <w:p w:rsidR="003F57B4" w:rsidRDefault="003F57B4">
      <w:pPr>
        <w:rPr>
          <w:sz w:val="24"/>
          <w:szCs w:val="24"/>
        </w:rPr>
      </w:pPr>
      <w:r>
        <w:rPr>
          <w:sz w:val="24"/>
          <w:szCs w:val="24"/>
        </w:rPr>
        <w:t xml:space="preserve">On his return from Egypt to reclaim his satrapy from </w:t>
      </w:r>
      <w:proofErr w:type="spellStart"/>
      <w:r>
        <w:rPr>
          <w:sz w:val="24"/>
          <w:szCs w:val="24"/>
        </w:rPr>
        <w:t>Antigonos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Diodorus</w:t>
      </w:r>
      <w:proofErr w:type="spellEnd"/>
      <w:r>
        <w:rPr>
          <w:sz w:val="24"/>
          <w:szCs w:val="24"/>
        </w:rPr>
        <w:t xml:space="preserve"> then says that:</w:t>
      </w:r>
    </w:p>
    <w:p w:rsidR="003F57B4" w:rsidRDefault="003F57B4" w:rsidP="003F57B4">
      <w:pPr>
        <w:ind w:left="270"/>
        <w:rPr>
          <w:i/>
          <w:sz w:val="24"/>
          <w:szCs w:val="24"/>
        </w:rPr>
      </w:pPr>
      <w:r w:rsidRPr="003F57B4">
        <w:rPr>
          <w:i/>
          <w:sz w:val="24"/>
          <w:szCs w:val="24"/>
        </w:rPr>
        <w:t>“he assumed that the Babylonians</w:t>
      </w:r>
      <w:r w:rsidR="00686902">
        <w:rPr>
          <w:i/>
          <w:sz w:val="24"/>
          <w:szCs w:val="24"/>
        </w:rPr>
        <w:t>,</w:t>
      </w:r>
      <w:r w:rsidRPr="003F57B4">
        <w:rPr>
          <w:i/>
          <w:sz w:val="24"/>
          <w:szCs w:val="24"/>
        </w:rPr>
        <w:t xml:space="preserve"> </w:t>
      </w:r>
      <w:proofErr w:type="gramStart"/>
      <w:r w:rsidRPr="003F57B4">
        <w:rPr>
          <w:i/>
          <w:sz w:val="24"/>
          <w:szCs w:val="24"/>
        </w:rPr>
        <w:t>on account of</w:t>
      </w:r>
      <w:proofErr w:type="gramEnd"/>
      <w:r w:rsidRPr="003F57B4">
        <w:rPr>
          <w:i/>
          <w:sz w:val="24"/>
          <w:szCs w:val="24"/>
        </w:rPr>
        <w:t xml:space="preserve"> the goodwi</w:t>
      </w:r>
      <w:r>
        <w:rPr>
          <w:i/>
          <w:sz w:val="24"/>
          <w:szCs w:val="24"/>
        </w:rPr>
        <w:t xml:space="preserve">ll that had previously existed, </w:t>
      </w:r>
      <w:r w:rsidRPr="003F57B4">
        <w:rPr>
          <w:i/>
          <w:sz w:val="24"/>
          <w:szCs w:val="24"/>
        </w:rPr>
        <w:t>would promptly join him…”</w:t>
      </w:r>
      <w:r>
        <w:rPr>
          <w:rStyle w:val="FootnoteReference"/>
          <w:i/>
          <w:sz w:val="24"/>
          <w:szCs w:val="24"/>
        </w:rPr>
        <w:footnoteReference w:id="6"/>
      </w:r>
    </w:p>
    <w:p w:rsidR="003F57B4" w:rsidRPr="003F57B4" w:rsidRDefault="003F57B4" w:rsidP="003F57B4">
      <w:pP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He seems to have been justified in this conclusion. When </w:t>
      </w:r>
      <w:proofErr w:type="spellStart"/>
      <w:r>
        <w:rPr>
          <w:sz w:val="24"/>
          <w:szCs w:val="24"/>
        </w:rPr>
        <w:t>Antigonos</w:t>
      </w:r>
      <w:proofErr w:type="spellEnd"/>
      <w:r>
        <w:rPr>
          <w:sz w:val="24"/>
          <w:szCs w:val="24"/>
        </w:rPr>
        <w:t xml:space="preserve"> attempted to assert his authority over </w:t>
      </w:r>
      <w:proofErr w:type="spellStart"/>
      <w:r>
        <w:rPr>
          <w:sz w:val="24"/>
          <w:szCs w:val="24"/>
        </w:rPr>
        <w:t>Seleucus</w:t>
      </w:r>
      <w:proofErr w:type="spellEnd"/>
      <w:r>
        <w:rPr>
          <w:sz w:val="24"/>
          <w:szCs w:val="24"/>
        </w:rPr>
        <w:t xml:space="preserve"> in 311, he may have unwitti</w:t>
      </w:r>
      <w:r w:rsidR="005D3C52">
        <w:rPr>
          <w:sz w:val="24"/>
          <w:szCs w:val="24"/>
        </w:rPr>
        <w:t>ngly helped the Seleucid</w:t>
      </w:r>
      <w:r>
        <w:rPr>
          <w:sz w:val="24"/>
          <w:szCs w:val="24"/>
        </w:rPr>
        <w:t xml:space="preserve"> cause as he viewed Babylonia as enemy territory and his period of power seems to have been characterised by violence, brutality and destruction in Babylon itself</w:t>
      </w:r>
      <w:r w:rsidR="00686902">
        <w:rPr>
          <w:sz w:val="24"/>
          <w:szCs w:val="24"/>
        </w:rPr>
        <w:t>, resulting</w:t>
      </w:r>
      <w:r w:rsidR="005D3C52">
        <w:rPr>
          <w:sz w:val="24"/>
          <w:szCs w:val="24"/>
        </w:rPr>
        <w:t xml:space="preserve"> in high prices and great suffering</w:t>
      </w:r>
      <w:r>
        <w:rPr>
          <w:rStyle w:val="FootnoteReference"/>
          <w:sz w:val="24"/>
          <w:szCs w:val="24"/>
        </w:rPr>
        <w:footnoteReference w:id="7"/>
      </w:r>
      <w:r>
        <w:rPr>
          <w:sz w:val="24"/>
          <w:szCs w:val="24"/>
        </w:rPr>
        <w:t>.</w:t>
      </w:r>
    </w:p>
    <w:p w:rsidR="00BA1DC3" w:rsidRDefault="00B8011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A3B08">
        <w:rPr>
          <w:sz w:val="24"/>
          <w:szCs w:val="24"/>
        </w:rPr>
        <w:t>We don’t know</w:t>
      </w:r>
      <w:r w:rsidR="00686902">
        <w:rPr>
          <w:sz w:val="24"/>
          <w:szCs w:val="24"/>
        </w:rPr>
        <w:t xml:space="preserve"> </w:t>
      </w:r>
      <w:proofErr w:type="gramStart"/>
      <w:r w:rsidR="00686902">
        <w:rPr>
          <w:sz w:val="24"/>
          <w:szCs w:val="24"/>
        </w:rPr>
        <w:t>all of</w:t>
      </w:r>
      <w:proofErr w:type="gramEnd"/>
      <w:r w:rsidR="005D3C52">
        <w:rPr>
          <w:sz w:val="24"/>
          <w:szCs w:val="24"/>
        </w:rPr>
        <w:t xml:space="preserve"> the methods used by </w:t>
      </w:r>
      <w:proofErr w:type="spellStart"/>
      <w:r w:rsidR="003F57B4">
        <w:rPr>
          <w:sz w:val="24"/>
          <w:szCs w:val="24"/>
        </w:rPr>
        <w:t>Seleucus</w:t>
      </w:r>
      <w:proofErr w:type="spellEnd"/>
      <w:r w:rsidR="003F57B4">
        <w:rPr>
          <w:sz w:val="24"/>
          <w:szCs w:val="24"/>
        </w:rPr>
        <w:t xml:space="preserve"> </w:t>
      </w:r>
      <w:r w:rsidR="005D3C52">
        <w:rPr>
          <w:sz w:val="24"/>
          <w:szCs w:val="24"/>
        </w:rPr>
        <w:t>to build</w:t>
      </w:r>
      <w:r w:rsidR="003F57B4">
        <w:rPr>
          <w:sz w:val="24"/>
          <w:szCs w:val="24"/>
        </w:rPr>
        <w:t xml:space="preserve"> good relations with the elite.</w:t>
      </w:r>
      <w:r w:rsidR="00CA3B08">
        <w:rPr>
          <w:sz w:val="24"/>
          <w:szCs w:val="24"/>
        </w:rPr>
        <w:t xml:space="preserve"> Sherwin-White</w:t>
      </w:r>
      <w:r w:rsidR="00D71490">
        <w:rPr>
          <w:sz w:val="24"/>
          <w:szCs w:val="24"/>
        </w:rPr>
        <w:t xml:space="preserve"> cites</w:t>
      </w:r>
      <w:r w:rsidR="00CA3B08">
        <w:rPr>
          <w:sz w:val="24"/>
          <w:szCs w:val="24"/>
        </w:rPr>
        <w:t xml:space="preserve"> land grants and tax exemption, but the supporting evidence she provides is from a different ruler and place (Eumenes of Caria). </w:t>
      </w:r>
      <w:r w:rsidR="003F57B4">
        <w:rPr>
          <w:sz w:val="24"/>
          <w:szCs w:val="24"/>
        </w:rPr>
        <w:t>We are told</w:t>
      </w:r>
      <w:r w:rsidR="005D3C52">
        <w:rPr>
          <w:sz w:val="24"/>
          <w:szCs w:val="24"/>
        </w:rPr>
        <w:t xml:space="preserve"> by </w:t>
      </w:r>
      <w:proofErr w:type="spellStart"/>
      <w:r w:rsidR="005D3C52">
        <w:rPr>
          <w:sz w:val="24"/>
          <w:szCs w:val="24"/>
        </w:rPr>
        <w:t>Diodorus</w:t>
      </w:r>
      <w:proofErr w:type="spellEnd"/>
      <w:r w:rsidR="003F57B4">
        <w:rPr>
          <w:sz w:val="24"/>
          <w:szCs w:val="24"/>
        </w:rPr>
        <w:t xml:space="preserve"> that</w:t>
      </w:r>
      <w:r w:rsidR="003A100E">
        <w:rPr>
          <w:sz w:val="24"/>
          <w:szCs w:val="24"/>
        </w:rPr>
        <w:t xml:space="preserve"> </w:t>
      </w:r>
      <w:proofErr w:type="spellStart"/>
      <w:r w:rsidR="003A100E">
        <w:rPr>
          <w:sz w:val="24"/>
          <w:szCs w:val="24"/>
        </w:rPr>
        <w:t>Seleucus</w:t>
      </w:r>
      <w:proofErr w:type="spellEnd"/>
      <w:r w:rsidR="005D3C52">
        <w:rPr>
          <w:sz w:val="24"/>
          <w:szCs w:val="24"/>
        </w:rPr>
        <w:t>’ general</w:t>
      </w:r>
      <w:r w:rsidR="003A100E">
        <w:rPr>
          <w:sz w:val="24"/>
          <w:szCs w:val="24"/>
        </w:rPr>
        <w:t xml:space="preserve"> ordered the evacuation of the local people as well as Greeks </w:t>
      </w:r>
      <w:r w:rsidR="00B05540">
        <w:rPr>
          <w:sz w:val="24"/>
          <w:szCs w:val="24"/>
        </w:rPr>
        <w:t>as the invaders approached</w:t>
      </w:r>
      <w:r w:rsidR="005D3C52">
        <w:rPr>
          <w:sz w:val="24"/>
          <w:szCs w:val="24"/>
        </w:rPr>
        <w:t>, showing a concern for Babylonians</w:t>
      </w:r>
      <w:r w:rsidR="003F57B4">
        <w:rPr>
          <w:sz w:val="24"/>
          <w:szCs w:val="24"/>
        </w:rPr>
        <w:t xml:space="preserve"> as well as his Macedonian troops and colleagues</w:t>
      </w:r>
      <w:r w:rsidR="00B05540">
        <w:rPr>
          <w:sz w:val="24"/>
          <w:szCs w:val="24"/>
        </w:rPr>
        <w:t>.</w:t>
      </w:r>
      <w:r w:rsidR="003A100E">
        <w:rPr>
          <w:rStyle w:val="FootnoteReference"/>
          <w:sz w:val="24"/>
          <w:szCs w:val="24"/>
        </w:rPr>
        <w:footnoteReference w:id="8"/>
      </w:r>
    </w:p>
    <w:p w:rsidR="000D2165" w:rsidRDefault="000D2165" w:rsidP="000D2165">
      <w:pPr>
        <w:rPr>
          <w:sz w:val="24"/>
          <w:szCs w:val="24"/>
        </w:rPr>
      </w:pPr>
      <w:r>
        <w:rPr>
          <w:sz w:val="24"/>
          <w:szCs w:val="24"/>
        </w:rPr>
        <w:t>One means</w:t>
      </w:r>
      <w:r w:rsidR="005D3C52">
        <w:rPr>
          <w:sz w:val="24"/>
          <w:szCs w:val="24"/>
        </w:rPr>
        <w:t xml:space="preserve"> which is recorded and used</w:t>
      </w:r>
      <w:r>
        <w:rPr>
          <w:sz w:val="24"/>
          <w:szCs w:val="24"/>
        </w:rPr>
        <w:t xml:space="preserve"> by both </w:t>
      </w:r>
      <w:proofErr w:type="spellStart"/>
      <w:r>
        <w:rPr>
          <w:sz w:val="24"/>
          <w:szCs w:val="24"/>
        </w:rPr>
        <w:t>Seleucus</w:t>
      </w:r>
      <w:proofErr w:type="spellEnd"/>
      <w:r>
        <w:rPr>
          <w:sz w:val="24"/>
          <w:szCs w:val="24"/>
        </w:rPr>
        <w:t xml:space="preserve"> 1 and </w:t>
      </w:r>
      <w:proofErr w:type="spellStart"/>
      <w:r>
        <w:rPr>
          <w:sz w:val="24"/>
          <w:szCs w:val="24"/>
        </w:rPr>
        <w:t>Antiochos</w:t>
      </w:r>
      <w:proofErr w:type="spellEnd"/>
      <w:r>
        <w:rPr>
          <w:sz w:val="24"/>
          <w:szCs w:val="24"/>
        </w:rPr>
        <w:t xml:space="preserve"> 1 was their demonstration of respect for Babylonian religion. The Chronicle of the </w:t>
      </w:r>
      <w:proofErr w:type="spellStart"/>
      <w:r>
        <w:rPr>
          <w:sz w:val="24"/>
          <w:szCs w:val="24"/>
        </w:rPr>
        <w:t>Diadochoi</w:t>
      </w:r>
      <w:proofErr w:type="spellEnd"/>
      <w:r>
        <w:rPr>
          <w:sz w:val="24"/>
          <w:szCs w:val="24"/>
        </w:rPr>
        <w:t xml:space="preserve"> describes </w:t>
      </w:r>
      <w:proofErr w:type="spellStart"/>
      <w:r>
        <w:rPr>
          <w:sz w:val="24"/>
          <w:szCs w:val="24"/>
        </w:rPr>
        <w:lastRenderedPageBreak/>
        <w:t>Antiochos</w:t>
      </w:r>
      <w:proofErr w:type="spellEnd"/>
      <w:r>
        <w:rPr>
          <w:sz w:val="24"/>
          <w:szCs w:val="24"/>
        </w:rPr>
        <w:t xml:space="preserve"> 1, as Crown Prince, making offerings at the Temple of Sin.</w:t>
      </w:r>
      <w:r>
        <w:rPr>
          <w:rStyle w:val="FootnoteReference"/>
          <w:sz w:val="24"/>
          <w:szCs w:val="24"/>
        </w:rPr>
        <w:footnoteReference w:id="9"/>
      </w:r>
      <w:r>
        <w:rPr>
          <w:sz w:val="24"/>
          <w:szCs w:val="24"/>
        </w:rPr>
        <w:t xml:space="preserve"> The </w:t>
      </w:r>
      <w:proofErr w:type="spellStart"/>
      <w:r>
        <w:rPr>
          <w:sz w:val="24"/>
          <w:szCs w:val="24"/>
        </w:rPr>
        <w:t>Antiochos</w:t>
      </w:r>
      <w:proofErr w:type="spellEnd"/>
      <w:r>
        <w:rPr>
          <w:sz w:val="24"/>
          <w:szCs w:val="24"/>
        </w:rPr>
        <w:t xml:space="preserve"> 1 cylinder found at </w:t>
      </w:r>
      <w:proofErr w:type="spellStart"/>
      <w:r>
        <w:rPr>
          <w:sz w:val="24"/>
          <w:szCs w:val="24"/>
        </w:rPr>
        <w:t>Borsippa</w:t>
      </w:r>
      <w:proofErr w:type="spellEnd"/>
      <w:r>
        <w:rPr>
          <w:sz w:val="24"/>
          <w:szCs w:val="24"/>
        </w:rPr>
        <w:t xml:space="preserve"> shows him continuing a traditional local practice of depositing a </w:t>
      </w:r>
      <w:r w:rsidR="005D3C52">
        <w:rPr>
          <w:sz w:val="24"/>
          <w:szCs w:val="24"/>
        </w:rPr>
        <w:t xml:space="preserve">cuneiform </w:t>
      </w:r>
      <w:r>
        <w:rPr>
          <w:sz w:val="24"/>
          <w:szCs w:val="24"/>
        </w:rPr>
        <w:t>cylinder in the foundations/wall</w:t>
      </w:r>
      <w:r w:rsidR="005D3C52">
        <w:rPr>
          <w:sz w:val="24"/>
          <w:szCs w:val="24"/>
        </w:rPr>
        <w:t>s of a temple</w:t>
      </w:r>
      <w:r>
        <w:rPr>
          <w:sz w:val="24"/>
          <w:szCs w:val="24"/>
        </w:rPr>
        <w:t>, of</w:t>
      </w:r>
      <w:r w:rsidR="00A431AF">
        <w:rPr>
          <w:sz w:val="24"/>
          <w:szCs w:val="24"/>
        </w:rPr>
        <w:t xml:space="preserve"> </w:t>
      </w:r>
      <w:r>
        <w:rPr>
          <w:sz w:val="24"/>
          <w:szCs w:val="24"/>
        </w:rPr>
        <w:t>using traditional Babylonian language and sc</w:t>
      </w:r>
      <w:r w:rsidR="00686902">
        <w:rPr>
          <w:sz w:val="24"/>
          <w:szCs w:val="24"/>
        </w:rPr>
        <w:t xml:space="preserve">ript and cylinder form and following </w:t>
      </w:r>
      <w:r>
        <w:rPr>
          <w:sz w:val="24"/>
          <w:szCs w:val="24"/>
        </w:rPr>
        <w:t xml:space="preserve"> local ceremonies requiring the king’s physical presence to lay foundation bricks</w:t>
      </w:r>
      <w:r w:rsidR="00010B74">
        <w:rPr>
          <w:sz w:val="24"/>
          <w:szCs w:val="24"/>
        </w:rPr>
        <w:t>.</w:t>
      </w:r>
      <w:r>
        <w:rPr>
          <w:rStyle w:val="FootnoteReference"/>
          <w:sz w:val="24"/>
          <w:szCs w:val="24"/>
        </w:rPr>
        <w:footnoteReference w:id="10"/>
      </w:r>
      <w:r w:rsidR="00010B74">
        <w:rPr>
          <w:sz w:val="24"/>
          <w:szCs w:val="24"/>
        </w:rPr>
        <w:t xml:space="preserve"> Temple officials were important members of the Babylonian community and presumably influential in how the rest of the community viewed their rulers.</w:t>
      </w:r>
    </w:p>
    <w:p w:rsidR="005D3C52" w:rsidRDefault="005D3C52" w:rsidP="005D3C5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Seleucus</w:t>
      </w:r>
      <w:proofErr w:type="spellEnd"/>
      <w:r>
        <w:rPr>
          <w:sz w:val="24"/>
          <w:szCs w:val="24"/>
        </w:rPr>
        <w:t xml:space="preserve"> 1 alongside his Crown Prince Antiochus seems to have been successful in developing a rule which was acceptable to the Babylonian elite. On the accession of </w:t>
      </w:r>
      <w:proofErr w:type="spellStart"/>
      <w:r>
        <w:rPr>
          <w:sz w:val="24"/>
          <w:szCs w:val="24"/>
        </w:rPr>
        <w:t>Antiochos</w:t>
      </w:r>
      <w:proofErr w:type="spellEnd"/>
      <w:r>
        <w:rPr>
          <w:sz w:val="24"/>
          <w:szCs w:val="24"/>
        </w:rPr>
        <w:t xml:space="preserve"> in 281, whilst there were revolts in Asia Minor and Persia, Babylonia appears to have remained loyal</w:t>
      </w:r>
      <w:r>
        <w:rPr>
          <w:rStyle w:val="FootnoteReference"/>
          <w:sz w:val="24"/>
          <w:szCs w:val="24"/>
        </w:rPr>
        <w:footnoteReference w:id="11"/>
      </w:r>
      <w:r>
        <w:rPr>
          <w:sz w:val="24"/>
          <w:szCs w:val="24"/>
        </w:rPr>
        <w:t>.</w:t>
      </w:r>
    </w:p>
    <w:p w:rsidR="00010B74" w:rsidRDefault="00010B74" w:rsidP="00010B74">
      <w:pPr>
        <w:rPr>
          <w:sz w:val="24"/>
          <w:szCs w:val="24"/>
        </w:rPr>
      </w:pPr>
      <w:r>
        <w:rPr>
          <w:sz w:val="24"/>
          <w:szCs w:val="24"/>
        </w:rPr>
        <w:t xml:space="preserve">The Babylonians had long experience of being ruled by “outsiders”.  The </w:t>
      </w:r>
      <w:proofErr w:type="spellStart"/>
      <w:r>
        <w:rPr>
          <w:sz w:val="24"/>
          <w:szCs w:val="24"/>
        </w:rPr>
        <w:t>Achmaenids</w:t>
      </w:r>
      <w:proofErr w:type="spellEnd"/>
      <w:r>
        <w:rPr>
          <w:sz w:val="24"/>
          <w:szCs w:val="24"/>
        </w:rPr>
        <w:t xml:space="preserve"> who ruled for the preceding 200 years were Persian</w:t>
      </w:r>
      <w:r>
        <w:rPr>
          <w:rStyle w:val="FootnoteReference"/>
          <w:sz w:val="24"/>
          <w:szCs w:val="24"/>
        </w:rPr>
        <w:footnoteReference w:id="12"/>
      </w:r>
      <w:r>
        <w:rPr>
          <w:sz w:val="24"/>
          <w:szCs w:val="24"/>
        </w:rPr>
        <w:t xml:space="preserve">. This may have eased </w:t>
      </w:r>
      <w:proofErr w:type="spellStart"/>
      <w:r>
        <w:rPr>
          <w:sz w:val="24"/>
          <w:szCs w:val="24"/>
        </w:rPr>
        <w:t>Sel</w:t>
      </w:r>
      <w:r w:rsidR="00686902">
        <w:rPr>
          <w:sz w:val="24"/>
          <w:szCs w:val="24"/>
        </w:rPr>
        <w:t>eucus</w:t>
      </w:r>
      <w:proofErr w:type="spellEnd"/>
      <w:r w:rsidR="00686902">
        <w:rPr>
          <w:sz w:val="24"/>
          <w:szCs w:val="24"/>
        </w:rPr>
        <w:t xml:space="preserve">’ path. Alternatively, </w:t>
      </w:r>
      <w:proofErr w:type="spellStart"/>
      <w:r w:rsidR="00686902">
        <w:rPr>
          <w:sz w:val="24"/>
          <w:szCs w:val="24"/>
        </w:rPr>
        <w:t>Bablylon</w:t>
      </w:r>
      <w:proofErr w:type="spellEnd"/>
      <w:r>
        <w:rPr>
          <w:sz w:val="24"/>
          <w:szCs w:val="24"/>
        </w:rPr>
        <w:t xml:space="preserve"> may have seen this as an opportunity to re-assert local autonomy. The evidence we have suggests this latter was not the case.  </w:t>
      </w:r>
      <w:r w:rsidR="00686902">
        <w:rPr>
          <w:sz w:val="24"/>
          <w:szCs w:val="24"/>
        </w:rPr>
        <w:t xml:space="preserve">As it would be the elite who planned and led such rebellions, we can probably infer that the Seleucids relationship with the Babylonian elite was </w:t>
      </w:r>
      <w:proofErr w:type="gramStart"/>
      <w:r w:rsidR="00686902">
        <w:rPr>
          <w:sz w:val="24"/>
          <w:szCs w:val="24"/>
        </w:rPr>
        <w:t>fairly successful</w:t>
      </w:r>
      <w:proofErr w:type="gramEnd"/>
      <w:r w:rsidR="00686902">
        <w:rPr>
          <w:sz w:val="24"/>
          <w:szCs w:val="24"/>
        </w:rPr>
        <w:t>.</w:t>
      </w:r>
    </w:p>
    <w:p w:rsidR="005D3C52" w:rsidRDefault="005D3C52">
      <w:pPr>
        <w:rPr>
          <w:sz w:val="24"/>
          <w:szCs w:val="24"/>
        </w:rPr>
      </w:pPr>
    </w:p>
    <w:p w:rsidR="005D3C52" w:rsidRDefault="005D3C52">
      <w:pPr>
        <w:rPr>
          <w:sz w:val="24"/>
          <w:szCs w:val="24"/>
        </w:rPr>
      </w:pPr>
      <w:r>
        <w:rPr>
          <w:sz w:val="24"/>
          <w:szCs w:val="24"/>
        </w:rPr>
        <w:t>References</w:t>
      </w:r>
    </w:p>
    <w:p w:rsidR="0095515A" w:rsidRPr="0095515A" w:rsidRDefault="0095515A">
      <w:pPr>
        <w:rPr>
          <w:b/>
          <w:sz w:val="24"/>
          <w:szCs w:val="24"/>
        </w:rPr>
      </w:pPr>
      <w:r w:rsidRPr="0095515A">
        <w:rPr>
          <w:b/>
          <w:sz w:val="24"/>
          <w:szCs w:val="24"/>
        </w:rPr>
        <w:t>Ancient Sources</w:t>
      </w:r>
    </w:p>
    <w:p w:rsidR="00010B74" w:rsidRDefault="0095515A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BCHP 5: Antiochus 1 and Sin Temple Chronicle. </w:t>
      </w:r>
      <w:hyperlink r:id="rId7" w:history="1">
        <w:r w:rsidRPr="004B5A1B">
          <w:rPr>
            <w:rStyle w:val="Hyperlink"/>
            <w:sz w:val="24"/>
            <w:szCs w:val="24"/>
          </w:rPr>
          <w:t>www.livius.org/cg-cm/chronicles/bchp-antiochus_sin/antiochus_sin_01.html</w:t>
        </w:r>
      </w:hyperlink>
    </w:p>
    <w:p w:rsidR="00010B74" w:rsidRPr="00010B74" w:rsidRDefault="00010B74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Chronicle of the Diadochi (ABC 10) www.livius.org/cg-cm/chronicles/bchp-diadochi_02.htm</w:t>
      </w:r>
    </w:p>
    <w:p w:rsidR="0095515A" w:rsidRPr="00010B74" w:rsidRDefault="0095515A">
      <w:pPr>
        <w:rPr>
          <w:color w:val="0563C1" w:themeColor="hyperlink"/>
          <w:sz w:val="24"/>
          <w:szCs w:val="24"/>
          <w:u w:val="single"/>
        </w:rPr>
      </w:pPr>
      <w:proofErr w:type="spellStart"/>
      <w:r w:rsidRPr="00010B74">
        <w:rPr>
          <w:i/>
          <w:sz w:val="24"/>
          <w:szCs w:val="24"/>
        </w:rPr>
        <w:t>Diodorus</w:t>
      </w:r>
      <w:proofErr w:type="spellEnd"/>
      <w:r w:rsidRPr="00010B74">
        <w:rPr>
          <w:i/>
          <w:sz w:val="24"/>
          <w:szCs w:val="24"/>
        </w:rPr>
        <w:t xml:space="preserve"> Siculus </w:t>
      </w:r>
      <w:r w:rsidR="00010B74" w:rsidRPr="00010B74">
        <w:rPr>
          <w:i/>
          <w:sz w:val="24"/>
          <w:szCs w:val="24"/>
        </w:rPr>
        <w:t>II: the historical library in forty books. Vol.2: Books 15-40</w:t>
      </w:r>
      <w:r w:rsidR="00010B74">
        <w:rPr>
          <w:sz w:val="24"/>
          <w:szCs w:val="24"/>
        </w:rPr>
        <w:t>. Lauren, G. (trans.) Calif: Sophron, 2014</w:t>
      </w:r>
    </w:p>
    <w:p w:rsidR="0095515A" w:rsidRDefault="0095515A">
      <w:pPr>
        <w:rPr>
          <w:sz w:val="24"/>
          <w:szCs w:val="24"/>
        </w:rPr>
      </w:pPr>
    </w:p>
    <w:p w:rsidR="0095515A" w:rsidRPr="0095515A" w:rsidRDefault="0095515A">
      <w:pPr>
        <w:rPr>
          <w:b/>
          <w:sz w:val="24"/>
          <w:szCs w:val="24"/>
        </w:rPr>
      </w:pPr>
      <w:r w:rsidRPr="0095515A">
        <w:rPr>
          <w:b/>
          <w:sz w:val="24"/>
          <w:szCs w:val="24"/>
        </w:rPr>
        <w:t>Modern scholarship</w:t>
      </w:r>
    </w:p>
    <w:p w:rsidR="005D3C52" w:rsidRDefault="0095515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Braund</w:t>
      </w:r>
      <w:proofErr w:type="spellEnd"/>
      <w:r>
        <w:rPr>
          <w:sz w:val="24"/>
          <w:szCs w:val="24"/>
        </w:rPr>
        <w:t>, D. 2003.</w:t>
      </w:r>
      <w:r w:rsidR="00CB4928">
        <w:rPr>
          <w:sz w:val="24"/>
          <w:szCs w:val="24"/>
        </w:rPr>
        <w:t>”</w:t>
      </w:r>
      <w:r>
        <w:rPr>
          <w:sz w:val="24"/>
          <w:szCs w:val="24"/>
        </w:rPr>
        <w:t xml:space="preserve"> After Alexander: the emergence of the Hellenistic world, 323-281</w:t>
      </w:r>
      <w:r w:rsidR="00CB4928">
        <w:rPr>
          <w:sz w:val="24"/>
          <w:szCs w:val="24"/>
        </w:rPr>
        <w:t>” in A.</w:t>
      </w:r>
      <w:r>
        <w:rPr>
          <w:sz w:val="24"/>
          <w:szCs w:val="24"/>
        </w:rPr>
        <w:t xml:space="preserve"> Erskine (ed.) </w:t>
      </w:r>
      <w:r w:rsidRPr="00CB4928">
        <w:rPr>
          <w:i/>
          <w:sz w:val="24"/>
          <w:szCs w:val="24"/>
        </w:rPr>
        <w:t>A Companion to the Hellenistic world, Oxford</w:t>
      </w:r>
      <w:r>
        <w:rPr>
          <w:sz w:val="24"/>
          <w:szCs w:val="24"/>
        </w:rPr>
        <w:t>, Blackwell. 19-34</w:t>
      </w:r>
    </w:p>
    <w:p w:rsidR="00651EAC" w:rsidRDefault="00651EAC">
      <w:pPr>
        <w:rPr>
          <w:sz w:val="24"/>
          <w:szCs w:val="24"/>
        </w:rPr>
      </w:pPr>
      <w:r>
        <w:rPr>
          <w:sz w:val="24"/>
          <w:szCs w:val="24"/>
        </w:rPr>
        <w:t xml:space="preserve">Errington, R.M. 2008. </w:t>
      </w:r>
      <w:r w:rsidRPr="00651EAC">
        <w:rPr>
          <w:i/>
          <w:sz w:val="24"/>
          <w:szCs w:val="24"/>
        </w:rPr>
        <w:t>History of the Hellenistic World, 323-30BC</w:t>
      </w:r>
      <w:r>
        <w:rPr>
          <w:sz w:val="24"/>
          <w:szCs w:val="24"/>
        </w:rPr>
        <w:t>. Oxford: Blackwell</w:t>
      </w:r>
    </w:p>
    <w:p w:rsidR="0095515A" w:rsidRDefault="0095515A">
      <w:pPr>
        <w:rPr>
          <w:sz w:val="24"/>
          <w:szCs w:val="24"/>
        </w:rPr>
      </w:pPr>
      <w:r>
        <w:rPr>
          <w:sz w:val="24"/>
          <w:szCs w:val="24"/>
        </w:rPr>
        <w:t xml:space="preserve">Sherwin-White, S.M and </w:t>
      </w:r>
      <w:proofErr w:type="spellStart"/>
      <w:r>
        <w:rPr>
          <w:sz w:val="24"/>
          <w:szCs w:val="24"/>
        </w:rPr>
        <w:t>Kuhrt</w:t>
      </w:r>
      <w:proofErr w:type="spellEnd"/>
      <w:r>
        <w:rPr>
          <w:sz w:val="24"/>
          <w:szCs w:val="24"/>
        </w:rPr>
        <w:t>, A. 1993</w:t>
      </w:r>
      <w:r w:rsidRPr="0095515A">
        <w:rPr>
          <w:i/>
          <w:sz w:val="24"/>
          <w:szCs w:val="24"/>
        </w:rPr>
        <w:t xml:space="preserve">. From </w:t>
      </w:r>
      <w:proofErr w:type="spellStart"/>
      <w:r w:rsidRPr="0095515A">
        <w:rPr>
          <w:i/>
          <w:sz w:val="24"/>
          <w:szCs w:val="24"/>
        </w:rPr>
        <w:t>Samarkhand</w:t>
      </w:r>
      <w:proofErr w:type="spellEnd"/>
      <w:r w:rsidRPr="0095515A">
        <w:rPr>
          <w:i/>
          <w:sz w:val="24"/>
          <w:szCs w:val="24"/>
        </w:rPr>
        <w:t xml:space="preserve"> to Sardis: a new approach to the Seleucid empire</w:t>
      </w:r>
      <w:r>
        <w:rPr>
          <w:sz w:val="24"/>
          <w:szCs w:val="24"/>
        </w:rPr>
        <w:t>. London, Duckworth.</w:t>
      </w:r>
    </w:p>
    <w:p w:rsidR="00010B74" w:rsidRDefault="00010B7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Sherwin-White, S. 1991. ‘Aspects of Seleucid royal ideology: the cylinder of Antiochus 1 from </w:t>
      </w:r>
      <w:proofErr w:type="spellStart"/>
      <w:r>
        <w:rPr>
          <w:sz w:val="24"/>
          <w:szCs w:val="24"/>
        </w:rPr>
        <w:t>Borsippa</w:t>
      </w:r>
      <w:proofErr w:type="spellEnd"/>
      <w:r>
        <w:rPr>
          <w:sz w:val="24"/>
          <w:szCs w:val="24"/>
        </w:rPr>
        <w:t xml:space="preserve">’. </w:t>
      </w:r>
      <w:r w:rsidRPr="00010B74">
        <w:rPr>
          <w:i/>
          <w:sz w:val="24"/>
          <w:szCs w:val="24"/>
        </w:rPr>
        <w:t>Journal of Hellenic Studies</w:t>
      </w:r>
      <w:r>
        <w:rPr>
          <w:sz w:val="24"/>
          <w:szCs w:val="24"/>
        </w:rPr>
        <w:t>, 111, 71-86</w:t>
      </w:r>
    </w:p>
    <w:p w:rsidR="0095515A" w:rsidRPr="00BA1DC3" w:rsidRDefault="0095515A">
      <w:pPr>
        <w:rPr>
          <w:sz w:val="24"/>
          <w:szCs w:val="24"/>
        </w:rPr>
      </w:pPr>
      <w:r>
        <w:rPr>
          <w:sz w:val="24"/>
          <w:szCs w:val="24"/>
        </w:rPr>
        <w:t>Van der</w:t>
      </w:r>
      <w:r w:rsidR="00010B7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Mieroop</w:t>
      </w:r>
      <w:proofErr w:type="spellEnd"/>
      <w:r>
        <w:rPr>
          <w:sz w:val="24"/>
          <w:szCs w:val="24"/>
        </w:rPr>
        <w:t xml:space="preserve">, M. 2007. </w:t>
      </w:r>
      <w:r w:rsidRPr="0095515A">
        <w:rPr>
          <w:i/>
          <w:sz w:val="24"/>
          <w:szCs w:val="24"/>
        </w:rPr>
        <w:t>A history of the ancient Near East ca. 3000-323BC.</w:t>
      </w:r>
      <w:r>
        <w:rPr>
          <w:sz w:val="24"/>
          <w:szCs w:val="24"/>
        </w:rPr>
        <w:t xml:space="preserve"> Oxford, Blackwell. 2</w:t>
      </w:r>
      <w:r w:rsidRPr="0095515A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ed.</w:t>
      </w:r>
    </w:p>
    <w:sectPr w:rsidR="0095515A" w:rsidRPr="00BA1D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33B" w:rsidRDefault="00FA633B" w:rsidP="00BA1DC3">
      <w:pPr>
        <w:spacing w:after="0" w:line="240" w:lineRule="auto"/>
      </w:pPr>
      <w:r>
        <w:separator/>
      </w:r>
    </w:p>
  </w:endnote>
  <w:endnote w:type="continuationSeparator" w:id="0">
    <w:p w:rsidR="00FA633B" w:rsidRDefault="00FA633B" w:rsidP="00BA1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33B" w:rsidRDefault="00FA633B" w:rsidP="00BA1DC3">
      <w:pPr>
        <w:spacing w:after="0" w:line="240" w:lineRule="auto"/>
      </w:pPr>
      <w:r>
        <w:separator/>
      </w:r>
    </w:p>
  </w:footnote>
  <w:footnote w:type="continuationSeparator" w:id="0">
    <w:p w:rsidR="00FA633B" w:rsidRDefault="00FA633B" w:rsidP="00BA1DC3">
      <w:pPr>
        <w:spacing w:after="0" w:line="240" w:lineRule="auto"/>
      </w:pPr>
      <w:r>
        <w:continuationSeparator/>
      </w:r>
    </w:p>
  </w:footnote>
  <w:footnote w:id="1">
    <w:p w:rsidR="000B329C" w:rsidRDefault="000B329C">
      <w:pPr>
        <w:pStyle w:val="FootnoteText"/>
      </w:pPr>
      <w:r>
        <w:rPr>
          <w:rStyle w:val="FootnoteReference"/>
        </w:rPr>
        <w:footnoteRef/>
      </w:r>
      <w:r>
        <w:t xml:space="preserve"> Errington</w:t>
      </w:r>
      <w:r w:rsidR="00651EAC">
        <w:t xml:space="preserve"> 2008:70</w:t>
      </w:r>
    </w:p>
  </w:footnote>
  <w:footnote w:id="2">
    <w:p w:rsidR="00D71490" w:rsidRDefault="00D71490">
      <w:pPr>
        <w:pStyle w:val="FootnoteText"/>
      </w:pPr>
      <w:r>
        <w:rPr>
          <w:rStyle w:val="FootnoteReference"/>
        </w:rPr>
        <w:footnoteRef/>
      </w:r>
      <w:r>
        <w:t xml:space="preserve"> Sherwin-White 1993:149</w:t>
      </w:r>
    </w:p>
  </w:footnote>
  <w:footnote w:id="3">
    <w:p w:rsidR="003A100E" w:rsidRDefault="003A10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5515A">
        <w:t>ABC 10</w:t>
      </w:r>
    </w:p>
  </w:footnote>
  <w:footnote w:id="4">
    <w:p w:rsidR="00BA1DC3" w:rsidRDefault="00BA1D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Braund</w:t>
      </w:r>
      <w:proofErr w:type="spellEnd"/>
      <w:r>
        <w:t xml:space="preserve"> 2003:23</w:t>
      </w:r>
    </w:p>
  </w:footnote>
  <w:footnote w:id="5">
    <w:p w:rsidR="00BA1DC3" w:rsidRDefault="00BA1D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Diodorus</w:t>
      </w:r>
      <w:proofErr w:type="spellEnd"/>
      <w:r>
        <w:t>, XIX.91</w:t>
      </w:r>
    </w:p>
  </w:footnote>
  <w:footnote w:id="6">
    <w:p w:rsidR="003F57B4" w:rsidRDefault="003F57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Diodorus</w:t>
      </w:r>
      <w:proofErr w:type="spellEnd"/>
      <w:r>
        <w:t xml:space="preserve"> XIX.90</w:t>
      </w:r>
    </w:p>
  </w:footnote>
  <w:footnote w:id="7">
    <w:p w:rsidR="003F57B4" w:rsidRDefault="003F57B4" w:rsidP="003F57B4">
      <w:pPr>
        <w:pStyle w:val="FootnoteText"/>
      </w:pPr>
      <w:r>
        <w:rPr>
          <w:rStyle w:val="FootnoteReference"/>
        </w:rPr>
        <w:footnoteRef/>
      </w:r>
      <w:r>
        <w:t xml:space="preserve"> ABC 10</w:t>
      </w:r>
    </w:p>
  </w:footnote>
  <w:footnote w:id="8">
    <w:p w:rsidR="003A100E" w:rsidRDefault="003A10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D5575">
        <w:t xml:space="preserve"> </w:t>
      </w:r>
      <w:r>
        <w:t xml:space="preserve"> </w:t>
      </w:r>
      <w:proofErr w:type="gramStart"/>
      <w:r w:rsidR="00651EAC">
        <w:t>Diodorus,</w:t>
      </w:r>
      <w:r>
        <w:t>XIX</w:t>
      </w:r>
      <w:proofErr w:type="gramEnd"/>
      <w:r>
        <w:t>:100</w:t>
      </w:r>
    </w:p>
  </w:footnote>
  <w:footnote w:id="9">
    <w:p w:rsidR="000D2165" w:rsidRDefault="000D21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D3C52">
        <w:t>BCHP 5</w:t>
      </w:r>
    </w:p>
  </w:footnote>
  <w:footnote w:id="10">
    <w:p w:rsidR="000D2165" w:rsidRDefault="000D2165" w:rsidP="000D21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51EAC">
        <w:t>Sherwin-White 1991:71-2</w:t>
      </w:r>
    </w:p>
  </w:footnote>
  <w:footnote w:id="11">
    <w:p w:rsidR="005D3C52" w:rsidRDefault="005D3C52" w:rsidP="005D3C52">
      <w:pPr>
        <w:pStyle w:val="FootnoteText"/>
      </w:pPr>
      <w:r>
        <w:rPr>
          <w:rStyle w:val="FootnoteReference"/>
        </w:rPr>
        <w:footnoteRef/>
      </w:r>
      <w:r>
        <w:t xml:space="preserve"> Sherwin-White 1993:30  </w:t>
      </w:r>
    </w:p>
  </w:footnote>
  <w:footnote w:id="12">
    <w:p w:rsidR="00010B74" w:rsidRDefault="00010B74" w:rsidP="00010B74">
      <w:pPr>
        <w:pStyle w:val="FootnoteText"/>
      </w:pPr>
      <w:r>
        <w:rPr>
          <w:rStyle w:val="FootnoteReference"/>
        </w:rPr>
        <w:footnoteRef/>
      </w:r>
      <w:r>
        <w:t xml:space="preserve"> Van der </w:t>
      </w:r>
      <w:proofErr w:type="spellStart"/>
      <w:r>
        <w:t>Mieroop</w:t>
      </w:r>
      <w:proofErr w:type="spellEnd"/>
      <w:r>
        <w:t>, 2007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DC3"/>
    <w:rsid w:val="00010B74"/>
    <w:rsid w:val="00087CBB"/>
    <w:rsid w:val="00097CF0"/>
    <w:rsid w:val="000B329C"/>
    <w:rsid w:val="000D2165"/>
    <w:rsid w:val="002730C0"/>
    <w:rsid w:val="003A100E"/>
    <w:rsid w:val="003E2E7C"/>
    <w:rsid w:val="003F57B4"/>
    <w:rsid w:val="005109D1"/>
    <w:rsid w:val="005D3C52"/>
    <w:rsid w:val="00651EAC"/>
    <w:rsid w:val="006714E4"/>
    <w:rsid w:val="00686902"/>
    <w:rsid w:val="0095515A"/>
    <w:rsid w:val="00A431AF"/>
    <w:rsid w:val="00B05540"/>
    <w:rsid w:val="00B8011B"/>
    <w:rsid w:val="00BA1DC3"/>
    <w:rsid w:val="00BB7733"/>
    <w:rsid w:val="00BD5575"/>
    <w:rsid w:val="00CA3B08"/>
    <w:rsid w:val="00CB1869"/>
    <w:rsid w:val="00CB4928"/>
    <w:rsid w:val="00D71490"/>
    <w:rsid w:val="00F65DE2"/>
    <w:rsid w:val="00FA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231A3"/>
  <w15:chartTrackingRefBased/>
  <w15:docId w15:val="{B62A0BA5-C5E9-42AE-951F-18718577F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A1D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DC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DC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551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15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vius.org/cg-cm/chronicles/bchp-antiochus_sin/antiochus_sin_01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D451E-35E4-4DD2-B665-9B2BFD81F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Lawrence</dc:creator>
  <cp:keywords/>
  <dc:description/>
  <cp:lastModifiedBy>Jane Lawrence</cp:lastModifiedBy>
  <cp:revision>6</cp:revision>
  <dcterms:created xsi:type="dcterms:W3CDTF">2017-10-13T12:30:00Z</dcterms:created>
  <dcterms:modified xsi:type="dcterms:W3CDTF">2017-10-14T10:55:00Z</dcterms:modified>
</cp:coreProperties>
</file>