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32F021" w14:textId="6DC955FB" w:rsidR="00A06744" w:rsidRDefault="00CD6360">
      <w:pPr>
        <w:rPr>
          <w:lang w:val="en-US"/>
        </w:rPr>
      </w:pPr>
      <w:r>
        <w:rPr>
          <w:lang w:val="en-US"/>
        </w:rPr>
        <w:t>The Enabling Act is a piece of legislation that allowed Hitler to create and pass legislation without the use of the Reichstag or the President</w:t>
      </w:r>
      <w:r w:rsidR="00626E75">
        <w:rPr>
          <w:rStyle w:val="FootnoteReference"/>
          <w:lang w:val="en-US"/>
        </w:rPr>
        <w:footnoteReference w:id="1"/>
      </w:r>
      <w:r>
        <w:rPr>
          <w:lang w:val="en-US"/>
        </w:rPr>
        <w:t>.</w:t>
      </w:r>
      <w:r w:rsidR="00312BAD">
        <w:rPr>
          <w:lang w:val="en-US"/>
        </w:rPr>
        <w:t xml:space="preserve"> This piece of legislation shows how Hitler used legislation to rise to power and become a dictator.</w:t>
      </w:r>
      <w:r>
        <w:rPr>
          <w:lang w:val="en-US"/>
        </w:rPr>
        <w:t xml:space="preserve"> The act gives an insight into what Hitler is capable of and the lack of boundaries Hitler has after the Act is passed. However, t</w:t>
      </w:r>
      <w:r w:rsidR="00782EED">
        <w:rPr>
          <w:lang w:val="en-US"/>
        </w:rPr>
        <w:t>he Enabling Act has many weaknesses that will affect the argument of my essay. One weakness is that even though the Act sets out the boundaries of what Hitler can and cannot do in regards to legislation, it does not show Hitler’s intent</w:t>
      </w:r>
      <w:r w:rsidR="0006512F">
        <w:rPr>
          <w:lang w:val="en-US"/>
        </w:rPr>
        <w:t xml:space="preserve">ions </w:t>
      </w:r>
      <w:r w:rsidR="000C4E53">
        <w:rPr>
          <w:lang w:val="en-US"/>
        </w:rPr>
        <w:t>of what he might do after the Act is passed.</w:t>
      </w:r>
      <w:r w:rsidR="00ED0654">
        <w:rPr>
          <w:lang w:val="en-US"/>
        </w:rPr>
        <w:t xml:space="preserve"> This will not </w:t>
      </w:r>
      <w:r w:rsidR="00223C8F">
        <w:rPr>
          <w:lang w:val="en-US"/>
        </w:rPr>
        <w:t>a</w:t>
      </w:r>
      <w:r w:rsidR="00ED0654">
        <w:rPr>
          <w:lang w:val="en-US"/>
        </w:rPr>
        <w:t>ffect my argument in any negative way, however it will give an insight to what the Enabling Act is and how Hitler could use it to his advantage.</w:t>
      </w:r>
      <w:r w:rsidR="0006512F">
        <w:rPr>
          <w:lang w:val="en-US"/>
        </w:rPr>
        <w:t xml:space="preserve"> The Enabling Act also only gives the facts on what the Enabling Act is and what it does; </w:t>
      </w:r>
      <w:r w:rsidR="00ED0654">
        <w:rPr>
          <w:lang w:val="en-US"/>
        </w:rPr>
        <w:t xml:space="preserve">This </w:t>
      </w:r>
      <w:r w:rsidR="00223C8F">
        <w:rPr>
          <w:lang w:val="en-US"/>
        </w:rPr>
        <w:t>a</w:t>
      </w:r>
      <w:r w:rsidR="00ED0654">
        <w:rPr>
          <w:lang w:val="en-US"/>
        </w:rPr>
        <w:t>ffects my argument as it</w:t>
      </w:r>
      <w:r w:rsidR="0006512F">
        <w:rPr>
          <w:lang w:val="en-US"/>
        </w:rPr>
        <w:t xml:space="preserve"> does not specify the effect that it could have on the German government or the impact of giving Hitler this power to create legislation.</w:t>
      </w:r>
      <w:r w:rsidR="00ED0654">
        <w:rPr>
          <w:lang w:val="en-US"/>
        </w:rPr>
        <w:t xml:space="preserve"> </w:t>
      </w:r>
      <w:r w:rsidR="002A15F9">
        <w:rPr>
          <w:lang w:val="en-US"/>
        </w:rPr>
        <w:t xml:space="preserve">Another weakness to the Enabling Act is that the English translation of the Enabling Act has been edited. This could </w:t>
      </w:r>
      <w:r w:rsidR="00223C8F">
        <w:rPr>
          <w:lang w:val="en-US"/>
        </w:rPr>
        <w:t>a</w:t>
      </w:r>
      <w:r w:rsidR="002A15F9">
        <w:rPr>
          <w:lang w:val="en-US"/>
        </w:rPr>
        <w:t>ffect my argument as important information</w:t>
      </w:r>
      <w:r w:rsidR="00105C53">
        <w:rPr>
          <w:lang w:val="en-US"/>
        </w:rPr>
        <w:t xml:space="preserve"> that </w:t>
      </w:r>
      <w:r w:rsidR="00105C53">
        <w:rPr>
          <w:lang w:val="en-US"/>
        </w:rPr>
        <w:t>could be used to back up my argument</w:t>
      </w:r>
      <w:r w:rsidR="00105C53">
        <w:rPr>
          <w:lang w:val="en-US"/>
        </w:rPr>
        <w:t xml:space="preserve"> </w:t>
      </w:r>
      <w:r w:rsidR="002A15F9">
        <w:rPr>
          <w:lang w:val="en-US"/>
        </w:rPr>
        <w:t>could be missing</w:t>
      </w:r>
      <w:r w:rsidR="00495B13">
        <w:rPr>
          <w:lang w:val="en-US"/>
        </w:rPr>
        <w:t xml:space="preserve">. </w:t>
      </w:r>
      <w:r w:rsidR="000030BF">
        <w:rPr>
          <w:lang w:val="en-US"/>
        </w:rPr>
        <w:t>Article Five of the Enabling Act gives the date at which the Enabling Act becomes invalid</w:t>
      </w:r>
      <w:r w:rsidR="00DE0F29">
        <w:rPr>
          <w:rStyle w:val="FootnoteReference"/>
          <w:lang w:val="en-US"/>
        </w:rPr>
        <w:footnoteReference w:id="2"/>
      </w:r>
      <w:r w:rsidR="000030BF">
        <w:rPr>
          <w:lang w:val="en-US"/>
        </w:rPr>
        <w:t xml:space="preserve">. However, </w:t>
      </w:r>
      <w:r w:rsidR="00DD3356">
        <w:rPr>
          <w:lang w:val="en-US"/>
        </w:rPr>
        <w:t xml:space="preserve">Article Five does not specify weather the Enabling Act can be renewed. This </w:t>
      </w:r>
      <w:r w:rsidR="00223C8F">
        <w:rPr>
          <w:lang w:val="en-US"/>
        </w:rPr>
        <w:t>a</w:t>
      </w:r>
      <w:r w:rsidR="00DD3356">
        <w:rPr>
          <w:lang w:val="en-US"/>
        </w:rPr>
        <w:t>ffects my argument as it gives valuable information of how Hitler stayed in power.</w:t>
      </w:r>
      <w:r w:rsidR="00961320">
        <w:rPr>
          <w:lang w:val="en-US"/>
        </w:rPr>
        <w:t xml:space="preserve"> </w:t>
      </w:r>
    </w:p>
    <w:p w14:paraId="7F79D170" w14:textId="77777777" w:rsidR="00961320" w:rsidRDefault="00961320">
      <w:pPr>
        <w:rPr>
          <w:lang w:val="en-US"/>
        </w:rPr>
      </w:pPr>
    </w:p>
    <w:p w14:paraId="537236B8" w14:textId="77777777" w:rsidR="00961320" w:rsidRDefault="00961320">
      <w:pPr>
        <w:rPr>
          <w:lang w:val="en-US"/>
        </w:rPr>
      </w:pPr>
    </w:p>
    <w:p w14:paraId="190CB163" w14:textId="12FB559F" w:rsidR="00961320" w:rsidRDefault="00961320">
      <w:pPr>
        <w:rPr>
          <w:u w:val="single"/>
          <w:lang w:val="en-US"/>
        </w:rPr>
      </w:pPr>
      <w:r w:rsidRPr="00961320">
        <w:rPr>
          <w:u w:val="single"/>
          <w:lang w:val="en-US"/>
        </w:rPr>
        <w:t>Bibliography</w:t>
      </w:r>
      <w:r>
        <w:rPr>
          <w:u w:val="single"/>
          <w:lang w:val="en-US"/>
        </w:rPr>
        <w:t xml:space="preserve"> </w:t>
      </w:r>
    </w:p>
    <w:p w14:paraId="43A9BBC3" w14:textId="4936F330" w:rsidR="00961320" w:rsidRDefault="00961320" w:rsidP="00961320">
      <w:pPr>
        <w:pStyle w:val="ListParagraph"/>
        <w:numPr>
          <w:ilvl w:val="0"/>
          <w:numId w:val="2"/>
        </w:numPr>
        <w:rPr>
          <w:rFonts w:cs="Calibri"/>
        </w:rPr>
      </w:pPr>
      <w:proofErr w:type="spellStart"/>
      <w:r w:rsidRPr="00961320">
        <w:rPr>
          <w:rFonts w:cs="Calibri"/>
          <w:i/>
          <w:iCs/>
        </w:rPr>
        <w:t>Encyclopedia</w:t>
      </w:r>
      <w:proofErr w:type="spellEnd"/>
      <w:r w:rsidRPr="00961320">
        <w:rPr>
          <w:rFonts w:cs="Calibri"/>
          <w:i/>
          <w:iCs/>
        </w:rPr>
        <w:t xml:space="preserve"> Britannica</w:t>
      </w:r>
      <w:r w:rsidRPr="00961320">
        <w:rPr>
          <w:rFonts w:cs="Calibri"/>
        </w:rPr>
        <w:t>, April 26, 2024, ‘Enabling Act’. Available: </w:t>
      </w:r>
      <w:hyperlink r:id="rId8" w:tgtFrame="_blank" w:history="1">
        <w:r w:rsidRPr="00961320">
          <w:rPr>
            <w:rStyle w:val="Hyperlink"/>
            <w:rFonts w:cs="Calibri"/>
          </w:rPr>
          <w:t>https://www.britannica.com/topic/Enabling-Act</w:t>
        </w:r>
      </w:hyperlink>
      <w:r w:rsidRPr="00961320">
        <w:rPr>
          <w:rFonts w:cs="Calibri"/>
        </w:rPr>
        <w:t xml:space="preserve">. Accessed: </w:t>
      </w:r>
      <w:r w:rsidRPr="00961320">
        <w:rPr>
          <w:rFonts w:cs="Calibri"/>
        </w:rPr>
        <w:t xml:space="preserve">14 </w:t>
      </w:r>
      <w:r w:rsidRPr="00961320">
        <w:rPr>
          <w:rFonts w:cs="Calibri"/>
        </w:rPr>
        <w:t>November 2024.</w:t>
      </w:r>
      <w:r>
        <w:rPr>
          <w:rFonts w:cs="Calibri"/>
        </w:rPr>
        <w:t xml:space="preserve"> </w:t>
      </w:r>
    </w:p>
    <w:p w14:paraId="46C0D1A0" w14:textId="3DE5A003" w:rsidR="00961320" w:rsidRPr="005D7F0C" w:rsidRDefault="005D7F0C" w:rsidP="005D7F0C">
      <w:pPr>
        <w:pStyle w:val="ListParagraph"/>
        <w:numPr>
          <w:ilvl w:val="0"/>
          <w:numId w:val="2"/>
        </w:numPr>
        <w:rPr>
          <w:rFonts w:cs="Calibri"/>
        </w:rPr>
      </w:pPr>
      <w:r w:rsidRPr="005D7F0C">
        <w:rPr>
          <w:rFonts w:cs="Calibri"/>
          <w:i/>
          <w:iCs/>
        </w:rPr>
        <w:t>German History in Documents and Images</w:t>
      </w:r>
      <w:r w:rsidRPr="005D7F0C">
        <w:rPr>
          <w:rFonts w:cs="Calibri"/>
        </w:rPr>
        <w:t>, ‘Law to Remove the Distress of the People and the State (The Enabling Act)’. Available: </w:t>
      </w:r>
      <w:hyperlink r:id="rId9" w:tgtFrame="_blank" w:history="1">
        <w:r w:rsidRPr="005D7F0C">
          <w:rPr>
            <w:rStyle w:val="Hyperlink"/>
            <w:rFonts w:cs="Calibri"/>
          </w:rPr>
          <w:t>https://ghdi.ghi-dc.org/sub_document.cfm?document_id=1496</w:t>
        </w:r>
      </w:hyperlink>
      <w:r w:rsidRPr="005D7F0C">
        <w:rPr>
          <w:rFonts w:cs="Calibri"/>
        </w:rPr>
        <w:t xml:space="preserve">. Accessed: </w:t>
      </w:r>
      <w:r>
        <w:rPr>
          <w:rFonts w:cs="Calibri"/>
        </w:rPr>
        <w:t>14</w:t>
      </w:r>
      <w:r w:rsidRPr="005D7F0C">
        <w:rPr>
          <w:rFonts w:cs="Calibri"/>
        </w:rPr>
        <w:t xml:space="preserve"> November 2024.</w:t>
      </w:r>
    </w:p>
    <w:sectPr w:rsidR="00961320" w:rsidRPr="005D7F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D4C94A" w14:textId="77777777" w:rsidR="00026A07" w:rsidRDefault="00026A07" w:rsidP="00626E75">
      <w:pPr>
        <w:spacing w:after="0" w:line="240" w:lineRule="auto"/>
      </w:pPr>
      <w:r>
        <w:separator/>
      </w:r>
    </w:p>
  </w:endnote>
  <w:endnote w:type="continuationSeparator" w:id="0">
    <w:p w14:paraId="795F7500" w14:textId="77777777" w:rsidR="00026A07" w:rsidRDefault="00026A07" w:rsidP="00626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B86EB7" w14:textId="77777777" w:rsidR="00026A07" w:rsidRDefault="00026A07" w:rsidP="00626E75">
      <w:pPr>
        <w:spacing w:after="0" w:line="240" w:lineRule="auto"/>
      </w:pPr>
      <w:r>
        <w:separator/>
      </w:r>
    </w:p>
  </w:footnote>
  <w:footnote w:type="continuationSeparator" w:id="0">
    <w:p w14:paraId="59CBA65B" w14:textId="77777777" w:rsidR="00026A07" w:rsidRDefault="00026A07" w:rsidP="00626E75">
      <w:pPr>
        <w:spacing w:after="0" w:line="240" w:lineRule="auto"/>
      </w:pPr>
      <w:r>
        <w:continuationSeparator/>
      </w:r>
    </w:p>
  </w:footnote>
  <w:footnote w:id="1">
    <w:p w14:paraId="0C2C3C0E" w14:textId="1808950B" w:rsidR="00626E75" w:rsidRPr="00626E75" w:rsidRDefault="00626E75">
      <w:pPr>
        <w:pStyle w:val="FootnoteText"/>
        <w:rPr>
          <w:lang w:val="en-US"/>
        </w:rPr>
      </w:pPr>
      <w:r>
        <w:rPr>
          <w:rStyle w:val="FootnoteReference"/>
        </w:rPr>
        <w:footnoteRef/>
      </w:r>
      <w:r>
        <w:t xml:space="preserve"> </w:t>
      </w:r>
      <w:r>
        <w:rPr>
          <w:i/>
          <w:iCs/>
          <w:lang w:val="en-US"/>
        </w:rPr>
        <w:t xml:space="preserve">Encyclopedia Britannica, </w:t>
      </w:r>
      <w:r>
        <w:rPr>
          <w:lang w:val="en-US"/>
        </w:rPr>
        <w:t>‘Enabling Act’, (Accessed: 14</w:t>
      </w:r>
      <w:r w:rsidRPr="00626E75">
        <w:rPr>
          <w:vertAlign w:val="superscript"/>
          <w:lang w:val="en-US"/>
        </w:rPr>
        <w:t>th</w:t>
      </w:r>
      <w:r>
        <w:rPr>
          <w:lang w:val="en-US"/>
        </w:rPr>
        <w:t xml:space="preserve"> November 2024)</w:t>
      </w:r>
    </w:p>
  </w:footnote>
  <w:footnote w:id="2">
    <w:p w14:paraId="0CBBFAD1" w14:textId="2FE073A4" w:rsidR="00DE0F29" w:rsidRPr="00DE0F29" w:rsidRDefault="00DE0F29">
      <w:pPr>
        <w:pStyle w:val="FootnoteText"/>
        <w:rPr>
          <w:lang w:val="en-US"/>
        </w:rPr>
      </w:pPr>
      <w:r>
        <w:rPr>
          <w:rStyle w:val="FootnoteReference"/>
        </w:rPr>
        <w:footnoteRef/>
      </w:r>
      <w:r>
        <w:t xml:space="preserve"> </w:t>
      </w:r>
      <w:r>
        <w:rPr>
          <w:i/>
          <w:iCs/>
          <w:lang w:val="en-US"/>
        </w:rPr>
        <w:t xml:space="preserve">German History in Documents and Images, </w:t>
      </w:r>
      <w:r>
        <w:rPr>
          <w:lang w:val="en-US"/>
        </w:rPr>
        <w:t>‘Law to Remove the Distress of the People and the State’, (Accessed: 14</w:t>
      </w:r>
      <w:r w:rsidRPr="00DE0F29">
        <w:rPr>
          <w:vertAlign w:val="superscript"/>
          <w:lang w:val="en-US"/>
        </w:rPr>
        <w:t>th</w:t>
      </w:r>
      <w:r>
        <w:rPr>
          <w:lang w:val="en-US"/>
        </w:rPr>
        <w:t xml:space="preserve"> November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83300D"/>
    <w:multiLevelType w:val="hybridMultilevel"/>
    <w:tmpl w:val="7B54B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093AF6"/>
    <w:multiLevelType w:val="hybridMultilevel"/>
    <w:tmpl w:val="AED0D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8928783">
    <w:abstractNumId w:val="1"/>
  </w:num>
  <w:num w:numId="2" w16cid:durableId="1911620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EED"/>
    <w:rsid w:val="00001AD6"/>
    <w:rsid w:val="000030BF"/>
    <w:rsid w:val="00026A07"/>
    <w:rsid w:val="0006512F"/>
    <w:rsid w:val="000B5DDE"/>
    <w:rsid w:val="000C4E53"/>
    <w:rsid w:val="00105C53"/>
    <w:rsid w:val="001D7B14"/>
    <w:rsid w:val="00223C8F"/>
    <w:rsid w:val="002A15F9"/>
    <w:rsid w:val="00312BAD"/>
    <w:rsid w:val="00495B13"/>
    <w:rsid w:val="005D7F0C"/>
    <w:rsid w:val="00626E75"/>
    <w:rsid w:val="00782EED"/>
    <w:rsid w:val="00961320"/>
    <w:rsid w:val="00A06744"/>
    <w:rsid w:val="00C57F97"/>
    <w:rsid w:val="00CD6360"/>
    <w:rsid w:val="00DD3356"/>
    <w:rsid w:val="00DE0F29"/>
    <w:rsid w:val="00ED0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2209B"/>
  <w15:chartTrackingRefBased/>
  <w15:docId w15:val="{E7590AD7-B57E-4224-AC97-0FE9F113F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2E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2E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2E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2E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2E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2E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E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E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E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E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2E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2E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2E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2E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2E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E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E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EED"/>
    <w:rPr>
      <w:rFonts w:eastAsiaTheme="majorEastAsia" w:cstheme="majorBidi"/>
      <w:color w:val="272727" w:themeColor="text1" w:themeTint="D8"/>
    </w:rPr>
  </w:style>
  <w:style w:type="paragraph" w:styleId="Title">
    <w:name w:val="Title"/>
    <w:basedOn w:val="Normal"/>
    <w:next w:val="Normal"/>
    <w:link w:val="TitleChar"/>
    <w:uiPriority w:val="10"/>
    <w:qFormat/>
    <w:rsid w:val="00782E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E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E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E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EED"/>
    <w:pPr>
      <w:spacing w:before="160"/>
      <w:jc w:val="center"/>
    </w:pPr>
    <w:rPr>
      <w:i/>
      <w:iCs/>
      <w:color w:val="404040" w:themeColor="text1" w:themeTint="BF"/>
    </w:rPr>
  </w:style>
  <w:style w:type="character" w:customStyle="1" w:styleId="QuoteChar">
    <w:name w:val="Quote Char"/>
    <w:basedOn w:val="DefaultParagraphFont"/>
    <w:link w:val="Quote"/>
    <w:uiPriority w:val="29"/>
    <w:rsid w:val="00782EED"/>
    <w:rPr>
      <w:i/>
      <w:iCs/>
      <w:color w:val="404040" w:themeColor="text1" w:themeTint="BF"/>
    </w:rPr>
  </w:style>
  <w:style w:type="paragraph" w:styleId="ListParagraph">
    <w:name w:val="List Paragraph"/>
    <w:basedOn w:val="Normal"/>
    <w:uiPriority w:val="34"/>
    <w:qFormat/>
    <w:rsid w:val="00782EED"/>
    <w:pPr>
      <w:ind w:left="720"/>
      <w:contextualSpacing/>
    </w:pPr>
  </w:style>
  <w:style w:type="character" w:styleId="IntenseEmphasis">
    <w:name w:val="Intense Emphasis"/>
    <w:basedOn w:val="DefaultParagraphFont"/>
    <w:uiPriority w:val="21"/>
    <w:qFormat/>
    <w:rsid w:val="00782EED"/>
    <w:rPr>
      <w:i/>
      <w:iCs/>
      <w:color w:val="0F4761" w:themeColor="accent1" w:themeShade="BF"/>
    </w:rPr>
  </w:style>
  <w:style w:type="paragraph" w:styleId="IntenseQuote">
    <w:name w:val="Intense Quote"/>
    <w:basedOn w:val="Normal"/>
    <w:next w:val="Normal"/>
    <w:link w:val="IntenseQuoteChar"/>
    <w:uiPriority w:val="30"/>
    <w:qFormat/>
    <w:rsid w:val="00782E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2EED"/>
    <w:rPr>
      <w:i/>
      <w:iCs/>
      <w:color w:val="0F4761" w:themeColor="accent1" w:themeShade="BF"/>
    </w:rPr>
  </w:style>
  <w:style w:type="character" w:styleId="IntenseReference">
    <w:name w:val="Intense Reference"/>
    <w:basedOn w:val="DefaultParagraphFont"/>
    <w:uiPriority w:val="32"/>
    <w:qFormat/>
    <w:rsid w:val="00782EED"/>
    <w:rPr>
      <w:b/>
      <w:bCs/>
      <w:smallCaps/>
      <w:color w:val="0F4761" w:themeColor="accent1" w:themeShade="BF"/>
      <w:spacing w:val="5"/>
    </w:rPr>
  </w:style>
  <w:style w:type="character" w:styleId="Hyperlink">
    <w:name w:val="Hyperlink"/>
    <w:basedOn w:val="DefaultParagraphFont"/>
    <w:uiPriority w:val="99"/>
    <w:unhideWhenUsed/>
    <w:rsid w:val="00961320"/>
    <w:rPr>
      <w:color w:val="467886" w:themeColor="hyperlink"/>
      <w:u w:val="single"/>
    </w:rPr>
  </w:style>
  <w:style w:type="paragraph" w:styleId="FootnoteText">
    <w:name w:val="footnote text"/>
    <w:basedOn w:val="Normal"/>
    <w:link w:val="FootnoteTextChar"/>
    <w:uiPriority w:val="99"/>
    <w:semiHidden/>
    <w:unhideWhenUsed/>
    <w:rsid w:val="00626E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6E75"/>
    <w:rPr>
      <w:sz w:val="20"/>
      <w:szCs w:val="20"/>
    </w:rPr>
  </w:style>
  <w:style w:type="character" w:styleId="FootnoteReference">
    <w:name w:val="footnote reference"/>
    <w:basedOn w:val="DefaultParagraphFont"/>
    <w:uiPriority w:val="99"/>
    <w:semiHidden/>
    <w:unhideWhenUsed/>
    <w:rsid w:val="00626E7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Enabling-Ac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hdi.ghi-dc.org/sub_document.cfm?document_id=14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A028D3-CDC2-495B-B44A-A03D9ED76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Pages>
  <Words>312</Words>
  <Characters>1782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13</cp:revision>
  <dcterms:created xsi:type="dcterms:W3CDTF">2024-11-12T16:32:00Z</dcterms:created>
  <dcterms:modified xsi:type="dcterms:W3CDTF">2024-11-14T20:14:00Z</dcterms:modified>
</cp:coreProperties>
</file>