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CC22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AB13987" wp14:editId="5BF8C9C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E816A9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9E928F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AB1398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E816A9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9E928F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262D4E6" wp14:editId="548E7F6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9C85BD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77BC7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262D4E6"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9C85BD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77BC7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A607BED"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9BB6CCF" wp14:editId="264A36D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3E7A1A7" w14:textId="77777777" w:rsidR="00530E16" w:rsidRDefault="004468F8">
                            <w:pPr>
                              <w:spacing w:after="0" w:line="240" w:lineRule="auto"/>
                              <w:textDirection w:val="btLr"/>
                            </w:pPr>
                            <w:r>
                              <w:rPr>
                                <w:rFonts w:ascii="Play" w:eastAsia="Play" w:hAnsi="Play" w:cs="Play"/>
                                <w:color w:val="262626"/>
                                <w:sz w:val="72"/>
                              </w:rPr>
                              <w:t>Individual Report</w:t>
                            </w:r>
                          </w:p>
                          <w:p w14:paraId="28314E99" w14:textId="77777777" w:rsidR="00530E16" w:rsidRDefault="004468F8">
                            <w:pPr>
                              <w:spacing w:before="120" w:line="277" w:lineRule="auto"/>
                              <w:textDirection w:val="btLr"/>
                            </w:pPr>
                            <w:r>
                              <w:rPr>
                                <w:color w:val="404040"/>
                                <w:sz w:val="36"/>
                              </w:rPr>
                              <w:t>Module Name: Digital Skills and Research Methods</w:t>
                            </w:r>
                          </w:p>
                          <w:p w14:paraId="06A10FA3" w14:textId="77777777" w:rsidR="00530E16" w:rsidRDefault="004468F8">
                            <w:pPr>
                              <w:spacing w:before="120" w:line="277" w:lineRule="auto"/>
                              <w:textDirection w:val="btLr"/>
                            </w:pPr>
                            <w:r>
                              <w:rPr>
                                <w:color w:val="404040"/>
                                <w:sz w:val="36"/>
                              </w:rPr>
                              <w:t>Module Code: LCHS 4007</w:t>
                            </w:r>
                          </w:p>
                          <w:p w14:paraId="6BE1A1B3" w14:textId="41BAC5DB" w:rsidR="00530E16" w:rsidRDefault="004468F8">
                            <w:pPr>
                              <w:spacing w:before="120" w:line="277" w:lineRule="auto"/>
                              <w:textDirection w:val="btLr"/>
                            </w:pPr>
                            <w:r>
                              <w:rPr>
                                <w:color w:val="404040"/>
                                <w:sz w:val="36"/>
                              </w:rPr>
                              <w:t xml:space="preserve">Student name: </w:t>
                            </w:r>
                            <w:r w:rsidR="00550D3A">
                              <w:rPr>
                                <w:color w:val="404040"/>
                                <w:sz w:val="36"/>
                              </w:rPr>
                              <w:t xml:space="preserve">Kamilla </w:t>
                            </w:r>
                            <w:proofErr w:type="spellStart"/>
                            <w:r w:rsidR="00550D3A">
                              <w:rPr>
                                <w:color w:val="404040"/>
                                <w:sz w:val="36"/>
                              </w:rPr>
                              <w:t>Sydykbekova</w:t>
                            </w:r>
                            <w:proofErr w:type="spellEnd"/>
                          </w:p>
                          <w:p w14:paraId="4A0546CA" w14:textId="2F031A8C" w:rsidR="00530E16" w:rsidRDefault="004468F8">
                            <w:pPr>
                              <w:spacing w:before="120" w:line="277" w:lineRule="auto"/>
                              <w:textDirection w:val="btLr"/>
                            </w:pPr>
                            <w:r>
                              <w:rPr>
                                <w:color w:val="404040"/>
                                <w:sz w:val="36"/>
                              </w:rPr>
                              <w:t>Student ID:</w:t>
                            </w:r>
                            <w:r w:rsidR="00550D3A">
                              <w:rPr>
                                <w:color w:val="404040"/>
                                <w:sz w:val="36"/>
                              </w:rPr>
                              <w:t xml:space="preserve"> 2530431</w:t>
                            </w:r>
                          </w:p>
                          <w:p w14:paraId="4779897A" w14:textId="61FC4D32" w:rsidR="00530E16" w:rsidRDefault="004468F8">
                            <w:pPr>
                              <w:spacing w:before="120" w:line="277" w:lineRule="auto"/>
                              <w:textDirection w:val="btLr"/>
                              <w:rPr>
                                <w:color w:val="404040"/>
                                <w:sz w:val="36"/>
                              </w:rPr>
                            </w:pPr>
                            <w:r>
                              <w:rPr>
                                <w:color w:val="404040"/>
                                <w:sz w:val="36"/>
                              </w:rPr>
                              <w:t xml:space="preserve">Lecturer’s Name: </w:t>
                            </w:r>
                            <w:r w:rsidR="00550D3A">
                              <w:rPr>
                                <w:color w:val="404040"/>
                                <w:sz w:val="36"/>
                              </w:rPr>
                              <w:t>Kwame Assa-</w:t>
                            </w:r>
                            <w:proofErr w:type="spellStart"/>
                            <w:r w:rsidR="00550D3A">
                              <w:rPr>
                                <w:color w:val="404040"/>
                                <w:sz w:val="36"/>
                              </w:rPr>
                              <w:t>Agyel</w:t>
                            </w:r>
                            <w:proofErr w:type="spellEnd"/>
                          </w:p>
                          <w:p w14:paraId="20A5A02E" w14:textId="77777777" w:rsidR="00550D3A" w:rsidRDefault="00550D3A">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79BB6CC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3E7A1A7" w14:textId="77777777" w:rsidR="00530E16" w:rsidRDefault="004468F8">
                      <w:pPr>
                        <w:spacing w:after="0" w:line="240" w:lineRule="auto"/>
                        <w:textDirection w:val="btLr"/>
                      </w:pPr>
                      <w:r>
                        <w:rPr>
                          <w:rFonts w:ascii="Play" w:eastAsia="Play" w:hAnsi="Play" w:cs="Play"/>
                          <w:color w:val="262626"/>
                          <w:sz w:val="72"/>
                        </w:rPr>
                        <w:t>Individual Report</w:t>
                      </w:r>
                    </w:p>
                    <w:p w14:paraId="28314E99" w14:textId="77777777" w:rsidR="00530E16" w:rsidRDefault="004468F8">
                      <w:pPr>
                        <w:spacing w:before="120" w:line="277" w:lineRule="auto"/>
                        <w:textDirection w:val="btLr"/>
                      </w:pPr>
                      <w:r>
                        <w:rPr>
                          <w:color w:val="404040"/>
                          <w:sz w:val="36"/>
                        </w:rPr>
                        <w:t>Module Name: Digital Skills and Research Methods</w:t>
                      </w:r>
                    </w:p>
                    <w:p w14:paraId="06A10FA3" w14:textId="77777777" w:rsidR="00530E16" w:rsidRDefault="004468F8">
                      <w:pPr>
                        <w:spacing w:before="120" w:line="277" w:lineRule="auto"/>
                        <w:textDirection w:val="btLr"/>
                      </w:pPr>
                      <w:r>
                        <w:rPr>
                          <w:color w:val="404040"/>
                          <w:sz w:val="36"/>
                        </w:rPr>
                        <w:t>Module Code: LCHS 4007</w:t>
                      </w:r>
                    </w:p>
                    <w:p w14:paraId="6BE1A1B3" w14:textId="41BAC5DB" w:rsidR="00530E16" w:rsidRDefault="004468F8">
                      <w:pPr>
                        <w:spacing w:before="120" w:line="277" w:lineRule="auto"/>
                        <w:textDirection w:val="btLr"/>
                      </w:pPr>
                      <w:r>
                        <w:rPr>
                          <w:color w:val="404040"/>
                          <w:sz w:val="36"/>
                        </w:rPr>
                        <w:t xml:space="preserve">Student name: </w:t>
                      </w:r>
                      <w:r w:rsidR="00550D3A">
                        <w:rPr>
                          <w:color w:val="404040"/>
                          <w:sz w:val="36"/>
                        </w:rPr>
                        <w:t xml:space="preserve">Kamilla </w:t>
                      </w:r>
                      <w:proofErr w:type="spellStart"/>
                      <w:r w:rsidR="00550D3A">
                        <w:rPr>
                          <w:color w:val="404040"/>
                          <w:sz w:val="36"/>
                        </w:rPr>
                        <w:t>Sydykbekova</w:t>
                      </w:r>
                      <w:proofErr w:type="spellEnd"/>
                    </w:p>
                    <w:p w14:paraId="4A0546CA" w14:textId="2F031A8C" w:rsidR="00530E16" w:rsidRDefault="004468F8">
                      <w:pPr>
                        <w:spacing w:before="120" w:line="277" w:lineRule="auto"/>
                        <w:textDirection w:val="btLr"/>
                      </w:pPr>
                      <w:r>
                        <w:rPr>
                          <w:color w:val="404040"/>
                          <w:sz w:val="36"/>
                        </w:rPr>
                        <w:t>Student ID:</w:t>
                      </w:r>
                      <w:r w:rsidR="00550D3A">
                        <w:rPr>
                          <w:color w:val="404040"/>
                          <w:sz w:val="36"/>
                        </w:rPr>
                        <w:t xml:space="preserve"> 2530431</w:t>
                      </w:r>
                    </w:p>
                    <w:p w14:paraId="4779897A" w14:textId="61FC4D32" w:rsidR="00530E16" w:rsidRDefault="004468F8">
                      <w:pPr>
                        <w:spacing w:before="120" w:line="277" w:lineRule="auto"/>
                        <w:textDirection w:val="btLr"/>
                        <w:rPr>
                          <w:color w:val="404040"/>
                          <w:sz w:val="36"/>
                        </w:rPr>
                      </w:pPr>
                      <w:r>
                        <w:rPr>
                          <w:color w:val="404040"/>
                          <w:sz w:val="36"/>
                        </w:rPr>
                        <w:t xml:space="preserve">Lecturer’s Name: </w:t>
                      </w:r>
                      <w:r w:rsidR="00550D3A">
                        <w:rPr>
                          <w:color w:val="404040"/>
                          <w:sz w:val="36"/>
                        </w:rPr>
                        <w:t>Kwame Assa-</w:t>
                      </w:r>
                      <w:proofErr w:type="spellStart"/>
                      <w:r w:rsidR="00550D3A">
                        <w:rPr>
                          <w:color w:val="404040"/>
                          <w:sz w:val="36"/>
                        </w:rPr>
                        <w:t>Agyel</w:t>
                      </w:r>
                      <w:proofErr w:type="spellEnd"/>
                    </w:p>
                    <w:p w14:paraId="20A5A02E" w14:textId="77777777" w:rsidR="00550D3A" w:rsidRDefault="00550D3A">
                      <w:pPr>
                        <w:spacing w:before="120" w:line="277" w:lineRule="auto"/>
                        <w:textDirection w:val="btLr"/>
                      </w:pPr>
                    </w:p>
                  </w:txbxContent>
                </v:textbox>
                <w10:wrap anchorx="page" anchory="page"/>
              </v:rect>
            </w:pict>
          </mc:Fallback>
        </mc:AlternateContent>
      </w:r>
      <w:r>
        <w:br w:type="page"/>
      </w:r>
    </w:p>
    <w:p w14:paraId="727F0A50" w14:textId="77777777" w:rsidR="00530E16" w:rsidRDefault="00530E16">
      <w:pPr>
        <w:rPr>
          <w:rFonts w:ascii="Arial" w:eastAsia="Arial" w:hAnsi="Arial" w:cs="Arial"/>
        </w:rPr>
      </w:pPr>
    </w:p>
    <w:p w14:paraId="0EBB896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B926B36"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B27E51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548B669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02EC59A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038DDA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609BEBB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58ADD39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F9B567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2550204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0DF39EA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61A82D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219B2C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EECDCE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1FE45F5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172B68E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7763170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2F77C74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2124D75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1D65272E" w14:textId="77777777" w:rsidR="00530E16" w:rsidRPr="00CF650B" w:rsidRDefault="004468F8">
          <w:r>
            <w:fldChar w:fldCharType="end"/>
          </w:r>
        </w:p>
      </w:sdtContent>
    </w:sdt>
    <w:p w14:paraId="4C9CC0A4" w14:textId="77777777" w:rsidR="00530E16" w:rsidRDefault="00530E16">
      <w:pPr>
        <w:rPr>
          <w:rFonts w:ascii="Arial" w:eastAsia="Arial" w:hAnsi="Arial" w:cs="Arial"/>
        </w:rPr>
      </w:pPr>
    </w:p>
    <w:p w14:paraId="34971E82" w14:textId="77777777" w:rsidR="00530E16" w:rsidRDefault="00530E16">
      <w:pPr>
        <w:rPr>
          <w:rFonts w:ascii="Arial" w:eastAsia="Arial" w:hAnsi="Arial" w:cs="Arial"/>
        </w:rPr>
      </w:pPr>
    </w:p>
    <w:p w14:paraId="247A2D48" w14:textId="77777777" w:rsidR="00530E16" w:rsidRDefault="00530E16">
      <w:pPr>
        <w:rPr>
          <w:rFonts w:ascii="Arial" w:eastAsia="Arial" w:hAnsi="Arial" w:cs="Arial"/>
        </w:rPr>
      </w:pPr>
    </w:p>
    <w:p w14:paraId="7E27E4A4" w14:textId="77777777" w:rsidR="00530E16" w:rsidRDefault="00530E16">
      <w:pPr>
        <w:rPr>
          <w:rFonts w:ascii="Arial" w:eastAsia="Arial" w:hAnsi="Arial" w:cs="Arial"/>
        </w:rPr>
      </w:pPr>
    </w:p>
    <w:p w14:paraId="5B7B5E57" w14:textId="77777777" w:rsidR="00530E16" w:rsidRDefault="00530E16">
      <w:pPr>
        <w:rPr>
          <w:rFonts w:ascii="Arial" w:eastAsia="Arial" w:hAnsi="Arial" w:cs="Arial"/>
        </w:rPr>
      </w:pPr>
    </w:p>
    <w:p w14:paraId="26DF05B3" w14:textId="77777777" w:rsidR="00530E16" w:rsidRDefault="00530E16">
      <w:pPr>
        <w:rPr>
          <w:rFonts w:ascii="Arial" w:eastAsia="Arial" w:hAnsi="Arial" w:cs="Arial"/>
        </w:rPr>
      </w:pPr>
    </w:p>
    <w:p w14:paraId="54EA728D" w14:textId="77777777" w:rsidR="00530E16" w:rsidRDefault="00530E16">
      <w:pPr>
        <w:rPr>
          <w:rFonts w:ascii="Arial" w:eastAsia="Arial" w:hAnsi="Arial" w:cs="Arial"/>
        </w:rPr>
      </w:pPr>
    </w:p>
    <w:p w14:paraId="413972D9" w14:textId="77777777" w:rsidR="00530E16" w:rsidRDefault="00530E16">
      <w:pPr>
        <w:rPr>
          <w:rFonts w:ascii="Arial" w:eastAsia="Arial" w:hAnsi="Arial" w:cs="Arial"/>
        </w:rPr>
      </w:pPr>
    </w:p>
    <w:p w14:paraId="53F7D0B0" w14:textId="77777777" w:rsidR="00530E16" w:rsidRDefault="00530E16">
      <w:pPr>
        <w:rPr>
          <w:rFonts w:ascii="Arial" w:eastAsia="Arial" w:hAnsi="Arial" w:cs="Arial"/>
        </w:rPr>
      </w:pPr>
    </w:p>
    <w:p w14:paraId="650DD25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E4A5A38" w14:textId="77777777" w:rsidR="00530E16" w:rsidRDefault="00530E16">
      <w:pPr>
        <w:rPr>
          <w:rFonts w:ascii="Arial" w:eastAsia="Arial" w:hAnsi="Arial" w:cs="Arial"/>
        </w:rPr>
      </w:pPr>
    </w:p>
    <w:p w14:paraId="65740CA7"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0C8A9569"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Alzheimer’s disease has become one of the most pressing issues for the UK’s health and social care sector. It is far more than just a medical condition; it is a progressive neurodegenerative disorder that fundamentally changes how a person interacts with the world. This assignment explores the transition from clinical management to a more holistic, person-centred approach. In social care, we aren't just looking at the brain; we are looking at the human being, their history, and their dignity. By referencing frameworks like the Care Act 2014, this research will argue that high-quality social care is just as vital as medical intervention for maintaining a patient’s quality of life.</w:t>
      </w:r>
    </w:p>
    <w:p w14:paraId="64C5033A" w14:textId="2347FC0D" w:rsidR="00575E73" w:rsidRPr="00575E73" w:rsidRDefault="00575E73" w:rsidP="00575E73">
      <w:pPr>
        <w:rPr>
          <w:rFonts w:ascii="Arial" w:eastAsia="Arial" w:hAnsi="Arial" w:cs="Arial"/>
          <w:sz w:val="22"/>
          <w:szCs w:val="22"/>
        </w:rPr>
      </w:pPr>
    </w:p>
    <w:p w14:paraId="7519B191" w14:textId="77777777" w:rsidR="00575E73" w:rsidRPr="00575E73" w:rsidRDefault="00575E73" w:rsidP="00575E73">
      <w:pPr>
        <w:rPr>
          <w:rFonts w:ascii="Arial" w:eastAsia="Arial" w:hAnsi="Arial" w:cs="Arial"/>
          <w:sz w:val="22"/>
          <w:szCs w:val="22"/>
        </w:rPr>
      </w:pPr>
    </w:p>
    <w:p w14:paraId="75BDFE49"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14D1250B"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28FF207C" w14:textId="4AAE076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 The Issue and Its Significance in Social Care</w:t>
      </w:r>
    </w:p>
    <w:p w14:paraId="5E8E0525"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I have chosen to focus on the effectiveness of non-drug-based interventions for managing the psychological symptoms of dementia (often called BPSD). This is a massive issue in care homes and community settings because staff often deal with "challenging behaviours" like agitation or repetitive questioning. Traditionally, the industry relied too much on sedation. However, the modern social care perspective suggests that these behaviours are often a form of "unmet need." If we can find social ways to reduce anxiety—through better environment design or communication—we can keep people at home longer and avoid the trauma of early hospitalisation.</w:t>
      </w:r>
    </w:p>
    <w:p w14:paraId="7EF70E51" w14:textId="17C0EE0D" w:rsidR="00F54E5A" w:rsidRPr="00F54E5A" w:rsidRDefault="00F54E5A" w:rsidP="00F54E5A">
      <w:pPr>
        <w:rPr>
          <w:rFonts w:ascii="Arial" w:eastAsia="Arial" w:hAnsi="Arial" w:cs="Arial"/>
          <w:sz w:val="22"/>
          <w:szCs w:val="22"/>
        </w:rPr>
      </w:pPr>
    </w:p>
    <w:p w14:paraId="3ECC2FEE"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18785B4B"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1.2 Personal Reflection – Rationale for Selection</w:t>
      </w:r>
    </w:p>
    <w:p w14:paraId="5C530916"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My choice was driven by a personal interest in how we treat the elderly in our society. I’ve noticed that while doctors are quick to diagnose, the actual "living" with the disease falls on the shoulders of social care workers and families. I wanted to dig deeper into the role of a social worker as an advocate for those who can no longer speak for themselves. From a career standpoint, I believe that understanding the emotional side of Alzheimer’s is what separates a basic caregiver from a truly skilled health and social care professional.</w:t>
      </w:r>
    </w:p>
    <w:p w14:paraId="4A6038A8" w14:textId="78907DB6" w:rsidR="00575E73" w:rsidRPr="00575E73" w:rsidRDefault="00575E73" w:rsidP="00575E73">
      <w:pPr>
        <w:rPr>
          <w:rFonts w:ascii="Arial" w:eastAsia="Arial" w:hAnsi="Arial" w:cs="Arial"/>
          <w:sz w:val="22"/>
          <w:szCs w:val="22"/>
        </w:rPr>
      </w:pPr>
    </w:p>
    <w:p w14:paraId="686A6816" w14:textId="77777777" w:rsidR="00575E73" w:rsidRPr="00575E73" w:rsidRDefault="00575E73" w:rsidP="00575E73">
      <w:pPr>
        <w:rPr>
          <w:rFonts w:ascii="Arial" w:eastAsia="Arial" w:hAnsi="Arial" w:cs="Arial"/>
          <w:sz w:val="22"/>
          <w:szCs w:val="22"/>
        </w:rPr>
      </w:pPr>
    </w:p>
    <w:p w14:paraId="5527F2C7" w14:textId="77777777" w:rsidR="00575E73" w:rsidRPr="00575E73" w:rsidRDefault="00575E73" w:rsidP="00575E73">
      <w:pPr>
        <w:pStyle w:val="Heading1"/>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78998D83"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116442F2" w14:textId="14829FF8"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Source 1: The Alzheimer’s Society (Websites and Reports)</w:t>
      </w:r>
    </w:p>
    <w:p w14:paraId="4E68EFE4"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I found the Alzheimer’s Society to be an invaluable starting point. As the UK’s leading dementia charity, their data is grounded in the real-life experiences of patients. I used their "Dementia UK" reports to get a clear picture of the current statistics. While it’s a very reliable source, I had to keep in mind that they are an advocacy group, so I made sure to balance their perspectives with more neutral government data.</w:t>
      </w:r>
    </w:p>
    <w:p w14:paraId="5A6538E9"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3ECDE1F4" w14:textId="314CB9B5"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 Source 2: NICE Guidelines (The Gold Standard)</w:t>
      </w:r>
    </w:p>
    <w:p w14:paraId="7B622BAC"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The National Institute for Health and Care Excellence (NICE) provides the official rules for care. I used the NG97 guidelines because they are peer-reviewed and legally recognised. This source is highly accurate and is the "bible" for health professionals. It helped me understand exactly what the government expects from care providers. The only downside is that the language is very technical and clinical, so it needs to be "translated" into practical social care steps.</w:t>
      </w:r>
    </w:p>
    <w:p w14:paraId="367D4515"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7B65ECB8" w14:textId="7F8BE458"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Source 3: Journal of Dementia Care (Peer-Reviewed Academic Articles)</w:t>
      </w:r>
    </w:p>
    <w:p w14:paraId="10374A2E"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To add academic weight to my work, I used articles from this journal. Academic journals are great because they go through a "peer-review" process, meaning other experts have checked the facts. This allowed me to look at specific case studies on things like Reminiscence Therapy, giving my research evidence-based support rather than just general opinions.</w:t>
      </w:r>
    </w:p>
    <w:p w14:paraId="61D6EB1A"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6C90750D" w14:textId="4763646C"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During my research, I noticed that there isn't enough information about how Alzheimer’s affects minority ethnic groups in the UK. Many studies assume a "one size fits all" approach to care, but cultural differences can change how families accept help. There is also a lack of research on the mental health of younger carers, who often </w:t>
      </w:r>
      <w:proofErr w:type="gramStart"/>
      <w:r w:rsidRPr="00F54E5A">
        <w:rPr>
          <w:rFonts w:ascii="Arial" w:eastAsia="Arial" w:hAnsi="Arial" w:cs="Arial"/>
          <w:sz w:val="22"/>
          <w:szCs w:val="22"/>
        </w:rPr>
        <w:t>have to</w:t>
      </w:r>
      <w:proofErr w:type="gramEnd"/>
      <w:r w:rsidRPr="00F54E5A">
        <w:rPr>
          <w:rFonts w:ascii="Arial" w:eastAsia="Arial" w:hAnsi="Arial" w:cs="Arial"/>
          <w:sz w:val="22"/>
          <w:szCs w:val="22"/>
        </w:rPr>
        <w:t xml:space="preserve"> quit their jobs to look after a parent.</w:t>
      </w:r>
    </w:p>
    <w:p w14:paraId="4F3B1A53" w14:textId="075F7BF1"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296DCEBA" w14:textId="075F7BF1"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3DAEC0F1" w14:textId="33FFED1E"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In any research, the methodology is the strategy you use to find answers. Qualitative research is about the "why" and "how"—it uses words, feelings, and observations. It’s perfect for social care because it captures the human experience. Quantitative research is about the "how many"—it uses numbers and charts to show big trends. Both are useful, but they serve very different purposes.</w:t>
      </w:r>
    </w:p>
    <w:p w14:paraId="61632D2F" w14:textId="33FFED1E" w:rsidR="00575E73" w:rsidRPr="00575E73" w:rsidRDefault="00432D05" w:rsidP="00432D05">
      <w:pPr>
        <w:pStyle w:val="Heading2"/>
        <w:rPr>
          <w:rFonts w:eastAsia="Arial"/>
        </w:rPr>
      </w:pPr>
      <w:bookmarkStart w:id="11" w:name="_Toc225024746"/>
      <w:r>
        <w:rPr>
          <w:rFonts w:eastAsia="Arial"/>
        </w:rPr>
        <w:lastRenderedPageBreak/>
        <w:t xml:space="preserve">3.2 </w:t>
      </w:r>
      <w:r w:rsidR="00575E73" w:rsidRPr="00575E73">
        <w:rPr>
          <w:rFonts w:eastAsia="Arial"/>
        </w:rPr>
        <w:t>Chosen Methodology and Justification</w:t>
      </w:r>
      <w:bookmarkEnd w:id="11"/>
    </w:p>
    <w:p w14:paraId="45F00D89" w14:textId="1BE2D60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I decided to use a Qualitative Secondary Research approach. This means I am performing a "Literature Review" of work that has already been published. I chose this because Alzheimer’s is a sensitive topic. Interviewing people with advanced dementia (Primary Research) would raise massive ethical concerns under the Mental Capacity Act 2005, as they might not understand what they are signing up for. By using secondary research, I can benefit from the work of expert scientists and charities while ensuring my project remains ethical and manageable within my current resources.</w:t>
      </w:r>
    </w:p>
    <w:p w14:paraId="28D47A9C" w14:textId="25441A3C" w:rsidR="00575E73" w:rsidRPr="00575E73" w:rsidRDefault="00575E73" w:rsidP="00575E73">
      <w:pPr>
        <w:rPr>
          <w:rFonts w:ascii="Arial" w:eastAsia="Arial" w:hAnsi="Arial" w:cs="Arial"/>
          <w:sz w:val="22"/>
          <w:szCs w:val="22"/>
        </w:rPr>
      </w:pPr>
    </w:p>
    <w:p w14:paraId="7A70852A" w14:textId="77777777" w:rsidR="00575E73" w:rsidRPr="00575E73" w:rsidRDefault="00575E73" w:rsidP="00575E73">
      <w:pPr>
        <w:rPr>
          <w:rFonts w:ascii="Arial" w:eastAsia="Arial" w:hAnsi="Arial" w:cs="Arial"/>
          <w:sz w:val="22"/>
          <w:szCs w:val="22"/>
        </w:rPr>
      </w:pPr>
    </w:p>
    <w:p w14:paraId="49B19BEF"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3DB80D72"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2AB12057" w14:textId="77777777" w:rsidR="00F54E5A" w:rsidRPr="00F54E5A" w:rsidRDefault="00F54E5A" w:rsidP="00F54E5A">
      <w:r w:rsidRPr="00F54E5A">
        <w:t>Primary data is "new" information you go out and find yourself (like a survey you made). Secondary data is "pre-existing" info (like a book or a government census).</w:t>
      </w:r>
    </w:p>
    <w:p w14:paraId="5918A1E7"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79CB24AA"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I am relying on Secondary Data for this assignment. The main reason is that it provides a much bigger picture than I could get on my own. Using data from the Office for National Statistics (ONS) or the NHS gives my assignment authority. If I only interviewed five people, my results might be biased; by using secondary data from thousands of people, my findings are much more reliable.</w:t>
      </w:r>
    </w:p>
    <w:p w14:paraId="7E99832A"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37C0033C" w14:textId="7777777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Advantages: It is cost-effective and allows me to look back at how care has changed over the last decade. It also gives me access to expert opinions that I wouldn't have if I were just doing my own small survey.</w:t>
      </w:r>
    </w:p>
    <w:p w14:paraId="5C48EF29" w14:textId="0E3263B8"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Challenges: One difficulty is that some secondary data can be out of date (e.g., from 5 years ago). Also, because I didn't collect it myself, I can't always find the exact answer to a specific question, like "how do carers in my specific town feel?"</w:t>
      </w:r>
    </w:p>
    <w:p w14:paraId="707F7F5C"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3EB79808" w14:textId="2B769640"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This research has shown that Alzheimer’s care is about much more than just the brain—it's about the person. The transition toward a holistic, person-centred model is the right move for the social care sector. My findings suggest that we need to stop seeing patients as a "list of symptoms" and start seeing them as individuals with a past and a future. For the system to work, we need better training for staff and more support for the "silent army" of family carers. Ultimately, a diagnosis of Alzheimer’s should be the start of a new chapter of support, not the end of a person's dignity.</w:t>
      </w:r>
    </w:p>
    <w:p w14:paraId="221AF8BE" w14:textId="24504379" w:rsidR="00575E73" w:rsidRPr="00575E73" w:rsidRDefault="00575E73" w:rsidP="00575E73">
      <w:pPr>
        <w:rPr>
          <w:rFonts w:ascii="Arial" w:eastAsia="Arial" w:hAnsi="Arial" w:cs="Arial"/>
          <w:sz w:val="22"/>
          <w:szCs w:val="22"/>
        </w:rPr>
      </w:pPr>
    </w:p>
    <w:p w14:paraId="7FC546D2" w14:textId="77777777" w:rsidR="00575E73" w:rsidRPr="00575E73" w:rsidRDefault="00575E73" w:rsidP="00575E73">
      <w:pPr>
        <w:rPr>
          <w:rFonts w:ascii="Arial" w:eastAsia="Arial" w:hAnsi="Arial" w:cs="Arial"/>
          <w:sz w:val="22"/>
          <w:szCs w:val="22"/>
        </w:rPr>
      </w:pPr>
    </w:p>
    <w:p w14:paraId="4E3AD02A"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65F3F90D" w14:textId="4B0E1A63"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Alzheimer’s Society (2024). State of the Nation: Dementia reports. [Online].</w:t>
      </w:r>
    </w:p>
    <w:p w14:paraId="5BA66201" w14:textId="77172BD7"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 Care Act 2014, c. 23. London: HMSO.</w:t>
      </w:r>
    </w:p>
    <w:p w14:paraId="190AAAFD" w14:textId="48248E41"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 </w:t>
      </w:r>
      <w:proofErr w:type="spellStart"/>
      <w:r w:rsidRPr="00F54E5A">
        <w:rPr>
          <w:rFonts w:ascii="Arial" w:eastAsia="Arial" w:hAnsi="Arial" w:cs="Arial"/>
          <w:sz w:val="22"/>
          <w:szCs w:val="22"/>
        </w:rPr>
        <w:t>Kitwood</w:t>
      </w:r>
      <w:proofErr w:type="spellEnd"/>
      <w:r w:rsidRPr="00F54E5A">
        <w:rPr>
          <w:rFonts w:ascii="Arial" w:eastAsia="Arial" w:hAnsi="Arial" w:cs="Arial"/>
          <w:sz w:val="22"/>
          <w:szCs w:val="22"/>
        </w:rPr>
        <w:t>, T. (1997). Dementia Reconsidered: The Person Comes First. Buckingham: Open University Press.</w:t>
      </w:r>
    </w:p>
    <w:p w14:paraId="494E7198" w14:textId="11C18553" w:rsidR="00F54E5A" w:rsidRPr="00F54E5A" w:rsidRDefault="00F54E5A" w:rsidP="00F54E5A">
      <w:pPr>
        <w:rPr>
          <w:rFonts w:ascii="Arial" w:eastAsia="Arial" w:hAnsi="Arial" w:cs="Arial"/>
          <w:sz w:val="22"/>
          <w:szCs w:val="22"/>
        </w:rPr>
      </w:pPr>
      <w:r w:rsidRPr="00F54E5A">
        <w:rPr>
          <w:rFonts w:ascii="Arial" w:eastAsia="Arial" w:hAnsi="Arial" w:cs="Arial"/>
          <w:sz w:val="22"/>
          <w:szCs w:val="22"/>
        </w:rPr>
        <w:t xml:space="preserve"> NICE (2018). Dementia: assessment, management and support. [NG97].</w:t>
      </w:r>
    </w:p>
    <w:p w14:paraId="4E4C2842" w14:textId="7AC5CFCA" w:rsidR="00530E16" w:rsidRPr="00F54E5A" w:rsidRDefault="00F54E5A" w:rsidP="00575E73">
      <w:pPr>
        <w:rPr>
          <w:rFonts w:ascii="Arial" w:eastAsia="Arial" w:hAnsi="Arial" w:cs="Arial"/>
        </w:rPr>
      </w:pPr>
      <w:r w:rsidRPr="00F54E5A">
        <w:rPr>
          <w:rFonts w:ascii="Arial" w:eastAsia="Arial" w:hAnsi="Arial" w:cs="Arial"/>
          <w:sz w:val="22"/>
          <w:szCs w:val="22"/>
        </w:rPr>
        <w:t>Office for National Statistics (2023). Statistical bulletin: Deaths registered in England and Wales.</w:t>
      </w:r>
    </w:p>
    <w:sectPr w:rsidR="00530E16" w:rsidRPr="00F54E5A"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1DA69" w14:textId="77777777" w:rsidR="00D43427" w:rsidRDefault="00D43427" w:rsidP="002A1842">
      <w:pPr>
        <w:spacing w:after="0" w:line="240" w:lineRule="auto"/>
      </w:pPr>
      <w:r>
        <w:separator/>
      </w:r>
    </w:p>
  </w:endnote>
  <w:endnote w:type="continuationSeparator" w:id="0">
    <w:p w14:paraId="5ACC5D93" w14:textId="77777777" w:rsidR="00D43427" w:rsidRDefault="00D4342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3C4762B"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2F6248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499EBB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FF58D8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52C4E" w14:textId="77777777" w:rsidR="00D43427" w:rsidRDefault="00D43427" w:rsidP="002A1842">
      <w:pPr>
        <w:spacing w:after="0" w:line="240" w:lineRule="auto"/>
      </w:pPr>
      <w:r>
        <w:separator/>
      </w:r>
    </w:p>
  </w:footnote>
  <w:footnote w:type="continuationSeparator" w:id="0">
    <w:p w14:paraId="170E2880" w14:textId="77777777" w:rsidR="00D43427" w:rsidRDefault="00D4342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25832470">
    <w:abstractNumId w:val="5"/>
  </w:num>
  <w:num w:numId="2" w16cid:durableId="2143185931">
    <w:abstractNumId w:val="3"/>
  </w:num>
  <w:num w:numId="3" w16cid:durableId="1125809223">
    <w:abstractNumId w:val="2"/>
  </w:num>
  <w:num w:numId="4" w16cid:durableId="221254382">
    <w:abstractNumId w:val="1"/>
  </w:num>
  <w:num w:numId="5" w16cid:durableId="358510068">
    <w:abstractNumId w:val="4"/>
  </w:num>
  <w:num w:numId="6" w16cid:durableId="1411924400">
    <w:abstractNumId w:val="0"/>
  </w:num>
  <w:num w:numId="7" w16cid:durableId="1557472168">
    <w:abstractNumId w:val="7"/>
  </w:num>
  <w:num w:numId="8" w16cid:durableId="1110472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76458"/>
    <w:rsid w:val="001813E7"/>
    <w:rsid w:val="001E0AF6"/>
    <w:rsid w:val="002A1842"/>
    <w:rsid w:val="00414904"/>
    <w:rsid w:val="00432D05"/>
    <w:rsid w:val="004468F8"/>
    <w:rsid w:val="00530E16"/>
    <w:rsid w:val="00550D3A"/>
    <w:rsid w:val="00575E73"/>
    <w:rsid w:val="00722EFE"/>
    <w:rsid w:val="007637E9"/>
    <w:rsid w:val="008E7834"/>
    <w:rsid w:val="009F60D1"/>
    <w:rsid w:val="00A75B15"/>
    <w:rsid w:val="00AE06EA"/>
    <w:rsid w:val="00B65ED6"/>
    <w:rsid w:val="00BA0043"/>
    <w:rsid w:val="00CF650B"/>
    <w:rsid w:val="00D43427"/>
    <w:rsid w:val="00D62A9C"/>
    <w:rsid w:val="00DB181C"/>
    <w:rsid w:val="00EA04EC"/>
    <w:rsid w:val="00F54E5A"/>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878C9"/>
  <w15:docId w15:val="{89A58EAB-4007-4122-AE45-F2F4FFF79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HTMLPreformatted">
    <w:name w:val="HTML Preformatted"/>
    <w:basedOn w:val="Normal"/>
    <w:link w:val="HTMLPreformattedChar"/>
    <w:uiPriority w:val="99"/>
    <w:semiHidden/>
    <w:unhideWhenUsed/>
    <w:rsid w:val="00F54E5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54E5A"/>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6</Pages>
  <Words>1343</Words>
  <Characters>7661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Kamilla Kerim</cp:lastModifiedBy>
  <cp:revision>1</cp:revision>
  <dcterms:created xsi:type="dcterms:W3CDTF">2026-03-21T22:34:00Z</dcterms:created>
  <dcterms:modified xsi:type="dcterms:W3CDTF">2026-04-20T20:02:00Z</dcterms:modified>
</cp:coreProperties>
</file>