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53DE5" w14:textId="5A3A5158" w:rsidR="003F0C2D" w:rsidRPr="001A21A5" w:rsidRDefault="001A21A5" w:rsidP="001A21A5">
      <w:pPr>
        <w:jc w:val="left"/>
        <w:rPr>
          <w:i/>
          <w:iCs/>
        </w:rPr>
      </w:pPr>
      <w:r w:rsidRPr="001A21A5">
        <w:rPr>
          <w:i/>
          <w:iCs/>
          <w:noProof/>
        </w:rPr>
        <w:drawing>
          <wp:inline distT="0" distB="0" distL="0" distR="0" wp14:anchorId="1AA74696" wp14:editId="3C8502F5">
            <wp:extent cx="4494963" cy="187642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4505717" cy="1880914"/>
                    </a:xfrm>
                    <a:prstGeom prst="rect">
                      <a:avLst/>
                    </a:prstGeom>
                  </pic:spPr>
                </pic:pic>
              </a:graphicData>
            </a:graphic>
          </wp:inline>
        </w:drawing>
      </w:r>
      <w:r w:rsidR="006F29D1" w:rsidRPr="001A21A5">
        <w:rPr>
          <w:i/>
          <w:iCs/>
        </w:rPr>
        <w:t>.</w:t>
      </w:r>
    </w:p>
    <w:p w14:paraId="27A73CB0" w14:textId="77777777" w:rsidR="001A21A5" w:rsidRDefault="001A21A5" w:rsidP="001A21A5">
      <w:pPr>
        <w:jc w:val="left"/>
        <w:rPr>
          <w:i/>
          <w:iCs/>
        </w:rPr>
      </w:pPr>
      <w:r>
        <w:rPr>
          <w:i/>
          <w:iCs/>
        </w:rPr>
        <w:t>Student Name: Ioana-Theodora Popescu</w:t>
      </w:r>
    </w:p>
    <w:p w14:paraId="55D001F4" w14:textId="77777777" w:rsidR="001A21A5" w:rsidRPr="001A21A5" w:rsidRDefault="001A21A5" w:rsidP="001A21A5">
      <w:pPr>
        <w:jc w:val="left"/>
        <w:rPr>
          <w:i/>
          <w:iCs/>
        </w:rPr>
      </w:pPr>
      <w:r w:rsidRPr="001A21A5">
        <w:rPr>
          <w:i/>
          <w:iCs/>
        </w:rPr>
        <w:t>Student ID: 1922523</w:t>
      </w:r>
    </w:p>
    <w:p w14:paraId="0A4F84D3" w14:textId="77777777" w:rsidR="001A21A5" w:rsidRDefault="001A21A5" w:rsidP="001A21A5">
      <w:pPr>
        <w:jc w:val="left"/>
      </w:pPr>
    </w:p>
    <w:p w14:paraId="250B3536" w14:textId="7CC1C316" w:rsidR="006F29D1" w:rsidRDefault="006F29D1"/>
    <w:p w14:paraId="30660BAB" w14:textId="55DA6F85" w:rsidR="001A21A5" w:rsidRDefault="001A21A5"/>
    <w:p w14:paraId="37F51756" w14:textId="77777777" w:rsidR="001A21A5" w:rsidRDefault="001A21A5"/>
    <w:p w14:paraId="5320F963" w14:textId="54400301" w:rsidR="00C65483" w:rsidRPr="00637D81" w:rsidRDefault="00C65483" w:rsidP="00C65483">
      <w:pPr>
        <w:jc w:val="center"/>
        <w:rPr>
          <w:b/>
          <w:bCs/>
          <w:sz w:val="44"/>
          <w:szCs w:val="44"/>
        </w:rPr>
      </w:pPr>
      <w:bookmarkStart w:id="0" w:name="_Hlk85531833"/>
      <w:r w:rsidRPr="00637D81">
        <w:rPr>
          <w:b/>
          <w:bCs/>
          <w:sz w:val="44"/>
          <w:szCs w:val="44"/>
        </w:rPr>
        <w:t>Management Accounting</w:t>
      </w:r>
    </w:p>
    <w:bookmarkEnd w:id="0"/>
    <w:p w14:paraId="4B2B5DB2" w14:textId="59B64D8E" w:rsidR="00637D81" w:rsidRDefault="00637D81" w:rsidP="00C65483">
      <w:pPr>
        <w:jc w:val="center"/>
        <w:rPr>
          <w:b/>
          <w:bCs/>
          <w:sz w:val="36"/>
          <w:szCs w:val="32"/>
        </w:rPr>
      </w:pPr>
    </w:p>
    <w:p w14:paraId="41CA1CE6" w14:textId="3210F3AD" w:rsidR="00637D81" w:rsidRDefault="00637D81" w:rsidP="00C65483">
      <w:pPr>
        <w:jc w:val="center"/>
        <w:rPr>
          <w:b/>
          <w:bCs/>
          <w:sz w:val="36"/>
          <w:szCs w:val="32"/>
        </w:rPr>
      </w:pPr>
      <w:r w:rsidRPr="00637D81">
        <w:rPr>
          <w:b/>
          <w:bCs/>
          <w:sz w:val="36"/>
          <w:szCs w:val="32"/>
        </w:rPr>
        <w:t>Individual report</w:t>
      </w:r>
    </w:p>
    <w:p w14:paraId="4F610B97" w14:textId="04F2090B" w:rsidR="001A21A5" w:rsidRDefault="001A21A5" w:rsidP="00C65483">
      <w:pPr>
        <w:jc w:val="center"/>
        <w:rPr>
          <w:b/>
          <w:bCs/>
          <w:sz w:val="36"/>
          <w:szCs w:val="32"/>
        </w:rPr>
      </w:pPr>
    </w:p>
    <w:p w14:paraId="5C80D0E4" w14:textId="77777777" w:rsidR="001A21A5" w:rsidRDefault="001A21A5" w:rsidP="00C65483">
      <w:pPr>
        <w:jc w:val="center"/>
        <w:rPr>
          <w:b/>
          <w:bCs/>
          <w:sz w:val="36"/>
          <w:szCs w:val="32"/>
        </w:rPr>
      </w:pPr>
    </w:p>
    <w:p w14:paraId="66BFA71F" w14:textId="617B3A5C" w:rsidR="001A21A5" w:rsidRPr="001A21A5" w:rsidRDefault="001A21A5" w:rsidP="001A21A5">
      <w:pPr>
        <w:jc w:val="left"/>
        <w:rPr>
          <w:i/>
          <w:iCs/>
        </w:rPr>
      </w:pPr>
    </w:p>
    <w:p w14:paraId="26E74316" w14:textId="77777777" w:rsidR="001A21A5" w:rsidRDefault="001A21A5" w:rsidP="001A21A5">
      <w:pPr>
        <w:jc w:val="left"/>
        <w:rPr>
          <w:i/>
          <w:iCs/>
        </w:rPr>
      </w:pPr>
      <w:r>
        <w:rPr>
          <w:i/>
          <w:iCs/>
        </w:rPr>
        <w:t>University of Wales Trinity Saint David</w:t>
      </w:r>
    </w:p>
    <w:p w14:paraId="110577BD" w14:textId="01416356" w:rsidR="001A21A5" w:rsidRDefault="001A21A5" w:rsidP="001A21A5">
      <w:pPr>
        <w:jc w:val="left"/>
        <w:rPr>
          <w:i/>
          <w:iCs/>
        </w:rPr>
      </w:pPr>
      <w:r>
        <w:rPr>
          <w:i/>
          <w:iCs/>
        </w:rPr>
        <w:t xml:space="preserve">Module Number: </w:t>
      </w:r>
      <w:r w:rsidRPr="001A21A5">
        <w:rPr>
          <w:i/>
          <w:iCs/>
        </w:rPr>
        <w:t>LCBB5002</w:t>
      </w:r>
    </w:p>
    <w:p w14:paraId="19CF51D9" w14:textId="5F4E662F" w:rsidR="001A21A5" w:rsidRPr="001A21A5" w:rsidRDefault="001A21A5" w:rsidP="001A21A5">
      <w:pPr>
        <w:jc w:val="left"/>
        <w:rPr>
          <w:b/>
          <w:bCs/>
          <w:sz w:val="44"/>
          <w:szCs w:val="44"/>
        </w:rPr>
      </w:pPr>
      <w:r>
        <w:rPr>
          <w:i/>
          <w:iCs/>
        </w:rPr>
        <w:t xml:space="preserve">Module Name: </w:t>
      </w:r>
      <w:r w:rsidRPr="001A21A5">
        <w:rPr>
          <w:i/>
          <w:iCs/>
        </w:rPr>
        <w:t>Management Accounting</w:t>
      </w:r>
    </w:p>
    <w:p w14:paraId="4183B08C" w14:textId="48298AE1" w:rsidR="001A21A5" w:rsidRDefault="001A21A5" w:rsidP="001A21A5">
      <w:pPr>
        <w:jc w:val="left"/>
        <w:rPr>
          <w:i/>
          <w:iCs/>
        </w:rPr>
      </w:pPr>
      <w:r>
        <w:rPr>
          <w:i/>
          <w:iCs/>
        </w:rPr>
        <w:t xml:space="preserve">Module Tutor: </w:t>
      </w:r>
      <w:r w:rsidRPr="001A21A5">
        <w:rPr>
          <w:i/>
          <w:iCs/>
        </w:rPr>
        <w:t>David Jenkins</w:t>
      </w:r>
    </w:p>
    <w:p w14:paraId="4F7ABD0E" w14:textId="77777777" w:rsidR="001A21A5" w:rsidRPr="00C65483" w:rsidRDefault="001A21A5" w:rsidP="00C65483">
      <w:pPr>
        <w:jc w:val="center"/>
        <w:rPr>
          <w:b/>
          <w:bCs/>
          <w:sz w:val="36"/>
          <w:szCs w:val="32"/>
        </w:rPr>
      </w:pPr>
    </w:p>
    <w:sdt>
      <w:sdtPr>
        <w:id w:val="-690212206"/>
        <w:docPartObj>
          <w:docPartGallery w:val="Table of Contents"/>
          <w:docPartUnique/>
        </w:docPartObj>
      </w:sdtPr>
      <w:sdtEndPr>
        <w:rPr>
          <w:b/>
          <w:bCs/>
          <w:noProof/>
        </w:rPr>
      </w:sdtEndPr>
      <w:sdtContent>
        <w:p w14:paraId="61462D13" w14:textId="783F264C" w:rsidR="00C65483" w:rsidRPr="001A21A5" w:rsidRDefault="00C65483" w:rsidP="001A21A5">
          <w:pPr>
            <w:jc w:val="center"/>
            <w:rPr>
              <w:b/>
              <w:bCs/>
            </w:rPr>
          </w:pPr>
          <w:r w:rsidRPr="001A21A5">
            <w:rPr>
              <w:b/>
              <w:bCs/>
            </w:rPr>
            <w:t>Table of Contents</w:t>
          </w:r>
        </w:p>
        <w:p w14:paraId="47331D04" w14:textId="6B63C332" w:rsidR="00637D81" w:rsidRDefault="005013AC">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85484145" w:history="1">
            <w:r w:rsidR="00637D81" w:rsidRPr="002A4436">
              <w:rPr>
                <w:rStyle w:val="Hyperlink"/>
                <w:noProof/>
              </w:rPr>
              <w:t>Introduction</w:t>
            </w:r>
            <w:r w:rsidR="00637D81">
              <w:rPr>
                <w:noProof/>
                <w:webHidden/>
              </w:rPr>
              <w:tab/>
            </w:r>
            <w:r w:rsidR="00637D81">
              <w:rPr>
                <w:noProof/>
                <w:webHidden/>
              </w:rPr>
              <w:fldChar w:fldCharType="begin"/>
            </w:r>
            <w:r w:rsidR="00637D81">
              <w:rPr>
                <w:noProof/>
                <w:webHidden/>
              </w:rPr>
              <w:instrText xml:space="preserve"> PAGEREF _Toc85484145 \h </w:instrText>
            </w:r>
            <w:r w:rsidR="00637D81">
              <w:rPr>
                <w:noProof/>
                <w:webHidden/>
              </w:rPr>
            </w:r>
            <w:r w:rsidR="00637D81">
              <w:rPr>
                <w:noProof/>
                <w:webHidden/>
              </w:rPr>
              <w:fldChar w:fldCharType="separate"/>
            </w:r>
            <w:r w:rsidR="00637D81">
              <w:rPr>
                <w:noProof/>
                <w:webHidden/>
              </w:rPr>
              <w:t>3</w:t>
            </w:r>
            <w:r w:rsidR="00637D81">
              <w:rPr>
                <w:noProof/>
                <w:webHidden/>
              </w:rPr>
              <w:fldChar w:fldCharType="end"/>
            </w:r>
          </w:hyperlink>
        </w:p>
        <w:p w14:paraId="0EECF268" w14:textId="63563E8D" w:rsidR="00637D81" w:rsidRDefault="00205345">
          <w:pPr>
            <w:pStyle w:val="TOC1"/>
            <w:tabs>
              <w:tab w:val="right" w:leader="dot" w:pos="9016"/>
            </w:tabs>
            <w:rPr>
              <w:rFonts w:asciiTheme="minorHAnsi" w:eastAsiaTheme="minorEastAsia" w:hAnsiTheme="minorHAnsi"/>
              <w:noProof/>
              <w:sz w:val="22"/>
              <w:lang w:val="en-GB" w:eastAsia="en-GB"/>
            </w:rPr>
          </w:pPr>
          <w:hyperlink w:anchor="_Toc85484146" w:history="1">
            <w:r w:rsidR="00637D81" w:rsidRPr="002A4436">
              <w:rPr>
                <w:rStyle w:val="Hyperlink"/>
                <w:noProof/>
              </w:rPr>
              <w:t>Branch closing decision making</w:t>
            </w:r>
            <w:r w:rsidR="00637D81">
              <w:rPr>
                <w:noProof/>
                <w:webHidden/>
              </w:rPr>
              <w:tab/>
            </w:r>
            <w:r w:rsidR="00637D81">
              <w:rPr>
                <w:noProof/>
                <w:webHidden/>
              </w:rPr>
              <w:fldChar w:fldCharType="begin"/>
            </w:r>
            <w:r w:rsidR="00637D81">
              <w:rPr>
                <w:noProof/>
                <w:webHidden/>
              </w:rPr>
              <w:instrText xml:space="preserve"> PAGEREF _Toc85484146 \h </w:instrText>
            </w:r>
            <w:r w:rsidR="00637D81">
              <w:rPr>
                <w:noProof/>
                <w:webHidden/>
              </w:rPr>
            </w:r>
            <w:r w:rsidR="00637D81">
              <w:rPr>
                <w:noProof/>
                <w:webHidden/>
              </w:rPr>
              <w:fldChar w:fldCharType="separate"/>
            </w:r>
            <w:r w:rsidR="00637D81">
              <w:rPr>
                <w:noProof/>
                <w:webHidden/>
              </w:rPr>
              <w:t>4</w:t>
            </w:r>
            <w:r w:rsidR="00637D81">
              <w:rPr>
                <w:noProof/>
                <w:webHidden/>
              </w:rPr>
              <w:fldChar w:fldCharType="end"/>
            </w:r>
          </w:hyperlink>
        </w:p>
        <w:p w14:paraId="331C2BFD" w14:textId="1EF71AAF" w:rsidR="00637D81" w:rsidRDefault="00205345">
          <w:pPr>
            <w:pStyle w:val="TOC1"/>
            <w:tabs>
              <w:tab w:val="right" w:leader="dot" w:pos="9016"/>
            </w:tabs>
            <w:rPr>
              <w:rFonts w:asciiTheme="minorHAnsi" w:eastAsiaTheme="minorEastAsia" w:hAnsiTheme="minorHAnsi"/>
              <w:noProof/>
              <w:sz w:val="22"/>
              <w:lang w:val="en-GB" w:eastAsia="en-GB"/>
            </w:rPr>
          </w:pPr>
          <w:hyperlink w:anchor="_Toc85484147" w:history="1">
            <w:r w:rsidR="00637D81" w:rsidRPr="002A4436">
              <w:rPr>
                <w:rStyle w:val="Hyperlink"/>
                <w:noProof/>
              </w:rPr>
              <w:t>Measures or evaluations before taking decision on closing of branch</w:t>
            </w:r>
            <w:r w:rsidR="00637D81">
              <w:rPr>
                <w:noProof/>
                <w:webHidden/>
              </w:rPr>
              <w:tab/>
            </w:r>
            <w:r w:rsidR="00637D81">
              <w:rPr>
                <w:noProof/>
                <w:webHidden/>
              </w:rPr>
              <w:fldChar w:fldCharType="begin"/>
            </w:r>
            <w:r w:rsidR="00637D81">
              <w:rPr>
                <w:noProof/>
                <w:webHidden/>
              </w:rPr>
              <w:instrText xml:space="preserve"> PAGEREF _Toc85484147 \h </w:instrText>
            </w:r>
            <w:r w:rsidR="00637D81">
              <w:rPr>
                <w:noProof/>
                <w:webHidden/>
              </w:rPr>
            </w:r>
            <w:r w:rsidR="00637D81">
              <w:rPr>
                <w:noProof/>
                <w:webHidden/>
              </w:rPr>
              <w:fldChar w:fldCharType="separate"/>
            </w:r>
            <w:r w:rsidR="00637D81">
              <w:rPr>
                <w:noProof/>
                <w:webHidden/>
              </w:rPr>
              <w:t>4</w:t>
            </w:r>
            <w:r w:rsidR="00637D81">
              <w:rPr>
                <w:noProof/>
                <w:webHidden/>
              </w:rPr>
              <w:fldChar w:fldCharType="end"/>
            </w:r>
          </w:hyperlink>
        </w:p>
        <w:p w14:paraId="5AD06931" w14:textId="142AFC8F" w:rsidR="00637D81" w:rsidRDefault="00205345">
          <w:pPr>
            <w:pStyle w:val="TOC1"/>
            <w:tabs>
              <w:tab w:val="right" w:leader="dot" w:pos="9016"/>
            </w:tabs>
            <w:rPr>
              <w:rFonts w:asciiTheme="minorHAnsi" w:eastAsiaTheme="minorEastAsia" w:hAnsiTheme="minorHAnsi"/>
              <w:noProof/>
              <w:sz w:val="22"/>
              <w:lang w:val="en-GB" w:eastAsia="en-GB"/>
            </w:rPr>
          </w:pPr>
          <w:hyperlink w:anchor="_Toc85484148" w:history="1">
            <w:r w:rsidR="00637D81" w:rsidRPr="002A4436">
              <w:rPr>
                <w:rStyle w:val="Hyperlink"/>
                <w:noProof/>
              </w:rPr>
              <w:t>Recommendations on the closure of Conventry branch</w:t>
            </w:r>
            <w:r w:rsidR="00637D81">
              <w:rPr>
                <w:noProof/>
                <w:webHidden/>
              </w:rPr>
              <w:tab/>
            </w:r>
            <w:r w:rsidR="00637D81">
              <w:rPr>
                <w:noProof/>
                <w:webHidden/>
              </w:rPr>
              <w:fldChar w:fldCharType="begin"/>
            </w:r>
            <w:r w:rsidR="00637D81">
              <w:rPr>
                <w:noProof/>
                <w:webHidden/>
              </w:rPr>
              <w:instrText xml:space="preserve"> PAGEREF _Toc85484148 \h </w:instrText>
            </w:r>
            <w:r w:rsidR="00637D81">
              <w:rPr>
                <w:noProof/>
                <w:webHidden/>
              </w:rPr>
            </w:r>
            <w:r w:rsidR="00637D81">
              <w:rPr>
                <w:noProof/>
                <w:webHidden/>
              </w:rPr>
              <w:fldChar w:fldCharType="separate"/>
            </w:r>
            <w:r w:rsidR="00637D81">
              <w:rPr>
                <w:noProof/>
                <w:webHidden/>
              </w:rPr>
              <w:t>7</w:t>
            </w:r>
            <w:r w:rsidR="00637D81">
              <w:rPr>
                <w:noProof/>
                <w:webHidden/>
              </w:rPr>
              <w:fldChar w:fldCharType="end"/>
            </w:r>
          </w:hyperlink>
        </w:p>
        <w:p w14:paraId="0860664E" w14:textId="168205F8" w:rsidR="00637D81" w:rsidRDefault="00205345">
          <w:pPr>
            <w:pStyle w:val="TOC1"/>
            <w:tabs>
              <w:tab w:val="right" w:leader="dot" w:pos="9016"/>
            </w:tabs>
            <w:rPr>
              <w:rFonts w:asciiTheme="minorHAnsi" w:eastAsiaTheme="minorEastAsia" w:hAnsiTheme="minorHAnsi"/>
              <w:noProof/>
              <w:sz w:val="22"/>
              <w:lang w:val="en-GB" w:eastAsia="en-GB"/>
            </w:rPr>
          </w:pPr>
          <w:hyperlink w:anchor="_Toc85484149" w:history="1">
            <w:r w:rsidR="00637D81" w:rsidRPr="002A4436">
              <w:rPr>
                <w:rStyle w:val="Hyperlink"/>
                <w:noProof/>
              </w:rPr>
              <w:t>Conclusion</w:t>
            </w:r>
            <w:r w:rsidR="00637D81">
              <w:rPr>
                <w:noProof/>
                <w:webHidden/>
              </w:rPr>
              <w:tab/>
            </w:r>
            <w:r w:rsidR="00637D81">
              <w:rPr>
                <w:noProof/>
                <w:webHidden/>
              </w:rPr>
              <w:fldChar w:fldCharType="begin"/>
            </w:r>
            <w:r w:rsidR="00637D81">
              <w:rPr>
                <w:noProof/>
                <w:webHidden/>
              </w:rPr>
              <w:instrText xml:space="preserve"> PAGEREF _Toc85484149 \h </w:instrText>
            </w:r>
            <w:r w:rsidR="00637D81">
              <w:rPr>
                <w:noProof/>
                <w:webHidden/>
              </w:rPr>
            </w:r>
            <w:r w:rsidR="00637D81">
              <w:rPr>
                <w:noProof/>
                <w:webHidden/>
              </w:rPr>
              <w:fldChar w:fldCharType="separate"/>
            </w:r>
            <w:r w:rsidR="00637D81">
              <w:rPr>
                <w:noProof/>
                <w:webHidden/>
              </w:rPr>
              <w:t>9</w:t>
            </w:r>
            <w:r w:rsidR="00637D81">
              <w:rPr>
                <w:noProof/>
                <w:webHidden/>
              </w:rPr>
              <w:fldChar w:fldCharType="end"/>
            </w:r>
          </w:hyperlink>
        </w:p>
        <w:p w14:paraId="75416838" w14:textId="2B7BF0DA" w:rsidR="00637D81" w:rsidRDefault="00205345">
          <w:pPr>
            <w:pStyle w:val="TOC1"/>
            <w:tabs>
              <w:tab w:val="right" w:leader="dot" w:pos="9016"/>
            </w:tabs>
            <w:rPr>
              <w:rFonts w:asciiTheme="minorHAnsi" w:eastAsiaTheme="minorEastAsia" w:hAnsiTheme="minorHAnsi"/>
              <w:noProof/>
              <w:sz w:val="22"/>
              <w:lang w:val="en-GB" w:eastAsia="en-GB"/>
            </w:rPr>
          </w:pPr>
          <w:hyperlink w:anchor="_Toc85484150" w:history="1">
            <w:r w:rsidR="00637D81" w:rsidRPr="002A4436">
              <w:rPr>
                <w:rStyle w:val="Hyperlink"/>
                <w:noProof/>
              </w:rPr>
              <w:t>References</w:t>
            </w:r>
            <w:r w:rsidR="00637D81">
              <w:rPr>
                <w:noProof/>
                <w:webHidden/>
              </w:rPr>
              <w:tab/>
            </w:r>
            <w:r w:rsidR="00637D81">
              <w:rPr>
                <w:noProof/>
                <w:webHidden/>
              </w:rPr>
              <w:fldChar w:fldCharType="begin"/>
            </w:r>
            <w:r w:rsidR="00637D81">
              <w:rPr>
                <w:noProof/>
                <w:webHidden/>
              </w:rPr>
              <w:instrText xml:space="preserve"> PAGEREF _Toc85484150 \h </w:instrText>
            </w:r>
            <w:r w:rsidR="00637D81">
              <w:rPr>
                <w:noProof/>
                <w:webHidden/>
              </w:rPr>
            </w:r>
            <w:r w:rsidR="00637D81">
              <w:rPr>
                <w:noProof/>
                <w:webHidden/>
              </w:rPr>
              <w:fldChar w:fldCharType="separate"/>
            </w:r>
            <w:r w:rsidR="00637D81">
              <w:rPr>
                <w:noProof/>
                <w:webHidden/>
              </w:rPr>
              <w:t>10</w:t>
            </w:r>
            <w:r w:rsidR="00637D81">
              <w:rPr>
                <w:noProof/>
                <w:webHidden/>
              </w:rPr>
              <w:fldChar w:fldCharType="end"/>
            </w:r>
          </w:hyperlink>
        </w:p>
        <w:p w14:paraId="69481AC9" w14:textId="65E01F50" w:rsidR="00637D81" w:rsidRDefault="00205345">
          <w:pPr>
            <w:pStyle w:val="TOC1"/>
            <w:tabs>
              <w:tab w:val="right" w:leader="dot" w:pos="9016"/>
            </w:tabs>
            <w:rPr>
              <w:rFonts w:asciiTheme="minorHAnsi" w:eastAsiaTheme="minorEastAsia" w:hAnsiTheme="minorHAnsi"/>
              <w:noProof/>
              <w:sz w:val="22"/>
              <w:lang w:val="en-GB" w:eastAsia="en-GB"/>
            </w:rPr>
          </w:pPr>
          <w:hyperlink w:anchor="_Toc85484151" w:history="1">
            <w:r w:rsidR="00637D81" w:rsidRPr="002A4436">
              <w:rPr>
                <w:rStyle w:val="Hyperlink"/>
                <w:noProof/>
              </w:rPr>
              <w:t>Appendix</w:t>
            </w:r>
            <w:r w:rsidR="00637D81">
              <w:rPr>
                <w:noProof/>
                <w:webHidden/>
              </w:rPr>
              <w:tab/>
            </w:r>
            <w:r w:rsidR="00637D81">
              <w:rPr>
                <w:noProof/>
                <w:webHidden/>
              </w:rPr>
              <w:fldChar w:fldCharType="begin"/>
            </w:r>
            <w:r w:rsidR="00637D81">
              <w:rPr>
                <w:noProof/>
                <w:webHidden/>
              </w:rPr>
              <w:instrText xml:space="preserve"> PAGEREF _Toc85484151 \h </w:instrText>
            </w:r>
            <w:r w:rsidR="00637D81">
              <w:rPr>
                <w:noProof/>
                <w:webHidden/>
              </w:rPr>
            </w:r>
            <w:r w:rsidR="00637D81">
              <w:rPr>
                <w:noProof/>
                <w:webHidden/>
              </w:rPr>
              <w:fldChar w:fldCharType="separate"/>
            </w:r>
            <w:r w:rsidR="00637D81">
              <w:rPr>
                <w:noProof/>
                <w:webHidden/>
              </w:rPr>
              <w:t>11</w:t>
            </w:r>
            <w:r w:rsidR="00637D81">
              <w:rPr>
                <w:noProof/>
                <w:webHidden/>
              </w:rPr>
              <w:fldChar w:fldCharType="end"/>
            </w:r>
          </w:hyperlink>
        </w:p>
        <w:p w14:paraId="5C3C2E48" w14:textId="0E388756" w:rsidR="00C65483" w:rsidRDefault="005013AC">
          <w:r>
            <w:rPr>
              <w:b/>
              <w:bCs/>
              <w:noProof/>
            </w:rPr>
            <w:fldChar w:fldCharType="end"/>
          </w:r>
        </w:p>
      </w:sdtContent>
    </w:sdt>
    <w:p w14:paraId="0FB87481" w14:textId="5881D84D" w:rsidR="00C65483" w:rsidRDefault="00C65483">
      <w:r>
        <w:br w:type="page"/>
      </w:r>
    </w:p>
    <w:p w14:paraId="0853D7C5" w14:textId="73943E29" w:rsidR="00C65483" w:rsidRPr="001A21A5" w:rsidRDefault="00381B4B" w:rsidP="001A21A5">
      <w:pPr>
        <w:pStyle w:val="Heading1"/>
      </w:pPr>
      <w:bookmarkStart w:id="1" w:name="_Toc85484145"/>
      <w:r w:rsidRPr="001A21A5">
        <w:lastRenderedPageBreak/>
        <w:t>Introduction</w:t>
      </w:r>
      <w:bookmarkEnd w:id="1"/>
    </w:p>
    <w:p w14:paraId="1D702C42" w14:textId="53A447E0" w:rsidR="001A21A5" w:rsidRDefault="001A21A5" w:rsidP="001A21A5">
      <w:pPr>
        <w:ind w:left="567"/>
      </w:pPr>
      <w:r>
        <w:t xml:space="preserve">   </w:t>
      </w:r>
      <w:r w:rsidR="007B6B80" w:rsidRPr="007B6B80">
        <w:t>Individuals with a strong understanding of finance and decision-making skills may make informed financial decisions via problem-solving and critical thinking, as well as through a thorough understanding of key financial facts and concepts</w:t>
      </w:r>
      <w:r w:rsidR="0088252B" w:rsidRPr="0088252B">
        <w:t xml:space="preserve"> (</w:t>
      </w:r>
      <w:proofErr w:type="spellStart"/>
      <w:r w:rsidR="0088252B" w:rsidRPr="0088252B">
        <w:t>Yousfani</w:t>
      </w:r>
      <w:proofErr w:type="spellEnd"/>
      <w:r w:rsidR="0088252B" w:rsidRPr="0088252B">
        <w:t xml:space="preserve">, Shah and </w:t>
      </w:r>
      <w:proofErr w:type="spellStart"/>
      <w:r w:rsidR="0088252B" w:rsidRPr="0088252B">
        <w:t>Kazi</w:t>
      </w:r>
      <w:proofErr w:type="spellEnd"/>
      <w:r w:rsidR="0088252B" w:rsidRPr="0088252B">
        <w:t>, 2019)</w:t>
      </w:r>
      <w:r w:rsidR="007B6B80" w:rsidRPr="007B6B80">
        <w:t>.</w:t>
      </w:r>
    </w:p>
    <w:p w14:paraId="192192E6" w14:textId="057EF71B" w:rsidR="00381B4B" w:rsidRDefault="001A21A5" w:rsidP="001A21A5">
      <w:pPr>
        <w:ind w:left="567"/>
      </w:pPr>
      <w:r>
        <w:t xml:space="preserve">   </w:t>
      </w:r>
      <w:r w:rsidR="007B6B80" w:rsidRPr="007B6B80">
        <w:t xml:space="preserve"> RRDS (Rapid Response Drainage Services Limited) will provide the financial condition and analysis of the company in this report, and the recommendations that will be given to its Board of Directors in response to the recommended statement or proposal made by John will also be included in it.</w:t>
      </w:r>
    </w:p>
    <w:p w14:paraId="2618C8FD" w14:textId="1FE34803" w:rsidR="002F5064" w:rsidRDefault="002F5064" w:rsidP="001A21A5">
      <w:pPr>
        <w:ind w:left="567"/>
      </w:pPr>
      <w:r>
        <w:br w:type="page"/>
      </w:r>
    </w:p>
    <w:p w14:paraId="178F9908" w14:textId="69E3F941" w:rsidR="00FE3C49" w:rsidRDefault="00FE3C49" w:rsidP="001A21A5">
      <w:pPr>
        <w:pStyle w:val="Heading1"/>
        <w:ind w:left="567"/>
      </w:pPr>
      <w:bookmarkStart w:id="2" w:name="_Toc85484146"/>
      <w:r>
        <w:lastRenderedPageBreak/>
        <w:t>Branch closing decision making</w:t>
      </w:r>
      <w:bookmarkEnd w:id="2"/>
    </w:p>
    <w:p w14:paraId="69DE13A5" w14:textId="77777777" w:rsidR="006045DA" w:rsidRPr="006045DA" w:rsidRDefault="006045DA" w:rsidP="006045DA"/>
    <w:p w14:paraId="4809CEB3" w14:textId="7E3921F0" w:rsidR="007841D3" w:rsidRDefault="001A21A5" w:rsidP="001A21A5">
      <w:pPr>
        <w:ind w:left="567"/>
      </w:pPr>
      <w:r>
        <w:t xml:space="preserve">  </w:t>
      </w:r>
      <w:r w:rsidR="00AF568D">
        <w:t>According to Walton (2008), ‘’</w:t>
      </w:r>
      <w:r w:rsidR="005576F0" w:rsidRPr="005576F0">
        <w:t>Each and every company has ups and downs, and many of them may have cash flow issues at some time in their history. The temptation to sh</w:t>
      </w:r>
      <w:r w:rsidR="008F62CD">
        <w:t>a</w:t>
      </w:r>
      <w:r w:rsidR="005576F0" w:rsidRPr="005576F0">
        <w:t>tter one's doors after suffering through tough times is strong; nevertheless, closing one's business should not be made in the heat of the moment of frustration.</w:t>
      </w:r>
      <w:r w:rsidR="00B97508">
        <w:t xml:space="preserve"> </w:t>
      </w:r>
      <w:r w:rsidR="007841D3">
        <w:t>Choosing whether or not to shut a branch is one of the most difficult decisions a banker will have to make over the course of his or her working life. Inevitably, branch closures have an influence on the clients of the closed branch, but they also have an impact on the customers of the neighbo</w:t>
      </w:r>
      <w:r w:rsidR="008F62CD">
        <w:t>u</w:t>
      </w:r>
      <w:r w:rsidR="007841D3">
        <w:t>ring branches, and they may have ramifications across the bank and its surrounding community</w:t>
      </w:r>
      <w:r w:rsidR="006045DA">
        <w:t xml:space="preserve">. </w:t>
      </w:r>
      <w:r w:rsidR="007841D3">
        <w:t>An organization's branch office may contemplate shutting for one of two main reasons: poor performance, as shown by financial data such as balances or income; and closeness to other branches of the same or other organizations.</w:t>
      </w:r>
      <w:r w:rsidR="006045DA">
        <w:t>’’</w:t>
      </w:r>
    </w:p>
    <w:p w14:paraId="66360BD7" w14:textId="4CBF81D0" w:rsidR="00FE3C49" w:rsidRDefault="001A21A5" w:rsidP="001A21A5">
      <w:pPr>
        <w:ind w:left="567"/>
      </w:pPr>
      <w:r>
        <w:t xml:space="preserve">   </w:t>
      </w:r>
      <w:r w:rsidR="007841D3">
        <w:t xml:space="preserve">Firstly, before shutting a branch due to poor performance, the business must assess </w:t>
      </w:r>
      <w:r w:rsidR="008F62CD">
        <w:t xml:space="preserve">the </w:t>
      </w:r>
      <w:r w:rsidR="007841D3">
        <w:t>market potential to determine if the branch's performance is being hindered by its location in a declining market or whether it is failing as a result of its location in a viable market region</w:t>
      </w:r>
      <w:r w:rsidR="006045DA">
        <w:t xml:space="preserve">. </w:t>
      </w:r>
      <w:r w:rsidR="007841D3">
        <w:t>Demographic data and indicators such as household penetration, anticipated growth rates, and deposit share may be used to determine whether or not a business is gaining a fair proportion of a market that does not have much potential. Depending on the circumstances, it may be necessary to discontinue the inquiry</w:t>
      </w:r>
      <w:r w:rsidR="006045DA">
        <w:t xml:space="preserve"> </w:t>
      </w:r>
      <w:r w:rsidR="006045DA" w:rsidRPr="006045DA">
        <w:t>(Stubbs, 2013).</w:t>
      </w:r>
    </w:p>
    <w:p w14:paraId="4097B173" w14:textId="77777777" w:rsidR="001A21A5" w:rsidRDefault="001A21A5" w:rsidP="001A21A5">
      <w:pPr>
        <w:ind w:left="567"/>
      </w:pPr>
    </w:p>
    <w:p w14:paraId="76E7AD3E" w14:textId="2DEE10AD" w:rsidR="003B7379" w:rsidRDefault="003B7379" w:rsidP="001A21A5">
      <w:pPr>
        <w:pStyle w:val="Heading1"/>
        <w:ind w:left="567"/>
      </w:pPr>
      <w:bookmarkStart w:id="3" w:name="_Toc85484147"/>
      <w:r>
        <w:t xml:space="preserve">Measures or evaluations before taking </w:t>
      </w:r>
      <w:r w:rsidR="008F62CD">
        <w:t xml:space="preserve">the </w:t>
      </w:r>
      <w:r>
        <w:t xml:space="preserve">decision on </w:t>
      </w:r>
      <w:r w:rsidR="008F62CD">
        <w:t xml:space="preserve">the </w:t>
      </w:r>
      <w:r>
        <w:t xml:space="preserve">closing of </w:t>
      </w:r>
      <w:r w:rsidR="008F62CD">
        <w:t xml:space="preserve">a </w:t>
      </w:r>
      <w:r>
        <w:t>branch</w:t>
      </w:r>
      <w:bookmarkEnd w:id="3"/>
    </w:p>
    <w:p w14:paraId="21027B7D" w14:textId="77777777" w:rsidR="001A21A5" w:rsidRPr="001A21A5" w:rsidRDefault="001A21A5" w:rsidP="001A21A5"/>
    <w:p w14:paraId="79AB12AB" w14:textId="4FB6455A" w:rsidR="003B7379" w:rsidRPr="00E67C3B" w:rsidRDefault="00BA5F11" w:rsidP="001A21A5">
      <w:pPr>
        <w:ind w:left="567"/>
        <w:rPr>
          <w:b/>
          <w:bCs/>
          <w:u w:val="single"/>
        </w:rPr>
      </w:pPr>
      <w:r w:rsidRPr="00E67C3B">
        <w:rPr>
          <w:b/>
          <w:bCs/>
          <w:u w:val="single"/>
        </w:rPr>
        <w:t>Income margin of each branch</w:t>
      </w:r>
    </w:p>
    <w:p w14:paraId="25F84F45" w14:textId="51782D55" w:rsidR="00605BA8" w:rsidRDefault="001A21A5" w:rsidP="001A21A5">
      <w:pPr>
        <w:ind w:left="567"/>
      </w:pPr>
      <w:r>
        <w:t xml:space="preserve">   </w:t>
      </w:r>
      <w:r w:rsidR="00605BA8" w:rsidRPr="00605BA8">
        <w:t xml:space="preserve">Among the most frequently used profitability ratios is the profit margin, which is used to determine the extent to which a firm or a commercial activity generates </w:t>
      </w:r>
      <w:r w:rsidR="00605BA8" w:rsidRPr="00605BA8">
        <w:lastRenderedPageBreak/>
        <w:t>profits. In this case, it indicates the proportion of sales that have resulted in profits</w:t>
      </w:r>
      <w:r w:rsidR="0088252B" w:rsidRPr="0088252B">
        <w:t xml:space="preserve"> (Soenarto, 2020)</w:t>
      </w:r>
      <w:r w:rsidR="00605BA8" w:rsidRPr="00605BA8">
        <w:t>.</w:t>
      </w:r>
    </w:p>
    <w:p w14:paraId="0A6FE8D4" w14:textId="77777777" w:rsidR="006045DA" w:rsidRDefault="006045DA" w:rsidP="001A21A5">
      <w:pPr>
        <w:ind w:left="567"/>
      </w:pPr>
    </w:p>
    <w:p w14:paraId="516B5DF0" w14:textId="07A48367" w:rsidR="00BA5F11" w:rsidRDefault="00BA5F11" w:rsidP="001A21A5">
      <w:pPr>
        <w:ind w:left="567"/>
        <w:jc w:val="center"/>
      </w:pPr>
      <w:r w:rsidRPr="00BA5F11">
        <w:rPr>
          <w:noProof/>
        </w:rPr>
        <w:drawing>
          <wp:inline distT="0" distB="0" distL="0" distR="0" wp14:anchorId="1F88B1CA" wp14:editId="7FAA7E7D">
            <wp:extent cx="3942608" cy="504164"/>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5058" cy="510871"/>
                    </a:xfrm>
                    <a:prstGeom prst="rect">
                      <a:avLst/>
                    </a:prstGeom>
                    <a:noFill/>
                    <a:ln>
                      <a:noFill/>
                    </a:ln>
                  </pic:spPr>
                </pic:pic>
              </a:graphicData>
            </a:graphic>
          </wp:inline>
        </w:drawing>
      </w:r>
    </w:p>
    <w:p w14:paraId="4D51AD75" w14:textId="77777777" w:rsidR="006045DA" w:rsidRDefault="006045DA" w:rsidP="001A21A5">
      <w:pPr>
        <w:ind w:left="567"/>
        <w:jc w:val="center"/>
      </w:pPr>
    </w:p>
    <w:p w14:paraId="05C1778C" w14:textId="248C64A5" w:rsidR="008718C5" w:rsidRDefault="001A21A5" w:rsidP="001A21A5">
      <w:pPr>
        <w:ind w:left="567"/>
      </w:pPr>
      <w:r>
        <w:t xml:space="preserve">   </w:t>
      </w:r>
      <w:r w:rsidR="00C92BD3" w:rsidRPr="00C92BD3">
        <w:t xml:space="preserve">It can be observed from the above calculation of the revenue margin of RRDS branches that the income margin of all of the branches is doing very well and that none of them is generating any losses when all of the expenditures are taken into consideration. Stafford has an income margin of 760000, Birmingham has an income margin of 1134000, and despite the fact that Coventry is the primary source of worry, Coventry itself has an income margin of 678000, which is excellent and </w:t>
      </w:r>
      <w:r w:rsidRPr="00C92BD3">
        <w:t>favo</w:t>
      </w:r>
      <w:r>
        <w:t>r</w:t>
      </w:r>
      <w:r w:rsidRPr="00C92BD3">
        <w:t>able</w:t>
      </w:r>
      <w:r w:rsidR="00C92BD3" w:rsidRPr="00C92BD3">
        <w:t>. However, when compared to the other branches, it is lower, but it does not fall into the category of a loss-making branch.</w:t>
      </w:r>
    </w:p>
    <w:p w14:paraId="438139CC" w14:textId="0A878BA4" w:rsidR="00BA5F11" w:rsidRDefault="00D24B18" w:rsidP="001A21A5">
      <w:pPr>
        <w:ind w:left="567"/>
        <w:jc w:val="center"/>
      </w:pPr>
      <w:r>
        <w:rPr>
          <w:noProof/>
        </w:rPr>
        <w:drawing>
          <wp:inline distT="0" distB="0" distL="0" distR="0" wp14:anchorId="7429FA3A" wp14:editId="3E071002">
            <wp:extent cx="5006340" cy="3116580"/>
            <wp:effectExtent l="0" t="0" r="3810" b="7620"/>
            <wp:docPr id="1" name="Chart 1">
              <a:extLst xmlns:a="http://schemas.openxmlformats.org/drawingml/2006/main">
                <a:ext uri="{FF2B5EF4-FFF2-40B4-BE49-F238E27FC236}">
                  <a16:creationId xmlns:a16="http://schemas.microsoft.com/office/drawing/2014/main" id="{579160E5-6033-476D-865E-C24730D048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EBC11D5" w14:textId="77777777" w:rsidR="00127449" w:rsidRDefault="00127449" w:rsidP="001A21A5">
      <w:pPr>
        <w:ind w:left="567"/>
      </w:pPr>
      <w:r>
        <w:t xml:space="preserve">   </w:t>
      </w:r>
    </w:p>
    <w:p w14:paraId="70976A59" w14:textId="6A7C2574" w:rsidR="00127449" w:rsidRDefault="00127449" w:rsidP="001A21A5">
      <w:pPr>
        <w:ind w:left="567"/>
      </w:pPr>
      <w:r>
        <w:t xml:space="preserve">   </w:t>
      </w:r>
      <w:r w:rsidR="00F77B7B" w:rsidRPr="00F77B7B">
        <w:t>This graph makes it simple to view and understand the difference between the revenue margins of various branches</w:t>
      </w:r>
      <w:r>
        <w:t xml:space="preserve">. </w:t>
      </w:r>
      <w:r w:rsidR="00F77B7B" w:rsidRPr="00F77B7B">
        <w:t xml:space="preserve">In the graph, it can be observed that the </w:t>
      </w:r>
      <w:r w:rsidR="00F77B7B" w:rsidRPr="00F77B7B">
        <w:lastRenderedPageBreak/>
        <w:t>income margin for Coventry is smaller when compared to the income margins for the other two branches</w:t>
      </w:r>
      <w:r>
        <w:t xml:space="preserve"> </w:t>
      </w:r>
      <w:r w:rsidRPr="00127449">
        <w:t>(Hoyer, Pieters and MacInnis, 2013).</w:t>
      </w:r>
    </w:p>
    <w:p w14:paraId="23920665" w14:textId="340C27FC" w:rsidR="00127449" w:rsidRDefault="00127449" w:rsidP="001A21A5">
      <w:pPr>
        <w:ind w:left="567"/>
      </w:pPr>
    </w:p>
    <w:p w14:paraId="5999A95C" w14:textId="37B5BED0" w:rsidR="00127449" w:rsidRDefault="00127449" w:rsidP="001A21A5">
      <w:pPr>
        <w:ind w:left="567"/>
      </w:pPr>
    </w:p>
    <w:p w14:paraId="52660C13" w14:textId="77777777" w:rsidR="00127449" w:rsidRDefault="00127449" w:rsidP="001A21A5">
      <w:pPr>
        <w:ind w:left="567"/>
      </w:pPr>
    </w:p>
    <w:p w14:paraId="55374869" w14:textId="41BE6680" w:rsidR="00060A12" w:rsidRPr="00D830F6" w:rsidRDefault="00E67C3B" w:rsidP="001A21A5">
      <w:pPr>
        <w:ind w:left="567"/>
        <w:rPr>
          <w:b/>
          <w:bCs/>
          <w:u w:val="single"/>
        </w:rPr>
      </w:pPr>
      <w:r w:rsidRPr="00D830F6">
        <w:rPr>
          <w:b/>
          <w:bCs/>
          <w:u w:val="single"/>
        </w:rPr>
        <w:t>Advertising expenses for RRDS</w:t>
      </w:r>
    </w:p>
    <w:p w14:paraId="11E0C794" w14:textId="605CBD0C" w:rsidR="00694DDF" w:rsidRDefault="00127449" w:rsidP="001A21A5">
      <w:pPr>
        <w:ind w:left="567"/>
      </w:pPr>
      <w:r>
        <w:t xml:space="preserve">   </w:t>
      </w:r>
      <w:r w:rsidR="00694DDF" w:rsidRPr="00694DDF">
        <w:t>Advertising Expense is the account on the revenue statement that records the monetary amount of advertisements that ran during the period shown on the income statement.</w:t>
      </w:r>
    </w:p>
    <w:p w14:paraId="02DFD78C" w14:textId="77777777" w:rsidR="006045DA" w:rsidRDefault="006045DA" w:rsidP="001A21A5">
      <w:pPr>
        <w:ind w:left="567"/>
      </w:pPr>
    </w:p>
    <w:p w14:paraId="406F010F" w14:textId="60CD4F20" w:rsidR="00E67C3B" w:rsidRDefault="00ED4803" w:rsidP="001A21A5">
      <w:pPr>
        <w:ind w:left="567"/>
        <w:jc w:val="center"/>
      </w:pPr>
      <w:r w:rsidRPr="00ED4803">
        <w:rPr>
          <w:noProof/>
        </w:rPr>
        <w:drawing>
          <wp:inline distT="0" distB="0" distL="0" distR="0" wp14:anchorId="0F47C54C" wp14:editId="2F881752">
            <wp:extent cx="4007033" cy="4800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44138" cy="484505"/>
                    </a:xfrm>
                    <a:prstGeom prst="rect">
                      <a:avLst/>
                    </a:prstGeom>
                    <a:noFill/>
                    <a:ln>
                      <a:noFill/>
                    </a:ln>
                  </pic:spPr>
                </pic:pic>
              </a:graphicData>
            </a:graphic>
          </wp:inline>
        </w:drawing>
      </w:r>
    </w:p>
    <w:p w14:paraId="3F616055" w14:textId="77777777" w:rsidR="006045DA" w:rsidRDefault="006045DA" w:rsidP="001A21A5">
      <w:pPr>
        <w:ind w:left="567"/>
        <w:jc w:val="center"/>
      </w:pPr>
    </w:p>
    <w:p w14:paraId="1FB7B620" w14:textId="2FCB878F" w:rsidR="00ED4803" w:rsidRDefault="00127449" w:rsidP="001A21A5">
      <w:pPr>
        <w:ind w:left="567"/>
      </w:pPr>
      <w:r>
        <w:t xml:space="preserve">   </w:t>
      </w:r>
      <w:r w:rsidR="0041635E" w:rsidRPr="0041635E">
        <w:t xml:space="preserve">It can be observed from the statistics above that the advertising expenditures are yielding a positive reaction in terms of sales for all of the branch locations. However, when comparing the sales of Stafford and Coventry, it is clear that both have almost identical sales. For example, Stafford, with a </w:t>
      </w:r>
      <w:r w:rsidR="0057505A" w:rsidRPr="0041635E">
        <w:t>16000-advertising</w:t>
      </w:r>
      <w:r w:rsidR="0041635E" w:rsidRPr="0041635E">
        <w:t xml:space="preserve"> cost, manages sales of 880000, while Coventry, with a </w:t>
      </w:r>
      <w:r w:rsidR="0057505A" w:rsidRPr="0041635E">
        <w:t>30000-advertising</w:t>
      </w:r>
      <w:r w:rsidR="0041635E" w:rsidRPr="0041635E">
        <w:t xml:space="preserve"> expense, manages sales of just 800000. The Coventry branch is incurring a significant cost to achieve the same amount of sales as the Stafford branch, which is in contrast to the Stafford branch's cost</w:t>
      </w:r>
      <w:r w:rsidR="0088252B" w:rsidRPr="0088252B">
        <w:t xml:space="preserve"> (Eerens, 2012)</w:t>
      </w:r>
      <w:r w:rsidR="0041635E" w:rsidRPr="0041635E">
        <w:t>. As a result, the cause for the market area and the desire of consumers in that region may both be related. Coventry, on the other hand, is not in trouble.</w:t>
      </w:r>
      <w:r w:rsidR="00475B90">
        <w:t xml:space="preserve"> </w:t>
      </w:r>
    </w:p>
    <w:p w14:paraId="2E1C4FDE" w14:textId="0F30C61A" w:rsidR="00127449" w:rsidRDefault="00127449" w:rsidP="001A21A5">
      <w:pPr>
        <w:ind w:left="567"/>
      </w:pPr>
    </w:p>
    <w:p w14:paraId="5D2C8DBD" w14:textId="77777777" w:rsidR="00127449" w:rsidRDefault="00127449" w:rsidP="001A21A5">
      <w:pPr>
        <w:ind w:left="567"/>
      </w:pPr>
    </w:p>
    <w:p w14:paraId="0A8014A9" w14:textId="0B85B012" w:rsidR="00A631AB" w:rsidRDefault="00A631AB" w:rsidP="001A21A5">
      <w:pPr>
        <w:ind w:left="567"/>
        <w:jc w:val="center"/>
      </w:pPr>
      <w:r>
        <w:rPr>
          <w:noProof/>
        </w:rPr>
        <w:lastRenderedPageBreak/>
        <w:drawing>
          <wp:inline distT="0" distB="0" distL="0" distR="0" wp14:anchorId="22C06228" wp14:editId="2C7AD911">
            <wp:extent cx="5181600" cy="3108960"/>
            <wp:effectExtent l="0" t="0" r="0" b="0"/>
            <wp:docPr id="4" name="Chart 4">
              <a:extLst xmlns:a="http://schemas.openxmlformats.org/drawingml/2006/main">
                <a:ext uri="{FF2B5EF4-FFF2-40B4-BE49-F238E27FC236}">
                  <a16:creationId xmlns:a16="http://schemas.microsoft.com/office/drawing/2014/main" id="{25A394FA-F7DB-4425-8814-7B0BEC9D61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B88AF7" w14:textId="77777777" w:rsidR="00127449" w:rsidRDefault="00127449" w:rsidP="00127449">
      <w:pPr>
        <w:rPr>
          <w:b/>
          <w:bCs/>
          <w:u w:val="single"/>
        </w:rPr>
      </w:pPr>
    </w:p>
    <w:p w14:paraId="0784C0DE" w14:textId="40B7EA4A" w:rsidR="00475B90" w:rsidRDefault="00475B90" w:rsidP="001A21A5">
      <w:pPr>
        <w:ind w:left="567"/>
        <w:rPr>
          <w:b/>
          <w:bCs/>
          <w:u w:val="single"/>
        </w:rPr>
      </w:pPr>
      <w:r w:rsidRPr="00AB6B6A">
        <w:rPr>
          <w:b/>
          <w:bCs/>
          <w:u w:val="single"/>
        </w:rPr>
        <w:t xml:space="preserve">Fixed cost for RRDS branches </w:t>
      </w:r>
    </w:p>
    <w:p w14:paraId="6AA3FA70" w14:textId="77777777" w:rsidR="00127449" w:rsidRPr="00AB6B6A" w:rsidRDefault="00127449" w:rsidP="001A21A5">
      <w:pPr>
        <w:ind w:left="567"/>
        <w:rPr>
          <w:b/>
          <w:bCs/>
          <w:u w:val="single"/>
        </w:rPr>
      </w:pPr>
    </w:p>
    <w:p w14:paraId="48DB1AF7" w14:textId="326996A5" w:rsidR="00475B90" w:rsidRDefault="00127449" w:rsidP="001A21A5">
      <w:pPr>
        <w:ind w:left="567"/>
      </w:pPr>
      <w:r>
        <w:t xml:space="preserve">   </w:t>
      </w:r>
      <w:r w:rsidR="00591B96" w:rsidRPr="00591B96">
        <w:t>When it comes to fixed costs, they are expenses that remain constant regardless of how much product or service is produced or sold in the marketplace at any one point in time. Fixed costs must be covered regardless of the nature of the company's economic activity or its product or service offering</w:t>
      </w:r>
      <w:r w:rsidR="0088252B" w:rsidRPr="0088252B">
        <w:t xml:space="preserve"> (Datar and Rajan, 2014)</w:t>
      </w:r>
      <w:r w:rsidR="00591B96" w:rsidRPr="00591B96">
        <w:t xml:space="preserve">. Therefore, fixed expenses are often </w:t>
      </w:r>
      <w:r w:rsidR="008F62CD">
        <w:t>indirect</w:t>
      </w:r>
      <w:r w:rsidR="00591B96" w:rsidRPr="00591B96">
        <w:t>, meaning that they have minimal relation to a company's capacity to innovate and offer new products or services. Total operati</w:t>
      </w:r>
      <w:r w:rsidR="008F62CD">
        <w:t>ng</w:t>
      </w:r>
      <w:r w:rsidR="00591B96" w:rsidRPr="00591B96">
        <w:t xml:space="preserve"> expenses are made up of both fixed and variable costs, and they are often added together in the computation of each cost type.</w:t>
      </w:r>
      <w:r w:rsidR="00591B96">
        <w:t xml:space="preserve"> </w:t>
      </w:r>
      <w:r w:rsidR="00AB6B6A">
        <w:t>For every company and all the branches of the company</w:t>
      </w:r>
      <w:r w:rsidR="008F62CD">
        <w:t>,</w:t>
      </w:r>
      <w:r w:rsidR="00AB6B6A">
        <w:t xml:space="preserve"> it carries a fixed cost</w:t>
      </w:r>
      <w:r w:rsidR="0088252B" w:rsidRPr="0088252B">
        <w:t xml:space="preserve"> (Aras and Crowther, 2012)</w:t>
      </w:r>
      <w:r w:rsidR="00AB6B6A">
        <w:t xml:space="preserve">. Having different branches helps to levitate the fixed cost expenses and lowers the cost of each branch. </w:t>
      </w:r>
      <w:r w:rsidR="00233B20">
        <w:t>As mentioned in the question that each branch costs a variable cost of 75% on the sales, which means 25% is the fixed cost</w:t>
      </w:r>
      <w:r w:rsidR="00800AF0">
        <w:t xml:space="preserve">. </w:t>
      </w:r>
      <w:r w:rsidR="00233B20">
        <w:t xml:space="preserve">Therefore, the fixed cost that the company is having including the 3 branches, here the fixed cost is divided into the 3 branches and the sales from all the branches gives </w:t>
      </w:r>
      <w:r w:rsidR="008F62CD">
        <w:t xml:space="preserve">an </w:t>
      </w:r>
      <w:r w:rsidR="00233B20">
        <w:t>equal contribution to mitigat</w:t>
      </w:r>
      <w:r w:rsidR="008F62CD">
        <w:t>ing</w:t>
      </w:r>
      <w:r w:rsidR="00233B20">
        <w:t xml:space="preserve"> the fixed cost</w:t>
      </w:r>
      <w:r w:rsidR="00800AF0">
        <w:t xml:space="preserve"> </w:t>
      </w:r>
      <w:r w:rsidR="00800AF0" w:rsidRPr="00800AF0">
        <w:t>(</w:t>
      </w:r>
      <w:proofErr w:type="spellStart"/>
      <w:r w:rsidR="00800AF0" w:rsidRPr="00800AF0">
        <w:t>Yousfani</w:t>
      </w:r>
      <w:proofErr w:type="spellEnd"/>
      <w:r w:rsidR="00800AF0" w:rsidRPr="00800AF0">
        <w:t xml:space="preserve">, Shah and </w:t>
      </w:r>
      <w:proofErr w:type="spellStart"/>
      <w:r w:rsidR="00800AF0" w:rsidRPr="00800AF0">
        <w:t>Kazi</w:t>
      </w:r>
      <w:proofErr w:type="spellEnd"/>
      <w:r w:rsidR="00800AF0" w:rsidRPr="00800AF0">
        <w:t>, 2019).</w:t>
      </w:r>
    </w:p>
    <w:p w14:paraId="6B114AD9" w14:textId="05051B1C" w:rsidR="00233B20" w:rsidRDefault="00127449" w:rsidP="001A21A5">
      <w:pPr>
        <w:ind w:left="567"/>
      </w:pPr>
      <w:r>
        <w:lastRenderedPageBreak/>
        <w:t xml:space="preserve">   </w:t>
      </w:r>
      <w:r w:rsidR="0015343A" w:rsidRPr="0015343A">
        <w:t xml:space="preserve">The closing of the </w:t>
      </w:r>
      <w:r w:rsidRPr="0015343A">
        <w:t>Coventry</w:t>
      </w:r>
      <w:r w:rsidR="0015343A" w:rsidRPr="0015343A">
        <w:t xml:space="preserve"> branch will result in the termination of the </w:t>
      </w:r>
      <w:r w:rsidR="0088252B" w:rsidRPr="0015343A">
        <w:t>number</w:t>
      </w:r>
      <w:r w:rsidR="0015343A" w:rsidRPr="0015343A">
        <w:t xml:space="preserve"> of sales that are generated by this branch as a consequence of its closure. Because of the reduction in sales at this branch, the fixed expenses for the other two branches will increase, while the amount of money generated by RRDS will decrease as a consequence of the </w:t>
      </w:r>
      <w:r w:rsidRPr="0015343A">
        <w:t>decline</w:t>
      </w:r>
      <w:r>
        <w:t xml:space="preserve">, </w:t>
      </w:r>
      <w:r w:rsidRPr="0015343A">
        <w:t>because</w:t>
      </w:r>
      <w:r w:rsidR="0015343A" w:rsidRPr="0015343A">
        <w:t xml:space="preserve"> </w:t>
      </w:r>
      <w:r w:rsidR="008F62CD">
        <w:t>of</w:t>
      </w:r>
      <w:r w:rsidR="0015343A" w:rsidRPr="0015343A">
        <w:t xml:space="preserve"> the closing of the branch in </w:t>
      </w:r>
      <w:r w:rsidRPr="0015343A">
        <w:t>Coventry</w:t>
      </w:r>
      <w:r w:rsidR="0015343A" w:rsidRPr="0015343A">
        <w:t>, the RRDS will see a reduction in income while simultaneously increasing expenses. In contrast to the other branches, the closure of a</w:t>
      </w:r>
      <w:r>
        <w:t>, b</w:t>
      </w:r>
      <w:r w:rsidR="0015343A" w:rsidRPr="0015343A">
        <w:t xml:space="preserve"> branch will result in a decrease in sales income while an increase in other maintenance costs</w:t>
      </w:r>
      <w:r>
        <w:t xml:space="preserve"> (</w:t>
      </w:r>
      <w:r w:rsidRPr="00127449">
        <w:t>Walton, 2008).</w:t>
      </w:r>
    </w:p>
    <w:p w14:paraId="290DF440" w14:textId="176002F6" w:rsidR="00127449" w:rsidRDefault="00127449" w:rsidP="001A21A5">
      <w:pPr>
        <w:ind w:left="567"/>
      </w:pPr>
    </w:p>
    <w:p w14:paraId="595E4453" w14:textId="77777777" w:rsidR="00127449" w:rsidRDefault="00127449" w:rsidP="001A21A5">
      <w:pPr>
        <w:ind w:left="567"/>
      </w:pPr>
    </w:p>
    <w:p w14:paraId="44253A96" w14:textId="3325E67C" w:rsidR="00233B20" w:rsidRDefault="00C5756D" w:rsidP="001A21A5">
      <w:pPr>
        <w:pStyle w:val="Heading1"/>
        <w:ind w:left="567"/>
      </w:pPr>
      <w:bookmarkStart w:id="4" w:name="_Toc85484148"/>
      <w:r>
        <w:t xml:space="preserve">Recommendations on the closure of </w:t>
      </w:r>
      <w:r w:rsidR="00127449">
        <w:t>Coventry</w:t>
      </w:r>
      <w:r>
        <w:t xml:space="preserve"> branch</w:t>
      </w:r>
      <w:bookmarkEnd w:id="4"/>
    </w:p>
    <w:p w14:paraId="4A9AC077" w14:textId="367E36C5" w:rsidR="00C5756D" w:rsidRDefault="00127449" w:rsidP="001A21A5">
      <w:pPr>
        <w:ind w:left="567"/>
      </w:pPr>
      <w:r>
        <w:t xml:space="preserve">   </w:t>
      </w:r>
      <w:r w:rsidR="00D321ED" w:rsidRPr="00D321ED">
        <w:t xml:space="preserve">The closure of a branch may have a detrimental effect on the number of new accounts opened and loans made in that </w:t>
      </w:r>
      <w:r w:rsidRPr="00D321ED">
        <w:t>neighbo</w:t>
      </w:r>
      <w:r>
        <w:t>r</w:t>
      </w:r>
      <w:r w:rsidRPr="00D321ED">
        <w:t>hood</w:t>
      </w:r>
      <w:r w:rsidR="00D321ED" w:rsidRPr="00D321ED">
        <w:t>.</w:t>
      </w:r>
      <w:r w:rsidR="00D321ED">
        <w:t xml:space="preserve"> </w:t>
      </w:r>
      <w:r w:rsidR="00C5756D" w:rsidRPr="00C5756D">
        <w:t xml:space="preserve">It is often said that brick-and-mortar companies suffer from a lack of responsiveness to changing consumer preferences as one of the main reasons </w:t>
      </w:r>
      <w:r w:rsidR="008F62CD">
        <w:t>for</w:t>
      </w:r>
      <w:r w:rsidR="00C5756D" w:rsidRPr="00C5756D">
        <w:t xml:space="preserve"> their ongoing loss of business. An organization that makes use of real-time data from a people counter may be able to distinguish itself from the competitors</w:t>
      </w:r>
      <w:r w:rsidR="0088252B" w:rsidRPr="0088252B">
        <w:t xml:space="preserve"> (Stubbs, 2013)</w:t>
      </w:r>
      <w:r w:rsidR="00C5756D" w:rsidRPr="00C5756D">
        <w:t>. Business expansion will be aided by the ability to offer customers consistently positive experiences. Businesses may extend their operations almost everywhere.</w:t>
      </w:r>
    </w:p>
    <w:p w14:paraId="3089B2C7" w14:textId="77777777" w:rsidR="00127449" w:rsidRDefault="00127449" w:rsidP="001A21A5">
      <w:pPr>
        <w:ind w:left="567"/>
      </w:pPr>
      <w:r>
        <w:t xml:space="preserve">   </w:t>
      </w:r>
      <w:r w:rsidR="001353FD" w:rsidRPr="001353FD">
        <w:t>R</w:t>
      </w:r>
      <w:r w:rsidR="00535D49">
        <w:t>R</w:t>
      </w:r>
      <w:r w:rsidR="001353FD" w:rsidRPr="001353FD">
        <w:t xml:space="preserve">DS is listed as a subsidiary in the company's financial statement, according to the information given. The evaluation for closing the </w:t>
      </w:r>
      <w:r w:rsidRPr="001353FD">
        <w:t>Coventry</w:t>
      </w:r>
      <w:r w:rsidR="001353FD" w:rsidRPr="001353FD">
        <w:t xml:space="preserve"> branch is described in more detail below, and it is based on the comments and facts that have been covered thus far in this article</w:t>
      </w:r>
      <w:r w:rsidR="0088252B" w:rsidRPr="0088252B">
        <w:t xml:space="preserve"> (Soenarto, 2020)</w:t>
      </w:r>
      <w:r w:rsidR="001353FD" w:rsidRPr="001353FD">
        <w:t>.</w:t>
      </w:r>
    </w:p>
    <w:p w14:paraId="6D4E541C" w14:textId="08691337" w:rsidR="002F5064" w:rsidRDefault="00127449" w:rsidP="001A21A5">
      <w:pPr>
        <w:ind w:left="567"/>
      </w:pPr>
      <w:r>
        <w:t xml:space="preserve">   </w:t>
      </w:r>
      <w:r w:rsidR="001353FD" w:rsidRPr="001353FD">
        <w:t xml:space="preserve"> Here are some considerations that RRDS should consider before making a final decision on the closing of the </w:t>
      </w:r>
      <w:r w:rsidRPr="001353FD">
        <w:t>Coventry</w:t>
      </w:r>
      <w:r w:rsidR="001353FD" w:rsidRPr="001353FD">
        <w:t xml:space="preserve"> branch.</w:t>
      </w:r>
    </w:p>
    <w:p w14:paraId="609698DE" w14:textId="197E9BA9" w:rsidR="007E445E" w:rsidRDefault="007E445E" w:rsidP="001A21A5">
      <w:pPr>
        <w:pStyle w:val="ListParagraph"/>
        <w:numPr>
          <w:ilvl w:val="0"/>
          <w:numId w:val="1"/>
        </w:numPr>
        <w:ind w:left="567"/>
      </w:pPr>
      <w:r>
        <w:t>RRDS must assess and verify if the branch's placement is in a suitable area or not, as well as the reaction of the people who live in that region</w:t>
      </w:r>
      <w:r w:rsidR="0088252B" w:rsidRPr="0088252B">
        <w:t xml:space="preserve"> (Hoyer, Pieters and MacInnis, 2013)</w:t>
      </w:r>
      <w:r>
        <w:t>.</w:t>
      </w:r>
    </w:p>
    <w:p w14:paraId="5E1E804B" w14:textId="6571AFEB" w:rsidR="00C578B0" w:rsidRDefault="007E445E" w:rsidP="001A21A5">
      <w:pPr>
        <w:pStyle w:val="ListParagraph"/>
        <w:numPr>
          <w:ilvl w:val="0"/>
          <w:numId w:val="1"/>
        </w:numPr>
        <w:ind w:left="567"/>
      </w:pPr>
      <w:r>
        <w:lastRenderedPageBreak/>
        <w:t xml:space="preserve">Since a result of Williams' transfer from the Birmingham branch to the </w:t>
      </w:r>
      <w:r w:rsidR="00127449">
        <w:t>Coventry</w:t>
      </w:r>
      <w:r>
        <w:t xml:space="preserve"> branch, RRDS must evaluate his performance in this branch, as he had a successful track record of boosting the growth of the branch and the overall business for RRDS in the prior branch</w:t>
      </w:r>
      <w:r w:rsidR="0088252B" w:rsidRPr="0088252B">
        <w:t xml:space="preserve"> (Eerens, 2012)</w:t>
      </w:r>
      <w:r>
        <w:t>.</w:t>
      </w:r>
      <w:r w:rsidR="00C578B0">
        <w:t xml:space="preserve"> </w:t>
      </w:r>
    </w:p>
    <w:p w14:paraId="231A1072" w14:textId="4785CF40" w:rsidR="00B14916" w:rsidRDefault="00D03349" w:rsidP="001A21A5">
      <w:pPr>
        <w:pStyle w:val="ListParagraph"/>
        <w:numPr>
          <w:ilvl w:val="0"/>
          <w:numId w:val="1"/>
        </w:numPr>
        <w:ind w:left="567"/>
      </w:pPr>
      <w:r w:rsidRPr="00D03349">
        <w:t xml:space="preserve">In </w:t>
      </w:r>
      <w:r w:rsidR="00127449" w:rsidRPr="00D03349">
        <w:t>Coventry</w:t>
      </w:r>
      <w:r w:rsidRPr="00D03349">
        <w:t>, the business management and the marketing department may get down and examine the expenditures that are incurred for advertising. New methods can be adopted in order to reduce advertising costs.</w:t>
      </w:r>
      <w:r w:rsidR="00B14916">
        <w:t xml:space="preserve"> </w:t>
      </w:r>
    </w:p>
    <w:p w14:paraId="5A3A3731" w14:textId="70FCD948" w:rsidR="00C578B0" w:rsidRDefault="00127449" w:rsidP="001A21A5">
      <w:pPr>
        <w:ind w:left="567"/>
      </w:pPr>
      <w:r>
        <w:t xml:space="preserve">   </w:t>
      </w:r>
      <w:r w:rsidR="009252B4" w:rsidRPr="009252B4">
        <w:t xml:space="preserve">As an accountant for the RRDS business, after reviewing all of the data facts and information, I will not suggest that the branch in </w:t>
      </w:r>
      <w:r w:rsidRPr="009252B4">
        <w:t>Coventry</w:t>
      </w:r>
      <w:r w:rsidR="009252B4" w:rsidRPr="009252B4">
        <w:t xml:space="preserve"> be closed since, based on the information provided, the </w:t>
      </w:r>
      <w:r w:rsidRPr="009252B4">
        <w:t>Coventry</w:t>
      </w:r>
      <w:r w:rsidR="009252B4" w:rsidRPr="009252B4">
        <w:t xml:space="preserve"> branch is not experiencing any reduction in the profit and loss margin</w:t>
      </w:r>
      <w:r>
        <w:t xml:space="preserve">. </w:t>
      </w:r>
      <w:r w:rsidR="009252B4" w:rsidRPr="009252B4">
        <w:t>Furthermore, as a result of this branch, RRDS is seeing an increase in sales, and the costs of fixed expenses are divided evenly across the three branches, rather than being a burden on one branch in particular</w:t>
      </w:r>
      <w:r>
        <w:t xml:space="preserve"> </w:t>
      </w:r>
      <w:r w:rsidRPr="00127449">
        <w:t>(Datar and Rajan, 2014).</w:t>
      </w:r>
    </w:p>
    <w:p w14:paraId="2F7FCC0C" w14:textId="72625B09" w:rsidR="003B6708" w:rsidRDefault="003B6708" w:rsidP="001A21A5">
      <w:pPr>
        <w:ind w:left="567"/>
      </w:pPr>
      <w:r>
        <w:br w:type="page"/>
      </w:r>
    </w:p>
    <w:p w14:paraId="424B645A" w14:textId="5D24FF42" w:rsidR="00252C33" w:rsidRDefault="003B6708" w:rsidP="001A21A5">
      <w:pPr>
        <w:pStyle w:val="Heading1"/>
        <w:ind w:left="567"/>
      </w:pPr>
      <w:bookmarkStart w:id="5" w:name="_Toc85484149"/>
      <w:r>
        <w:lastRenderedPageBreak/>
        <w:t>Conclusion</w:t>
      </w:r>
      <w:bookmarkEnd w:id="5"/>
    </w:p>
    <w:p w14:paraId="7F0F9FD9" w14:textId="77777777" w:rsidR="00127449" w:rsidRDefault="00127449" w:rsidP="001A21A5">
      <w:pPr>
        <w:ind w:left="567"/>
      </w:pPr>
      <w:r>
        <w:t xml:space="preserve">   </w:t>
      </w:r>
      <w:r w:rsidR="00C4648C" w:rsidRPr="00C4648C">
        <w:t xml:space="preserve">It's almost uncommon </w:t>
      </w:r>
      <w:r w:rsidR="008F62CD">
        <w:t>in</w:t>
      </w:r>
      <w:r w:rsidR="00C4648C" w:rsidRPr="00C4648C">
        <w:t xml:space="preserve"> modern days for an organization to be forced to shut because of financial difficulties</w:t>
      </w:r>
      <w:r w:rsidR="0088252B" w:rsidRPr="0088252B">
        <w:t xml:space="preserve"> (Aras and Crowther, 2012)</w:t>
      </w:r>
      <w:r w:rsidR="00C4648C" w:rsidRPr="00C4648C">
        <w:t xml:space="preserve">. </w:t>
      </w:r>
    </w:p>
    <w:p w14:paraId="2A443BD2" w14:textId="77777777" w:rsidR="00127449" w:rsidRDefault="00127449" w:rsidP="001A21A5">
      <w:pPr>
        <w:ind w:left="567"/>
      </w:pPr>
      <w:r>
        <w:t xml:space="preserve">   </w:t>
      </w:r>
      <w:r w:rsidR="00C4648C" w:rsidRPr="00C4648C">
        <w:t xml:space="preserve">As a result of the catastrophe, many businesses were forced to shut down immediately, creating uncertainty, financial worries, and widespread fear among the general public. Context is important when it comes to analyzing the decision-making process in this report, which is all about whether or not to shut down the </w:t>
      </w:r>
      <w:r w:rsidRPr="00C4648C">
        <w:t>Coventry</w:t>
      </w:r>
      <w:r w:rsidR="00C4648C" w:rsidRPr="00C4648C">
        <w:t xml:space="preserve"> operation entirely. </w:t>
      </w:r>
    </w:p>
    <w:p w14:paraId="6F61750B" w14:textId="7E8C7DAD" w:rsidR="0076550A" w:rsidRDefault="00127449" w:rsidP="001A21A5">
      <w:pPr>
        <w:ind w:left="567"/>
      </w:pPr>
      <w:r>
        <w:t xml:space="preserve">    </w:t>
      </w:r>
      <w:r w:rsidR="00C4648C" w:rsidRPr="00C4648C">
        <w:t>The branch does not seem to be losing money, but sales are much lower than those of the other branches. This may be due to differ</w:t>
      </w:r>
      <w:r w:rsidR="008F62CD">
        <w:t>ent</w:t>
      </w:r>
      <w:r w:rsidR="00C4648C" w:rsidRPr="00C4648C">
        <w:t xml:space="preserve"> market conditions in that specific market region, based on all of the available information and assessment. In addition, shutting a branch puts additional strain on the remaining locations or raises their operating costs.</w:t>
      </w:r>
      <w:r w:rsidR="0076550A">
        <w:br w:type="page"/>
      </w:r>
    </w:p>
    <w:p w14:paraId="5376F65C" w14:textId="33F5535A" w:rsidR="003B6708" w:rsidRDefault="0076550A" w:rsidP="001A21A5">
      <w:pPr>
        <w:pStyle w:val="Heading1"/>
      </w:pPr>
      <w:bookmarkStart w:id="6" w:name="_Toc85484150"/>
      <w:r>
        <w:lastRenderedPageBreak/>
        <w:t>References</w:t>
      </w:r>
      <w:bookmarkEnd w:id="6"/>
    </w:p>
    <w:p w14:paraId="644437B4" w14:textId="77777777" w:rsidR="00637D81" w:rsidRPr="00637D81" w:rsidRDefault="00637D81" w:rsidP="00637D81">
      <w:pPr>
        <w:pStyle w:val="NormalWeb"/>
        <w:spacing w:before="240" w:beforeAutospacing="0" w:after="180" w:afterAutospacing="0" w:line="360" w:lineRule="auto"/>
        <w:jc w:val="both"/>
        <w:rPr>
          <w:rFonts w:ascii="Arial" w:hAnsi="Arial" w:cs="Arial"/>
        </w:rPr>
      </w:pPr>
      <w:r w:rsidRPr="00637D81">
        <w:rPr>
          <w:rFonts w:ascii="Arial" w:hAnsi="Arial" w:cs="Arial"/>
        </w:rPr>
        <w:t>Aras, G. and Crowther, D., 2012. </w:t>
      </w:r>
      <w:r w:rsidRPr="00637D81">
        <w:rPr>
          <w:rFonts w:ascii="Arial" w:hAnsi="Arial" w:cs="Arial"/>
          <w:i/>
          <w:iCs/>
        </w:rPr>
        <w:t>Business strategy and sustainability</w:t>
      </w:r>
      <w:r w:rsidRPr="00637D81">
        <w:rPr>
          <w:rFonts w:ascii="Arial" w:hAnsi="Arial" w:cs="Arial"/>
        </w:rPr>
        <w:t>. Bingley, U.K.: Emerald.</w:t>
      </w:r>
    </w:p>
    <w:p w14:paraId="2819EF33" w14:textId="77777777" w:rsidR="00637D81" w:rsidRPr="00637D81" w:rsidRDefault="00637D81" w:rsidP="00637D81">
      <w:pPr>
        <w:pStyle w:val="NormalWeb"/>
        <w:spacing w:before="240" w:beforeAutospacing="0" w:after="180" w:afterAutospacing="0" w:line="360" w:lineRule="auto"/>
        <w:jc w:val="both"/>
        <w:rPr>
          <w:rFonts w:ascii="Arial" w:hAnsi="Arial" w:cs="Arial"/>
        </w:rPr>
      </w:pPr>
      <w:proofErr w:type="spellStart"/>
      <w:r w:rsidRPr="00637D81">
        <w:rPr>
          <w:rFonts w:ascii="Arial" w:hAnsi="Arial" w:cs="Arial"/>
        </w:rPr>
        <w:t>Datar</w:t>
      </w:r>
      <w:proofErr w:type="spellEnd"/>
      <w:r w:rsidRPr="00637D81">
        <w:rPr>
          <w:rFonts w:ascii="Arial" w:hAnsi="Arial" w:cs="Arial"/>
        </w:rPr>
        <w:t xml:space="preserve">, S. and </w:t>
      </w:r>
      <w:proofErr w:type="spellStart"/>
      <w:r w:rsidRPr="00637D81">
        <w:rPr>
          <w:rFonts w:ascii="Arial" w:hAnsi="Arial" w:cs="Arial"/>
        </w:rPr>
        <w:t>Rajan</w:t>
      </w:r>
      <w:proofErr w:type="spellEnd"/>
      <w:r w:rsidRPr="00637D81">
        <w:rPr>
          <w:rFonts w:ascii="Arial" w:hAnsi="Arial" w:cs="Arial"/>
        </w:rPr>
        <w:t>, M., 2014. </w:t>
      </w:r>
      <w:r w:rsidRPr="00637D81">
        <w:rPr>
          <w:rFonts w:ascii="Arial" w:hAnsi="Arial" w:cs="Arial"/>
          <w:i/>
          <w:iCs/>
        </w:rPr>
        <w:t>Managerial accounting</w:t>
      </w:r>
      <w:r w:rsidRPr="00637D81">
        <w:rPr>
          <w:rFonts w:ascii="Arial" w:hAnsi="Arial" w:cs="Arial"/>
        </w:rPr>
        <w:t>. Boston: Pearson.</w:t>
      </w:r>
    </w:p>
    <w:p w14:paraId="05FA4635" w14:textId="77777777" w:rsidR="00637D81" w:rsidRPr="00637D81" w:rsidRDefault="00637D81" w:rsidP="00637D81">
      <w:pPr>
        <w:pStyle w:val="NormalWeb"/>
        <w:spacing w:before="240" w:beforeAutospacing="0" w:after="180" w:afterAutospacing="0" w:line="360" w:lineRule="auto"/>
        <w:jc w:val="both"/>
        <w:rPr>
          <w:rFonts w:ascii="Arial" w:hAnsi="Arial" w:cs="Arial"/>
        </w:rPr>
      </w:pPr>
      <w:proofErr w:type="spellStart"/>
      <w:r w:rsidRPr="00637D81">
        <w:rPr>
          <w:rFonts w:ascii="Arial" w:hAnsi="Arial" w:cs="Arial"/>
        </w:rPr>
        <w:t>Eerens</w:t>
      </w:r>
      <w:proofErr w:type="spellEnd"/>
      <w:r w:rsidRPr="00637D81">
        <w:rPr>
          <w:rFonts w:ascii="Arial" w:hAnsi="Arial" w:cs="Arial"/>
        </w:rPr>
        <w:t>, E., 2012. </w:t>
      </w:r>
      <w:r w:rsidRPr="00637D81">
        <w:rPr>
          <w:rFonts w:ascii="Arial" w:hAnsi="Arial" w:cs="Arial"/>
          <w:i/>
          <w:iCs/>
        </w:rPr>
        <w:t>Improving business results with optimised shutdown management</w:t>
      </w:r>
      <w:r w:rsidRPr="00637D81">
        <w:rPr>
          <w:rFonts w:ascii="Arial" w:hAnsi="Arial" w:cs="Arial"/>
        </w:rPr>
        <w:t xml:space="preserve">. Mount Eliza, Vic.: Le </w:t>
      </w:r>
      <w:proofErr w:type="spellStart"/>
      <w:r w:rsidRPr="00637D81">
        <w:rPr>
          <w:rFonts w:ascii="Arial" w:hAnsi="Arial" w:cs="Arial"/>
        </w:rPr>
        <w:t>Clochard</w:t>
      </w:r>
      <w:proofErr w:type="spellEnd"/>
      <w:r w:rsidRPr="00637D81">
        <w:rPr>
          <w:rFonts w:ascii="Arial" w:hAnsi="Arial" w:cs="Arial"/>
        </w:rPr>
        <w:t>.</w:t>
      </w:r>
    </w:p>
    <w:p w14:paraId="6D640816" w14:textId="77777777" w:rsidR="00637D81" w:rsidRPr="00637D81" w:rsidRDefault="00637D81" w:rsidP="00637D81">
      <w:pPr>
        <w:rPr>
          <w:rFonts w:cs="Arial"/>
          <w:szCs w:val="24"/>
          <w:lang w:val="en-GB"/>
        </w:rPr>
      </w:pPr>
      <w:r w:rsidRPr="00637D81">
        <w:rPr>
          <w:rFonts w:cs="Arial"/>
          <w:szCs w:val="24"/>
          <w:lang w:val="en-GB"/>
        </w:rPr>
        <w:t>Horngren, C. and Harrison, W., 2015. </w:t>
      </w:r>
      <w:r w:rsidRPr="00637D81">
        <w:rPr>
          <w:rFonts w:cs="Arial"/>
          <w:i/>
          <w:iCs/>
          <w:szCs w:val="24"/>
          <w:lang w:val="en-GB"/>
        </w:rPr>
        <w:t>Accounting BSB110 (Custom Edition)</w:t>
      </w:r>
      <w:r w:rsidRPr="00637D81">
        <w:rPr>
          <w:rFonts w:cs="Arial"/>
          <w:szCs w:val="24"/>
          <w:lang w:val="en-GB"/>
        </w:rPr>
        <w:t>. Melbourne: P. Ed Custom Books.</w:t>
      </w:r>
    </w:p>
    <w:p w14:paraId="319733F9" w14:textId="77777777" w:rsidR="00637D81" w:rsidRPr="00637D81" w:rsidRDefault="00637D81" w:rsidP="00637D81">
      <w:pPr>
        <w:pStyle w:val="NormalWeb"/>
        <w:spacing w:before="240" w:beforeAutospacing="0" w:after="180" w:afterAutospacing="0" w:line="360" w:lineRule="auto"/>
        <w:jc w:val="both"/>
        <w:rPr>
          <w:rFonts w:ascii="Arial" w:hAnsi="Arial" w:cs="Arial"/>
        </w:rPr>
      </w:pPr>
      <w:r w:rsidRPr="00637D81">
        <w:rPr>
          <w:rFonts w:ascii="Arial" w:hAnsi="Arial" w:cs="Arial"/>
        </w:rPr>
        <w:t xml:space="preserve">Hoyer, W., Pieters, R. and </w:t>
      </w:r>
      <w:proofErr w:type="spellStart"/>
      <w:r w:rsidRPr="00637D81">
        <w:rPr>
          <w:rFonts w:ascii="Arial" w:hAnsi="Arial" w:cs="Arial"/>
        </w:rPr>
        <w:t>MacInnis</w:t>
      </w:r>
      <w:proofErr w:type="spellEnd"/>
      <w:r w:rsidRPr="00637D81">
        <w:rPr>
          <w:rFonts w:ascii="Arial" w:hAnsi="Arial" w:cs="Arial"/>
        </w:rPr>
        <w:t>, D., 2013. </w:t>
      </w:r>
      <w:r w:rsidRPr="00637D81">
        <w:rPr>
          <w:rFonts w:ascii="Arial" w:hAnsi="Arial" w:cs="Arial"/>
          <w:i/>
          <w:iCs/>
        </w:rPr>
        <w:t xml:space="preserve">Consumer </w:t>
      </w:r>
      <w:proofErr w:type="spellStart"/>
      <w:r w:rsidRPr="00637D81">
        <w:rPr>
          <w:rFonts w:ascii="Arial" w:hAnsi="Arial" w:cs="Arial"/>
          <w:i/>
          <w:iCs/>
        </w:rPr>
        <w:t>behavior</w:t>
      </w:r>
      <w:proofErr w:type="spellEnd"/>
      <w:r w:rsidRPr="00637D81">
        <w:rPr>
          <w:rFonts w:ascii="Arial" w:hAnsi="Arial" w:cs="Arial"/>
        </w:rPr>
        <w:t>. Mason, OH: South-Western Cengage Learning.</w:t>
      </w:r>
    </w:p>
    <w:p w14:paraId="10B1943A" w14:textId="77777777" w:rsidR="00637D81" w:rsidRPr="00637D81" w:rsidRDefault="00637D81" w:rsidP="00637D81">
      <w:pPr>
        <w:pStyle w:val="NormalWeb"/>
        <w:spacing w:before="240" w:beforeAutospacing="0" w:after="180" w:afterAutospacing="0" w:line="360" w:lineRule="auto"/>
        <w:jc w:val="both"/>
        <w:rPr>
          <w:rFonts w:ascii="Arial" w:hAnsi="Arial" w:cs="Arial"/>
        </w:rPr>
      </w:pPr>
      <w:proofErr w:type="spellStart"/>
      <w:r w:rsidRPr="00637D81">
        <w:rPr>
          <w:rFonts w:ascii="Arial" w:hAnsi="Arial" w:cs="Arial"/>
        </w:rPr>
        <w:t>Soenarto</w:t>
      </w:r>
      <w:proofErr w:type="spellEnd"/>
      <w:r w:rsidRPr="00637D81">
        <w:rPr>
          <w:rFonts w:ascii="Arial" w:hAnsi="Arial" w:cs="Arial"/>
        </w:rPr>
        <w:t>, A., 2020. Effect of Dividend Policy, Funding Decision, Profitability towards Company Value. </w:t>
      </w:r>
      <w:r w:rsidRPr="00637D81">
        <w:rPr>
          <w:rFonts w:ascii="Arial" w:hAnsi="Arial" w:cs="Arial"/>
          <w:i/>
          <w:iCs/>
        </w:rPr>
        <w:t>International Journal of Psychosocial Rehabilitation</w:t>
      </w:r>
      <w:r w:rsidRPr="00637D81">
        <w:rPr>
          <w:rFonts w:ascii="Arial" w:hAnsi="Arial" w:cs="Arial"/>
        </w:rPr>
        <w:t>, 24(2), pp.2795-2803.</w:t>
      </w:r>
    </w:p>
    <w:p w14:paraId="07903477" w14:textId="77777777" w:rsidR="00637D81" w:rsidRPr="00637D81" w:rsidRDefault="00637D81" w:rsidP="00637D81">
      <w:pPr>
        <w:pStyle w:val="NormalWeb"/>
        <w:spacing w:before="240" w:beforeAutospacing="0" w:after="180" w:afterAutospacing="0" w:line="360" w:lineRule="auto"/>
        <w:jc w:val="both"/>
        <w:rPr>
          <w:rFonts w:ascii="Arial" w:hAnsi="Arial" w:cs="Arial"/>
        </w:rPr>
      </w:pPr>
      <w:r w:rsidRPr="00637D81">
        <w:rPr>
          <w:rFonts w:ascii="Arial" w:hAnsi="Arial" w:cs="Arial"/>
        </w:rPr>
        <w:t>Stubbs, E., 2013. </w:t>
      </w:r>
      <w:r w:rsidRPr="00637D81">
        <w:rPr>
          <w:rFonts w:ascii="Arial" w:hAnsi="Arial" w:cs="Arial"/>
          <w:i/>
          <w:iCs/>
        </w:rPr>
        <w:t>The value of business analytics</w:t>
      </w:r>
      <w:r w:rsidRPr="00637D81">
        <w:rPr>
          <w:rFonts w:ascii="Arial" w:hAnsi="Arial" w:cs="Arial"/>
        </w:rPr>
        <w:t>. Hoboken, N.J.: Wiley.</w:t>
      </w:r>
    </w:p>
    <w:p w14:paraId="42395FF8" w14:textId="77777777" w:rsidR="00637D81" w:rsidRPr="00637D81" w:rsidRDefault="00637D81" w:rsidP="00637D81">
      <w:pPr>
        <w:pStyle w:val="NormalWeb"/>
        <w:spacing w:before="240" w:beforeAutospacing="0" w:after="180" w:afterAutospacing="0" w:line="360" w:lineRule="auto"/>
        <w:jc w:val="both"/>
        <w:rPr>
          <w:rFonts w:ascii="Arial" w:hAnsi="Arial" w:cs="Arial"/>
        </w:rPr>
      </w:pPr>
      <w:r w:rsidRPr="00637D81">
        <w:rPr>
          <w:rFonts w:ascii="Arial" w:hAnsi="Arial" w:cs="Arial"/>
        </w:rPr>
        <w:t>Walton, J., 2008. </w:t>
      </w:r>
      <w:r w:rsidRPr="00637D81">
        <w:rPr>
          <w:rFonts w:ascii="Arial" w:hAnsi="Arial" w:cs="Arial"/>
          <w:i/>
          <w:iCs/>
        </w:rPr>
        <w:t>Business profitability data</w:t>
      </w:r>
      <w:r w:rsidRPr="00637D81">
        <w:rPr>
          <w:rFonts w:ascii="Arial" w:hAnsi="Arial" w:cs="Arial"/>
        </w:rPr>
        <w:t>. Dallas, TX: Weybridge Pub. Co.</w:t>
      </w:r>
    </w:p>
    <w:p w14:paraId="2E23836A" w14:textId="77777777" w:rsidR="00637D81" w:rsidRPr="00637D81" w:rsidRDefault="00637D81" w:rsidP="00637D81">
      <w:pPr>
        <w:rPr>
          <w:rFonts w:cs="Arial"/>
          <w:szCs w:val="24"/>
          <w:lang w:val="en-GB"/>
        </w:rPr>
      </w:pPr>
      <w:r w:rsidRPr="00637D81">
        <w:rPr>
          <w:rFonts w:cs="Arial"/>
          <w:szCs w:val="24"/>
          <w:lang w:val="en-GB"/>
        </w:rPr>
        <w:t xml:space="preserve">Warren, C., </w:t>
      </w:r>
      <w:proofErr w:type="spellStart"/>
      <w:r w:rsidRPr="00637D81">
        <w:rPr>
          <w:rFonts w:cs="Arial"/>
          <w:szCs w:val="24"/>
          <w:lang w:val="en-GB"/>
        </w:rPr>
        <w:t>Jonick</w:t>
      </w:r>
      <w:proofErr w:type="spellEnd"/>
      <w:r w:rsidRPr="00637D81">
        <w:rPr>
          <w:rFonts w:cs="Arial"/>
          <w:szCs w:val="24"/>
          <w:lang w:val="en-GB"/>
        </w:rPr>
        <w:t>, C. and Schneider, J., 2009. </w:t>
      </w:r>
      <w:r w:rsidRPr="00637D81">
        <w:rPr>
          <w:rFonts w:cs="Arial"/>
          <w:i/>
          <w:iCs/>
          <w:szCs w:val="24"/>
          <w:lang w:val="en-GB"/>
        </w:rPr>
        <w:t>Accounting</w:t>
      </w:r>
      <w:r w:rsidRPr="00637D81">
        <w:rPr>
          <w:rFonts w:cs="Arial"/>
          <w:szCs w:val="24"/>
          <w:lang w:val="en-GB"/>
        </w:rPr>
        <w:t>. 2nd ed. London, pp.56-77.</w:t>
      </w:r>
    </w:p>
    <w:p w14:paraId="23753694" w14:textId="77777777" w:rsidR="00637D81" w:rsidRPr="00637D81" w:rsidRDefault="00637D81" w:rsidP="00637D81">
      <w:pPr>
        <w:pStyle w:val="NormalWeb"/>
        <w:spacing w:before="240" w:beforeAutospacing="0" w:after="180" w:afterAutospacing="0" w:line="360" w:lineRule="auto"/>
        <w:jc w:val="both"/>
        <w:rPr>
          <w:rFonts w:ascii="Arial" w:hAnsi="Arial" w:cs="Arial"/>
        </w:rPr>
      </w:pPr>
      <w:proofErr w:type="spellStart"/>
      <w:r w:rsidRPr="00637D81">
        <w:rPr>
          <w:rFonts w:ascii="Arial" w:hAnsi="Arial" w:cs="Arial"/>
        </w:rPr>
        <w:t>Yousfani</w:t>
      </w:r>
      <w:proofErr w:type="spellEnd"/>
      <w:r w:rsidRPr="00637D81">
        <w:rPr>
          <w:rFonts w:ascii="Arial" w:hAnsi="Arial" w:cs="Arial"/>
        </w:rPr>
        <w:t xml:space="preserve">, K., Shah, N. and </w:t>
      </w:r>
      <w:proofErr w:type="spellStart"/>
      <w:r w:rsidRPr="00637D81">
        <w:rPr>
          <w:rFonts w:ascii="Arial" w:hAnsi="Arial" w:cs="Arial"/>
        </w:rPr>
        <w:t>Kazi</w:t>
      </w:r>
      <w:proofErr w:type="spellEnd"/>
      <w:r w:rsidRPr="00637D81">
        <w:rPr>
          <w:rFonts w:ascii="Arial" w:hAnsi="Arial" w:cs="Arial"/>
        </w:rPr>
        <w:t>, H., 2019. Entrepreneurial Investor: Decision Making and Profitability. </w:t>
      </w:r>
      <w:r w:rsidRPr="00637D81">
        <w:rPr>
          <w:rFonts w:ascii="Arial" w:hAnsi="Arial" w:cs="Arial"/>
          <w:i/>
          <w:iCs/>
        </w:rPr>
        <w:t>Journal of Economics and Business</w:t>
      </w:r>
      <w:r w:rsidRPr="00637D81">
        <w:rPr>
          <w:rFonts w:ascii="Arial" w:hAnsi="Arial" w:cs="Arial"/>
        </w:rPr>
        <w:t>, 2(1).</w:t>
      </w:r>
    </w:p>
    <w:p w14:paraId="658B7A4F" w14:textId="32E02801" w:rsidR="0076550A" w:rsidRPr="00CC60EF" w:rsidRDefault="0076550A" w:rsidP="00CC60EF">
      <w:pPr>
        <w:rPr>
          <w:rFonts w:cs="Arial"/>
          <w:sz w:val="22"/>
          <w:szCs w:val="20"/>
        </w:rPr>
      </w:pPr>
      <w:r w:rsidRPr="00CC60EF">
        <w:rPr>
          <w:rFonts w:cs="Arial"/>
          <w:sz w:val="22"/>
          <w:szCs w:val="20"/>
        </w:rPr>
        <w:br w:type="page"/>
      </w:r>
    </w:p>
    <w:p w14:paraId="5C6B7924" w14:textId="305C7C1F" w:rsidR="0076550A" w:rsidRDefault="0076550A" w:rsidP="001A21A5">
      <w:pPr>
        <w:pStyle w:val="Heading1"/>
      </w:pPr>
      <w:bookmarkStart w:id="7" w:name="_Toc85484151"/>
      <w:r>
        <w:lastRenderedPageBreak/>
        <w:t>A</w:t>
      </w:r>
      <w:r w:rsidR="00637D81">
        <w:t>ppendix</w:t>
      </w:r>
      <w:bookmarkEnd w:id="7"/>
    </w:p>
    <w:p w14:paraId="1230312E" w14:textId="18AF87B9" w:rsidR="0076550A" w:rsidRDefault="00896127" w:rsidP="00896127">
      <w:pPr>
        <w:jc w:val="center"/>
      </w:pPr>
      <w:r w:rsidRPr="00896127">
        <w:rPr>
          <w:noProof/>
        </w:rPr>
        <w:drawing>
          <wp:inline distT="0" distB="0" distL="0" distR="0" wp14:anchorId="560FB3F4" wp14:editId="3A0CD0B5">
            <wp:extent cx="4566010" cy="16256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1502" cy="1631116"/>
                    </a:xfrm>
                    <a:prstGeom prst="rect">
                      <a:avLst/>
                    </a:prstGeom>
                    <a:noFill/>
                    <a:ln>
                      <a:noFill/>
                    </a:ln>
                  </pic:spPr>
                </pic:pic>
              </a:graphicData>
            </a:graphic>
          </wp:inline>
        </w:drawing>
      </w:r>
    </w:p>
    <w:p w14:paraId="20F68120" w14:textId="5223F92C" w:rsidR="00896127" w:rsidRPr="006B664E" w:rsidRDefault="00896127" w:rsidP="00896127">
      <w:pPr>
        <w:jc w:val="center"/>
        <w:rPr>
          <w:i/>
          <w:iCs/>
        </w:rPr>
      </w:pPr>
      <w:r w:rsidRPr="006B664E">
        <w:rPr>
          <w:i/>
          <w:iCs/>
        </w:rPr>
        <w:t>Information of the sales and expense of the branches of RRDS</w:t>
      </w:r>
    </w:p>
    <w:p w14:paraId="491ADBE2" w14:textId="225B5C81" w:rsidR="00896127" w:rsidRDefault="00680C0F" w:rsidP="00896127">
      <w:pPr>
        <w:jc w:val="center"/>
      </w:pPr>
      <w:r w:rsidRPr="00680C0F">
        <w:rPr>
          <w:noProof/>
        </w:rPr>
        <w:drawing>
          <wp:inline distT="0" distB="0" distL="0" distR="0" wp14:anchorId="1A343C7F" wp14:editId="5AB6655C">
            <wp:extent cx="4317383" cy="516467"/>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52959" cy="520723"/>
                    </a:xfrm>
                    <a:prstGeom prst="rect">
                      <a:avLst/>
                    </a:prstGeom>
                    <a:noFill/>
                    <a:ln>
                      <a:noFill/>
                    </a:ln>
                  </pic:spPr>
                </pic:pic>
              </a:graphicData>
            </a:graphic>
          </wp:inline>
        </w:drawing>
      </w:r>
    </w:p>
    <w:p w14:paraId="25F891CA" w14:textId="6700BF2D" w:rsidR="00680C0F" w:rsidRPr="00DB0C02" w:rsidRDefault="00680C0F" w:rsidP="00896127">
      <w:pPr>
        <w:jc w:val="center"/>
        <w:rPr>
          <w:i/>
          <w:iCs/>
        </w:rPr>
      </w:pPr>
      <w:r w:rsidRPr="00DB0C02">
        <w:rPr>
          <w:i/>
          <w:iCs/>
        </w:rPr>
        <w:t>Income margin of all the branches</w:t>
      </w:r>
    </w:p>
    <w:p w14:paraId="22B3108B" w14:textId="4DE10B0C" w:rsidR="00680C0F" w:rsidRDefault="00680C0F" w:rsidP="00896127">
      <w:pPr>
        <w:jc w:val="center"/>
      </w:pPr>
      <w:r>
        <w:t xml:space="preserve">For </w:t>
      </w:r>
      <w:r w:rsidR="00DB0C02">
        <w:t>calculating</w:t>
      </w:r>
      <w:r>
        <w:t xml:space="preserve"> the income margin = Revenue – Expenses</w:t>
      </w:r>
    </w:p>
    <w:p w14:paraId="143EDE80" w14:textId="6553C2B0" w:rsidR="00680C0F" w:rsidRDefault="00680C0F" w:rsidP="00896127">
      <w:pPr>
        <w:jc w:val="center"/>
      </w:pPr>
      <w:r>
        <w:t>Therefore,</w:t>
      </w:r>
    </w:p>
    <w:p w14:paraId="5960CBC1" w14:textId="0ED2AB9E" w:rsidR="00680C0F" w:rsidRDefault="00680C0F" w:rsidP="00896127">
      <w:pPr>
        <w:jc w:val="center"/>
      </w:pPr>
      <w:r>
        <w:t>Stafford = 880000 – 120000 = 760000</w:t>
      </w:r>
    </w:p>
    <w:p w14:paraId="430E9262" w14:textId="59284C25" w:rsidR="00680C0F" w:rsidRDefault="00680C0F" w:rsidP="00896127">
      <w:pPr>
        <w:jc w:val="center"/>
      </w:pPr>
      <w:r>
        <w:t>Coventry = 800000 – 122000 = 678000</w:t>
      </w:r>
    </w:p>
    <w:p w14:paraId="79FE1163" w14:textId="37DD891C" w:rsidR="00680C0F" w:rsidRDefault="00800AF0" w:rsidP="00896127">
      <w:pPr>
        <w:jc w:val="center"/>
      </w:pPr>
      <w:r>
        <w:t>Birmingham</w:t>
      </w:r>
      <w:r w:rsidR="00680C0F">
        <w:t xml:space="preserve"> = 1400000 – 266000 = 1134000</w:t>
      </w:r>
    </w:p>
    <w:p w14:paraId="46247C13" w14:textId="5C327F28" w:rsidR="00680C0F" w:rsidRDefault="00680C0F" w:rsidP="00896127">
      <w:pPr>
        <w:jc w:val="center"/>
      </w:pPr>
      <w:r w:rsidRPr="00680C0F">
        <w:rPr>
          <w:noProof/>
        </w:rPr>
        <w:drawing>
          <wp:inline distT="0" distB="0" distL="0" distR="0" wp14:anchorId="224A4543" wp14:editId="391B0242">
            <wp:extent cx="4105044" cy="491066"/>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50790" cy="496538"/>
                    </a:xfrm>
                    <a:prstGeom prst="rect">
                      <a:avLst/>
                    </a:prstGeom>
                    <a:noFill/>
                    <a:ln>
                      <a:noFill/>
                    </a:ln>
                  </pic:spPr>
                </pic:pic>
              </a:graphicData>
            </a:graphic>
          </wp:inline>
        </w:drawing>
      </w:r>
    </w:p>
    <w:p w14:paraId="184511ED" w14:textId="770E04DE" w:rsidR="00680C0F" w:rsidRPr="00DB0C02" w:rsidRDefault="00680C0F" w:rsidP="00896127">
      <w:pPr>
        <w:jc w:val="center"/>
        <w:rPr>
          <w:i/>
          <w:iCs/>
        </w:rPr>
      </w:pPr>
      <w:r w:rsidRPr="00DB0C02">
        <w:rPr>
          <w:i/>
          <w:iCs/>
        </w:rPr>
        <w:t xml:space="preserve">Advertising expense from the table </w:t>
      </w:r>
    </w:p>
    <w:p w14:paraId="6FDDA1B2" w14:textId="49F72FEC" w:rsidR="00680C0F" w:rsidRDefault="000335A6" w:rsidP="00896127">
      <w:pPr>
        <w:jc w:val="center"/>
      </w:pPr>
      <w:r w:rsidRPr="000335A6">
        <w:rPr>
          <w:noProof/>
        </w:rPr>
        <w:drawing>
          <wp:inline distT="0" distB="0" distL="0" distR="0" wp14:anchorId="09512DD6" wp14:editId="72F1FF60">
            <wp:extent cx="4175832" cy="49953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09574" cy="503570"/>
                    </a:xfrm>
                    <a:prstGeom prst="rect">
                      <a:avLst/>
                    </a:prstGeom>
                    <a:noFill/>
                    <a:ln>
                      <a:noFill/>
                    </a:ln>
                  </pic:spPr>
                </pic:pic>
              </a:graphicData>
            </a:graphic>
          </wp:inline>
        </w:drawing>
      </w:r>
    </w:p>
    <w:p w14:paraId="2AF6542A" w14:textId="3269F526" w:rsidR="000335A6" w:rsidRPr="007A2661" w:rsidRDefault="006D6286" w:rsidP="00896127">
      <w:pPr>
        <w:jc w:val="center"/>
        <w:rPr>
          <w:i/>
          <w:iCs/>
        </w:rPr>
      </w:pPr>
      <w:r w:rsidRPr="007A2661">
        <w:rPr>
          <w:i/>
          <w:iCs/>
        </w:rPr>
        <w:t>Variable cost of all the branches</w:t>
      </w:r>
    </w:p>
    <w:p w14:paraId="25EE8048" w14:textId="09E99855" w:rsidR="006D6286" w:rsidRDefault="006D6286" w:rsidP="00896127">
      <w:pPr>
        <w:jc w:val="center"/>
      </w:pPr>
      <w:r>
        <w:t>To find variable cost = Sales * 75%</w:t>
      </w:r>
    </w:p>
    <w:p w14:paraId="6185BB9C" w14:textId="7CE05F05" w:rsidR="006D6286" w:rsidRDefault="006D6286" w:rsidP="00896127">
      <w:pPr>
        <w:jc w:val="center"/>
      </w:pPr>
      <w:r>
        <w:t>Therefore,</w:t>
      </w:r>
    </w:p>
    <w:p w14:paraId="46AA3874" w14:textId="4F774816" w:rsidR="006D6286" w:rsidRDefault="006D6286" w:rsidP="00896127">
      <w:pPr>
        <w:jc w:val="center"/>
      </w:pPr>
      <w:r>
        <w:t>Stafford = 880000 * 75% = 660000</w:t>
      </w:r>
    </w:p>
    <w:p w14:paraId="2E1550AE" w14:textId="22FB8555" w:rsidR="006D6286" w:rsidRDefault="006D6286" w:rsidP="00896127">
      <w:pPr>
        <w:jc w:val="center"/>
      </w:pPr>
      <w:r>
        <w:lastRenderedPageBreak/>
        <w:t>Coventry = 800000 * 75% = 600000</w:t>
      </w:r>
    </w:p>
    <w:p w14:paraId="2636D37D" w14:textId="711DE7F2" w:rsidR="006D6286" w:rsidRDefault="006D6286" w:rsidP="00896127">
      <w:pPr>
        <w:jc w:val="center"/>
      </w:pPr>
      <w:r>
        <w:t>Birmingham = 1400000 *75% = 1050000</w:t>
      </w:r>
    </w:p>
    <w:p w14:paraId="23583051" w14:textId="77777777" w:rsidR="006D6286" w:rsidRDefault="006D6286" w:rsidP="00896127">
      <w:pPr>
        <w:jc w:val="center"/>
      </w:pPr>
    </w:p>
    <w:p w14:paraId="09B40A22" w14:textId="77777777" w:rsidR="00C5756D" w:rsidRDefault="00C5756D" w:rsidP="00432D46"/>
    <w:sectPr w:rsidR="00C5756D" w:rsidSect="001A21A5">
      <w:footerReference w:type="default" r:id="rId16"/>
      <w:pgSz w:w="11906" w:h="16838" w:code="9"/>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72885" w14:textId="77777777" w:rsidR="00205345" w:rsidRDefault="00205345" w:rsidP="005013AC">
      <w:pPr>
        <w:spacing w:after="0" w:line="240" w:lineRule="auto"/>
      </w:pPr>
      <w:r>
        <w:separator/>
      </w:r>
    </w:p>
  </w:endnote>
  <w:endnote w:type="continuationSeparator" w:id="0">
    <w:p w14:paraId="382D1938" w14:textId="77777777" w:rsidR="00205345" w:rsidRDefault="00205345" w:rsidP="00501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5098440"/>
      <w:docPartObj>
        <w:docPartGallery w:val="Page Numbers (Bottom of Page)"/>
        <w:docPartUnique/>
      </w:docPartObj>
    </w:sdtPr>
    <w:sdtEndPr>
      <w:rPr>
        <w:noProof/>
      </w:rPr>
    </w:sdtEndPr>
    <w:sdtContent>
      <w:p w14:paraId="657DB88C" w14:textId="4720620D" w:rsidR="005013AC" w:rsidRDefault="005013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88A917" w14:textId="77777777" w:rsidR="005013AC" w:rsidRDefault="005013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F14AC" w14:textId="77777777" w:rsidR="00205345" w:rsidRDefault="00205345" w:rsidP="005013AC">
      <w:pPr>
        <w:spacing w:after="0" w:line="240" w:lineRule="auto"/>
      </w:pPr>
      <w:r>
        <w:separator/>
      </w:r>
    </w:p>
  </w:footnote>
  <w:footnote w:type="continuationSeparator" w:id="0">
    <w:p w14:paraId="26302A85" w14:textId="77777777" w:rsidR="00205345" w:rsidRDefault="00205345" w:rsidP="00501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31D35"/>
    <w:multiLevelType w:val="hybridMultilevel"/>
    <w:tmpl w:val="3EDE50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7163F7"/>
    <w:multiLevelType w:val="hybridMultilevel"/>
    <w:tmpl w:val="00FE5054"/>
    <w:lvl w:ilvl="0" w:tplc="08090001">
      <w:start w:val="1"/>
      <w:numFmt w:val="bullet"/>
      <w:lvlText w:val=""/>
      <w:lvlJc w:val="left"/>
      <w:pPr>
        <w:ind w:left="720" w:hanging="360"/>
      </w:pPr>
      <w:rPr>
        <w:rFonts w:ascii="Symbol" w:hAnsi="Symbol" w:hint="default"/>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wMDUyMjIwMzU3NzVR0lEKTi0uzszPAykwqQUAac0VCiwAAAA="/>
  </w:docVars>
  <w:rsids>
    <w:rsidRoot w:val="00E356F6"/>
    <w:rsid w:val="000335A6"/>
    <w:rsid w:val="00060A12"/>
    <w:rsid w:val="00091859"/>
    <w:rsid w:val="00127449"/>
    <w:rsid w:val="001353FD"/>
    <w:rsid w:val="0015343A"/>
    <w:rsid w:val="00192C54"/>
    <w:rsid w:val="001A21A5"/>
    <w:rsid w:val="001F7B07"/>
    <w:rsid w:val="00205345"/>
    <w:rsid w:val="002107A5"/>
    <w:rsid w:val="00233B20"/>
    <w:rsid w:val="00252C33"/>
    <w:rsid w:val="002F5064"/>
    <w:rsid w:val="003466EC"/>
    <w:rsid w:val="003676F0"/>
    <w:rsid w:val="00381B4B"/>
    <w:rsid w:val="003B6708"/>
    <w:rsid w:val="003B7379"/>
    <w:rsid w:val="003D154A"/>
    <w:rsid w:val="003F0C2D"/>
    <w:rsid w:val="0041635E"/>
    <w:rsid w:val="00431DA4"/>
    <w:rsid w:val="00432D46"/>
    <w:rsid w:val="00465FFB"/>
    <w:rsid w:val="00475B90"/>
    <w:rsid w:val="0049101D"/>
    <w:rsid w:val="00492AA5"/>
    <w:rsid w:val="00496291"/>
    <w:rsid w:val="004F2735"/>
    <w:rsid w:val="005013AC"/>
    <w:rsid w:val="00535D49"/>
    <w:rsid w:val="005576F0"/>
    <w:rsid w:val="0057505A"/>
    <w:rsid w:val="00591B96"/>
    <w:rsid w:val="006045DA"/>
    <w:rsid w:val="00605BA8"/>
    <w:rsid w:val="00637D81"/>
    <w:rsid w:val="00680C0F"/>
    <w:rsid w:val="00694DDF"/>
    <w:rsid w:val="006B664E"/>
    <w:rsid w:val="006D6286"/>
    <w:rsid w:val="006F29D1"/>
    <w:rsid w:val="0076550A"/>
    <w:rsid w:val="007841D3"/>
    <w:rsid w:val="007A2661"/>
    <w:rsid w:val="007B6B80"/>
    <w:rsid w:val="007C654A"/>
    <w:rsid w:val="007E445E"/>
    <w:rsid w:val="00800AF0"/>
    <w:rsid w:val="008470AF"/>
    <w:rsid w:val="008718C5"/>
    <w:rsid w:val="0088252B"/>
    <w:rsid w:val="00887505"/>
    <w:rsid w:val="00896127"/>
    <w:rsid w:val="00896AC2"/>
    <w:rsid w:val="008A6C10"/>
    <w:rsid w:val="008C33D6"/>
    <w:rsid w:val="008F62CD"/>
    <w:rsid w:val="009252B4"/>
    <w:rsid w:val="00946B00"/>
    <w:rsid w:val="00A631AB"/>
    <w:rsid w:val="00AA5B2A"/>
    <w:rsid w:val="00AB6B6A"/>
    <w:rsid w:val="00AF568D"/>
    <w:rsid w:val="00B14916"/>
    <w:rsid w:val="00B5753A"/>
    <w:rsid w:val="00B97508"/>
    <w:rsid w:val="00BA5F11"/>
    <w:rsid w:val="00C4648C"/>
    <w:rsid w:val="00C5756D"/>
    <w:rsid w:val="00C578B0"/>
    <w:rsid w:val="00C65483"/>
    <w:rsid w:val="00C92BD3"/>
    <w:rsid w:val="00C9743B"/>
    <w:rsid w:val="00CB538E"/>
    <w:rsid w:val="00CC60EF"/>
    <w:rsid w:val="00D03349"/>
    <w:rsid w:val="00D21B58"/>
    <w:rsid w:val="00D24B18"/>
    <w:rsid w:val="00D321ED"/>
    <w:rsid w:val="00D830F6"/>
    <w:rsid w:val="00DB0C02"/>
    <w:rsid w:val="00E356F6"/>
    <w:rsid w:val="00E67C3B"/>
    <w:rsid w:val="00E757AA"/>
    <w:rsid w:val="00ED4803"/>
    <w:rsid w:val="00EF13E6"/>
    <w:rsid w:val="00F479DA"/>
    <w:rsid w:val="00F77B7B"/>
    <w:rsid w:val="00FC4DFC"/>
    <w:rsid w:val="00FE3C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3A459"/>
  <w15:chartTrackingRefBased/>
  <w15:docId w15:val="{7A385A16-4004-423F-BC16-7987FADAE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A21A5"/>
    <w:pPr>
      <w:keepNext/>
      <w:keepLines/>
      <w:spacing w:before="120" w:after="12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semiHidden/>
    <w:unhideWhenUsed/>
    <w:qFormat/>
    <w:rsid w:val="00AA5B2A"/>
    <w:pPr>
      <w:keepNext/>
      <w:keepLines/>
      <w:spacing w:before="120" w:after="120"/>
      <w:outlineLvl w:val="1"/>
    </w:pPr>
    <w:rPr>
      <w:rFonts w:eastAsiaTheme="majorEastAsia" w:cstheme="majorBidi"/>
      <w:color w:val="C45911" w:themeColor="accent2" w:themeShade="BF"/>
      <w:szCs w:val="26"/>
    </w:rPr>
  </w:style>
  <w:style w:type="paragraph" w:styleId="Heading3">
    <w:name w:val="heading 3"/>
    <w:basedOn w:val="Normal"/>
    <w:next w:val="Normal"/>
    <w:link w:val="Heading3Char"/>
    <w:autoRedefine/>
    <w:uiPriority w:val="9"/>
    <w:semiHidden/>
    <w:unhideWhenUsed/>
    <w:qFormat/>
    <w:rsid w:val="00AA5B2A"/>
    <w:pPr>
      <w:keepNext/>
      <w:keepLines/>
      <w:spacing w:before="120" w:after="120"/>
      <w:outlineLvl w:val="2"/>
    </w:pPr>
    <w:rPr>
      <w:rFonts w:eastAsiaTheme="majorEastAsia" w:cstheme="majorBidi"/>
      <w:color w:val="009999"/>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1A5"/>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semiHidden/>
    <w:rsid w:val="00AA5B2A"/>
    <w:rPr>
      <w:rFonts w:eastAsiaTheme="majorEastAsia" w:cstheme="majorBidi"/>
      <w:color w:val="C45911" w:themeColor="accent2" w:themeShade="BF"/>
      <w:szCs w:val="26"/>
    </w:rPr>
  </w:style>
  <w:style w:type="character" w:customStyle="1" w:styleId="Heading3Char">
    <w:name w:val="Heading 3 Char"/>
    <w:basedOn w:val="DefaultParagraphFont"/>
    <w:link w:val="Heading3"/>
    <w:uiPriority w:val="9"/>
    <w:semiHidden/>
    <w:rsid w:val="00AA5B2A"/>
    <w:rPr>
      <w:rFonts w:eastAsiaTheme="majorEastAsia" w:cstheme="majorBidi"/>
      <w:color w:val="009999"/>
      <w:szCs w:val="24"/>
    </w:rPr>
  </w:style>
  <w:style w:type="paragraph" w:styleId="TOCHeading">
    <w:name w:val="TOC Heading"/>
    <w:basedOn w:val="Heading1"/>
    <w:next w:val="Normal"/>
    <w:uiPriority w:val="39"/>
    <w:unhideWhenUsed/>
    <w:qFormat/>
    <w:rsid w:val="00C65483"/>
    <w:pPr>
      <w:spacing w:before="240" w:after="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718C5"/>
    <w:pPr>
      <w:spacing w:after="100"/>
    </w:pPr>
  </w:style>
  <w:style w:type="character" w:styleId="Hyperlink">
    <w:name w:val="Hyperlink"/>
    <w:basedOn w:val="DefaultParagraphFont"/>
    <w:uiPriority w:val="99"/>
    <w:unhideWhenUsed/>
    <w:rsid w:val="008718C5"/>
    <w:rPr>
      <w:color w:val="0563C1" w:themeColor="hyperlink"/>
      <w:u w:val="single"/>
    </w:rPr>
  </w:style>
  <w:style w:type="paragraph" w:styleId="ListParagraph">
    <w:name w:val="List Paragraph"/>
    <w:basedOn w:val="Normal"/>
    <w:uiPriority w:val="34"/>
    <w:qFormat/>
    <w:rsid w:val="00C578B0"/>
    <w:pPr>
      <w:ind w:left="720"/>
      <w:contextualSpacing/>
    </w:pPr>
  </w:style>
  <w:style w:type="paragraph" w:styleId="NormalWeb">
    <w:name w:val="Normal (Web)"/>
    <w:basedOn w:val="Normal"/>
    <w:uiPriority w:val="99"/>
    <w:semiHidden/>
    <w:unhideWhenUsed/>
    <w:rsid w:val="00CC60EF"/>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paragraph" w:styleId="Header">
    <w:name w:val="header"/>
    <w:basedOn w:val="Normal"/>
    <w:link w:val="HeaderChar"/>
    <w:uiPriority w:val="99"/>
    <w:unhideWhenUsed/>
    <w:rsid w:val="00501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3AC"/>
  </w:style>
  <w:style w:type="paragraph" w:styleId="Footer">
    <w:name w:val="footer"/>
    <w:basedOn w:val="Normal"/>
    <w:link w:val="FooterChar"/>
    <w:uiPriority w:val="99"/>
    <w:unhideWhenUsed/>
    <w:rsid w:val="00501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3AC"/>
  </w:style>
  <w:style w:type="paragraph" w:styleId="Title">
    <w:name w:val="Title"/>
    <w:basedOn w:val="Normal"/>
    <w:next w:val="Normal"/>
    <w:link w:val="TitleChar"/>
    <w:rsid w:val="001A21A5"/>
    <w:pPr>
      <w:keepNext/>
      <w:keepLines/>
      <w:spacing w:after="60"/>
    </w:pPr>
    <w:rPr>
      <w:rFonts w:ascii="Times New Roman" w:eastAsia="Times New Roman" w:hAnsi="Times New Roman" w:cs="Times New Roman"/>
      <w:sz w:val="52"/>
      <w:szCs w:val="52"/>
    </w:rPr>
  </w:style>
  <w:style w:type="character" w:customStyle="1" w:styleId="TitleChar">
    <w:name w:val="Title Char"/>
    <w:basedOn w:val="DefaultParagraphFont"/>
    <w:link w:val="Title"/>
    <w:rsid w:val="001A21A5"/>
    <w:rPr>
      <w:rFonts w:ascii="Times New Roman" w:eastAsia="Times New Roman" w:hAnsi="Times New Roman" w:cs="Times New Roman"/>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29531">
      <w:bodyDiv w:val="1"/>
      <w:marLeft w:val="0"/>
      <w:marRight w:val="0"/>
      <w:marTop w:val="0"/>
      <w:marBottom w:val="0"/>
      <w:divBdr>
        <w:top w:val="none" w:sz="0" w:space="0" w:color="auto"/>
        <w:left w:val="none" w:sz="0" w:space="0" w:color="auto"/>
        <w:bottom w:val="none" w:sz="0" w:space="0" w:color="auto"/>
        <w:right w:val="none" w:sz="0" w:space="0" w:color="auto"/>
      </w:divBdr>
    </w:div>
    <w:div w:id="605695542">
      <w:bodyDiv w:val="1"/>
      <w:marLeft w:val="0"/>
      <w:marRight w:val="0"/>
      <w:marTop w:val="0"/>
      <w:marBottom w:val="0"/>
      <w:divBdr>
        <w:top w:val="none" w:sz="0" w:space="0" w:color="auto"/>
        <w:left w:val="none" w:sz="0" w:space="0" w:color="auto"/>
        <w:bottom w:val="none" w:sz="0" w:space="0" w:color="auto"/>
        <w:right w:val="none" w:sz="0" w:space="0" w:color="auto"/>
      </w:divBdr>
    </w:div>
    <w:div w:id="848980100">
      <w:bodyDiv w:val="1"/>
      <w:marLeft w:val="0"/>
      <w:marRight w:val="0"/>
      <w:marTop w:val="0"/>
      <w:marBottom w:val="0"/>
      <w:divBdr>
        <w:top w:val="none" w:sz="0" w:space="0" w:color="auto"/>
        <w:left w:val="none" w:sz="0" w:space="0" w:color="auto"/>
        <w:bottom w:val="none" w:sz="0" w:space="0" w:color="auto"/>
        <w:right w:val="none" w:sz="0" w:space="0" w:color="auto"/>
      </w:divBdr>
    </w:div>
    <w:div w:id="864639695">
      <w:bodyDiv w:val="1"/>
      <w:marLeft w:val="0"/>
      <w:marRight w:val="0"/>
      <w:marTop w:val="0"/>
      <w:marBottom w:val="0"/>
      <w:divBdr>
        <w:top w:val="none" w:sz="0" w:space="0" w:color="auto"/>
        <w:left w:val="none" w:sz="0" w:space="0" w:color="auto"/>
        <w:bottom w:val="none" w:sz="0" w:space="0" w:color="auto"/>
        <w:right w:val="none" w:sz="0" w:space="0" w:color="auto"/>
      </w:divBdr>
    </w:div>
    <w:div w:id="1031763445">
      <w:bodyDiv w:val="1"/>
      <w:marLeft w:val="0"/>
      <w:marRight w:val="0"/>
      <w:marTop w:val="0"/>
      <w:marBottom w:val="0"/>
      <w:divBdr>
        <w:top w:val="none" w:sz="0" w:space="0" w:color="auto"/>
        <w:left w:val="none" w:sz="0" w:space="0" w:color="auto"/>
        <w:bottom w:val="none" w:sz="0" w:space="0" w:color="auto"/>
        <w:right w:val="none" w:sz="0" w:space="0" w:color="auto"/>
      </w:divBdr>
    </w:div>
    <w:div w:id="1549956955">
      <w:bodyDiv w:val="1"/>
      <w:marLeft w:val="0"/>
      <w:marRight w:val="0"/>
      <w:marTop w:val="0"/>
      <w:marBottom w:val="0"/>
      <w:divBdr>
        <w:top w:val="none" w:sz="0" w:space="0" w:color="auto"/>
        <w:left w:val="none" w:sz="0" w:space="0" w:color="auto"/>
        <w:bottom w:val="none" w:sz="0" w:space="0" w:color="auto"/>
        <w:right w:val="none" w:sz="0" w:space="0" w:color="auto"/>
      </w:divBdr>
    </w:div>
    <w:div w:id="156829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emf"/></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7b1dcc225cab66d8/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7b1dcc225cab66d8/Desktop/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Worksheet.xlsx]Sheet1'!$B$10</c:f>
              <c:strCache>
                <c:ptCount val="1"/>
                <c:pt idx="0">
                  <c:v>Income margin</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9050" cap="rnd">
                <a:solidFill>
                  <a:schemeClr val="accent1"/>
                </a:solidFill>
                <a:prstDash val="sysDash"/>
              </a:ln>
              <a:effectLst/>
            </c:spPr>
            <c:trendlineType val="linear"/>
            <c:dispRSqr val="0"/>
            <c:dispEq val="0"/>
          </c:trendline>
          <c:trendline>
            <c:spPr>
              <a:ln w="19050" cap="rnd">
                <a:solidFill>
                  <a:schemeClr val="accent1"/>
                </a:solidFill>
                <a:prstDash val="sysDash"/>
              </a:ln>
              <a:effectLst/>
            </c:spPr>
            <c:trendlineType val="movingAvg"/>
            <c:period val="2"/>
            <c:dispRSqr val="0"/>
            <c:dispEq val="0"/>
          </c:trendline>
          <c:cat>
            <c:strRef>
              <c:f>'[New Microsoft Excel Worksheet.xlsx]Sheet1'!$C$9:$E$9</c:f>
              <c:strCache>
                <c:ptCount val="3"/>
                <c:pt idx="0">
                  <c:v>Stafford</c:v>
                </c:pt>
                <c:pt idx="1">
                  <c:v>Coventry</c:v>
                </c:pt>
                <c:pt idx="2">
                  <c:v>Birmingham</c:v>
                </c:pt>
              </c:strCache>
            </c:strRef>
          </c:cat>
          <c:val>
            <c:numRef>
              <c:f>'[New Microsoft Excel Worksheet.xlsx]Sheet1'!$C$10:$E$10</c:f>
              <c:numCache>
                <c:formatCode>General</c:formatCode>
                <c:ptCount val="3"/>
                <c:pt idx="0">
                  <c:v>760000</c:v>
                </c:pt>
                <c:pt idx="1">
                  <c:v>678000</c:v>
                </c:pt>
                <c:pt idx="2">
                  <c:v>1134000</c:v>
                </c:pt>
              </c:numCache>
            </c:numRef>
          </c:val>
          <c:extLst>
            <c:ext xmlns:c16="http://schemas.microsoft.com/office/drawing/2014/chart" uri="{C3380CC4-5D6E-409C-BE32-E72D297353CC}">
              <c16:uniqueId val="{00000002-7D56-4ED4-BA91-EFA14E4D0424}"/>
            </c:ext>
          </c:extLst>
        </c:ser>
        <c:dLbls>
          <c:dLblPos val="outEnd"/>
          <c:showLegendKey val="0"/>
          <c:showVal val="1"/>
          <c:showCatName val="0"/>
          <c:showSerName val="0"/>
          <c:showPercent val="0"/>
          <c:showBubbleSize val="0"/>
        </c:dLbls>
        <c:gapWidth val="444"/>
        <c:overlap val="-90"/>
        <c:axId val="138278992"/>
        <c:axId val="141837792"/>
      </c:barChart>
      <c:catAx>
        <c:axId val="1382789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41837792"/>
        <c:crosses val="autoZero"/>
        <c:auto val="1"/>
        <c:lblAlgn val="ctr"/>
        <c:lblOffset val="100"/>
        <c:noMultiLvlLbl val="0"/>
      </c:catAx>
      <c:valAx>
        <c:axId val="141837792"/>
        <c:scaling>
          <c:orientation val="minMax"/>
        </c:scaling>
        <c:delete val="1"/>
        <c:axPos val="l"/>
        <c:numFmt formatCode="General" sourceLinked="1"/>
        <c:majorTickMark val="none"/>
        <c:minorTickMark val="none"/>
        <c:tickLblPos val="nextTo"/>
        <c:crossAx val="1382789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Worksheet.xlsx]Sheet1'!$B$13</c:f>
              <c:strCache>
                <c:ptCount val="1"/>
                <c:pt idx="0">
                  <c:v>Advertising</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9050" cap="rnd">
                <a:solidFill>
                  <a:schemeClr val="accent1"/>
                </a:solidFill>
                <a:prstDash val="sysDash"/>
              </a:ln>
              <a:effectLst/>
            </c:spPr>
            <c:trendlineType val="linear"/>
            <c:dispRSqr val="0"/>
            <c:dispEq val="0"/>
          </c:trendline>
          <c:cat>
            <c:strRef>
              <c:f>'[New Microsoft Excel Worksheet.xlsx]Sheet1'!$C$12:$E$12</c:f>
              <c:strCache>
                <c:ptCount val="3"/>
                <c:pt idx="0">
                  <c:v>Stafford</c:v>
                </c:pt>
                <c:pt idx="1">
                  <c:v>Coventry</c:v>
                </c:pt>
                <c:pt idx="2">
                  <c:v>Birmingham</c:v>
                </c:pt>
              </c:strCache>
            </c:strRef>
          </c:cat>
          <c:val>
            <c:numRef>
              <c:f>'[New Microsoft Excel Worksheet.xlsx]Sheet1'!$C$13:$E$13</c:f>
              <c:numCache>
                <c:formatCode>General</c:formatCode>
                <c:ptCount val="3"/>
                <c:pt idx="0">
                  <c:v>16000</c:v>
                </c:pt>
                <c:pt idx="1">
                  <c:v>30000</c:v>
                </c:pt>
                <c:pt idx="2">
                  <c:v>120000</c:v>
                </c:pt>
              </c:numCache>
            </c:numRef>
          </c:val>
          <c:extLst>
            <c:ext xmlns:c16="http://schemas.microsoft.com/office/drawing/2014/chart" uri="{C3380CC4-5D6E-409C-BE32-E72D297353CC}">
              <c16:uniqueId val="{00000001-4622-4AC3-AFBC-E5C612AD00BD}"/>
            </c:ext>
          </c:extLst>
        </c:ser>
        <c:dLbls>
          <c:dLblPos val="outEnd"/>
          <c:showLegendKey val="0"/>
          <c:showVal val="1"/>
          <c:showCatName val="0"/>
          <c:showSerName val="0"/>
          <c:showPercent val="0"/>
          <c:showBubbleSize val="0"/>
        </c:dLbls>
        <c:gapWidth val="444"/>
        <c:overlap val="-90"/>
        <c:axId val="131892928"/>
        <c:axId val="214301440"/>
      </c:barChart>
      <c:catAx>
        <c:axId val="1318929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14301440"/>
        <c:crosses val="autoZero"/>
        <c:auto val="1"/>
        <c:lblAlgn val="ctr"/>
        <c:lblOffset val="100"/>
        <c:noMultiLvlLbl val="0"/>
      </c:catAx>
      <c:valAx>
        <c:axId val="214301440"/>
        <c:scaling>
          <c:orientation val="minMax"/>
        </c:scaling>
        <c:delete val="1"/>
        <c:axPos val="l"/>
        <c:numFmt formatCode="General" sourceLinked="1"/>
        <c:majorTickMark val="none"/>
        <c:minorTickMark val="none"/>
        <c:tickLblPos val="nextTo"/>
        <c:crossAx val="131892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1">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13736-416E-4355-B3BB-ACBE3947E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13</Pages>
  <Words>1795</Words>
  <Characters>10233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 Marius Nitu (1915414)</cp:lastModifiedBy>
  <cp:revision>123</cp:revision>
  <dcterms:created xsi:type="dcterms:W3CDTF">2021-10-18T04:33:00Z</dcterms:created>
  <dcterms:modified xsi:type="dcterms:W3CDTF">2021-10-19T10:09:00Z</dcterms:modified>
</cp:coreProperties>
</file>