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FC540" w14:textId="478129BD" w:rsidR="00E22568" w:rsidRPr="006B0050" w:rsidRDefault="006B0050">
      <w:pPr>
        <w:rPr>
          <w:b/>
          <w:bCs/>
          <w:u w:val="single"/>
        </w:rPr>
      </w:pPr>
      <w:r w:rsidRPr="006B0050">
        <w:rPr>
          <w:b/>
          <w:bCs/>
          <w:u w:val="single"/>
        </w:rPr>
        <w:t xml:space="preserve">Annotated Bibliography and Document Review </w:t>
      </w:r>
    </w:p>
    <w:p w14:paraId="412B0B95" w14:textId="2B681764" w:rsidR="006B0050" w:rsidRPr="006B0050" w:rsidRDefault="006B0050">
      <w:pPr>
        <w:rPr>
          <w:b/>
          <w:bCs/>
          <w:u w:val="single"/>
        </w:rPr>
      </w:pPr>
    </w:p>
    <w:p w14:paraId="53561D03" w14:textId="29ED1F60" w:rsidR="006B0050" w:rsidRDefault="006B0050">
      <w:pPr>
        <w:rPr>
          <w:b/>
          <w:bCs/>
          <w:u w:val="single"/>
        </w:rPr>
      </w:pPr>
      <w:r w:rsidRPr="006B0050">
        <w:rPr>
          <w:b/>
          <w:bCs/>
          <w:u w:val="single"/>
        </w:rPr>
        <w:t xml:space="preserve">Annotated Bibliography </w:t>
      </w:r>
    </w:p>
    <w:p w14:paraId="17FD4413" w14:textId="77777777" w:rsidR="006B0050" w:rsidRDefault="006B0050" w:rsidP="006B0050">
      <w:r>
        <w:t>Annotated bibliography</w:t>
      </w:r>
    </w:p>
    <w:p w14:paraId="6A294013" w14:textId="77777777" w:rsidR="006B0050" w:rsidRDefault="006B0050" w:rsidP="006B0050">
      <w:r>
        <w:t xml:space="preserve">Thomas C. Kennedy, ‘Public Opinion and the Conscientious Objector, 1915-1916’, </w:t>
      </w:r>
      <w:r>
        <w:rPr>
          <w:i/>
          <w:iCs/>
        </w:rPr>
        <w:t xml:space="preserve">Journal of British Studies, </w:t>
      </w:r>
      <w:r>
        <w:t xml:space="preserve">12 (1983), 105-119 </w:t>
      </w:r>
    </w:p>
    <w:p w14:paraId="4B8C1B6D" w14:textId="77777777" w:rsidR="006B0050" w:rsidRDefault="006B0050" w:rsidP="006B0050">
      <w:pPr>
        <w:pStyle w:val="ListParagraph"/>
      </w:pPr>
      <w:r>
        <w:t>Within this article, Kennedy relays the common reception of conscientious objectors within British society, with a particular focus on the impact of the No-Conscription Fellowship, local tribunals, and common social attitudes. He pays particular attention to relaying the rise and subsequent decline of so called “popular anti-pacifist feeling” within society, taking particular care to emphasise the borders between the intended government response and realistic experiences of Conscientious Objectors (C.O.s). With the conclusion focusing on the reception of C.O.s in the following years, and the subsequent second world war, as well as the fatal ambiguity of government policy regarding how C.O.s were dealt with, the over-arching theme of the importance of the social institution in influencing the experiences of the C.O. is effectively reflected. The primary focus of this work is evident from the beginning of the paper, and the topic is effectively put forward, making it a direct and useful resource.</w:t>
      </w:r>
    </w:p>
    <w:p w14:paraId="59050E78" w14:textId="77777777" w:rsidR="006B0050" w:rsidRDefault="006B0050" w:rsidP="006B0050">
      <w:pPr>
        <w:pStyle w:val="ListParagraph"/>
      </w:pPr>
    </w:p>
    <w:p w14:paraId="320904AF" w14:textId="77777777" w:rsidR="006B0050" w:rsidRDefault="006B0050" w:rsidP="006B0050">
      <w:pPr>
        <w:pStyle w:val="ListParagraph"/>
      </w:pPr>
      <w:r>
        <w:t>Within his article, Kennedy presents a balanced review of both governmental responses and the adequacies of local tribunals. He also includes several recorded responses to C.O.s, both within the tribunal</w:t>
      </w:r>
      <w:r w:rsidRPr="006E5ADC">
        <w:t>s and in wider society, which provide colourful examples of the wider mood of the public. The points that Kennedy asserts are well supported with a range of primary source materials and figures</w:t>
      </w:r>
      <w:r>
        <w:t xml:space="preserve"> that he backs up with relevant wider research.</w:t>
      </w:r>
    </w:p>
    <w:p w14:paraId="1F05876A" w14:textId="77777777" w:rsidR="006B0050" w:rsidRDefault="006B0050" w:rsidP="006B0050">
      <w:r>
        <w:t xml:space="preserve">R. J. Q. Adams, ‘Asquith’s Choice: The May Coalition and the Coming of Conscription’, </w:t>
      </w:r>
      <w:r>
        <w:rPr>
          <w:i/>
          <w:iCs/>
        </w:rPr>
        <w:t xml:space="preserve">Journal of British Studies, </w:t>
      </w:r>
      <w:r>
        <w:t>23(1986), 243-263</w:t>
      </w:r>
    </w:p>
    <w:p w14:paraId="3228BF2E" w14:textId="77777777" w:rsidR="006B0050" w:rsidRDefault="006B0050" w:rsidP="006B0050">
      <w:pPr>
        <w:ind w:left="720"/>
      </w:pPr>
      <w:r>
        <w:t xml:space="preserve">The aim of this article is made clear very early on through Adams’ dismissal of the popularly accepted view of the period preceding the introduction of the military service act as being a dry and ‘tedious’ topic. Instead of subscribing to this thought, Adams asserts an interesting alternative point of view: conscription wasn’t forced onto Asquith, but rather he accepted, however reluctantly, that it would be necessary and so postponed its introduction only until his own groundwork had been lain and “he was quite ready”. First Adams establishes the most common popular thought on of the introduction of conscription as being a “triumph of the tory right wing”. He then goes on to voice his disagreement with the idea that Asquith was struggling to hold off the introduction of the military service act and only ‘acquiesced’ to the demands of Lloyd George to keep the relative peace of the coalition government. </w:t>
      </w:r>
    </w:p>
    <w:p w14:paraId="603B2119" w14:textId="77777777" w:rsidR="006B0050" w:rsidRDefault="006B0050" w:rsidP="006B0050">
      <w:pPr>
        <w:ind w:left="720"/>
      </w:pPr>
      <w:r>
        <w:t xml:space="preserve">Throughout the article, Adams refers to numerous relevant and reputable sources for alternative interpretations. This provides a well-rounded argument and an evidently well researched background of scholarship that helps to place his own argument within the wider sphere of research. The main topics discussed in the work, beyond those already discussed, cover a brief overview of the efforts of Lord Kitchener to recruit more men and of the tumultuous political climate surrounding the issue of conscription; this is useful for understanding how multi-faceted the issue of conscription was within wartime Britain. </w:t>
      </w:r>
    </w:p>
    <w:p w14:paraId="5771B0AB" w14:textId="77777777" w:rsidR="006B0050" w:rsidRDefault="006B0050" w:rsidP="006B0050"/>
    <w:p w14:paraId="3F93823D" w14:textId="77777777" w:rsidR="006B0050" w:rsidRDefault="006B0050" w:rsidP="006B0050"/>
    <w:p w14:paraId="18F82A24" w14:textId="77777777" w:rsidR="006B0050" w:rsidRDefault="006B0050" w:rsidP="006B0050"/>
    <w:p w14:paraId="0375619A" w14:textId="77777777" w:rsidR="006B0050" w:rsidRDefault="006B0050" w:rsidP="006B0050"/>
    <w:p w14:paraId="492DFF1A" w14:textId="77777777" w:rsidR="006B0050" w:rsidRDefault="006B0050" w:rsidP="006B0050">
      <w:r>
        <w:t xml:space="preserve">Ann Kramer, ‘Conscription and Conscience’, in </w:t>
      </w:r>
      <w:r>
        <w:rPr>
          <w:i/>
          <w:iCs/>
        </w:rPr>
        <w:t>Conscientious Objectors of the First World War: A Determined Resistance</w:t>
      </w:r>
      <w:r>
        <w:t>, (United Kingdom: Pen and Sword, 2014) 20-38</w:t>
      </w:r>
    </w:p>
    <w:p w14:paraId="04A05E18" w14:textId="77777777" w:rsidR="006B0050" w:rsidRDefault="006B0050" w:rsidP="006B0050">
      <w:pPr>
        <w:pStyle w:val="ListParagraph"/>
      </w:pPr>
      <w:r>
        <w:t xml:space="preserve">The most prominent themes presented within this chapter include popular social mood and eagerness of many civilians of to enlist, the methods of coercion employed by society to encourage enlisting, and the role of the No Conscription Fellowship in defending </w:t>
      </w:r>
      <w:proofErr w:type="spellStart"/>
      <w:r>
        <w:t>C.O.s.</w:t>
      </w:r>
      <w:proofErr w:type="spellEnd"/>
      <w:r>
        <w:t xml:space="preserve"> The reception of objectors by this pro-war society is also discussed throughout the chapter, with reference to how different factors influence how they were perceived. Kramer also touches on the use of shaming through propaganda and the importance of social pressure in encouraging men to sign up. </w:t>
      </w:r>
    </w:p>
    <w:p w14:paraId="17466370" w14:textId="77777777" w:rsidR="006B0050" w:rsidRDefault="006B0050" w:rsidP="006B0050">
      <w:pPr>
        <w:pStyle w:val="ListParagraph"/>
      </w:pPr>
      <w:r>
        <w:t xml:space="preserve">Whilst some conclusions are drawn from the information presented, such as the suggestion of Asquith’s political motives being the main reason for the inclusion of the conscientious clause in the Military Service Act, this chapter is largely descriptive. That being said, whilst there is only minimal analytical content, the information is put forward in a systematic and methodological way that enables the reader to </w:t>
      </w:r>
      <w:proofErr w:type="spellStart"/>
      <w:r>
        <w:t>drawn</w:t>
      </w:r>
      <w:proofErr w:type="spellEnd"/>
      <w:r>
        <w:t xml:space="preserve"> conclusions easily. For example, the descriptions of social opinion over the course of this chapter illustrates the gradual shift in support for compulsion in a way that’s easy to process. There is, however, relatively little in the way of interaction with other historiography, making it difficult to place the work within the wider sphere of scholarship. </w:t>
      </w:r>
    </w:p>
    <w:p w14:paraId="02617351" w14:textId="77777777" w:rsidR="006B0050" w:rsidRDefault="006B0050" w:rsidP="006B0050">
      <w:pPr>
        <w:pStyle w:val="ListParagraph"/>
      </w:pPr>
    </w:p>
    <w:p w14:paraId="6F91A3AB" w14:textId="77777777" w:rsidR="006B0050" w:rsidRDefault="006B0050" w:rsidP="006B0050">
      <w:pPr>
        <w:pStyle w:val="ListParagraph"/>
        <w:ind w:left="0"/>
      </w:pPr>
      <w:r>
        <w:t xml:space="preserve">Niall Ferguson, </w:t>
      </w:r>
      <w:r>
        <w:rPr>
          <w:i/>
          <w:iCs/>
        </w:rPr>
        <w:t xml:space="preserve">The Pity of War, </w:t>
      </w:r>
      <w:r>
        <w:t>(London: The Penguin Press, 1998)</w:t>
      </w:r>
    </w:p>
    <w:p w14:paraId="4140CEA2" w14:textId="77777777" w:rsidR="006B0050" w:rsidRDefault="006B0050" w:rsidP="006B0050">
      <w:pPr>
        <w:pStyle w:val="ListParagraph"/>
      </w:pPr>
    </w:p>
    <w:p w14:paraId="6E4402D4" w14:textId="77777777" w:rsidR="006B0050" w:rsidRDefault="006B0050" w:rsidP="006B0050">
      <w:pPr>
        <w:pStyle w:val="ListParagraph"/>
      </w:pPr>
      <w:r>
        <w:t xml:space="preserve">Fergusons </w:t>
      </w:r>
      <w:r>
        <w:rPr>
          <w:i/>
          <w:iCs/>
        </w:rPr>
        <w:t>The Pity of War</w:t>
      </w:r>
      <w:r>
        <w:t xml:space="preserve"> offers a very different, and rather provocative, take on the first world war, its causes, and its impacts. The central theme throughout </w:t>
      </w:r>
      <w:r>
        <w:rPr>
          <w:i/>
          <w:iCs/>
        </w:rPr>
        <w:t>The Pity of War</w:t>
      </w:r>
      <w:r>
        <w:t xml:space="preserve"> is </w:t>
      </w:r>
      <w:proofErr w:type="gramStart"/>
      <w:r>
        <w:t>that,</w:t>
      </w:r>
      <w:proofErr w:type="gramEnd"/>
      <w:r>
        <w:t xml:space="preserve"> contrary to most popular interpretation, the Great was caused by England. The main argument of this work is that Britain’s involvement in the conflict only served to make the conflict bigger and worse than it would have been without her involvement. Reactions to this work are unsurprisingly varied. It does offer some concise interpretations of the more complicated areas of the great war. Ferguson very successfully relays the importance of propaganda within war time society, which is extremely useful for understanding why British society was so enthusiastic about the war effort, despite the high casualties. </w:t>
      </w:r>
    </w:p>
    <w:p w14:paraId="422D6106" w14:textId="77777777" w:rsidR="006B0050" w:rsidRDefault="006B0050" w:rsidP="006B0050">
      <w:pPr>
        <w:pStyle w:val="ListParagraph"/>
      </w:pPr>
    </w:p>
    <w:p w14:paraId="61EFED22" w14:textId="77777777" w:rsidR="006B0050" w:rsidRPr="007C4246" w:rsidRDefault="006B0050" w:rsidP="006B0050">
      <w:pPr>
        <w:pStyle w:val="ListParagraph"/>
      </w:pPr>
      <w:r>
        <w:t xml:space="preserve">However, some conclusions display an evident disregard for many accepted theories and writings. Take for example the confident assertion that “if the British expeditionary force had never been sent, there is no question that the Germans would have won the war”. Such a claim, whilst an interesting interpretation, ignores many written histories and rather embosses the role of the BEF in the defence of France, to the detriment of the importance of both the French and German forces respectively. </w:t>
      </w:r>
    </w:p>
    <w:p w14:paraId="4C6915E8" w14:textId="77777777" w:rsidR="006B0050" w:rsidRPr="003707CA" w:rsidRDefault="006B0050" w:rsidP="006B0050">
      <w:pPr>
        <w:pStyle w:val="ListParagraph"/>
        <w:ind w:left="0"/>
      </w:pPr>
    </w:p>
    <w:p w14:paraId="08D96B7D" w14:textId="767A35FA" w:rsidR="006B0050" w:rsidRDefault="006B0050">
      <w:pPr>
        <w:rPr>
          <w:b/>
          <w:bCs/>
          <w:u w:val="single"/>
        </w:rPr>
      </w:pPr>
    </w:p>
    <w:p w14:paraId="4975A9B6" w14:textId="41FC888E" w:rsidR="006B0050" w:rsidRDefault="006B0050">
      <w:pPr>
        <w:rPr>
          <w:b/>
          <w:bCs/>
          <w:u w:val="single"/>
        </w:rPr>
      </w:pPr>
    </w:p>
    <w:p w14:paraId="100F7679" w14:textId="3C40ACFD" w:rsidR="006B0050" w:rsidRDefault="006B0050">
      <w:pPr>
        <w:rPr>
          <w:b/>
          <w:bCs/>
          <w:u w:val="single"/>
        </w:rPr>
      </w:pPr>
    </w:p>
    <w:p w14:paraId="0C798355" w14:textId="2AE967F6" w:rsidR="006B0050" w:rsidRDefault="006B0050">
      <w:pPr>
        <w:rPr>
          <w:b/>
          <w:bCs/>
          <w:u w:val="single"/>
        </w:rPr>
      </w:pPr>
      <w:r>
        <w:rPr>
          <w:b/>
          <w:bCs/>
          <w:u w:val="single"/>
        </w:rPr>
        <w:lastRenderedPageBreak/>
        <w:t>Document review</w:t>
      </w:r>
    </w:p>
    <w:p w14:paraId="60C8E53F" w14:textId="77777777" w:rsidR="006B0050" w:rsidRDefault="006B0050" w:rsidP="006B0050">
      <w:pPr>
        <w:pStyle w:val="BodyText"/>
        <w:rPr>
          <w:rFonts w:asciiTheme="minorHAnsi" w:hAnsiTheme="minorHAnsi" w:cstheme="minorHAnsi"/>
          <w:sz w:val="22"/>
          <w:szCs w:val="22"/>
        </w:rPr>
      </w:pPr>
      <w:r w:rsidRPr="008C77BF">
        <w:rPr>
          <w:rFonts w:asciiTheme="minorHAnsi" w:hAnsiTheme="minorHAnsi" w:cstheme="minorHAnsi"/>
          <w:sz w:val="22"/>
          <w:szCs w:val="22"/>
        </w:rPr>
        <w:t xml:space="preserve">The Disposal of Conscientious Objectors </w:t>
      </w:r>
      <w:r>
        <w:rPr>
          <w:rFonts w:asciiTheme="minorHAnsi" w:hAnsiTheme="minorHAnsi" w:cstheme="minorHAnsi"/>
          <w:sz w:val="22"/>
          <w:szCs w:val="22"/>
        </w:rPr>
        <w:t>– Government Paper G.T. 6318</w:t>
      </w:r>
      <w:r>
        <w:rPr>
          <w:rFonts w:asciiTheme="minorHAnsi" w:hAnsiTheme="minorHAnsi" w:cstheme="minorHAnsi"/>
          <w:sz w:val="22"/>
          <w:szCs w:val="22"/>
        </w:rPr>
        <w:t xml:space="preserve"> </w:t>
      </w:r>
    </w:p>
    <w:p w14:paraId="3F7C4794" w14:textId="12EE7345"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w:t>
      </w:r>
      <w:hyperlink r:id="rId6" w:history="1">
        <w:r w:rsidRPr="005A06E1">
          <w:rPr>
            <w:rStyle w:val="Hyperlink"/>
            <w:rFonts w:asciiTheme="minorHAnsi" w:hAnsiTheme="minorHAnsi" w:cstheme="minorHAnsi"/>
            <w:sz w:val="22"/>
            <w:szCs w:val="22"/>
          </w:rPr>
          <w:t>https://discovery.nationalarchives.gov.uk/details/r/D7732353#imageViewerLink</w:t>
        </w:r>
      </w:hyperlink>
      <w:r>
        <w:rPr>
          <w:rFonts w:asciiTheme="minorHAnsi" w:hAnsiTheme="minorHAnsi" w:cstheme="minorHAnsi"/>
          <w:sz w:val="22"/>
          <w:szCs w:val="22"/>
        </w:rPr>
        <w:t xml:space="preserve"> )</w:t>
      </w:r>
    </w:p>
    <w:p w14:paraId="1DD2C93E" w14:textId="77777777" w:rsidR="006B0050" w:rsidRDefault="006B0050" w:rsidP="006B0050">
      <w:pPr>
        <w:pStyle w:val="BodyText"/>
        <w:rPr>
          <w:rFonts w:asciiTheme="minorHAnsi" w:hAnsiTheme="minorHAnsi" w:cstheme="minorHAnsi"/>
          <w:sz w:val="22"/>
          <w:szCs w:val="22"/>
        </w:rPr>
      </w:pPr>
    </w:p>
    <w:p w14:paraId="3A7F0626" w14:textId="77777777"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Within this memorandum, Sir George Cave, Sec. of State under Lloyd George, addresses the need for the War Cabinet (W.C.) to come to a decision on what should be done to dispose of the remaining conscientious objectors (C.O).) under his jurisdiction. Before assuming the position of Home Secretary in 1916, Cave was appointed Solicitor General in 1915 during Asquith’s Coalition government</w:t>
      </w:r>
      <w:r>
        <w:rPr>
          <w:rStyle w:val="FootnoteReference"/>
          <w:rFonts w:asciiTheme="minorHAnsi" w:hAnsiTheme="minorHAnsi" w:cstheme="minorHAnsi"/>
          <w:sz w:val="22"/>
          <w:szCs w:val="22"/>
        </w:rPr>
        <w:footnoteReference w:id="1"/>
      </w:r>
      <w:r>
        <w:rPr>
          <w:rFonts w:asciiTheme="minorHAnsi" w:hAnsiTheme="minorHAnsi" w:cstheme="minorHAnsi"/>
          <w:sz w:val="22"/>
          <w:szCs w:val="22"/>
        </w:rPr>
        <w:t xml:space="preserve">.  </w:t>
      </w:r>
    </w:p>
    <w:p w14:paraId="361BA33E" w14:textId="77777777"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Cave details first the different categories of objector, before going on to describe the risks of inaction in dealing with the arising dis-content amongst them. He also comments on the opinion of the general public regarding the full release of C.O.s from the obligations assigned to them by the Brace Committee. As this piece is written as a memorandum addressing the war cabinet, it can be safely assumed that Cave’s intention was for the document to be distributed throughout, in order to bring the aforementioned issues into consideration with some speed. Throughout the document enough social context is given to show that the problem of what to do with C.O.s had reached a point of precedence. Cave goes on to detail a fear of strike and uncontrolled dispersal if a decision is not reached quickly, which gives a clear indication that the mood of the C.O. was becoming less co-operative. Evidently, the situation was pressing enough that Cave believed it necessary to apply to the parliament for a fast and final announcement of their aims for the C.O.s; it’s unfortunate, then, that when it was read in the W.C. 3 days later, the response was to postpone the matter for a future cabinet meeting</w:t>
      </w:r>
      <w:r>
        <w:rPr>
          <w:rStyle w:val="FootnoteReference"/>
          <w:rFonts w:asciiTheme="minorHAnsi" w:hAnsiTheme="minorHAnsi" w:cstheme="minorHAnsi"/>
          <w:sz w:val="22"/>
          <w:szCs w:val="22"/>
        </w:rPr>
        <w:footnoteReference w:id="2"/>
      </w:r>
      <w:r>
        <w:rPr>
          <w:rFonts w:asciiTheme="minorHAnsi" w:hAnsiTheme="minorHAnsi" w:cstheme="minorHAnsi"/>
          <w:sz w:val="22"/>
          <w:szCs w:val="22"/>
        </w:rPr>
        <w:t xml:space="preserve">. </w:t>
      </w:r>
    </w:p>
    <w:p w14:paraId="5D524748" w14:textId="77777777" w:rsidR="006B0050" w:rsidRDefault="006B0050" w:rsidP="006B0050">
      <w:pPr>
        <w:pStyle w:val="BodyText"/>
        <w:rPr>
          <w:rFonts w:asciiTheme="minorHAnsi" w:hAnsiTheme="minorHAnsi" w:cstheme="minorHAnsi"/>
          <w:sz w:val="22"/>
          <w:szCs w:val="22"/>
        </w:rPr>
      </w:pPr>
    </w:p>
    <w:p w14:paraId="3885731E" w14:textId="77777777" w:rsidR="006B0050" w:rsidRDefault="006B0050" w:rsidP="006B0050">
      <w:pPr>
        <w:pStyle w:val="BodyText"/>
        <w:rPr>
          <w:rFonts w:asciiTheme="minorHAnsi" w:hAnsiTheme="minorHAnsi" w:cstheme="minorHAnsi"/>
          <w:sz w:val="22"/>
          <w:szCs w:val="22"/>
        </w:rPr>
      </w:pPr>
      <w:r w:rsidRPr="005B4F52">
        <w:rPr>
          <w:rFonts w:asciiTheme="minorHAnsi" w:hAnsiTheme="minorHAnsi" w:cstheme="minorHAnsi"/>
          <w:sz w:val="22"/>
          <w:szCs w:val="22"/>
        </w:rPr>
        <w:t>The tone in which Cave approaches this issue is not one of condemnation of, nor support for the C.O.s controlled by the Brace committee. Rather, Cave maintains a matter-of-fact approach as to the potential impacts of prolonged control over the C.O..  Throughout the memorandum, the main focus of his concern is the potential impact of a parliamentary decision being made by the C.O.s themselves. If the number of objectors choosing to abscond from their position was to rise further, governmental control of the situation would be severely diminished and, considering the mood of wider society regarding C.O.s,</w:t>
      </w:r>
      <w:r>
        <w:rPr>
          <w:rFonts w:asciiTheme="minorHAnsi" w:hAnsiTheme="minorHAnsi" w:cstheme="minorHAnsi"/>
          <w:sz w:val="22"/>
          <w:szCs w:val="22"/>
        </w:rPr>
        <w:t xml:space="preserve"> could</w:t>
      </w:r>
      <w:r w:rsidRPr="005B4F52">
        <w:rPr>
          <w:rFonts w:asciiTheme="minorHAnsi" w:hAnsiTheme="minorHAnsi" w:cstheme="minorHAnsi"/>
          <w:sz w:val="22"/>
          <w:szCs w:val="22"/>
        </w:rPr>
        <w:t xml:space="preserve"> shed a negative light on the institution itself. Cave voices a belief in a planned, large scale abscondment of objectors in Dartmoor’s ‘work centre’ following the desertion of 30 men. Though these men were recalled by the army, Cave uses this example as a key demonstration of the need for a fast parliamentary decision to be made regarding the fate of these </w:t>
      </w:r>
      <w:proofErr w:type="spellStart"/>
      <w:r w:rsidRPr="005B4F52">
        <w:rPr>
          <w:rFonts w:asciiTheme="minorHAnsi" w:hAnsiTheme="minorHAnsi" w:cstheme="minorHAnsi"/>
          <w:sz w:val="22"/>
          <w:szCs w:val="22"/>
        </w:rPr>
        <w:t>C.O.s.</w:t>
      </w:r>
      <w:proofErr w:type="spellEnd"/>
      <w:r w:rsidRPr="005B4F52">
        <w:rPr>
          <w:rFonts w:asciiTheme="minorHAnsi" w:hAnsiTheme="minorHAnsi" w:cstheme="minorHAnsi"/>
          <w:sz w:val="22"/>
          <w:szCs w:val="22"/>
        </w:rPr>
        <w:t xml:space="preserve"> His emphasis on this point infers both that the willingness of C.O.s to comply with the Home office Scheme was dwindling, and that there was some degree of concern as to the impact that wider reactions </w:t>
      </w:r>
      <w:r>
        <w:rPr>
          <w:rFonts w:asciiTheme="minorHAnsi" w:hAnsiTheme="minorHAnsi" w:cstheme="minorHAnsi"/>
          <w:sz w:val="22"/>
          <w:szCs w:val="22"/>
        </w:rPr>
        <w:t xml:space="preserve">of the public </w:t>
      </w:r>
      <w:r w:rsidRPr="005B4F52">
        <w:rPr>
          <w:rFonts w:asciiTheme="minorHAnsi" w:hAnsiTheme="minorHAnsi" w:cstheme="minorHAnsi"/>
          <w:sz w:val="22"/>
          <w:szCs w:val="22"/>
        </w:rPr>
        <w:t xml:space="preserve">may have on the situation. </w:t>
      </w:r>
    </w:p>
    <w:p w14:paraId="729E1731" w14:textId="77777777" w:rsidR="006B0050" w:rsidRPr="005B4F52" w:rsidRDefault="006B0050" w:rsidP="006B0050">
      <w:pPr>
        <w:pStyle w:val="BodyText"/>
        <w:rPr>
          <w:rFonts w:asciiTheme="minorHAnsi" w:hAnsiTheme="minorHAnsi" w:cstheme="minorHAnsi"/>
          <w:sz w:val="22"/>
          <w:szCs w:val="22"/>
        </w:rPr>
      </w:pPr>
    </w:p>
    <w:p w14:paraId="35ECB613" w14:textId="77777777" w:rsidR="006B0050" w:rsidRDefault="006B0050" w:rsidP="006B0050">
      <w:pPr>
        <w:pStyle w:val="BodyText"/>
        <w:rPr>
          <w:rFonts w:asciiTheme="minorHAnsi" w:hAnsiTheme="minorHAnsi" w:cstheme="minorHAnsi"/>
          <w:sz w:val="22"/>
          <w:szCs w:val="22"/>
        </w:rPr>
      </w:pPr>
      <w:r w:rsidRPr="005B4F52">
        <w:rPr>
          <w:rFonts w:asciiTheme="minorHAnsi" w:hAnsiTheme="minorHAnsi" w:cstheme="minorHAnsi"/>
          <w:sz w:val="22"/>
          <w:szCs w:val="22"/>
        </w:rPr>
        <w:t>The level of anti-pacifist feeling in Britain during this period underwent a steady rise until its levelling in the interwar period, when attitudes towards conscientious objection enjoyed a degree of reconsideration. Before this levelling however, the general social feeling was of opposition to the idea of a C.O. gaining any advantage over a returning soldier in terms of work prospects or simply entering back into civilian life. This is reflected in the considerations that are advised by Cave, especially with regards to the release of those absolutists who remained in jail after court martial.</w:t>
      </w:r>
      <w:r>
        <w:rPr>
          <w:rFonts w:asciiTheme="minorHAnsi" w:hAnsiTheme="minorHAnsi" w:cstheme="minorHAnsi"/>
          <w:sz w:val="22"/>
          <w:szCs w:val="22"/>
        </w:rPr>
        <w:t xml:space="preserve"> The commonly held belief that C.O.s were lazy or shirking their duty to country, as demonstrated in many examples of propaganda at the time, contributed to the belief that to let them return to civilian life before the soldiers they chose not to support was unacceptable. </w:t>
      </w:r>
    </w:p>
    <w:p w14:paraId="5511D9BB" w14:textId="77777777" w:rsidR="006B0050" w:rsidRPr="006672EB" w:rsidRDefault="006B0050" w:rsidP="006B0050">
      <w:pPr>
        <w:pStyle w:val="BodyText"/>
        <w:ind w:firstLine="720"/>
        <w:rPr>
          <w:rFonts w:asciiTheme="minorHAnsi" w:hAnsiTheme="minorHAnsi" w:cstheme="minorHAnsi"/>
          <w:sz w:val="22"/>
          <w:szCs w:val="22"/>
        </w:rPr>
      </w:pPr>
      <w:r>
        <w:rPr>
          <w:rFonts w:asciiTheme="minorHAnsi" w:hAnsiTheme="minorHAnsi" w:cstheme="minorHAnsi"/>
          <w:sz w:val="22"/>
          <w:szCs w:val="22"/>
        </w:rPr>
        <w:t xml:space="preserve">This document does imply, however, that opposition to the C.O. cause was not a universal feeling. A second factor that Cave urges consideration of is the calls for complete amnesty originating </w:t>
      </w:r>
      <w:r>
        <w:rPr>
          <w:rFonts w:asciiTheme="minorHAnsi" w:hAnsiTheme="minorHAnsi" w:cstheme="minorHAnsi"/>
          <w:sz w:val="22"/>
          <w:szCs w:val="22"/>
        </w:rPr>
        <w:lastRenderedPageBreak/>
        <w:t>from the Liberal and Labour wings in parliament. From the time of the introduction of conscriptions, opposition within parliament to forcing men into uniform was strong amongst those who held the voluntarist line</w:t>
      </w:r>
      <w:r>
        <w:rPr>
          <w:rStyle w:val="FootnoteReference"/>
          <w:rFonts w:asciiTheme="minorHAnsi" w:hAnsiTheme="minorHAnsi" w:cstheme="minorHAnsi"/>
          <w:sz w:val="22"/>
          <w:szCs w:val="22"/>
        </w:rPr>
        <w:footnoteReference w:id="3"/>
      </w:r>
      <w:r>
        <w:rPr>
          <w:rFonts w:asciiTheme="minorHAnsi" w:hAnsiTheme="minorHAnsi" w:cstheme="minorHAnsi"/>
          <w:sz w:val="22"/>
          <w:szCs w:val="22"/>
        </w:rPr>
        <w:t>. Indeed, although Asquith eventually conceded and introduced a conscription bill, there is evidence of his making numerous efforts to keep the transition as fair as possible. Much to the amusement of many members of parliament, when the Military Service Act was read it also contained an added conscientious clause</w:t>
      </w:r>
      <w:r>
        <w:rPr>
          <w:rStyle w:val="FootnoteReference"/>
          <w:rFonts w:asciiTheme="minorHAnsi" w:hAnsiTheme="minorHAnsi" w:cstheme="minorHAnsi"/>
          <w:sz w:val="22"/>
          <w:szCs w:val="22"/>
        </w:rPr>
        <w:footnoteReference w:id="4"/>
      </w:r>
      <w:r>
        <w:rPr>
          <w:rFonts w:asciiTheme="minorHAnsi" w:hAnsiTheme="minorHAnsi" w:cstheme="minorHAnsi"/>
          <w:sz w:val="22"/>
          <w:szCs w:val="22"/>
        </w:rPr>
        <w:t xml:space="preserve">. Despite the implied nonchalant attitude about the fate the C.O.s (beyond wanting them dealt with) within parliament, the fact that Cave feels it is necessary to advise consideration of the demands of liberal suggests that opposition to conscription had diminished very little.  </w:t>
      </w:r>
    </w:p>
    <w:p w14:paraId="28DACB2E" w14:textId="77777777"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ab/>
      </w:r>
    </w:p>
    <w:p w14:paraId="6CB15AEE" w14:textId="77777777"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The level of indifference with which Cave speaks about the case of the C.O. conveys a sense of his only having interest in the easiest way to deal with the objectors, rather than any genuine concern for the rights and/or treatment of the individuals. The wording Cave uses within this document, hand in hand with this matter-of-fact tone, also showcases the idea of the government simply wanting the issue of the conscientious objector to be dealt with and pushed aside. After detailing the factors for consideration, Cave goes onto discuss the main ‘justification’ for restrictions placed on C.O.s as being intended to prevent others following their example in not aiding the war effort. Such a statement is heavily supportive of the idea that the war cabinet created the Home Office Scheme as a way of occupying objectors to prevent their becoming too big of an oppositionary force. This would not be difficult to believe, and the idea is supported by the fact that efforts had already been made to silence opposition with the introduction of the Defence of the Realm Act of 1914</w:t>
      </w:r>
      <w:r>
        <w:rPr>
          <w:rStyle w:val="FootnoteReference"/>
          <w:rFonts w:asciiTheme="minorHAnsi" w:hAnsiTheme="minorHAnsi" w:cstheme="minorHAnsi"/>
          <w:sz w:val="22"/>
          <w:szCs w:val="22"/>
        </w:rPr>
        <w:footnoteReference w:id="5"/>
      </w:r>
      <w:r>
        <w:rPr>
          <w:rFonts w:asciiTheme="minorHAnsi" w:hAnsiTheme="minorHAnsi" w:cstheme="minorHAnsi"/>
          <w:sz w:val="22"/>
          <w:szCs w:val="22"/>
        </w:rPr>
        <w:t>. The fact that, from the very beginning of the war, a parliamentary bill had been introduced that made expressing anti-war sentiments publicly illegal shows the eagerness of the government to silence potential criticism.</w:t>
      </w:r>
    </w:p>
    <w:p w14:paraId="6AFA57A4" w14:textId="77777777" w:rsidR="006B0050" w:rsidRDefault="006B0050" w:rsidP="006B0050">
      <w:pPr>
        <w:pStyle w:val="BodyText"/>
        <w:ind w:firstLine="720"/>
        <w:rPr>
          <w:rFonts w:asciiTheme="minorHAnsi" w:hAnsiTheme="minorHAnsi" w:cstheme="minorHAnsi"/>
          <w:sz w:val="22"/>
          <w:szCs w:val="22"/>
        </w:rPr>
      </w:pPr>
      <w:r>
        <w:rPr>
          <w:rFonts w:asciiTheme="minorHAnsi" w:hAnsiTheme="minorHAnsi" w:cstheme="minorHAnsi"/>
          <w:sz w:val="22"/>
          <w:szCs w:val="22"/>
        </w:rPr>
        <w:t xml:space="preserve"> In bringing this ‘main justification’ to the front of the issues raised in this memorandum, Cave highlights the importance of having a reason to actively control the location and behaviour of </w:t>
      </w:r>
      <w:proofErr w:type="spellStart"/>
      <w:r>
        <w:rPr>
          <w:rFonts w:asciiTheme="minorHAnsi" w:hAnsiTheme="minorHAnsi" w:cstheme="minorHAnsi"/>
          <w:sz w:val="22"/>
          <w:szCs w:val="22"/>
        </w:rPr>
        <w:t>C.O.s.</w:t>
      </w:r>
      <w:proofErr w:type="spellEnd"/>
      <w:r>
        <w:rPr>
          <w:rFonts w:asciiTheme="minorHAnsi" w:hAnsiTheme="minorHAnsi" w:cstheme="minorHAnsi"/>
          <w:sz w:val="22"/>
          <w:szCs w:val="22"/>
        </w:rPr>
        <w:t xml:space="preserve"> As obvious as that may sound, its importance cannot be understated. Now that the previous justification “no longer exists”, they no longer have reason to contain objectors and the urgency placed on dealing with them quickly demonstrates this. From here it is not particularly farfetched to assume that this is a primary cause for the perceived reduction in the willingness of C.O.s to abide by the Home Office Scheme. Taking the overall tone of the document into consideration once again, it's safe to assume that there were at the very least </w:t>
      </w:r>
      <w:r>
        <w:rPr>
          <w:rFonts w:asciiTheme="minorHAnsi" w:hAnsiTheme="minorHAnsi" w:cstheme="minorHAnsi"/>
          <w:i/>
          <w:iCs/>
          <w:sz w:val="22"/>
          <w:szCs w:val="22"/>
        </w:rPr>
        <w:t>some</w:t>
      </w:r>
      <w:r>
        <w:rPr>
          <w:rFonts w:asciiTheme="minorHAnsi" w:hAnsiTheme="minorHAnsi" w:cstheme="minorHAnsi"/>
          <w:sz w:val="22"/>
          <w:szCs w:val="22"/>
        </w:rPr>
        <w:t xml:space="preserve"> members of the W.C. who don’t view the plight of the O.C. as moral or immoral, merely a nuisance to be safely contained. </w:t>
      </w:r>
    </w:p>
    <w:p w14:paraId="21012019" w14:textId="77777777" w:rsidR="006B0050" w:rsidRDefault="006B0050" w:rsidP="006B0050">
      <w:pPr>
        <w:pStyle w:val="BodyText"/>
        <w:rPr>
          <w:rFonts w:asciiTheme="minorHAnsi" w:hAnsiTheme="minorHAnsi" w:cstheme="minorHAnsi"/>
          <w:sz w:val="22"/>
          <w:szCs w:val="22"/>
        </w:rPr>
      </w:pPr>
    </w:p>
    <w:p w14:paraId="433919C0" w14:textId="77777777" w:rsidR="006B0050" w:rsidRDefault="006B0050" w:rsidP="006B0050">
      <w:pPr>
        <w:pStyle w:val="BodyText"/>
        <w:rPr>
          <w:rFonts w:asciiTheme="minorHAnsi" w:hAnsiTheme="minorHAnsi" w:cstheme="minorHAnsi"/>
          <w:sz w:val="22"/>
          <w:szCs w:val="22"/>
        </w:rPr>
      </w:pPr>
      <w:r>
        <w:rPr>
          <w:rFonts w:asciiTheme="minorHAnsi" w:hAnsiTheme="minorHAnsi" w:cstheme="minorHAnsi"/>
          <w:sz w:val="22"/>
          <w:szCs w:val="22"/>
        </w:rPr>
        <w:t>The basic assumption made by Cave in this memorandum is that the issue of C.O.s needed to be dealt with quickly to prevent social unrest among those dissenters employed through governmental schemes. As previously mentioned, the overall attitude of the document implies lack of sympathy for these C.O.s and a relatively high level of social opposition to their being allowed early release. These sentiments are echoed and supported by a previous report, chaired by cave, in which the request of Asquith to have the cases of absolutist C.O.s is discussed</w:t>
      </w:r>
      <w:r>
        <w:rPr>
          <w:rStyle w:val="FootnoteReference"/>
          <w:rFonts w:asciiTheme="minorHAnsi" w:hAnsiTheme="minorHAnsi" w:cstheme="minorHAnsi"/>
          <w:sz w:val="22"/>
          <w:szCs w:val="22"/>
        </w:rPr>
        <w:footnoteReference w:id="6"/>
      </w:r>
      <w:r>
        <w:rPr>
          <w:rFonts w:asciiTheme="minorHAnsi" w:hAnsiTheme="minorHAnsi" w:cstheme="minorHAnsi"/>
          <w:sz w:val="22"/>
          <w:szCs w:val="22"/>
        </w:rPr>
        <w:t xml:space="preserve">. </w:t>
      </w:r>
      <w:proofErr w:type="gramStart"/>
      <w:r>
        <w:rPr>
          <w:rFonts w:asciiTheme="minorHAnsi" w:hAnsiTheme="minorHAnsi" w:cstheme="minorHAnsi"/>
          <w:sz w:val="22"/>
          <w:szCs w:val="22"/>
        </w:rPr>
        <w:t>Similarly</w:t>
      </w:r>
      <w:proofErr w:type="gramEnd"/>
      <w:r>
        <w:rPr>
          <w:rFonts w:asciiTheme="minorHAnsi" w:hAnsiTheme="minorHAnsi" w:cstheme="minorHAnsi"/>
          <w:sz w:val="22"/>
          <w:szCs w:val="22"/>
        </w:rPr>
        <w:t xml:space="preserve"> to this memorandum, there are numerous implications of objectors ‘shirking’ their duty and a clear distaste for the idea of giving any C.O. “indulgences” that might otherwise encourage people to take up a similar position in opposing the war.  As these sentiments are echoed and show little alteration, credibility is leant to the reliability </w:t>
      </w:r>
      <w:r>
        <w:rPr>
          <w:rFonts w:asciiTheme="minorHAnsi" w:hAnsiTheme="minorHAnsi" w:cstheme="minorHAnsi"/>
          <w:sz w:val="22"/>
          <w:szCs w:val="22"/>
        </w:rPr>
        <w:lastRenderedPageBreak/>
        <w:t xml:space="preserve">of this source for understanding the particular views and perceptions of Cave and, to a moderate extent, Lloyd George’s War cabinet. </w:t>
      </w:r>
    </w:p>
    <w:p w14:paraId="009DBD36" w14:textId="77777777" w:rsidR="006B0050" w:rsidRDefault="006B0050" w:rsidP="006B0050">
      <w:pPr>
        <w:pStyle w:val="BodyText"/>
        <w:rPr>
          <w:rFonts w:asciiTheme="minorHAnsi" w:hAnsiTheme="minorHAnsi" w:cstheme="minorHAnsi"/>
          <w:sz w:val="22"/>
          <w:szCs w:val="22"/>
        </w:rPr>
      </w:pPr>
    </w:p>
    <w:p w14:paraId="574621FB" w14:textId="77777777" w:rsidR="006B0050" w:rsidRPr="006B0050" w:rsidRDefault="006B0050">
      <w:pPr>
        <w:rPr>
          <w:b/>
          <w:bCs/>
          <w:u w:val="single"/>
        </w:rPr>
      </w:pPr>
    </w:p>
    <w:sectPr w:rsidR="006B0050" w:rsidRPr="006B00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6819D" w14:textId="77777777" w:rsidR="006B0050" w:rsidRDefault="006B0050" w:rsidP="006B0050">
      <w:pPr>
        <w:spacing w:after="0" w:line="240" w:lineRule="auto"/>
      </w:pPr>
      <w:r>
        <w:separator/>
      </w:r>
    </w:p>
  </w:endnote>
  <w:endnote w:type="continuationSeparator" w:id="0">
    <w:p w14:paraId="17DE1FF2" w14:textId="77777777" w:rsidR="006B0050" w:rsidRDefault="006B0050" w:rsidP="006B0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41D00" w14:textId="77777777" w:rsidR="006B0050" w:rsidRDefault="006B0050" w:rsidP="006B0050">
      <w:pPr>
        <w:spacing w:after="0" w:line="240" w:lineRule="auto"/>
      </w:pPr>
      <w:r>
        <w:separator/>
      </w:r>
    </w:p>
  </w:footnote>
  <w:footnote w:type="continuationSeparator" w:id="0">
    <w:p w14:paraId="4327ECFD" w14:textId="77777777" w:rsidR="006B0050" w:rsidRDefault="006B0050" w:rsidP="006B0050">
      <w:pPr>
        <w:spacing w:after="0" w:line="240" w:lineRule="auto"/>
      </w:pPr>
      <w:r>
        <w:continuationSeparator/>
      </w:r>
    </w:p>
  </w:footnote>
  <w:footnote w:id="1">
    <w:p w14:paraId="3E7067A8" w14:textId="77777777" w:rsidR="006B0050" w:rsidRPr="00D66757" w:rsidRDefault="006B0050" w:rsidP="006B0050">
      <w:pPr>
        <w:pStyle w:val="FootnoteText"/>
        <w:rPr>
          <w:rFonts w:asciiTheme="minorHAnsi" w:hAnsiTheme="minorHAnsi" w:cstheme="minorHAnsi"/>
          <w:i/>
          <w:iCs/>
        </w:rPr>
      </w:pPr>
      <w:r w:rsidRPr="00D66757">
        <w:rPr>
          <w:rStyle w:val="FootnoteReference"/>
          <w:rFonts w:asciiTheme="minorHAnsi" w:hAnsiTheme="minorHAnsi" w:cstheme="minorHAnsi"/>
        </w:rPr>
        <w:footnoteRef/>
      </w:r>
      <w:r w:rsidRPr="00D66757">
        <w:rPr>
          <w:rFonts w:asciiTheme="minorHAnsi" w:hAnsiTheme="minorHAnsi" w:cstheme="minorHAnsi"/>
        </w:rPr>
        <w:t xml:space="preserve"> </w:t>
      </w:r>
      <w:proofErr w:type="spellStart"/>
      <w:proofErr w:type="gramStart"/>
      <w:r w:rsidRPr="00D66757">
        <w:rPr>
          <w:rFonts w:asciiTheme="minorHAnsi" w:hAnsiTheme="minorHAnsi" w:cstheme="minorHAnsi"/>
        </w:rPr>
        <w:t>Authorities,‘</w:t>
      </w:r>
      <w:proofErr w:type="gramEnd"/>
      <w:r w:rsidRPr="00D66757">
        <w:rPr>
          <w:rFonts w:asciiTheme="minorHAnsi" w:hAnsiTheme="minorHAnsi" w:cstheme="minorHAnsi"/>
        </w:rPr>
        <w:t>Crown</w:t>
      </w:r>
      <w:proofErr w:type="spellEnd"/>
      <w:r w:rsidRPr="00D66757">
        <w:rPr>
          <w:rFonts w:asciiTheme="minorHAnsi" w:hAnsiTheme="minorHAnsi" w:cstheme="minorHAnsi"/>
        </w:rPr>
        <w:t xml:space="preserve"> Office ’ </w:t>
      </w:r>
      <w:r w:rsidRPr="00D66757">
        <w:rPr>
          <w:rFonts w:asciiTheme="minorHAnsi" w:hAnsiTheme="minorHAnsi" w:cstheme="minorHAnsi"/>
          <w:i/>
          <w:iCs/>
        </w:rPr>
        <w:t>The London Gazette, 9 November 1915, p.11043</w:t>
      </w:r>
    </w:p>
  </w:footnote>
  <w:footnote w:id="2">
    <w:p w14:paraId="794563DB" w14:textId="77777777" w:rsidR="006B0050" w:rsidRPr="00D66757" w:rsidRDefault="006B0050" w:rsidP="006B0050">
      <w:pPr>
        <w:pStyle w:val="FootnoteText"/>
        <w:rPr>
          <w:rFonts w:asciiTheme="minorHAnsi" w:hAnsiTheme="minorHAnsi" w:cstheme="minorHAnsi"/>
        </w:rPr>
      </w:pPr>
      <w:r w:rsidRPr="00D66757">
        <w:rPr>
          <w:rStyle w:val="FootnoteReference"/>
          <w:rFonts w:asciiTheme="minorHAnsi" w:hAnsiTheme="minorHAnsi" w:cstheme="minorHAnsi"/>
        </w:rPr>
        <w:footnoteRef/>
      </w:r>
      <w:r w:rsidRPr="00D66757">
        <w:rPr>
          <w:rFonts w:asciiTheme="minorHAnsi" w:hAnsiTheme="minorHAnsi" w:cstheme="minorHAnsi"/>
        </w:rPr>
        <w:t xml:space="preserve"> London, National Archives, CAB 23-8, WC </w:t>
      </w:r>
      <w:proofErr w:type="gramStart"/>
      <w:r w:rsidRPr="00D66757">
        <w:rPr>
          <w:rFonts w:asciiTheme="minorHAnsi" w:hAnsiTheme="minorHAnsi" w:cstheme="minorHAnsi"/>
        </w:rPr>
        <w:t>504,&lt;</w:t>
      </w:r>
      <w:proofErr w:type="gramEnd"/>
      <w:r w:rsidRPr="00D66757">
        <w:rPr>
          <w:rFonts w:asciiTheme="minorHAnsi" w:hAnsiTheme="minorHAnsi" w:cstheme="minorHAnsi"/>
        </w:rPr>
        <w:t xml:space="preserve"> </w:t>
      </w:r>
      <w:hyperlink r:id="rId1" w:history="1">
        <w:r w:rsidRPr="00D66757">
          <w:rPr>
            <w:rStyle w:val="Hyperlink"/>
            <w:rFonts w:asciiTheme="minorHAnsi" w:hAnsiTheme="minorHAnsi" w:cstheme="minorHAnsi"/>
          </w:rPr>
          <w:t>http://filestore.nationalarchives.gov.uk/pdfs/large/cab-23-8.pdf</w:t>
        </w:r>
      </w:hyperlink>
      <w:r w:rsidRPr="00D66757">
        <w:rPr>
          <w:rFonts w:asciiTheme="minorHAnsi" w:hAnsiTheme="minorHAnsi" w:cstheme="minorHAnsi"/>
        </w:rPr>
        <w:t xml:space="preserve"> &gt;</w:t>
      </w:r>
    </w:p>
  </w:footnote>
  <w:footnote w:id="3">
    <w:p w14:paraId="7614CD54" w14:textId="77777777" w:rsidR="006B0050" w:rsidRPr="00D66757" w:rsidRDefault="006B0050" w:rsidP="006B0050">
      <w:pPr>
        <w:pStyle w:val="FootnoteText"/>
        <w:rPr>
          <w:rFonts w:asciiTheme="minorHAnsi" w:hAnsiTheme="minorHAnsi" w:cstheme="minorHAnsi"/>
        </w:rPr>
      </w:pPr>
      <w:r w:rsidRPr="00D66757">
        <w:rPr>
          <w:rStyle w:val="FootnoteReference"/>
          <w:rFonts w:asciiTheme="minorHAnsi" w:hAnsiTheme="minorHAnsi" w:cstheme="minorHAnsi"/>
        </w:rPr>
        <w:footnoteRef/>
      </w:r>
      <w:r w:rsidRPr="00D66757">
        <w:rPr>
          <w:rFonts w:asciiTheme="minorHAnsi" w:hAnsiTheme="minorHAnsi" w:cstheme="minorHAnsi"/>
        </w:rPr>
        <w:t xml:space="preserve"> R. J. Q. Adams, ‘Asquith’s Choice: The May Coalition and the Coming of Conscription’, </w:t>
      </w:r>
      <w:r w:rsidRPr="00D66757">
        <w:rPr>
          <w:rFonts w:asciiTheme="minorHAnsi" w:hAnsiTheme="minorHAnsi" w:cstheme="minorHAnsi"/>
          <w:i/>
          <w:iCs/>
        </w:rPr>
        <w:t xml:space="preserve">Journal of British Studies, </w:t>
      </w:r>
      <w:r w:rsidRPr="00D66757">
        <w:rPr>
          <w:rFonts w:asciiTheme="minorHAnsi" w:hAnsiTheme="minorHAnsi" w:cstheme="minorHAnsi"/>
        </w:rPr>
        <w:t>23(1986), 243-263</w:t>
      </w:r>
    </w:p>
  </w:footnote>
  <w:footnote w:id="4">
    <w:p w14:paraId="17160AA0" w14:textId="77777777" w:rsidR="006B0050" w:rsidRPr="00D66757" w:rsidRDefault="006B0050" w:rsidP="006B0050">
      <w:pPr>
        <w:pStyle w:val="FootnoteText"/>
        <w:rPr>
          <w:rFonts w:asciiTheme="minorHAnsi" w:hAnsiTheme="minorHAnsi" w:cstheme="minorHAnsi"/>
        </w:rPr>
      </w:pPr>
      <w:r w:rsidRPr="00D66757">
        <w:rPr>
          <w:rStyle w:val="FootnoteReference"/>
          <w:rFonts w:asciiTheme="minorHAnsi" w:hAnsiTheme="minorHAnsi" w:cstheme="minorHAnsi"/>
        </w:rPr>
        <w:footnoteRef/>
      </w:r>
      <w:r w:rsidRPr="00D66757">
        <w:rPr>
          <w:rFonts w:asciiTheme="minorHAnsi" w:hAnsiTheme="minorHAnsi" w:cstheme="minorHAnsi"/>
        </w:rPr>
        <w:t xml:space="preserve"> R. J. Q. Adams, ‘Asquith’s Choice: The May Coalition and the Coming of Conscription’, </w:t>
      </w:r>
      <w:r w:rsidRPr="00D66757">
        <w:rPr>
          <w:rFonts w:asciiTheme="minorHAnsi" w:hAnsiTheme="minorHAnsi" w:cstheme="minorHAnsi"/>
          <w:i/>
          <w:iCs/>
        </w:rPr>
        <w:t xml:space="preserve">Journal of British Studies, </w:t>
      </w:r>
      <w:r w:rsidRPr="00D66757">
        <w:rPr>
          <w:rFonts w:asciiTheme="minorHAnsi" w:hAnsiTheme="minorHAnsi" w:cstheme="minorHAnsi"/>
        </w:rPr>
        <w:t>23(1986), 243-263(p. 246)</w:t>
      </w:r>
    </w:p>
  </w:footnote>
  <w:footnote w:id="5">
    <w:p w14:paraId="43A26063" w14:textId="77777777" w:rsidR="006B0050" w:rsidRPr="00D66757" w:rsidRDefault="006B0050" w:rsidP="006B0050">
      <w:pPr>
        <w:pStyle w:val="FootnoteText"/>
        <w:rPr>
          <w:rFonts w:asciiTheme="minorHAnsi" w:hAnsiTheme="minorHAnsi" w:cstheme="minorHAnsi"/>
        </w:rPr>
      </w:pPr>
      <w:r w:rsidRPr="00D66757">
        <w:rPr>
          <w:rStyle w:val="FootnoteReference"/>
          <w:rFonts w:asciiTheme="minorHAnsi" w:hAnsiTheme="minorHAnsi" w:cstheme="minorHAnsi"/>
        </w:rPr>
        <w:footnoteRef/>
      </w:r>
      <w:r w:rsidRPr="00D66757">
        <w:rPr>
          <w:rFonts w:asciiTheme="minorHAnsi" w:hAnsiTheme="minorHAnsi" w:cstheme="minorHAnsi"/>
        </w:rPr>
        <w:t xml:space="preserve"> ‘Defence of the Realm Act’, </w:t>
      </w:r>
      <w:r w:rsidRPr="00D66757">
        <w:rPr>
          <w:rFonts w:asciiTheme="minorHAnsi" w:hAnsiTheme="minorHAnsi" w:cstheme="minorHAnsi"/>
          <w:i/>
          <w:iCs/>
        </w:rPr>
        <w:t>UK Parliament, (2022)</w:t>
      </w:r>
      <w:r w:rsidRPr="00D66757">
        <w:rPr>
          <w:rFonts w:asciiTheme="minorHAnsi" w:hAnsiTheme="minorHAnsi" w:cstheme="minorHAnsi"/>
        </w:rPr>
        <w:t xml:space="preserve">&lt; </w:t>
      </w:r>
      <w:hyperlink r:id="rId2" w:anchor=":~:text=Four%20days%20after%20war%20with,the%20security%20of%20the%20nation" w:history="1">
        <w:r w:rsidRPr="00D66757">
          <w:rPr>
            <w:rStyle w:val="Hyperlink"/>
            <w:rFonts w:asciiTheme="minorHAnsi" w:hAnsiTheme="minorHAnsi" w:cstheme="minorHAnsi"/>
          </w:rPr>
          <w:t>https://www.parliament.uk/about/living-heritage/transformingsociety/private-lives/yourcountry/collections/the-outbreak-of-the-first-world-war/dora/#:~:text=Four%20days%20after%20war%20with,the%20security%20of%20the%20nation</w:t>
        </w:r>
      </w:hyperlink>
      <w:r w:rsidRPr="00D66757">
        <w:rPr>
          <w:rFonts w:asciiTheme="minorHAnsi" w:hAnsiTheme="minorHAnsi" w:cstheme="minorHAnsi"/>
        </w:rPr>
        <w:t>. &gt;</w:t>
      </w:r>
    </w:p>
  </w:footnote>
  <w:footnote w:id="6">
    <w:p w14:paraId="47587BA6" w14:textId="77777777" w:rsidR="006B0050" w:rsidRPr="00A97AC8" w:rsidRDefault="006B0050" w:rsidP="006B0050">
      <w:pPr>
        <w:pStyle w:val="FootnoteText"/>
        <w:rPr>
          <w:rFonts w:asciiTheme="minorHAnsi" w:hAnsiTheme="minorHAnsi" w:cstheme="minorHAnsi"/>
        </w:rPr>
      </w:pPr>
      <w:r w:rsidRPr="00D66757">
        <w:rPr>
          <w:rStyle w:val="FootnoteReference"/>
          <w:rFonts w:asciiTheme="minorHAnsi" w:hAnsiTheme="minorHAnsi" w:cstheme="minorHAnsi"/>
        </w:rPr>
        <w:footnoteRef/>
      </w:r>
      <w:r w:rsidRPr="00D66757">
        <w:rPr>
          <w:rFonts w:asciiTheme="minorHAnsi" w:hAnsiTheme="minorHAnsi" w:cstheme="minorHAnsi"/>
        </w:rPr>
        <w:t xml:space="preserve"> London, National Archives, CAB 24/29/21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050"/>
    <w:rsid w:val="006B0050"/>
    <w:rsid w:val="00E22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9A6F3"/>
  <w15:chartTrackingRefBased/>
  <w15:docId w15:val="{BB899261-1471-40CE-AFB6-82E19461B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050"/>
    <w:pPr>
      <w:ind w:left="720"/>
      <w:contextualSpacing/>
    </w:pPr>
  </w:style>
  <w:style w:type="paragraph" w:styleId="BodyText">
    <w:name w:val="Body Text"/>
    <w:basedOn w:val="Normal"/>
    <w:link w:val="BodyTextChar"/>
    <w:semiHidden/>
    <w:unhideWhenUsed/>
    <w:rsid w:val="006B0050"/>
    <w:pPr>
      <w:spacing w:after="0" w:line="240" w:lineRule="auto"/>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semiHidden/>
    <w:rsid w:val="006B0050"/>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6B0050"/>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semiHidden/>
    <w:rsid w:val="006B0050"/>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6B0050"/>
    <w:rPr>
      <w:vertAlign w:val="superscript"/>
    </w:rPr>
  </w:style>
  <w:style w:type="character" w:styleId="Hyperlink">
    <w:name w:val="Hyperlink"/>
    <w:basedOn w:val="DefaultParagraphFont"/>
    <w:uiPriority w:val="99"/>
    <w:unhideWhenUsed/>
    <w:rsid w:val="006B0050"/>
    <w:rPr>
      <w:color w:val="0563C1" w:themeColor="hyperlink"/>
      <w:u w:val="single"/>
    </w:rPr>
  </w:style>
  <w:style w:type="character" w:styleId="UnresolvedMention">
    <w:name w:val="Unresolved Mention"/>
    <w:basedOn w:val="DefaultParagraphFont"/>
    <w:uiPriority w:val="99"/>
    <w:semiHidden/>
    <w:unhideWhenUsed/>
    <w:rsid w:val="006B0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scovery.nationalarchives.gov.uk/details/r/D7732353#imageViewerLink"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www.parliament.uk/about/living-heritage/transformingsociety/private-lives/yourcountry/collections/the-outbreak-of-the-first-world-war/dora/" TargetMode="External"/><Relationship Id="rId1" Type="http://schemas.openxmlformats.org/officeDocument/2006/relationships/hyperlink" Target="http://filestore.nationalarchives.gov.uk/pdfs/large/cab-23-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2377</Words>
  <Characters>12033</Characters>
  <Application>Microsoft Office Word</Application>
  <DocSecurity>0</DocSecurity>
  <Lines>179</Lines>
  <Paragraphs>18</Paragraphs>
  <ScaleCrop>false</ScaleCrop>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1</cp:revision>
  <dcterms:created xsi:type="dcterms:W3CDTF">2022-02-05T14:03:00Z</dcterms:created>
  <dcterms:modified xsi:type="dcterms:W3CDTF">2022-02-05T14:07:00Z</dcterms:modified>
</cp:coreProperties>
</file>