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CE0EE" w14:textId="77777777" w:rsidR="00722255" w:rsidRPr="009E6368" w:rsidRDefault="00AF39C0">
      <w:pPr>
        <w:jc w:val="center"/>
        <w:rPr>
          <w:rFonts w:ascii="Arial" w:hAnsi="Arial" w:cs="Arial"/>
          <w:b/>
          <w:bCs/>
          <w:sz w:val="24"/>
          <w:szCs w:val="24"/>
        </w:rPr>
      </w:pPr>
      <w:r w:rsidRPr="009E6368">
        <w:rPr>
          <w:rFonts w:ascii="Arial" w:hAnsi="Arial" w:cs="Arial"/>
          <w:b/>
          <w:bCs/>
          <w:sz w:val="24"/>
          <w:szCs w:val="24"/>
        </w:rPr>
        <w:t xml:space="preserve">MA Criminal Justice and Policing </w:t>
      </w:r>
    </w:p>
    <w:p w14:paraId="71DCE0EF" w14:textId="77777777" w:rsidR="00722255" w:rsidRPr="009E6368" w:rsidRDefault="00AF39C0">
      <w:pPr>
        <w:jc w:val="center"/>
        <w:rPr>
          <w:rFonts w:ascii="Arial" w:hAnsi="Arial" w:cs="Arial"/>
          <w:b/>
          <w:bCs/>
          <w:sz w:val="24"/>
          <w:szCs w:val="24"/>
        </w:rPr>
      </w:pPr>
      <w:r w:rsidRPr="009E6368">
        <w:rPr>
          <w:rFonts w:ascii="Arial" w:hAnsi="Arial" w:cs="Arial"/>
          <w:b/>
          <w:bCs/>
          <w:sz w:val="24"/>
          <w:szCs w:val="24"/>
        </w:rPr>
        <w:t>Dissertation proposal 2026</w:t>
      </w:r>
    </w:p>
    <w:p w14:paraId="71DCE0F0" w14:textId="77777777" w:rsidR="00722255" w:rsidRPr="009E6368" w:rsidRDefault="00AF39C0">
      <w:pPr>
        <w:jc w:val="center"/>
        <w:rPr>
          <w:rFonts w:ascii="Arial" w:hAnsi="Arial" w:cs="Arial"/>
          <w:b/>
          <w:bCs/>
          <w:sz w:val="24"/>
          <w:szCs w:val="24"/>
        </w:rPr>
      </w:pPr>
      <w:r w:rsidRPr="009E6368">
        <w:rPr>
          <w:rFonts w:ascii="Arial" w:hAnsi="Arial" w:cs="Arial"/>
          <w:b/>
          <w:bCs/>
          <w:sz w:val="24"/>
          <w:szCs w:val="24"/>
        </w:rPr>
        <w:t>BMCJ7009D</w:t>
      </w:r>
    </w:p>
    <w:p w14:paraId="71DCE0F1" w14:textId="53D28B31" w:rsidR="00722255" w:rsidRPr="009E6368" w:rsidRDefault="0082390E">
      <w:pPr>
        <w:jc w:val="center"/>
        <w:rPr>
          <w:rFonts w:ascii="Arial" w:hAnsi="Arial" w:cs="Arial"/>
          <w:sz w:val="24"/>
          <w:szCs w:val="24"/>
        </w:rPr>
      </w:pPr>
      <w:r>
        <w:rPr>
          <w:rFonts w:ascii="Arial" w:hAnsi="Arial" w:cs="Arial"/>
          <w:b/>
          <w:bCs/>
          <w:sz w:val="24"/>
          <w:szCs w:val="24"/>
        </w:rPr>
        <w:t xml:space="preserve">Dissertation title: </w:t>
      </w:r>
      <w:r w:rsidR="00AF39C0" w:rsidRPr="009E6368">
        <w:rPr>
          <w:rFonts w:ascii="Arial" w:hAnsi="Arial" w:cs="Arial"/>
          <w:b/>
          <w:bCs/>
          <w:sz w:val="24"/>
          <w:szCs w:val="24"/>
        </w:rPr>
        <w:t xml:space="preserve">To </w:t>
      </w:r>
      <w:r w:rsidR="00AD1839">
        <w:rPr>
          <w:rFonts w:ascii="Arial" w:hAnsi="Arial" w:cs="Arial"/>
          <w:b/>
          <w:bCs/>
          <w:sz w:val="24"/>
          <w:szCs w:val="24"/>
        </w:rPr>
        <w:t>w</w:t>
      </w:r>
      <w:r w:rsidR="00AF39C0" w:rsidRPr="009E6368">
        <w:rPr>
          <w:rFonts w:ascii="Arial" w:hAnsi="Arial" w:cs="Arial"/>
          <w:b/>
          <w:bCs/>
          <w:sz w:val="24"/>
          <w:szCs w:val="24"/>
        </w:rPr>
        <w:t xml:space="preserve">hat </w:t>
      </w:r>
      <w:r w:rsidR="00AD1839">
        <w:rPr>
          <w:rFonts w:ascii="Arial" w:hAnsi="Arial" w:cs="Arial"/>
          <w:b/>
          <w:bCs/>
          <w:sz w:val="24"/>
          <w:szCs w:val="24"/>
        </w:rPr>
        <w:t>e</w:t>
      </w:r>
      <w:r w:rsidR="00AF39C0" w:rsidRPr="009E6368">
        <w:rPr>
          <w:rFonts w:ascii="Arial" w:hAnsi="Arial" w:cs="Arial"/>
          <w:b/>
          <w:bCs/>
          <w:sz w:val="24"/>
          <w:szCs w:val="24"/>
        </w:rPr>
        <w:t xml:space="preserve">xtent </w:t>
      </w:r>
      <w:r w:rsidR="00AD1839">
        <w:rPr>
          <w:rFonts w:ascii="Arial" w:hAnsi="Arial" w:cs="Arial"/>
          <w:b/>
          <w:bCs/>
          <w:sz w:val="24"/>
          <w:szCs w:val="24"/>
        </w:rPr>
        <w:t>d</w:t>
      </w:r>
      <w:r w:rsidR="00AF39C0" w:rsidRPr="009E6368">
        <w:rPr>
          <w:rFonts w:ascii="Arial" w:hAnsi="Arial" w:cs="Arial"/>
          <w:b/>
          <w:bCs/>
          <w:sz w:val="24"/>
          <w:szCs w:val="24"/>
        </w:rPr>
        <w:t xml:space="preserve">oes </w:t>
      </w:r>
      <w:r w:rsidR="00AD1839">
        <w:rPr>
          <w:rFonts w:ascii="Arial" w:hAnsi="Arial" w:cs="Arial"/>
          <w:b/>
          <w:bCs/>
          <w:sz w:val="24"/>
          <w:szCs w:val="24"/>
        </w:rPr>
        <w:t>p</w:t>
      </w:r>
      <w:r w:rsidR="00AF39C0" w:rsidRPr="009E6368">
        <w:rPr>
          <w:rFonts w:ascii="Arial" w:hAnsi="Arial" w:cs="Arial"/>
          <w:b/>
          <w:bCs/>
          <w:sz w:val="24"/>
          <w:szCs w:val="24"/>
        </w:rPr>
        <w:t xml:space="preserve">rocedural </w:t>
      </w:r>
      <w:r w:rsidR="00AD1839">
        <w:rPr>
          <w:rFonts w:ascii="Arial" w:hAnsi="Arial" w:cs="Arial"/>
          <w:b/>
          <w:bCs/>
          <w:sz w:val="24"/>
          <w:szCs w:val="24"/>
        </w:rPr>
        <w:t>j</w:t>
      </w:r>
      <w:r w:rsidR="00AF39C0" w:rsidRPr="009E6368">
        <w:rPr>
          <w:rFonts w:ascii="Arial" w:hAnsi="Arial" w:cs="Arial"/>
          <w:b/>
          <w:bCs/>
          <w:sz w:val="24"/>
          <w:szCs w:val="24"/>
        </w:rPr>
        <w:t xml:space="preserve">ustice </w:t>
      </w:r>
      <w:r w:rsidR="00AD1839">
        <w:rPr>
          <w:rFonts w:ascii="Arial" w:hAnsi="Arial" w:cs="Arial"/>
          <w:b/>
          <w:bCs/>
          <w:sz w:val="24"/>
          <w:szCs w:val="24"/>
        </w:rPr>
        <w:t>i</w:t>
      </w:r>
      <w:r w:rsidR="00AF39C0" w:rsidRPr="009E6368">
        <w:rPr>
          <w:rFonts w:ascii="Arial" w:hAnsi="Arial" w:cs="Arial"/>
          <w:b/>
          <w:bCs/>
          <w:sz w:val="24"/>
          <w:szCs w:val="24"/>
        </w:rPr>
        <w:t xml:space="preserve">nfluence </w:t>
      </w:r>
      <w:r w:rsidR="00AD1839">
        <w:rPr>
          <w:rFonts w:ascii="Arial" w:hAnsi="Arial" w:cs="Arial"/>
          <w:b/>
          <w:bCs/>
          <w:sz w:val="24"/>
          <w:szCs w:val="24"/>
        </w:rPr>
        <w:t>p</w:t>
      </w:r>
      <w:r w:rsidR="00AF39C0" w:rsidRPr="009E6368">
        <w:rPr>
          <w:rFonts w:ascii="Arial" w:hAnsi="Arial" w:cs="Arial"/>
          <w:b/>
          <w:bCs/>
          <w:sz w:val="24"/>
          <w:szCs w:val="24"/>
        </w:rPr>
        <w:t xml:space="preserve">ublic </w:t>
      </w:r>
      <w:r w:rsidR="00AD1839">
        <w:rPr>
          <w:rFonts w:ascii="Arial" w:hAnsi="Arial" w:cs="Arial"/>
          <w:b/>
          <w:bCs/>
          <w:sz w:val="24"/>
          <w:szCs w:val="24"/>
        </w:rPr>
        <w:t>t</w:t>
      </w:r>
      <w:r w:rsidR="00AF39C0" w:rsidRPr="009E6368">
        <w:rPr>
          <w:rFonts w:ascii="Arial" w:hAnsi="Arial" w:cs="Arial"/>
          <w:b/>
          <w:bCs/>
          <w:sz w:val="24"/>
          <w:szCs w:val="24"/>
        </w:rPr>
        <w:t xml:space="preserve">rust and </w:t>
      </w:r>
      <w:r w:rsidR="00AD1839">
        <w:rPr>
          <w:rFonts w:ascii="Arial" w:hAnsi="Arial" w:cs="Arial"/>
          <w:b/>
          <w:bCs/>
          <w:sz w:val="24"/>
          <w:szCs w:val="24"/>
        </w:rPr>
        <w:t>p</w:t>
      </w:r>
      <w:r w:rsidR="00AF39C0" w:rsidRPr="009E6368">
        <w:rPr>
          <w:rFonts w:ascii="Arial" w:hAnsi="Arial" w:cs="Arial"/>
          <w:b/>
          <w:bCs/>
          <w:sz w:val="24"/>
          <w:szCs w:val="24"/>
        </w:rPr>
        <w:t xml:space="preserve">olice </w:t>
      </w:r>
      <w:r w:rsidR="00AD1839">
        <w:rPr>
          <w:rFonts w:ascii="Arial" w:hAnsi="Arial" w:cs="Arial"/>
          <w:b/>
          <w:bCs/>
          <w:sz w:val="24"/>
          <w:szCs w:val="24"/>
        </w:rPr>
        <w:t>l</w:t>
      </w:r>
      <w:r w:rsidR="00AF39C0" w:rsidRPr="009E6368">
        <w:rPr>
          <w:rFonts w:ascii="Arial" w:hAnsi="Arial" w:cs="Arial"/>
          <w:b/>
          <w:bCs/>
          <w:sz w:val="24"/>
          <w:szCs w:val="24"/>
        </w:rPr>
        <w:t xml:space="preserve">egitimacy in </w:t>
      </w:r>
      <w:r w:rsidR="00AD1839">
        <w:rPr>
          <w:rFonts w:ascii="Arial" w:hAnsi="Arial" w:cs="Arial"/>
          <w:b/>
          <w:bCs/>
          <w:sz w:val="24"/>
          <w:szCs w:val="24"/>
        </w:rPr>
        <w:t>E</w:t>
      </w:r>
      <w:r w:rsidR="00AF39C0" w:rsidRPr="009E6368">
        <w:rPr>
          <w:rFonts w:ascii="Arial" w:hAnsi="Arial" w:cs="Arial"/>
          <w:b/>
          <w:bCs/>
          <w:sz w:val="24"/>
          <w:szCs w:val="24"/>
        </w:rPr>
        <w:t>ngland and Wales?</w:t>
      </w:r>
    </w:p>
    <w:p w14:paraId="71DCE0F2" w14:textId="6B0EF7A2" w:rsidR="00722255" w:rsidRPr="009E6368" w:rsidRDefault="00AF39C0">
      <w:pPr>
        <w:rPr>
          <w:rFonts w:ascii="Arial" w:hAnsi="Arial" w:cs="Arial"/>
          <w:sz w:val="24"/>
          <w:szCs w:val="24"/>
        </w:rPr>
      </w:pPr>
      <w:r w:rsidRPr="009E6368">
        <w:rPr>
          <w:rFonts w:ascii="Arial" w:hAnsi="Arial" w:cs="Arial"/>
          <w:b/>
          <w:bCs/>
          <w:sz w:val="24"/>
          <w:szCs w:val="24"/>
        </w:rPr>
        <w:t>Student Name</w:t>
      </w:r>
      <w:r w:rsidRPr="009E6368">
        <w:rPr>
          <w:rFonts w:ascii="Arial" w:hAnsi="Arial" w:cs="Arial"/>
          <w:sz w:val="24"/>
          <w:szCs w:val="24"/>
        </w:rPr>
        <w:t>:</w:t>
      </w:r>
      <w:r w:rsidR="00010A49">
        <w:rPr>
          <w:rFonts w:ascii="Arial" w:hAnsi="Arial" w:cs="Arial"/>
          <w:sz w:val="24"/>
          <w:szCs w:val="24"/>
        </w:rPr>
        <w:t xml:space="preserve"> Sylwia Maciejewska</w:t>
      </w:r>
    </w:p>
    <w:p w14:paraId="71DCE0F3" w14:textId="225FA460" w:rsidR="00722255" w:rsidRPr="009E6368" w:rsidRDefault="00AF39C0">
      <w:pPr>
        <w:rPr>
          <w:rFonts w:ascii="Arial" w:hAnsi="Arial" w:cs="Arial"/>
          <w:sz w:val="24"/>
          <w:szCs w:val="24"/>
        </w:rPr>
      </w:pPr>
      <w:r w:rsidRPr="009E6368">
        <w:rPr>
          <w:rFonts w:ascii="Arial" w:hAnsi="Arial" w:cs="Arial"/>
          <w:b/>
          <w:bCs/>
          <w:sz w:val="24"/>
          <w:szCs w:val="24"/>
        </w:rPr>
        <w:t>Student Number</w:t>
      </w:r>
      <w:r w:rsidRPr="009E6368">
        <w:rPr>
          <w:rFonts w:ascii="Arial" w:hAnsi="Arial" w:cs="Arial"/>
          <w:sz w:val="24"/>
          <w:szCs w:val="24"/>
        </w:rPr>
        <w:t>:</w:t>
      </w:r>
      <w:r w:rsidR="00010A49">
        <w:rPr>
          <w:rFonts w:ascii="Arial" w:hAnsi="Arial" w:cs="Arial"/>
          <w:sz w:val="24"/>
          <w:szCs w:val="24"/>
        </w:rPr>
        <w:t xml:space="preserve"> 2130318</w:t>
      </w:r>
    </w:p>
    <w:p w14:paraId="71DCE0F4" w14:textId="77777777" w:rsidR="00722255" w:rsidRPr="009E6368" w:rsidRDefault="00AF39C0">
      <w:pPr>
        <w:rPr>
          <w:rFonts w:ascii="Arial" w:hAnsi="Arial" w:cs="Arial"/>
          <w:sz w:val="24"/>
          <w:szCs w:val="24"/>
        </w:rPr>
      </w:pPr>
      <w:r w:rsidRPr="009E6368">
        <w:rPr>
          <w:rFonts w:ascii="Arial" w:hAnsi="Arial" w:cs="Arial"/>
          <w:sz w:val="24"/>
          <w:szCs w:val="24"/>
        </w:rPr>
        <w:t>__________________________________________________________________</w:t>
      </w:r>
    </w:p>
    <w:p w14:paraId="71DCE0F5" w14:textId="77777777" w:rsidR="00722255" w:rsidRPr="009E6368" w:rsidRDefault="00AF39C0">
      <w:pPr>
        <w:rPr>
          <w:rFonts w:ascii="Arial" w:hAnsi="Arial" w:cs="Arial"/>
          <w:sz w:val="24"/>
          <w:szCs w:val="24"/>
        </w:rPr>
      </w:pPr>
      <w:r w:rsidRPr="009E6368">
        <w:rPr>
          <w:rFonts w:ascii="Arial" w:hAnsi="Arial" w:cs="Arial"/>
          <w:b/>
          <w:bCs/>
          <w:sz w:val="24"/>
          <w:szCs w:val="24"/>
        </w:rPr>
        <w:t>Research Question</w:t>
      </w:r>
      <w:r w:rsidRPr="009E6368">
        <w:rPr>
          <w:rFonts w:ascii="Arial" w:hAnsi="Arial" w:cs="Arial"/>
          <w:sz w:val="24"/>
          <w:szCs w:val="24"/>
        </w:rPr>
        <w:t xml:space="preserve">: </w:t>
      </w:r>
    </w:p>
    <w:p w14:paraId="71DCE0F6" w14:textId="12FBE521" w:rsidR="00722255" w:rsidRPr="009E6368" w:rsidRDefault="00AF39C0">
      <w:pPr>
        <w:numPr>
          <w:ilvl w:val="0"/>
          <w:numId w:val="1"/>
        </w:numPr>
        <w:rPr>
          <w:rFonts w:ascii="Arial" w:hAnsi="Arial" w:cs="Arial"/>
          <w:sz w:val="24"/>
          <w:szCs w:val="24"/>
        </w:rPr>
      </w:pPr>
      <w:r w:rsidRPr="009E6368">
        <w:rPr>
          <w:rFonts w:ascii="Arial" w:hAnsi="Arial" w:cs="Arial"/>
          <w:sz w:val="24"/>
          <w:szCs w:val="24"/>
        </w:rPr>
        <w:t xml:space="preserve">To </w:t>
      </w:r>
      <w:r w:rsidR="00B85FB1">
        <w:rPr>
          <w:rFonts w:ascii="Arial" w:hAnsi="Arial" w:cs="Arial"/>
          <w:sz w:val="24"/>
          <w:szCs w:val="24"/>
        </w:rPr>
        <w:t>w</w:t>
      </w:r>
      <w:r w:rsidRPr="009E6368">
        <w:rPr>
          <w:rFonts w:ascii="Arial" w:hAnsi="Arial" w:cs="Arial"/>
          <w:sz w:val="24"/>
          <w:szCs w:val="24"/>
        </w:rPr>
        <w:t xml:space="preserve">hat </w:t>
      </w:r>
      <w:r w:rsidR="00B85FB1">
        <w:rPr>
          <w:rFonts w:ascii="Arial" w:hAnsi="Arial" w:cs="Arial"/>
          <w:sz w:val="24"/>
          <w:szCs w:val="24"/>
        </w:rPr>
        <w:t>e</w:t>
      </w:r>
      <w:r w:rsidRPr="009E6368">
        <w:rPr>
          <w:rFonts w:ascii="Arial" w:hAnsi="Arial" w:cs="Arial"/>
          <w:sz w:val="24"/>
          <w:szCs w:val="24"/>
        </w:rPr>
        <w:t xml:space="preserve">xtent </w:t>
      </w:r>
      <w:r w:rsidR="00B85FB1">
        <w:rPr>
          <w:rFonts w:ascii="Arial" w:hAnsi="Arial" w:cs="Arial"/>
          <w:sz w:val="24"/>
          <w:szCs w:val="24"/>
        </w:rPr>
        <w:t>d</w:t>
      </w:r>
      <w:r w:rsidRPr="009E6368">
        <w:rPr>
          <w:rFonts w:ascii="Arial" w:hAnsi="Arial" w:cs="Arial"/>
          <w:sz w:val="24"/>
          <w:szCs w:val="24"/>
        </w:rPr>
        <w:t xml:space="preserve">oes </w:t>
      </w:r>
      <w:r w:rsidR="00B85FB1">
        <w:rPr>
          <w:rFonts w:ascii="Arial" w:hAnsi="Arial" w:cs="Arial"/>
          <w:sz w:val="24"/>
          <w:szCs w:val="24"/>
        </w:rPr>
        <w:t>p</w:t>
      </w:r>
      <w:r w:rsidRPr="009E6368">
        <w:rPr>
          <w:rFonts w:ascii="Arial" w:hAnsi="Arial" w:cs="Arial"/>
          <w:sz w:val="24"/>
          <w:szCs w:val="24"/>
        </w:rPr>
        <w:t xml:space="preserve">rocedural </w:t>
      </w:r>
      <w:r w:rsidR="00B85FB1">
        <w:rPr>
          <w:rFonts w:ascii="Arial" w:hAnsi="Arial" w:cs="Arial"/>
          <w:sz w:val="24"/>
          <w:szCs w:val="24"/>
        </w:rPr>
        <w:t>j</w:t>
      </w:r>
      <w:r w:rsidRPr="009E6368">
        <w:rPr>
          <w:rFonts w:ascii="Arial" w:hAnsi="Arial" w:cs="Arial"/>
          <w:sz w:val="24"/>
          <w:szCs w:val="24"/>
        </w:rPr>
        <w:t xml:space="preserve">ustice </w:t>
      </w:r>
      <w:r w:rsidR="00B85FB1">
        <w:rPr>
          <w:rFonts w:ascii="Arial" w:hAnsi="Arial" w:cs="Arial"/>
          <w:sz w:val="24"/>
          <w:szCs w:val="24"/>
        </w:rPr>
        <w:t>i</w:t>
      </w:r>
      <w:r w:rsidRPr="009E6368">
        <w:rPr>
          <w:rFonts w:ascii="Arial" w:hAnsi="Arial" w:cs="Arial"/>
          <w:sz w:val="24"/>
          <w:szCs w:val="24"/>
        </w:rPr>
        <w:t xml:space="preserve">nfluence </w:t>
      </w:r>
      <w:r w:rsidR="00B85FB1">
        <w:rPr>
          <w:rFonts w:ascii="Arial" w:hAnsi="Arial" w:cs="Arial"/>
          <w:sz w:val="24"/>
          <w:szCs w:val="24"/>
        </w:rPr>
        <w:t>p</w:t>
      </w:r>
      <w:r w:rsidRPr="009E6368">
        <w:rPr>
          <w:rFonts w:ascii="Arial" w:hAnsi="Arial" w:cs="Arial"/>
          <w:sz w:val="24"/>
          <w:szCs w:val="24"/>
        </w:rPr>
        <w:t xml:space="preserve">ublic </w:t>
      </w:r>
      <w:r w:rsidR="00B85FB1">
        <w:rPr>
          <w:rFonts w:ascii="Arial" w:hAnsi="Arial" w:cs="Arial"/>
          <w:sz w:val="24"/>
          <w:szCs w:val="24"/>
        </w:rPr>
        <w:t>t</w:t>
      </w:r>
      <w:r w:rsidRPr="009E6368">
        <w:rPr>
          <w:rFonts w:ascii="Arial" w:hAnsi="Arial" w:cs="Arial"/>
          <w:sz w:val="24"/>
          <w:szCs w:val="24"/>
        </w:rPr>
        <w:t xml:space="preserve">rust and </w:t>
      </w:r>
      <w:r w:rsidR="00B85FB1">
        <w:rPr>
          <w:rFonts w:ascii="Arial" w:hAnsi="Arial" w:cs="Arial"/>
          <w:sz w:val="24"/>
          <w:szCs w:val="24"/>
        </w:rPr>
        <w:t>p</w:t>
      </w:r>
      <w:r w:rsidRPr="009E6368">
        <w:rPr>
          <w:rFonts w:ascii="Arial" w:hAnsi="Arial" w:cs="Arial"/>
          <w:sz w:val="24"/>
          <w:szCs w:val="24"/>
        </w:rPr>
        <w:t xml:space="preserve">olice </w:t>
      </w:r>
      <w:r w:rsidR="00AD1839">
        <w:rPr>
          <w:rFonts w:ascii="Arial" w:hAnsi="Arial" w:cs="Arial"/>
          <w:sz w:val="24"/>
          <w:szCs w:val="24"/>
        </w:rPr>
        <w:t>l</w:t>
      </w:r>
      <w:r w:rsidRPr="009E6368">
        <w:rPr>
          <w:rFonts w:ascii="Arial" w:hAnsi="Arial" w:cs="Arial"/>
          <w:sz w:val="24"/>
          <w:szCs w:val="24"/>
        </w:rPr>
        <w:t>egitimacy in England and Wales?</w:t>
      </w:r>
    </w:p>
    <w:p w14:paraId="71DCE0F7" w14:textId="22A912FE" w:rsidR="00722255" w:rsidRPr="009B275A" w:rsidRDefault="00AF39C0">
      <w:pPr>
        <w:rPr>
          <w:rStyle w:val="SubtleEmphasis"/>
        </w:rPr>
      </w:pPr>
      <w:r w:rsidRPr="009E6368">
        <w:rPr>
          <w:rFonts w:ascii="Arial" w:hAnsi="Arial" w:cs="Arial"/>
          <w:i/>
          <w:iCs/>
          <w:sz w:val="24"/>
          <w:szCs w:val="24"/>
        </w:rPr>
        <w:t>______________________________________________________________________</w:t>
      </w:r>
    </w:p>
    <w:p w14:paraId="71DCE0F8" w14:textId="77777777" w:rsidR="00722255" w:rsidRPr="009E6368" w:rsidRDefault="00AF39C0">
      <w:pPr>
        <w:rPr>
          <w:rFonts w:ascii="Arial" w:hAnsi="Arial" w:cs="Arial"/>
          <w:sz w:val="24"/>
          <w:szCs w:val="24"/>
        </w:rPr>
      </w:pPr>
      <w:r w:rsidRPr="009E6368">
        <w:rPr>
          <w:rFonts w:ascii="Arial" w:hAnsi="Arial" w:cs="Arial"/>
          <w:b/>
          <w:bCs/>
          <w:sz w:val="24"/>
          <w:szCs w:val="24"/>
        </w:rPr>
        <w:t>Research Aim</w:t>
      </w:r>
      <w:r w:rsidRPr="009E6368">
        <w:rPr>
          <w:rFonts w:ascii="Arial" w:hAnsi="Arial" w:cs="Arial"/>
          <w:sz w:val="24"/>
          <w:szCs w:val="24"/>
        </w:rPr>
        <w:t>:</w:t>
      </w:r>
    </w:p>
    <w:p w14:paraId="71DCE0F9" w14:textId="77777777" w:rsidR="00722255" w:rsidRPr="009E6368" w:rsidRDefault="00AF39C0">
      <w:pPr>
        <w:rPr>
          <w:rFonts w:ascii="Arial" w:hAnsi="Arial" w:cs="Arial"/>
          <w:color w:val="000000"/>
          <w:sz w:val="24"/>
          <w:szCs w:val="24"/>
        </w:rPr>
      </w:pPr>
      <w:r w:rsidRPr="009E6368">
        <w:rPr>
          <w:rFonts w:ascii="Arial" w:hAnsi="Arial" w:cs="Arial"/>
          <w:sz w:val="24"/>
          <w:szCs w:val="24"/>
        </w:rPr>
        <w:t>The aim of the research is to evaluate the extent to which procedural justice influences public trust and police legitimacy in England and Wales.</w:t>
      </w:r>
    </w:p>
    <w:p w14:paraId="71DCE0FA" w14:textId="77777777" w:rsidR="00722255" w:rsidRPr="009E6368" w:rsidRDefault="00AF39C0">
      <w:pPr>
        <w:rPr>
          <w:rFonts w:ascii="Arial" w:hAnsi="Arial" w:cs="Arial"/>
          <w:sz w:val="24"/>
          <w:szCs w:val="24"/>
        </w:rPr>
      </w:pPr>
      <w:r w:rsidRPr="009E6368">
        <w:rPr>
          <w:rFonts w:ascii="Arial" w:hAnsi="Arial" w:cs="Arial"/>
          <w:b/>
          <w:bCs/>
          <w:sz w:val="24"/>
          <w:szCs w:val="24"/>
        </w:rPr>
        <w:t>Research Objectives:</w:t>
      </w:r>
      <w:r w:rsidRPr="009E6368">
        <w:rPr>
          <w:rFonts w:ascii="Arial" w:hAnsi="Arial" w:cs="Arial"/>
          <w:b/>
          <w:bCs/>
          <w:color w:val="000000"/>
          <w:sz w:val="24"/>
          <w:szCs w:val="24"/>
        </w:rPr>
        <w:t xml:space="preserve"> </w:t>
      </w:r>
    </w:p>
    <w:p w14:paraId="71DCE0FB" w14:textId="77777777" w:rsidR="00722255" w:rsidRPr="009E6368" w:rsidRDefault="00AF39C0">
      <w:pPr>
        <w:numPr>
          <w:ilvl w:val="0"/>
          <w:numId w:val="2"/>
        </w:numPr>
        <w:rPr>
          <w:rFonts w:ascii="Arial" w:hAnsi="Arial" w:cs="Arial"/>
          <w:sz w:val="24"/>
          <w:szCs w:val="24"/>
        </w:rPr>
      </w:pPr>
      <w:r w:rsidRPr="009E6368">
        <w:rPr>
          <w:rFonts w:ascii="Arial" w:hAnsi="Arial" w:cs="Arial"/>
          <w:sz w:val="24"/>
          <w:szCs w:val="24"/>
        </w:rPr>
        <w:t xml:space="preserve">To analyse the relationship between public trust, procedural justice, and police legitimacy in England and Wales. </w:t>
      </w:r>
    </w:p>
    <w:p w14:paraId="71DCE0FC" w14:textId="77777777" w:rsidR="00722255" w:rsidRPr="009E6368" w:rsidRDefault="00AF39C0">
      <w:pPr>
        <w:numPr>
          <w:ilvl w:val="0"/>
          <w:numId w:val="2"/>
        </w:numPr>
        <w:rPr>
          <w:rFonts w:ascii="Arial" w:hAnsi="Arial" w:cs="Arial"/>
          <w:sz w:val="24"/>
          <w:szCs w:val="24"/>
        </w:rPr>
      </w:pPr>
      <w:r w:rsidRPr="009E6368">
        <w:rPr>
          <w:rFonts w:ascii="Arial" w:hAnsi="Arial" w:cs="Arial"/>
          <w:sz w:val="24"/>
          <w:szCs w:val="24"/>
        </w:rPr>
        <w:t xml:space="preserve">To identify challenges affecting public trust and perceptions of police legitimacy in England and Wales. </w:t>
      </w:r>
    </w:p>
    <w:p w14:paraId="71DCE0FD" w14:textId="77777777" w:rsidR="00722255" w:rsidRPr="009E6368" w:rsidRDefault="00AF39C0">
      <w:pPr>
        <w:numPr>
          <w:ilvl w:val="0"/>
          <w:numId w:val="2"/>
        </w:numPr>
        <w:rPr>
          <w:rFonts w:ascii="Arial" w:hAnsi="Arial" w:cs="Arial"/>
          <w:sz w:val="24"/>
          <w:szCs w:val="24"/>
        </w:rPr>
      </w:pPr>
      <w:r w:rsidRPr="009E6368">
        <w:rPr>
          <w:rFonts w:ascii="Arial" w:hAnsi="Arial" w:cs="Arial"/>
          <w:sz w:val="24"/>
          <w:szCs w:val="24"/>
        </w:rPr>
        <w:t xml:space="preserve">To recommend evidence-based strategies for enhancing procedural justice to strengthen public trust and police legitimacy in England and Wales. </w:t>
      </w:r>
    </w:p>
    <w:p w14:paraId="71DCE0FE" w14:textId="77777777" w:rsidR="00722255" w:rsidRPr="009E6368" w:rsidRDefault="00AF39C0">
      <w:pPr>
        <w:rPr>
          <w:rFonts w:ascii="Arial" w:hAnsi="Arial" w:cs="Arial"/>
          <w:sz w:val="24"/>
          <w:szCs w:val="24"/>
        </w:rPr>
      </w:pPr>
      <w:r w:rsidRPr="009E6368">
        <w:rPr>
          <w:rFonts w:ascii="Arial" w:hAnsi="Arial" w:cs="Arial"/>
          <w:sz w:val="24"/>
          <w:szCs w:val="24"/>
        </w:rPr>
        <w:t>__________________________________________________________________</w:t>
      </w:r>
    </w:p>
    <w:p w14:paraId="71DCE0FF" w14:textId="77777777" w:rsidR="00722255" w:rsidRPr="009E6368" w:rsidRDefault="00AF39C0">
      <w:pPr>
        <w:rPr>
          <w:rFonts w:ascii="Arial" w:hAnsi="Arial" w:cs="Arial"/>
          <w:b/>
          <w:bCs/>
          <w:sz w:val="24"/>
          <w:szCs w:val="24"/>
        </w:rPr>
      </w:pPr>
      <w:r w:rsidRPr="009E6368">
        <w:rPr>
          <w:rFonts w:ascii="Arial" w:hAnsi="Arial" w:cs="Arial"/>
          <w:sz w:val="24"/>
          <w:szCs w:val="24"/>
        </w:rPr>
        <w:br w:type="page"/>
      </w:r>
    </w:p>
    <w:p w14:paraId="71DCE100" w14:textId="77777777" w:rsidR="00722255" w:rsidRPr="009E6368" w:rsidRDefault="00AF39C0">
      <w:pPr>
        <w:rPr>
          <w:rFonts w:ascii="Arial" w:hAnsi="Arial" w:cs="Arial"/>
          <w:i/>
          <w:iCs/>
          <w:sz w:val="24"/>
          <w:szCs w:val="24"/>
        </w:rPr>
      </w:pPr>
      <w:r w:rsidRPr="009E6368">
        <w:rPr>
          <w:rFonts w:ascii="Arial" w:hAnsi="Arial" w:cs="Arial"/>
          <w:b/>
          <w:bCs/>
          <w:sz w:val="24"/>
          <w:szCs w:val="24"/>
        </w:rPr>
        <w:lastRenderedPageBreak/>
        <w:t>Literature Review</w:t>
      </w:r>
    </w:p>
    <w:p w14:paraId="71DCE101" w14:textId="77777777" w:rsidR="00722255" w:rsidRPr="009E6368" w:rsidRDefault="00AF39C0">
      <w:pPr>
        <w:rPr>
          <w:rFonts w:ascii="Arial" w:hAnsi="Arial" w:cs="Arial"/>
          <w:b/>
          <w:bCs/>
          <w:sz w:val="24"/>
          <w:szCs w:val="24"/>
        </w:rPr>
      </w:pPr>
      <w:r w:rsidRPr="009E6368">
        <w:rPr>
          <w:rFonts w:ascii="Arial" w:hAnsi="Arial" w:cs="Arial"/>
          <w:b/>
          <w:bCs/>
          <w:sz w:val="24"/>
          <w:szCs w:val="24"/>
        </w:rPr>
        <w:t>Literature around your subject area</w:t>
      </w:r>
    </w:p>
    <w:p w14:paraId="71DCE102" w14:textId="610C7B26" w:rsidR="00722255" w:rsidRPr="009E6368" w:rsidRDefault="00B1166B">
      <w:pPr>
        <w:rPr>
          <w:rFonts w:ascii="Arial" w:hAnsi="Arial" w:cs="Arial"/>
          <w:i/>
          <w:iCs/>
          <w:sz w:val="24"/>
          <w:szCs w:val="24"/>
        </w:rPr>
      </w:pPr>
      <w:r>
        <w:rPr>
          <w:rFonts w:ascii="Arial" w:hAnsi="Arial" w:cs="Arial"/>
          <w:i/>
          <w:iCs/>
          <w:sz w:val="24"/>
          <w:szCs w:val="24"/>
        </w:rPr>
        <w:t>I</w:t>
      </w:r>
      <w:r w:rsidR="00AF39C0" w:rsidRPr="009E6368">
        <w:rPr>
          <w:rFonts w:ascii="Arial" w:hAnsi="Arial" w:cs="Arial"/>
          <w:i/>
          <w:iCs/>
          <w:sz w:val="24"/>
          <w:szCs w:val="24"/>
        </w:rPr>
        <w:t xml:space="preserve">) Relationship between public trust, procedural justice, and police legitimacy in England and Wales. </w:t>
      </w:r>
    </w:p>
    <w:p w14:paraId="71DCE103" w14:textId="2B8B5A93" w:rsidR="00722255" w:rsidRPr="009E6368" w:rsidRDefault="00AF39C0">
      <w:pPr>
        <w:rPr>
          <w:rFonts w:ascii="Arial" w:hAnsi="Arial" w:cs="Arial"/>
          <w:sz w:val="24"/>
          <w:szCs w:val="24"/>
        </w:rPr>
      </w:pPr>
      <w:r w:rsidRPr="009E6368">
        <w:rPr>
          <w:rFonts w:ascii="Arial" w:hAnsi="Arial" w:cs="Arial"/>
          <w:sz w:val="24"/>
          <w:szCs w:val="24"/>
        </w:rPr>
        <w:t xml:space="preserve">Procedural justice relates to public trust in and police legitimacy </w:t>
      </w:r>
      <w:r w:rsidR="008377DC" w:rsidRPr="009E6368">
        <w:rPr>
          <w:rFonts w:ascii="Arial" w:hAnsi="Arial" w:cs="Arial"/>
          <w:sz w:val="24"/>
          <w:szCs w:val="24"/>
        </w:rPr>
        <w:t>because of</w:t>
      </w:r>
      <w:r w:rsidRPr="009E6368">
        <w:rPr>
          <w:rFonts w:ascii="Arial" w:hAnsi="Arial" w:cs="Arial"/>
          <w:sz w:val="24"/>
          <w:szCs w:val="24"/>
        </w:rPr>
        <w:t xml:space="preserve"> fair police treatment. Gold (2022) followed up a project by the Humberside Police on frontline officer groups. Written notes and meeting comments indicated that interaction with the minority community was challenging, but that fair interaction fostered positive opinions of the police and promoted relationship development. People under Integrated Offender Management in England and Wales are found to have a complex pattern (Cram, 2023). Some practices were considered unfair but are legitimised by the police. Procedural justice has a general effect on trust and legitimacy, though how it does so </w:t>
      </w:r>
      <w:r w:rsidR="00B23760" w:rsidRPr="009E6368">
        <w:rPr>
          <w:rFonts w:ascii="Arial" w:hAnsi="Arial" w:cs="Arial"/>
          <w:sz w:val="24"/>
          <w:szCs w:val="24"/>
        </w:rPr>
        <w:t>depend</w:t>
      </w:r>
      <w:r w:rsidRPr="009E6368">
        <w:rPr>
          <w:rFonts w:ascii="Arial" w:hAnsi="Arial" w:cs="Arial"/>
          <w:sz w:val="24"/>
          <w:szCs w:val="24"/>
        </w:rPr>
        <w:t xml:space="preserve"> on the context of policing.</w:t>
      </w:r>
    </w:p>
    <w:p w14:paraId="71DCE104" w14:textId="35329A2D" w:rsidR="00722255" w:rsidRPr="009E6368" w:rsidRDefault="00B1166B">
      <w:pPr>
        <w:rPr>
          <w:rFonts w:ascii="Arial" w:hAnsi="Arial" w:cs="Arial"/>
          <w:i/>
          <w:iCs/>
          <w:sz w:val="24"/>
          <w:szCs w:val="24"/>
        </w:rPr>
      </w:pPr>
      <w:r>
        <w:rPr>
          <w:rFonts w:ascii="Arial" w:hAnsi="Arial" w:cs="Arial"/>
          <w:i/>
          <w:iCs/>
          <w:sz w:val="24"/>
          <w:szCs w:val="24"/>
        </w:rPr>
        <w:t>II</w:t>
      </w:r>
      <w:r w:rsidR="00AF39C0" w:rsidRPr="009E6368">
        <w:rPr>
          <w:rFonts w:ascii="Arial" w:hAnsi="Arial" w:cs="Arial"/>
          <w:i/>
          <w:iCs/>
          <w:sz w:val="24"/>
          <w:szCs w:val="24"/>
        </w:rPr>
        <w:t>) Challenges affecting public trust and perceptions of police legitimacy in England and Wales.</w:t>
      </w:r>
    </w:p>
    <w:p w14:paraId="71DCE105" w14:textId="77777777" w:rsidR="00722255" w:rsidRPr="009E6368" w:rsidRDefault="00AF39C0">
      <w:pPr>
        <w:rPr>
          <w:rFonts w:ascii="Arial" w:hAnsi="Arial" w:cs="Arial"/>
          <w:sz w:val="24"/>
          <w:szCs w:val="24"/>
        </w:rPr>
      </w:pPr>
      <w:r w:rsidRPr="009E6368">
        <w:rPr>
          <w:rFonts w:ascii="Arial" w:hAnsi="Arial" w:cs="Arial"/>
          <w:sz w:val="24"/>
          <w:szCs w:val="24"/>
        </w:rPr>
        <w:t xml:space="preserve">The social and organisational problems reduce confidence in and the perceived legitimacy of police in England and Wales. Between July 2022 and September 2023, representative samples of English were surveyed by (Pickering et al., 2024). Following high-profile violence against women by Metropolitan Police officers, only London has seen a lower level of trust in the police among women than the men. Ligenza et al., (2026) conducted research on 67 individuals in the Avon and Somerset area. Attendees indicated a lack of awareness of police training and negative media coverage and police attitudes to minorities decreased confidence. </w:t>
      </w:r>
    </w:p>
    <w:p w14:paraId="71DCE106" w14:textId="3E729E04" w:rsidR="00722255" w:rsidRPr="009E6368" w:rsidRDefault="00B1166B">
      <w:pPr>
        <w:rPr>
          <w:rFonts w:ascii="Arial" w:hAnsi="Arial" w:cs="Arial"/>
          <w:i/>
          <w:iCs/>
          <w:sz w:val="24"/>
          <w:szCs w:val="24"/>
        </w:rPr>
      </w:pPr>
      <w:r>
        <w:rPr>
          <w:rFonts w:ascii="Arial" w:hAnsi="Arial" w:cs="Arial"/>
          <w:i/>
          <w:iCs/>
          <w:sz w:val="24"/>
          <w:szCs w:val="24"/>
        </w:rPr>
        <w:t>III</w:t>
      </w:r>
      <w:r w:rsidR="00AF39C0" w:rsidRPr="009E6368">
        <w:rPr>
          <w:rFonts w:ascii="Arial" w:hAnsi="Arial" w:cs="Arial"/>
          <w:i/>
          <w:iCs/>
          <w:sz w:val="24"/>
          <w:szCs w:val="24"/>
        </w:rPr>
        <w:t>) Evidence-based strategies for enhancing procedural justice to strengthen public trust and police legitimacy in England and Wales</w:t>
      </w:r>
    </w:p>
    <w:p w14:paraId="71DCE107" w14:textId="77777777" w:rsidR="00722255" w:rsidRPr="009E6368" w:rsidRDefault="00AF39C0">
      <w:pPr>
        <w:rPr>
          <w:rFonts w:ascii="Arial" w:hAnsi="Arial" w:cs="Arial"/>
          <w:sz w:val="24"/>
          <w:szCs w:val="24"/>
        </w:rPr>
      </w:pPr>
      <w:r w:rsidRPr="009E6368">
        <w:rPr>
          <w:rFonts w:ascii="Arial" w:hAnsi="Arial" w:cs="Arial"/>
          <w:sz w:val="24"/>
          <w:szCs w:val="24"/>
        </w:rPr>
        <w:t xml:space="preserve">Fair leadership and community-based learning can help to build a sense of procedural justice. An action-learning project amongst frontline officers in Humberside was the focus of research (Gold, 2022). Officers were provided with five supported meetings and written reflections to assist with being fair in public interactions, build relationships and foster positive attitudes towards the police. The survey undertaken by Yesberg et al. (2024) was of newly appointed officers in England and Wales. When officers felt they were treated </w:t>
      </w:r>
      <w:r w:rsidRPr="009E6368">
        <w:rPr>
          <w:rFonts w:ascii="Arial" w:hAnsi="Arial" w:cs="Arial"/>
          <w:sz w:val="24"/>
          <w:szCs w:val="24"/>
        </w:rPr>
        <w:lastRenderedPageBreak/>
        <w:t xml:space="preserve">well by supervisors, their confidence in capacity to do their job increased, providing a stronger basis for them to believe that they could treat citizens well in their work. </w:t>
      </w:r>
    </w:p>
    <w:p w14:paraId="71DCE108" w14:textId="4FB1DB82" w:rsidR="00722255" w:rsidRPr="009E6368" w:rsidRDefault="00B1166B">
      <w:pPr>
        <w:rPr>
          <w:rFonts w:ascii="Arial" w:hAnsi="Arial" w:cs="Arial"/>
          <w:i/>
          <w:iCs/>
          <w:sz w:val="24"/>
          <w:szCs w:val="24"/>
        </w:rPr>
      </w:pPr>
      <w:r>
        <w:rPr>
          <w:rFonts w:ascii="Arial" w:hAnsi="Arial" w:cs="Arial"/>
          <w:i/>
          <w:iCs/>
          <w:sz w:val="24"/>
          <w:szCs w:val="24"/>
        </w:rPr>
        <w:t>IV</w:t>
      </w:r>
      <w:r w:rsidR="00AF39C0" w:rsidRPr="009E6368">
        <w:rPr>
          <w:rFonts w:ascii="Arial" w:hAnsi="Arial" w:cs="Arial"/>
          <w:i/>
          <w:iCs/>
          <w:sz w:val="24"/>
          <w:szCs w:val="24"/>
        </w:rPr>
        <w:t xml:space="preserve">) Theoretical application </w:t>
      </w:r>
    </w:p>
    <w:p w14:paraId="71DCE109" w14:textId="77777777" w:rsidR="00722255" w:rsidRPr="009E6368" w:rsidRDefault="00AF39C0">
      <w:pPr>
        <w:rPr>
          <w:rFonts w:ascii="Arial" w:hAnsi="Arial" w:cs="Arial"/>
          <w:sz w:val="24"/>
          <w:szCs w:val="24"/>
        </w:rPr>
      </w:pPr>
      <w:r w:rsidRPr="009E6368">
        <w:rPr>
          <w:rFonts w:ascii="Arial" w:hAnsi="Arial" w:cs="Arial"/>
          <w:sz w:val="24"/>
          <w:szCs w:val="24"/>
        </w:rPr>
        <w:t>The theory of procedural justice, proposed by Tyler, is suited as it accounts for factors of how respectful treatment, neutrality, citizen voice and trustworthy motives impact trust and acceptance of police authority (Tyler et al., 2023). In Objective 1, it helps to analyze the connections between fairness, trust and legitimacy. It recognises barriers for Objective 2 as unfair treatment, exclusion and inconsistent decisions. It backs strategies that encourage respectful communication, participation and impartial decisions and accountable policing practices across the country for Objective 3.</w:t>
      </w:r>
    </w:p>
    <w:p w14:paraId="71DCE10A" w14:textId="77777777" w:rsidR="00722255" w:rsidRPr="009E6368" w:rsidRDefault="00AF39C0">
      <w:pPr>
        <w:rPr>
          <w:rFonts w:ascii="Arial" w:hAnsi="Arial" w:cs="Arial"/>
          <w:b/>
          <w:bCs/>
          <w:sz w:val="24"/>
          <w:szCs w:val="24"/>
        </w:rPr>
      </w:pPr>
      <w:r w:rsidRPr="009E6368">
        <w:rPr>
          <w:rFonts w:ascii="Arial" w:hAnsi="Arial" w:cs="Arial"/>
          <w:b/>
          <w:bCs/>
          <w:sz w:val="24"/>
          <w:szCs w:val="24"/>
        </w:rPr>
        <w:t>Problem statement</w:t>
      </w:r>
    </w:p>
    <w:p w14:paraId="71DCE10B" w14:textId="77777777" w:rsidR="00722255" w:rsidRPr="009E6368" w:rsidRDefault="00AF39C0">
      <w:pPr>
        <w:rPr>
          <w:rFonts w:ascii="Arial" w:hAnsi="Arial" w:cs="Arial"/>
          <w:sz w:val="24"/>
          <w:szCs w:val="24"/>
        </w:rPr>
      </w:pPr>
      <w:r w:rsidRPr="009E6368">
        <w:rPr>
          <w:rFonts w:ascii="Arial" w:hAnsi="Arial" w:cs="Arial"/>
          <w:sz w:val="24"/>
          <w:szCs w:val="24"/>
        </w:rPr>
        <w:t xml:space="preserve">Public confidence in criminal law enforcement in England and Wales has gone down, but the procedural justice concept has yet to be fully understood. In 2015, 62% of people rated the police as good or excellent, with this figure dropping to 49 % in 2025 (ONS, 2025). There has been a decrease in victim satisfaction from 70% to 51%. Most important is that 74% of victims felt fairly treated and were content while 5% felt unfairly treated. This gap has resulted in a legitimacy problem for police, which is not just about their results, but fairness as well. In the study of 150 body-camera recorded stop and search interactions, Barber and Tankebe (2024) found evidence of a high level of voice, neutrality and respect. There was less evidence of trustworthy motives, and differences across districts. Thus, procedural justice is not uniformly practiced. There is also differential trust within communities. London was the least trusted police service in the country by the public (Pickering et al., 2024). The only region where there was a difference between men and women's trust in the police was in London, where women had a lower level, after high-profile examples of sexual violence by serving Metropolitan Police officers. The results indicate a research problem, as the differences in encounters, forces and social groups are obscured by measures of confidence. Therefore, research is needed to clarify the extent to which respectful treatment, citizen voice and neutrality and trustworthy motives each affect overall trust and legitimacy in England and Wales, separately. </w:t>
      </w:r>
    </w:p>
    <w:p w14:paraId="71DCE10C" w14:textId="77777777" w:rsidR="00722255" w:rsidRPr="009E6368" w:rsidRDefault="00AF39C0">
      <w:pPr>
        <w:rPr>
          <w:rFonts w:ascii="Arial" w:hAnsi="Arial" w:cs="Arial"/>
          <w:b/>
          <w:bCs/>
          <w:sz w:val="24"/>
          <w:szCs w:val="24"/>
        </w:rPr>
      </w:pPr>
      <w:r w:rsidRPr="009E6368">
        <w:rPr>
          <w:rFonts w:ascii="Arial" w:hAnsi="Arial" w:cs="Arial"/>
          <w:b/>
          <w:bCs/>
          <w:sz w:val="24"/>
          <w:szCs w:val="24"/>
        </w:rPr>
        <w:t>Rationale</w:t>
      </w:r>
    </w:p>
    <w:p w14:paraId="71DCE10D" w14:textId="1BD06297" w:rsidR="00722255" w:rsidRPr="009E6368" w:rsidRDefault="00AF39C0">
      <w:pPr>
        <w:rPr>
          <w:rFonts w:ascii="Arial" w:hAnsi="Arial" w:cs="Arial"/>
          <w:sz w:val="24"/>
          <w:szCs w:val="24"/>
        </w:rPr>
      </w:pPr>
      <w:r w:rsidRPr="009E6368">
        <w:rPr>
          <w:rFonts w:ascii="Arial" w:hAnsi="Arial" w:cs="Arial"/>
          <w:sz w:val="24"/>
          <w:szCs w:val="24"/>
        </w:rPr>
        <w:lastRenderedPageBreak/>
        <w:t xml:space="preserve">This study is valuable because it shows that in England and Wales there is a lack of trust in the police and that fairness is not always upheld in policing. The ONS (2025) reported that 74% of </w:t>
      </w:r>
      <w:r w:rsidR="008377DC" w:rsidRPr="009E6368">
        <w:rPr>
          <w:rFonts w:ascii="Arial" w:hAnsi="Arial" w:cs="Arial"/>
          <w:sz w:val="24"/>
          <w:szCs w:val="24"/>
        </w:rPr>
        <w:t>treated</w:t>
      </w:r>
      <w:r w:rsidRPr="009E6368">
        <w:rPr>
          <w:rFonts w:ascii="Arial" w:hAnsi="Arial" w:cs="Arial"/>
          <w:sz w:val="24"/>
          <w:szCs w:val="24"/>
        </w:rPr>
        <w:t xml:space="preserve"> victims were happy with police but only 5% of unfairly treated victims were happy with police. Barber and Tankebe (2024) also found across-district differences in procedural justice in stop and search situations. Given the above, the study will consequently examine if procedural justices are associated with the public trust and police legitimacy. It will recognize issues, such as lack of consistency in treatment, honest reasons and disagreements among forces and communities. </w:t>
      </w:r>
    </w:p>
    <w:p w14:paraId="71DCE10E" w14:textId="77777777" w:rsidR="00722255" w:rsidRPr="009E6368" w:rsidRDefault="00AF39C0">
      <w:pPr>
        <w:rPr>
          <w:rFonts w:ascii="Arial" w:hAnsi="Arial" w:cs="Arial"/>
          <w:b/>
          <w:bCs/>
          <w:sz w:val="24"/>
          <w:szCs w:val="24"/>
        </w:rPr>
      </w:pPr>
      <w:r w:rsidRPr="009E6368">
        <w:rPr>
          <w:rFonts w:ascii="Arial" w:hAnsi="Arial" w:cs="Arial"/>
          <w:b/>
          <w:bCs/>
          <w:sz w:val="24"/>
          <w:szCs w:val="24"/>
        </w:rPr>
        <w:t>Literature Gap</w:t>
      </w:r>
    </w:p>
    <w:p w14:paraId="71DCE10F" w14:textId="77777777" w:rsidR="00722255" w:rsidRPr="009E6368" w:rsidRDefault="00AF39C0">
      <w:pPr>
        <w:rPr>
          <w:rFonts w:ascii="Arial" w:hAnsi="Arial" w:cs="Arial"/>
          <w:i/>
          <w:iCs/>
          <w:sz w:val="24"/>
          <w:szCs w:val="24"/>
        </w:rPr>
      </w:pPr>
      <w:r w:rsidRPr="009E6368">
        <w:rPr>
          <w:rFonts w:ascii="Arial" w:hAnsi="Arial" w:cs="Arial"/>
          <w:sz w:val="24"/>
          <w:szCs w:val="24"/>
        </w:rPr>
        <w:t xml:space="preserve">This research confirms that treatment can have an impact on trust but does not confirm how much influence it has and that is across England and Wales. Evidence is not broadly spread across various forces, regions, officer groups and policing settings and this restricts the level of comparison and broader application. In addition, studies also look at the issue of respectful treatment, voice, neutrality, and trustworthy motives, but in unequal ways, so that the individual impacts of these on trust and legitimacy are still unclear. There is a lack of cohesive research on women, minorities, and people supervised by police. </w:t>
      </w:r>
    </w:p>
    <w:p w14:paraId="71DCE110" w14:textId="1D2F683E" w:rsidR="00722255" w:rsidRPr="009E6368" w:rsidRDefault="00AF39C0">
      <w:pPr>
        <w:rPr>
          <w:rFonts w:ascii="Arial" w:hAnsi="Arial" w:cs="Arial"/>
          <w:i/>
          <w:iCs/>
          <w:sz w:val="24"/>
          <w:szCs w:val="24"/>
        </w:rPr>
      </w:pPr>
      <w:r w:rsidRPr="009E6368">
        <w:rPr>
          <w:rFonts w:ascii="Arial" w:hAnsi="Arial" w:cs="Arial"/>
          <w:i/>
          <w:iCs/>
          <w:sz w:val="24"/>
          <w:szCs w:val="24"/>
        </w:rPr>
        <w:t>______________________________________________________________________</w:t>
      </w:r>
    </w:p>
    <w:p w14:paraId="218C842C" w14:textId="77777777" w:rsidR="009567FE" w:rsidRDefault="009567FE">
      <w:pPr>
        <w:rPr>
          <w:rFonts w:ascii="Arial" w:hAnsi="Arial" w:cs="Arial"/>
          <w:sz w:val="24"/>
          <w:szCs w:val="24"/>
        </w:rPr>
      </w:pPr>
    </w:p>
    <w:p w14:paraId="61D62356" w14:textId="77777777" w:rsidR="009567FE" w:rsidRDefault="009567FE">
      <w:pPr>
        <w:rPr>
          <w:rFonts w:ascii="Arial" w:hAnsi="Arial" w:cs="Arial"/>
          <w:sz w:val="24"/>
          <w:szCs w:val="24"/>
        </w:rPr>
      </w:pPr>
    </w:p>
    <w:p w14:paraId="4CD1AB65" w14:textId="77777777" w:rsidR="009567FE" w:rsidRDefault="009567FE">
      <w:pPr>
        <w:rPr>
          <w:rFonts w:ascii="Arial" w:hAnsi="Arial" w:cs="Arial"/>
          <w:sz w:val="24"/>
          <w:szCs w:val="24"/>
        </w:rPr>
      </w:pPr>
    </w:p>
    <w:p w14:paraId="71DCE112" w14:textId="6F167D4B" w:rsidR="00722255" w:rsidRPr="009567FE" w:rsidRDefault="00AF39C0">
      <w:pPr>
        <w:rPr>
          <w:rFonts w:ascii="Arial" w:hAnsi="Arial" w:cs="Arial"/>
          <w:b/>
          <w:bCs/>
          <w:sz w:val="24"/>
          <w:szCs w:val="24"/>
        </w:rPr>
      </w:pPr>
      <w:r w:rsidRPr="009E6368">
        <w:rPr>
          <w:rFonts w:ascii="Arial" w:hAnsi="Arial" w:cs="Arial"/>
          <w:b/>
          <w:bCs/>
          <w:sz w:val="24"/>
          <w:szCs w:val="24"/>
        </w:rPr>
        <w:t>Methodology</w:t>
      </w:r>
    </w:p>
    <w:p w14:paraId="71DCE113" w14:textId="77777777" w:rsidR="00722255" w:rsidRPr="009E6368" w:rsidRDefault="00AF39C0">
      <w:pPr>
        <w:rPr>
          <w:rFonts w:ascii="Arial" w:hAnsi="Arial" w:cs="Arial"/>
          <w:b/>
          <w:bCs/>
          <w:i/>
          <w:iCs/>
          <w:sz w:val="24"/>
          <w:szCs w:val="24"/>
        </w:rPr>
      </w:pPr>
      <w:r w:rsidRPr="009E6368">
        <w:rPr>
          <w:rFonts w:ascii="Arial" w:hAnsi="Arial" w:cs="Arial"/>
          <w:b/>
          <w:bCs/>
          <w:i/>
          <w:iCs/>
          <w:sz w:val="24"/>
          <w:szCs w:val="24"/>
        </w:rPr>
        <w:t>Design and method:</w:t>
      </w:r>
    </w:p>
    <w:p w14:paraId="71DCE114" w14:textId="06E7504F" w:rsidR="00722255" w:rsidRPr="009E6368" w:rsidRDefault="00AF39C0">
      <w:pPr>
        <w:rPr>
          <w:rFonts w:ascii="Arial" w:hAnsi="Arial" w:cs="Arial"/>
          <w:sz w:val="24"/>
          <w:szCs w:val="24"/>
        </w:rPr>
      </w:pPr>
      <w:r w:rsidRPr="009E6368">
        <w:rPr>
          <w:rFonts w:ascii="Arial" w:hAnsi="Arial" w:cs="Arial"/>
          <w:sz w:val="24"/>
          <w:szCs w:val="24"/>
        </w:rPr>
        <w:t xml:space="preserve">The research will use the secondary qualitative data collection method for examining the extent to which procedural justice influences public trust and police legitimacy in England and Wales. The qualitative data collection captures in-depth understandings of attitudes, rich contextual detail and uncover unspoken needs that quantitative research cannot measure (Neupane et al., 2026). In this aspect, the research will utilise different case law documents, UK government reports, judicial decision papers, policy documents, inspection reports and parliamentary publications. </w:t>
      </w:r>
      <w:r w:rsidR="008377DC" w:rsidRPr="009E6368">
        <w:rPr>
          <w:rFonts w:ascii="Arial" w:hAnsi="Arial" w:cs="Arial"/>
          <w:sz w:val="24"/>
          <w:szCs w:val="24"/>
        </w:rPr>
        <w:t>All</w:t>
      </w:r>
      <w:r w:rsidRPr="009E6368">
        <w:rPr>
          <w:rFonts w:ascii="Arial" w:hAnsi="Arial" w:cs="Arial"/>
          <w:sz w:val="24"/>
          <w:szCs w:val="24"/>
        </w:rPr>
        <w:t xml:space="preserve"> those documentary resources will provide authoritative evidence on how procedural justice related principles like transparency, fairness, neutrality and accountability are implemented within policy </w:t>
      </w:r>
      <w:r w:rsidRPr="009E6368">
        <w:rPr>
          <w:rFonts w:ascii="Arial" w:hAnsi="Arial" w:cs="Arial"/>
          <w:sz w:val="24"/>
          <w:szCs w:val="24"/>
        </w:rPr>
        <w:lastRenderedPageBreak/>
        <w:t xml:space="preserve">making practices. Additionally, it will analyse landmark legal cases of the UK and official reports for identifying recurring themes and policy development process. </w:t>
      </w:r>
    </w:p>
    <w:p w14:paraId="71DCE115" w14:textId="77777777" w:rsidR="00722255" w:rsidRPr="009E6368" w:rsidRDefault="00AF39C0">
      <w:pPr>
        <w:rPr>
          <w:rFonts w:ascii="Arial" w:hAnsi="Arial" w:cs="Arial"/>
          <w:sz w:val="24"/>
          <w:szCs w:val="24"/>
        </w:rPr>
      </w:pPr>
      <w:r w:rsidRPr="009E6368">
        <w:rPr>
          <w:rFonts w:ascii="Arial" w:hAnsi="Arial" w:cs="Arial"/>
          <w:sz w:val="24"/>
          <w:szCs w:val="24"/>
        </w:rPr>
        <w:t xml:space="preserve">However, the primary data collection will not be suitable, because collecting responses from human samples on such legal matters required strict ethical and regulatory approval. Also, the participants' response can be influenced by personal bias for discussing such legal matters, so the secondary qualitative data collection is highly suitable. Additionally, the secondary documentary evidence can offer more comprehensive, reliable and credible information for addressing the research objectives. </w:t>
      </w:r>
    </w:p>
    <w:p w14:paraId="71DCE116" w14:textId="77777777" w:rsidR="00722255" w:rsidRPr="009E6368" w:rsidRDefault="00AF39C0">
      <w:pPr>
        <w:rPr>
          <w:rFonts w:ascii="Arial" w:hAnsi="Arial" w:cs="Arial"/>
          <w:b/>
          <w:bCs/>
          <w:i/>
          <w:iCs/>
          <w:sz w:val="24"/>
          <w:szCs w:val="24"/>
        </w:rPr>
      </w:pPr>
      <w:r w:rsidRPr="009E6368">
        <w:rPr>
          <w:rFonts w:ascii="Arial" w:hAnsi="Arial" w:cs="Arial"/>
          <w:b/>
          <w:bCs/>
          <w:i/>
          <w:iCs/>
          <w:sz w:val="24"/>
          <w:szCs w:val="24"/>
        </w:rPr>
        <w:t xml:space="preserve">Sample/participants: </w:t>
      </w:r>
    </w:p>
    <w:p w14:paraId="71DCE117" w14:textId="77777777" w:rsidR="00722255" w:rsidRPr="009E6368" w:rsidRDefault="00AF39C0">
      <w:pPr>
        <w:rPr>
          <w:rFonts w:ascii="Arial" w:hAnsi="Arial" w:cs="Arial"/>
          <w:sz w:val="24"/>
          <w:szCs w:val="24"/>
        </w:rPr>
      </w:pPr>
      <w:r w:rsidRPr="009E6368">
        <w:rPr>
          <w:rFonts w:ascii="Arial" w:hAnsi="Arial" w:cs="Arial"/>
          <w:sz w:val="24"/>
          <w:szCs w:val="24"/>
        </w:rPr>
        <w:t xml:space="preserve">As the present research will be based on secondary resources, the primary human based sampling is avoided. However, the purposive sampling concept will be employed for selecting secondary qualitative data sources. According to Campbell et al. (2020) the purposive sampling is appropriate for qualitative research, where the objective is to gain detailed insights rather than achieving any statistical representativeness. This type of non-probability sampling technique will help the research by including authoritative sources like government publications, UK Parliament related reports, news articles, journals and others. The timeline of those sources will be within 10 years. This approach will ensure that only updated, credible and context driven evidence will be analysed thereby enhancing validity of findings. </w:t>
      </w:r>
    </w:p>
    <w:p w14:paraId="78CD211D" w14:textId="77777777" w:rsidR="009567FE" w:rsidRDefault="009567FE">
      <w:pPr>
        <w:rPr>
          <w:rFonts w:ascii="Arial" w:hAnsi="Arial" w:cs="Arial"/>
          <w:b/>
          <w:bCs/>
          <w:i/>
          <w:iCs/>
          <w:sz w:val="24"/>
          <w:szCs w:val="24"/>
        </w:rPr>
      </w:pPr>
    </w:p>
    <w:p w14:paraId="71DCE118" w14:textId="10C5369F" w:rsidR="00722255" w:rsidRPr="009E6368" w:rsidRDefault="00AF39C0">
      <w:pPr>
        <w:rPr>
          <w:rFonts w:ascii="Arial" w:hAnsi="Arial" w:cs="Arial"/>
          <w:b/>
          <w:bCs/>
          <w:i/>
          <w:iCs/>
          <w:color w:val="000000"/>
          <w:sz w:val="24"/>
          <w:szCs w:val="24"/>
        </w:rPr>
      </w:pPr>
      <w:r w:rsidRPr="009E6368">
        <w:rPr>
          <w:rFonts w:ascii="Arial" w:hAnsi="Arial" w:cs="Arial"/>
          <w:b/>
          <w:bCs/>
          <w:i/>
          <w:iCs/>
          <w:sz w:val="24"/>
          <w:szCs w:val="24"/>
        </w:rPr>
        <w:t xml:space="preserve">Ethics: </w:t>
      </w:r>
    </w:p>
    <w:p w14:paraId="71DCE119" w14:textId="76CBDD2D" w:rsidR="00722255" w:rsidRPr="009E6368" w:rsidRDefault="00AF39C0">
      <w:pPr>
        <w:rPr>
          <w:rFonts w:ascii="Arial" w:hAnsi="Arial" w:cs="Arial"/>
          <w:b/>
          <w:bCs/>
          <w:i/>
          <w:iCs/>
          <w:sz w:val="24"/>
          <w:szCs w:val="24"/>
        </w:rPr>
      </w:pPr>
      <w:r w:rsidRPr="009E6368">
        <w:rPr>
          <w:rFonts w:ascii="Arial" w:hAnsi="Arial" w:cs="Arial"/>
          <w:sz w:val="24"/>
          <w:szCs w:val="24"/>
        </w:rPr>
        <w:t xml:space="preserve">In the present research, no human participants will be involved, because it will be based on publicly available secondary resources. The present research will ensure the accurate and justifiable interpretations of government publications, and case laws. </w:t>
      </w:r>
      <w:r w:rsidR="008377DC" w:rsidRPr="009E6368">
        <w:rPr>
          <w:rFonts w:ascii="Arial" w:hAnsi="Arial" w:cs="Arial"/>
          <w:sz w:val="24"/>
          <w:szCs w:val="24"/>
        </w:rPr>
        <w:t>All</w:t>
      </w:r>
      <w:r w:rsidRPr="009E6368">
        <w:rPr>
          <w:rFonts w:ascii="Arial" w:hAnsi="Arial" w:cs="Arial"/>
          <w:sz w:val="24"/>
          <w:szCs w:val="24"/>
        </w:rPr>
        <w:t xml:space="preserve"> the resources will be properly acknowledged by providing citations and referencing by following the university referencing conventions.</w:t>
      </w:r>
      <w:r w:rsidRPr="009E6368">
        <w:rPr>
          <w:rFonts w:ascii="Arial" w:hAnsi="Arial" w:cs="Arial"/>
          <w:b/>
          <w:bCs/>
          <w:i/>
          <w:iCs/>
          <w:sz w:val="24"/>
          <w:szCs w:val="24"/>
        </w:rPr>
        <w:t xml:space="preserve"> </w:t>
      </w:r>
    </w:p>
    <w:p w14:paraId="71DCE11A" w14:textId="77777777" w:rsidR="00722255" w:rsidRPr="009E6368" w:rsidRDefault="00AF39C0">
      <w:pPr>
        <w:rPr>
          <w:rFonts w:ascii="Arial" w:hAnsi="Arial" w:cs="Arial"/>
          <w:b/>
          <w:bCs/>
          <w:i/>
          <w:iCs/>
          <w:sz w:val="24"/>
          <w:szCs w:val="24"/>
        </w:rPr>
      </w:pPr>
      <w:r w:rsidRPr="009E6368">
        <w:rPr>
          <w:rFonts w:ascii="Arial" w:hAnsi="Arial" w:cs="Arial"/>
          <w:b/>
          <w:bCs/>
          <w:i/>
          <w:iCs/>
          <w:sz w:val="24"/>
          <w:szCs w:val="24"/>
        </w:rPr>
        <w:t xml:space="preserve">Analysis: </w:t>
      </w:r>
    </w:p>
    <w:p w14:paraId="71DCE11B" w14:textId="77777777" w:rsidR="00722255" w:rsidRPr="009E6368" w:rsidRDefault="00AF39C0">
      <w:pPr>
        <w:rPr>
          <w:rFonts w:ascii="Arial" w:hAnsi="Arial" w:cs="Arial"/>
          <w:sz w:val="24"/>
          <w:szCs w:val="24"/>
        </w:rPr>
      </w:pPr>
      <w:r w:rsidRPr="009E6368">
        <w:rPr>
          <w:rFonts w:ascii="Arial" w:hAnsi="Arial" w:cs="Arial"/>
          <w:sz w:val="24"/>
          <w:szCs w:val="24"/>
        </w:rPr>
        <w:t xml:space="preserve">After the collection of secondary data, they will be properly organised and categorised based on qualitative themes. This thematic analysis method will help in synthesising evidence from case laws, policy documents and academic literature. This will facilitate </w:t>
      </w:r>
      <w:r w:rsidRPr="009E6368">
        <w:rPr>
          <w:rFonts w:ascii="Arial" w:hAnsi="Arial" w:cs="Arial"/>
          <w:sz w:val="24"/>
          <w:szCs w:val="24"/>
        </w:rPr>
        <w:lastRenderedPageBreak/>
        <w:t>the comprehensive understanding of the relationship between the study variables like Procedural Justice, Public Trust and Police Legitimacy.</w:t>
      </w:r>
    </w:p>
    <w:p w14:paraId="71DCE11C" w14:textId="77777777" w:rsidR="00722255" w:rsidRPr="009E6368" w:rsidRDefault="00AF39C0">
      <w:pPr>
        <w:rPr>
          <w:rFonts w:ascii="Arial" w:hAnsi="Arial" w:cs="Arial"/>
          <w:sz w:val="24"/>
          <w:szCs w:val="24"/>
        </w:rPr>
      </w:pPr>
      <w:r w:rsidRPr="009E6368">
        <w:rPr>
          <w:rFonts w:ascii="Arial" w:hAnsi="Arial" w:cs="Arial"/>
          <w:sz w:val="24"/>
          <w:szCs w:val="24"/>
        </w:rPr>
        <w:t>_________________________________________________________________</w:t>
      </w:r>
    </w:p>
    <w:p w14:paraId="027B4FE5" w14:textId="77777777" w:rsidR="009567FE" w:rsidRDefault="009567FE">
      <w:pPr>
        <w:rPr>
          <w:rFonts w:ascii="Arial" w:hAnsi="Arial" w:cs="Arial"/>
          <w:sz w:val="24"/>
          <w:szCs w:val="24"/>
        </w:rPr>
      </w:pPr>
    </w:p>
    <w:p w14:paraId="609E27D3" w14:textId="77777777" w:rsidR="009567FE" w:rsidRDefault="009567FE">
      <w:pPr>
        <w:rPr>
          <w:rFonts w:ascii="Arial" w:hAnsi="Arial" w:cs="Arial"/>
          <w:sz w:val="24"/>
          <w:szCs w:val="24"/>
        </w:rPr>
      </w:pPr>
    </w:p>
    <w:p w14:paraId="4C4867DC" w14:textId="77777777" w:rsidR="009567FE" w:rsidRDefault="009567FE">
      <w:pPr>
        <w:rPr>
          <w:rFonts w:ascii="Arial" w:hAnsi="Arial" w:cs="Arial"/>
          <w:sz w:val="24"/>
          <w:szCs w:val="24"/>
        </w:rPr>
      </w:pPr>
    </w:p>
    <w:p w14:paraId="71DCE15B" w14:textId="2E6AA4FE" w:rsidR="00722255" w:rsidRPr="009567FE" w:rsidRDefault="00AF39C0">
      <w:pPr>
        <w:rPr>
          <w:rFonts w:ascii="Arial" w:hAnsi="Arial" w:cs="Arial"/>
          <w:b/>
          <w:bCs/>
          <w:sz w:val="24"/>
          <w:szCs w:val="24"/>
        </w:rPr>
      </w:pPr>
      <w:r w:rsidRPr="009E6368">
        <w:rPr>
          <w:rFonts w:ascii="Arial" w:hAnsi="Arial" w:cs="Arial"/>
          <w:b/>
          <w:bCs/>
          <w:sz w:val="24"/>
          <w:szCs w:val="24"/>
        </w:rPr>
        <w:t>Anticipated Outcomes</w:t>
      </w:r>
      <w:r w:rsidRPr="009E6368">
        <w:rPr>
          <w:rFonts w:ascii="Arial" w:hAnsi="Arial" w:cs="Arial"/>
          <w:sz w:val="24"/>
          <w:szCs w:val="24"/>
        </w:rPr>
        <w:t>:</w:t>
      </w:r>
    </w:p>
    <w:p w14:paraId="71DCE15C" w14:textId="08209BFA" w:rsidR="00722255" w:rsidRPr="009E6368" w:rsidRDefault="00AF39C0">
      <w:pPr>
        <w:rPr>
          <w:rFonts w:ascii="Arial" w:hAnsi="Arial" w:cs="Arial"/>
          <w:sz w:val="24"/>
          <w:szCs w:val="24"/>
        </w:rPr>
      </w:pPr>
      <w:r w:rsidRPr="009E6368">
        <w:rPr>
          <w:rFonts w:ascii="Arial" w:hAnsi="Arial" w:cs="Arial"/>
          <w:sz w:val="24"/>
          <w:szCs w:val="24"/>
        </w:rPr>
        <w:t xml:space="preserve">The purpose of this study is to provide clarity about the links between the three dimensions of respectful treatment, citizen voice and neutrality and trustworthy motives to public trust and police legitimacy in England and Wales. It will match forces, policing settings and communities to highlight the situations in which procedural justice is not being used consistently and where there are trust barriers. This research would be valuable for police use in fostering communication that is both fair and transparent in police-community interactions. They have the potential to contribute to policy by ensuring uniformity of procedural justice standards, accountability and monitoring between forces. Research also could enhance officer-leadership development </w:t>
      </w:r>
      <w:r w:rsidR="008377DC" w:rsidRPr="009E6368">
        <w:rPr>
          <w:rFonts w:ascii="Arial" w:hAnsi="Arial" w:cs="Arial"/>
          <w:sz w:val="24"/>
          <w:szCs w:val="24"/>
        </w:rPr>
        <w:t>using</w:t>
      </w:r>
      <w:r w:rsidRPr="009E6368">
        <w:rPr>
          <w:rFonts w:ascii="Arial" w:hAnsi="Arial" w:cs="Arial"/>
          <w:sz w:val="24"/>
          <w:szCs w:val="24"/>
        </w:rPr>
        <w:t xml:space="preserve"> cases to teach the parameters of respectful conduct, unbiased decision making and honest explanations. Finally, it aims to enhance policing of consent and to restore confidence in policing amongst women, minorities and victims.</w:t>
      </w:r>
    </w:p>
    <w:p w14:paraId="71DCE15D" w14:textId="77777777" w:rsidR="00722255" w:rsidRPr="009E6368" w:rsidRDefault="00722255">
      <w:pPr>
        <w:rPr>
          <w:rFonts w:ascii="Arial" w:hAnsi="Arial" w:cs="Arial"/>
          <w:sz w:val="24"/>
          <w:szCs w:val="24"/>
        </w:rPr>
      </w:pPr>
    </w:p>
    <w:p w14:paraId="71DCE15E" w14:textId="77777777" w:rsidR="00722255" w:rsidRPr="009E6368" w:rsidRDefault="00722255">
      <w:pPr>
        <w:rPr>
          <w:rFonts w:ascii="Arial" w:hAnsi="Arial" w:cs="Arial"/>
          <w:sz w:val="24"/>
          <w:szCs w:val="24"/>
        </w:rPr>
      </w:pPr>
    </w:p>
    <w:p w14:paraId="71DCE15F" w14:textId="77777777" w:rsidR="00722255" w:rsidRPr="009E6368" w:rsidRDefault="00722255">
      <w:pPr>
        <w:rPr>
          <w:rFonts w:ascii="Arial" w:hAnsi="Arial" w:cs="Arial"/>
          <w:sz w:val="24"/>
          <w:szCs w:val="24"/>
        </w:rPr>
      </w:pPr>
    </w:p>
    <w:p w14:paraId="71DCE160" w14:textId="77777777" w:rsidR="00722255" w:rsidRPr="009E6368" w:rsidRDefault="00722255">
      <w:pPr>
        <w:rPr>
          <w:rFonts w:ascii="Arial" w:hAnsi="Arial" w:cs="Arial"/>
          <w:sz w:val="24"/>
          <w:szCs w:val="24"/>
        </w:rPr>
      </w:pPr>
    </w:p>
    <w:p w14:paraId="71DCE161" w14:textId="77777777" w:rsidR="00722255" w:rsidRPr="009E6368" w:rsidRDefault="00722255">
      <w:pPr>
        <w:rPr>
          <w:rFonts w:ascii="Arial" w:hAnsi="Arial" w:cs="Arial"/>
          <w:sz w:val="24"/>
          <w:szCs w:val="24"/>
        </w:rPr>
      </w:pPr>
    </w:p>
    <w:p w14:paraId="71DCE162" w14:textId="77777777" w:rsidR="00722255" w:rsidRPr="009E6368" w:rsidRDefault="00722255">
      <w:pPr>
        <w:rPr>
          <w:rFonts w:ascii="Arial" w:hAnsi="Arial" w:cs="Arial"/>
          <w:sz w:val="24"/>
          <w:szCs w:val="24"/>
        </w:rPr>
      </w:pPr>
    </w:p>
    <w:p w14:paraId="71DCE163" w14:textId="77777777" w:rsidR="00722255" w:rsidRPr="009E6368" w:rsidRDefault="00722255">
      <w:pPr>
        <w:rPr>
          <w:rFonts w:ascii="Arial" w:hAnsi="Arial" w:cs="Arial"/>
          <w:sz w:val="24"/>
          <w:szCs w:val="24"/>
        </w:rPr>
      </w:pPr>
    </w:p>
    <w:p w14:paraId="71DCE164" w14:textId="77777777" w:rsidR="00722255" w:rsidRPr="009E6368" w:rsidRDefault="00722255">
      <w:pPr>
        <w:rPr>
          <w:rFonts w:ascii="Arial" w:hAnsi="Arial" w:cs="Arial"/>
          <w:sz w:val="24"/>
          <w:szCs w:val="24"/>
        </w:rPr>
      </w:pPr>
    </w:p>
    <w:p w14:paraId="71DCE165" w14:textId="77777777" w:rsidR="00722255" w:rsidRPr="009E6368" w:rsidRDefault="00722255">
      <w:pPr>
        <w:rPr>
          <w:rFonts w:ascii="Arial" w:hAnsi="Arial" w:cs="Arial"/>
          <w:sz w:val="24"/>
          <w:szCs w:val="24"/>
        </w:rPr>
      </w:pPr>
    </w:p>
    <w:p w14:paraId="71DCE166" w14:textId="77777777" w:rsidR="00722255" w:rsidRPr="009E6368" w:rsidRDefault="00722255">
      <w:pPr>
        <w:rPr>
          <w:rFonts w:ascii="Arial" w:hAnsi="Arial" w:cs="Arial"/>
          <w:sz w:val="24"/>
          <w:szCs w:val="24"/>
        </w:rPr>
      </w:pPr>
    </w:p>
    <w:p w14:paraId="71DCE167" w14:textId="77777777" w:rsidR="00722255" w:rsidRPr="009E6368" w:rsidRDefault="00722255">
      <w:pPr>
        <w:rPr>
          <w:rFonts w:ascii="Arial" w:hAnsi="Arial" w:cs="Arial"/>
          <w:sz w:val="24"/>
          <w:szCs w:val="24"/>
        </w:rPr>
      </w:pPr>
    </w:p>
    <w:p w14:paraId="71DCE168" w14:textId="77777777" w:rsidR="00722255" w:rsidRPr="009E6368" w:rsidRDefault="00722255">
      <w:pPr>
        <w:rPr>
          <w:rFonts w:ascii="Arial" w:hAnsi="Arial" w:cs="Arial"/>
          <w:sz w:val="24"/>
          <w:szCs w:val="24"/>
        </w:rPr>
      </w:pPr>
    </w:p>
    <w:p w14:paraId="71DCE169" w14:textId="77777777" w:rsidR="00722255" w:rsidRPr="009E6368" w:rsidRDefault="00722255">
      <w:pPr>
        <w:rPr>
          <w:rFonts w:ascii="Arial" w:hAnsi="Arial" w:cs="Arial"/>
          <w:sz w:val="24"/>
          <w:szCs w:val="24"/>
        </w:rPr>
      </w:pPr>
    </w:p>
    <w:p w14:paraId="71DCE16A" w14:textId="77777777" w:rsidR="00722255" w:rsidRPr="009E6368" w:rsidRDefault="00722255">
      <w:pPr>
        <w:rPr>
          <w:rFonts w:ascii="Arial" w:hAnsi="Arial" w:cs="Arial"/>
          <w:sz w:val="24"/>
          <w:szCs w:val="24"/>
        </w:rPr>
      </w:pPr>
    </w:p>
    <w:p w14:paraId="71DCE16B" w14:textId="77777777" w:rsidR="00722255" w:rsidRPr="009E6368" w:rsidRDefault="00722255">
      <w:pPr>
        <w:rPr>
          <w:rFonts w:ascii="Arial" w:hAnsi="Arial" w:cs="Arial"/>
          <w:sz w:val="24"/>
          <w:szCs w:val="24"/>
        </w:rPr>
      </w:pPr>
    </w:p>
    <w:p w14:paraId="71DCE16C" w14:textId="77777777" w:rsidR="00722255" w:rsidRPr="009E6368" w:rsidRDefault="00722255">
      <w:pPr>
        <w:rPr>
          <w:rFonts w:ascii="Arial" w:hAnsi="Arial" w:cs="Arial"/>
          <w:sz w:val="24"/>
          <w:szCs w:val="24"/>
        </w:rPr>
      </w:pPr>
    </w:p>
    <w:p w14:paraId="71DCE16D" w14:textId="77777777" w:rsidR="00722255" w:rsidRPr="009E6368" w:rsidRDefault="00722255">
      <w:pPr>
        <w:rPr>
          <w:rFonts w:ascii="Arial" w:hAnsi="Arial" w:cs="Arial"/>
          <w:sz w:val="24"/>
          <w:szCs w:val="24"/>
        </w:rPr>
      </w:pPr>
    </w:p>
    <w:p w14:paraId="71DCE16E" w14:textId="77777777" w:rsidR="00722255" w:rsidRPr="009E6368" w:rsidRDefault="00722255">
      <w:pPr>
        <w:rPr>
          <w:rFonts w:ascii="Arial" w:hAnsi="Arial" w:cs="Arial"/>
          <w:sz w:val="24"/>
          <w:szCs w:val="24"/>
        </w:rPr>
      </w:pPr>
    </w:p>
    <w:p w14:paraId="71DCE16F" w14:textId="77777777" w:rsidR="00722255" w:rsidRPr="009E6368" w:rsidRDefault="00AF39C0">
      <w:pPr>
        <w:rPr>
          <w:rFonts w:ascii="Arial" w:hAnsi="Arial" w:cs="Arial"/>
          <w:b/>
          <w:bCs/>
          <w:sz w:val="24"/>
          <w:szCs w:val="24"/>
        </w:rPr>
      </w:pPr>
      <w:r w:rsidRPr="009E6368">
        <w:rPr>
          <w:rFonts w:ascii="Arial" w:hAnsi="Arial" w:cs="Arial"/>
          <w:sz w:val="24"/>
          <w:szCs w:val="24"/>
        </w:rPr>
        <w:t>__________________________________________________________________</w:t>
      </w:r>
    </w:p>
    <w:p w14:paraId="71DCE170" w14:textId="77777777" w:rsidR="00722255" w:rsidRPr="009E6368" w:rsidRDefault="00AF39C0">
      <w:pPr>
        <w:rPr>
          <w:rFonts w:ascii="Arial" w:hAnsi="Arial" w:cs="Arial"/>
          <w:color w:val="000000"/>
          <w:sz w:val="24"/>
          <w:szCs w:val="24"/>
        </w:rPr>
      </w:pPr>
      <w:r w:rsidRPr="009E6368">
        <w:rPr>
          <w:rFonts w:ascii="Arial" w:hAnsi="Arial" w:cs="Arial"/>
          <w:b/>
          <w:bCs/>
          <w:color w:val="000000"/>
          <w:sz w:val="24"/>
          <w:szCs w:val="24"/>
        </w:rPr>
        <w:t xml:space="preserve">References </w:t>
      </w:r>
    </w:p>
    <w:p w14:paraId="1C830688"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Barber, M. and Tankebe, J. (2024) 'Tracking procedural justice in stop and search pedestrian encounters with police body-camera records', </w:t>
      </w:r>
      <w:r w:rsidRPr="009E6368">
        <w:rPr>
          <w:rFonts w:ascii="Arial" w:hAnsi="Arial" w:cs="Arial"/>
          <w:i/>
          <w:iCs/>
          <w:color w:val="000000"/>
          <w:sz w:val="24"/>
          <w:szCs w:val="24"/>
        </w:rPr>
        <w:t>Policing: A Journal of Policy and Practice</w:t>
      </w:r>
      <w:r w:rsidRPr="009E6368">
        <w:rPr>
          <w:rFonts w:ascii="Arial" w:hAnsi="Arial" w:cs="Arial"/>
          <w:color w:val="000000"/>
          <w:sz w:val="24"/>
          <w:szCs w:val="24"/>
        </w:rPr>
        <w:t xml:space="preserve">, 18. </w:t>
      </w:r>
      <w:hyperlink r:id="rId7" w:tgtFrame="_new" w:history="1">
        <w:r w:rsidRPr="009E6368">
          <w:rPr>
            <w:rStyle w:val="Hyperlink"/>
            <w:rFonts w:ascii="Arial" w:hAnsi="Arial" w:cs="Arial"/>
            <w:sz w:val="24"/>
            <w:szCs w:val="24"/>
          </w:rPr>
          <w:t>https://doi.org/10.1093/police/paae074</w:t>
        </w:r>
      </w:hyperlink>
      <w:r w:rsidRPr="009E6368">
        <w:rPr>
          <w:rFonts w:ascii="Arial" w:hAnsi="Arial" w:cs="Arial"/>
          <w:color w:val="000000"/>
          <w:sz w:val="24"/>
          <w:szCs w:val="24"/>
        </w:rPr>
        <w:t>.</w:t>
      </w:r>
    </w:p>
    <w:p w14:paraId="699E51DE"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Campbell, S., Greenwood, M., Prior, S., Shearer, T., Walkem, K., Young, S., Bywaters, D. and Walker, K. (2020) 'Purposive sampling: Complex or simple? Research case examples', </w:t>
      </w:r>
      <w:r w:rsidRPr="009E6368">
        <w:rPr>
          <w:rFonts w:ascii="Arial" w:hAnsi="Arial" w:cs="Arial"/>
          <w:i/>
          <w:iCs/>
          <w:color w:val="000000"/>
          <w:sz w:val="24"/>
          <w:szCs w:val="24"/>
        </w:rPr>
        <w:t>Journal of Research in Nursing</w:t>
      </w:r>
      <w:r w:rsidRPr="009E6368">
        <w:rPr>
          <w:rFonts w:ascii="Arial" w:hAnsi="Arial" w:cs="Arial"/>
          <w:color w:val="000000"/>
          <w:sz w:val="24"/>
          <w:szCs w:val="24"/>
        </w:rPr>
        <w:t xml:space="preserve">, 25(8), pp. 652–661. </w:t>
      </w:r>
      <w:hyperlink r:id="rId8" w:tgtFrame="_new" w:history="1">
        <w:r w:rsidRPr="009E6368">
          <w:rPr>
            <w:rStyle w:val="Hyperlink"/>
            <w:rFonts w:ascii="Arial" w:hAnsi="Arial" w:cs="Arial"/>
            <w:sz w:val="24"/>
            <w:szCs w:val="24"/>
          </w:rPr>
          <w:t>https://doi.org/10.1177/1744987120927206</w:t>
        </w:r>
      </w:hyperlink>
      <w:r w:rsidRPr="009E6368">
        <w:rPr>
          <w:rFonts w:ascii="Arial" w:hAnsi="Arial" w:cs="Arial"/>
          <w:color w:val="000000"/>
          <w:sz w:val="24"/>
          <w:szCs w:val="24"/>
        </w:rPr>
        <w:t>.</w:t>
      </w:r>
    </w:p>
    <w:p w14:paraId="79B78FE8" w14:textId="0C2834E3"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Cram, F. (2023) 'Fairness, relationships and perceptions of police legitimacy in the context of integrated offender management', </w:t>
      </w:r>
      <w:r w:rsidRPr="009E6368">
        <w:rPr>
          <w:rFonts w:ascii="Arial" w:hAnsi="Arial" w:cs="Arial"/>
          <w:i/>
          <w:iCs/>
          <w:color w:val="000000"/>
          <w:sz w:val="24"/>
          <w:szCs w:val="24"/>
        </w:rPr>
        <w:t>Policing and Society</w:t>
      </w:r>
      <w:r w:rsidRPr="009E6368">
        <w:rPr>
          <w:rFonts w:ascii="Arial" w:hAnsi="Arial" w:cs="Arial"/>
          <w:color w:val="000000"/>
          <w:sz w:val="24"/>
          <w:szCs w:val="24"/>
        </w:rPr>
        <w:t xml:space="preserve">, 34(4), pp. 1–18. </w:t>
      </w:r>
      <w:hyperlink r:id="rId9" w:tgtFrame="_new" w:history="1">
        <w:r w:rsidRPr="009E6368">
          <w:rPr>
            <w:rStyle w:val="Hyperlink"/>
            <w:rFonts w:ascii="Arial" w:hAnsi="Arial" w:cs="Arial"/>
            <w:sz w:val="24"/>
            <w:szCs w:val="24"/>
          </w:rPr>
          <w:t>https://doi.org/10.1080/10439463.2023.2267733</w:t>
        </w:r>
      </w:hyperlink>
      <w:r w:rsidRPr="009E6368">
        <w:rPr>
          <w:rFonts w:ascii="Arial" w:hAnsi="Arial" w:cs="Arial"/>
          <w:color w:val="000000"/>
          <w:sz w:val="24"/>
          <w:szCs w:val="24"/>
        </w:rPr>
        <w:t>.</w:t>
      </w:r>
    </w:p>
    <w:p w14:paraId="1218A474"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Gold, J. (2022) 'Improving community relations in the police through procedural justice: An action learning initiative', </w:t>
      </w:r>
      <w:r w:rsidRPr="009E6368">
        <w:rPr>
          <w:rFonts w:ascii="Arial" w:hAnsi="Arial" w:cs="Arial"/>
          <w:i/>
          <w:iCs/>
          <w:color w:val="000000"/>
          <w:sz w:val="24"/>
          <w:szCs w:val="24"/>
        </w:rPr>
        <w:t>Action Learning: Research and Practice</w:t>
      </w:r>
      <w:r w:rsidRPr="009E6368">
        <w:rPr>
          <w:rFonts w:ascii="Arial" w:hAnsi="Arial" w:cs="Arial"/>
          <w:color w:val="000000"/>
          <w:sz w:val="24"/>
          <w:szCs w:val="24"/>
        </w:rPr>
        <w:t>, 19(3), pp. 1–18. https://doi.org/10.1080/14767333.2022.2129586.</w:t>
      </w:r>
    </w:p>
    <w:p w14:paraId="5669C2A4"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Ligenza, K., Muir, K. and Harrison, N. (2026) 'What influences public confidence in local policing? Case study in Avon and Somerset exploring the role of perceived knowledge of police education and training and other contributing factors', </w:t>
      </w:r>
      <w:r w:rsidRPr="009E6368">
        <w:rPr>
          <w:rFonts w:ascii="Arial" w:hAnsi="Arial" w:cs="Arial"/>
          <w:i/>
          <w:iCs/>
          <w:color w:val="000000"/>
          <w:sz w:val="24"/>
          <w:szCs w:val="24"/>
        </w:rPr>
        <w:t>Policing: A Journal of Policy and Practice</w:t>
      </w:r>
      <w:r w:rsidRPr="009E6368">
        <w:rPr>
          <w:rFonts w:ascii="Arial" w:hAnsi="Arial" w:cs="Arial"/>
          <w:color w:val="000000"/>
          <w:sz w:val="24"/>
          <w:szCs w:val="24"/>
        </w:rPr>
        <w:t xml:space="preserve">, 20. Available at: </w:t>
      </w:r>
      <w:hyperlink r:id="rId10" w:tgtFrame="_new" w:history="1">
        <w:r w:rsidRPr="009E6368">
          <w:rPr>
            <w:rStyle w:val="Hyperlink"/>
            <w:rFonts w:ascii="Arial" w:hAnsi="Arial" w:cs="Arial"/>
            <w:sz w:val="24"/>
            <w:szCs w:val="24"/>
          </w:rPr>
          <w:t>https://academic.oup.com/policing/article/doi/10.1093/police/paag009/8519399</w:t>
        </w:r>
      </w:hyperlink>
      <w:r w:rsidRPr="009E6368">
        <w:rPr>
          <w:rFonts w:ascii="Arial" w:hAnsi="Arial" w:cs="Arial"/>
          <w:color w:val="000000"/>
          <w:sz w:val="24"/>
          <w:szCs w:val="24"/>
        </w:rPr>
        <w:t xml:space="preserve"> (Accessed: 16 July 2026).</w:t>
      </w:r>
    </w:p>
    <w:p w14:paraId="325CF8E0"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Neupane, B.P., Dahal, N., Dhakal, R.K., Hasan, M.K., Villarama, J.A. and Fabros, B.G. (2026) 'Data collection methods in qualitative research: Researchers’ reflections', </w:t>
      </w:r>
      <w:r w:rsidRPr="009E6368">
        <w:rPr>
          <w:rFonts w:ascii="Arial" w:hAnsi="Arial" w:cs="Arial"/>
          <w:i/>
          <w:iCs/>
          <w:color w:val="000000"/>
          <w:sz w:val="24"/>
          <w:szCs w:val="24"/>
        </w:rPr>
        <w:t>Frontiers in Research Metrics and Analytics</w:t>
      </w:r>
      <w:r w:rsidRPr="009E6368">
        <w:rPr>
          <w:rFonts w:ascii="Arial" w:hAnsi="Arial" w:cs="Arial"/>
          <w:color w:val="000000"/>
          <w:sz w:val="24"/>
          <w:szCs w:val="24"/>
        </w:rPr>
        <w:t xml:space="preserve">, 11. </w:t>
      </w:r>
      <w:hyperlink r:id="rId11" w:tgtFrame="_new" w:history="1">
        <w:r w:rsidRPr="009E6368">
          <w:rPr>
            <w:rStyle w:val="Hyperlink"/>
            <w:rFonts w:ascii="Arial" w:hAnsi="Arial" w:cs="Arial"/>
            <w:sz w:val="24"/>
            <w:szCs w:val="24"/>
          </w:rPr>
          <w:t>https://doi.org/10.3389/frma.2026.1778160</w:t>
        </w:r>
      </w:hyperlink>
      <w:r w:rsidRPr="009E6368">
        <w:rPr>
          <w:rFonts w:ascii="Arial" w:hAnsi="Arial" w:cs="Arial"/>
          <w:color w:val="000000"/>
          <w:sz w:val="24"/>
          <w:szCs w:val="24"/>
        </w:rPr>
        <w:t>.</w:t>
      </w:r>
    </w:p>
    <w:p w14:paraId="33C48769"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lastRenderedPageBreak/>
        <w:t xml:space="preserve">Office for National Statistics (ONS) (2025) </w:t>
      </w:r>
      <w:r w:rsidRPr="009E6368">
        <w:rPr>
          <w:rFonts w:ascii="Arial" w:hAnsi="Arial" w:cs="Arial"/>
          <w:i/>
          <w:iCs/>
          <w:color w:val="000000"/>
          <w:sz w:val="24"/>
          <w:szCs w:val="24"/>
        </w:rPr>
        <w:t>Perception and experience of police and criminal justice system, England and Wales</w:t>
      </w:r>
      <w:r w:rsidRPr="009E6368">
        <w:rPr>
          <w:rFonts w:ascii="Arial" w:hAnsi="Arial" w:cs="Arial"/>
          <w:color w:val="000000"/>
          <w:sz w:val="24"/>
          <w:szCs w:val="24"/>
        </w:rPr>
        <w:t xml:space="preserve">. Available at: </w:t>
      </w:r>
      <w:hyperlink r:id="rId12" w:tgtFrame="_new" w:history="1">
        <w:r w:rsidRPr="009E6368">
          <w:rPr>
            <w:rStyle w:val="Hyperlink"/>
            <w:rFonts w:ascii="Arial" w:hAnsi="Arial" w:cs="Arial"/>
            <w:sz w:val="24"/>
            <w:szCs w:val="24"/>
          </w:rPr>
          <w:t>https://www.ons.gov.uk/peoplepopulationandcommunity/crimeandjustice/articles/perceptionandexperienceofpoliceandcriminaljusticesystemenglandandwales/yearendingmarch2025</w:t>
        </w:r>
      </w:hyperlink>
      <w:r w:rsidRPr="009E6368">
        <w:rPr>
          <w:rFonts w:ascii="Arial" w:hAnsi="Arial" w:cs="Arial"/>
          <w:color w:val="000000"/>
          <w:sz w:val="24"/>
          <w:szCs w:val="24"/>
        </w:rPr>
        <w:t xml:space="preserve"> (Accessed: 16 July 2026).</w:t>
      </w:r>
    </w:p>
    <w:p w14:paraId="158B9F6A"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Pickering, S., Dorussen, H., Hansen, M.E., Reifler, J., Scotto, T., Sunahara, Y. and Yen, D. (2024) 'London, you have a problem with women: Trust towards the police in England', </w:t>
      </w:r>
      <w:r w:rsidRPr="009E6368">
        <w:rPr>
          <w:rFonts w:ascii="Arial" w:hAnsi="Arial" w:cs="Arial"/>
          <w:i/>
          <w:iCs/>
          <w:color w:val="000000"/>
          <w:sz w:val="24"/>
          <w:szCs w:val="24"/>
        </w:rPr>
        <w:t>Policing and Society</w:t>
      </w:r>
      <w:r w:rsidRPr="009E6368">
        <w:rPr>
          <w:rFonts w:ascii="Arial" w:hAnsi="Arial" w:cs="Arial"/>
          <w:color w:val="000000"/>
          <w:sz w:val="24"/>
          <w:szCs w:val="24"/>
        </w:rPr>
        <w:t xml:space="preserve">, 34(8), pp. 747–762. </w:t>
      </w:r>
      <w:hyperlink r:id="rId13" w:tgtFrame="_new" w:history="1">
        <w:r w:rsidRPr="009E6368">
          <w:rPr>
            <w:rStyle w:val="Hyperlink"/>
            <w:rFonts w:ascii="Arial" w:hAnsi="Arial" w:cs="Arial"/>
            <w:sz w:val="24"/>
            <w:szCs w:val="24"/>
          </w:rPr>
          <w:t>https://doi.org/10.1080/10439463.2024.2334009</w:t>
        </w:r>
      </w:hyperlink>
      <w:r w:rsidRPr="009E6368">
        <w:rPr>
          <w:rFonts w:ascii="Arial" w:hAnsi="Arial" w:cs="Arial"/>
          <w:color w:val="000000"/>
          <w:sz w:val="24"/>
          <w:szCs w:val="24"/>
        </w:rPr>
        <w:t>.</w:t>
      </w:r>
    </w:p>
    <w:p w14:paraId="286F57F0"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Tyler, T.R., Fleming, M. and Mentovich, A. (2023) </w:t>
      </w:r>
      <w:r w:rsidRPr="009E6368">
        <w:rPr>
          <w:rFonts w:ascii="Arial" w:hAnsi="Arial" w:cs="Arial"/>
          <w:i/>
          <w:iCs/>
          <w:color w:val="000000"/>
          <w:sz w:val="24"/>
          <w:szCs w:val="24"/>
        </w:rPr>
        <w:t>Mechanisms of legal effect: Procedural justice theory</w:t>
      </w:r>
      <w:r w:rsidRPr="009E6368">
        <w:rPr>
          <w:rFonts w:ascii="Arial" w:hAnsi="Arial" w:cs="Arial"/>
          <w:color w:val="000000"/>
          <w:sz w:val="24"/>
          <w:szCs w:val="24"/>
        </w:rPr>
        <w:t xml:space="preserve">. Available at: </w:t>
      </w:r>
      <w:hyperlink r:id="rId14" w:tgtFrame="_new" w:history="1">
        <w:r w:rsidRPr="009E6368">
          <w:rPr>
            <w:rStyle w:val="Hyperlink"/>
            <w:rFonts w:ascii="Arial" w:hAnsi="Arial" w:cs="Arial"/>
            <w:sz w:val="24"/>
            <w:szCs w:val="24"/>
          </w:rPr>
          <w:t>https://phlr.org/sites/default/files/downloads/resource/CPHLR-TheoryMethods2023_ProceduralJustice.pdf</w:t>
        </w:r>
      </w:hyperlink>
      <w:r w:rsidRPr="009E6368">
        <w:rPr>
          <w:rFonts w:ascii="Arial" w:hAnsi="Arial" w:cs="Arial"/>
          <w:color w:val="000000"/>
          <w:sz w:val="24"/>
          <w:szCs w:val="24"/>
        </w:rPr>
        <w:t xml:space="preserve"> (Accessed: 16 July 2026).</w:t>
      </w:r>
    </w:p>
    <w:p w14:paraId="528D4F07" w14:textId="77777777" w:rsidR="0069082D" w:rsidRPr="009E6368" w:rsidRDefault="0069082D" w:rsidP="0069082D">
      <w:pPr>
        <w:rPr>
          <w:rFonts w:ascii="Arial" w:hAnsi="Arial" w:cs="Arial"/>
          <w:color w:val="000000"/>
          <w:sz w:val="24"/>
          <w:szCs w:val="24"/>
        </w:rPr>
      </w:pPr>
      <w:r w:rsidRPr="009E6368">
        <w:rPr>
          <w:rFonts w:ascii="Arial" w:hAnsi="Arial" w:cs="Arial"/>
          <w:color w:val="000000"/>
          <w:sz w:val="24"/>
          <w:szCs w:val="24"/>
        </w:rPr>
        <w:t xml:space="preserve">Yesberg, J.A., Sargeant, E., Fenn, L., Murphy, K. and Madon, N. (2024) 'Fairness in policing: How does internal procedural justice translate to external procedural justice?', </w:t>
      </w:r>
      <w:r w:rsidRPr="009E6368">
        <w:rPr>
          <w:rFonts w:ascii="Arial" w:hAnsi="Arial" w:cs="Arial"/>
          <w:i/>
          <w:iCs/>
          <w:color w:val="000000"/>
          <w:sz w:val="24"/>
          <w:szCs w:val="24"/>
        </w:rPr>
        <w:t>Policing: A Journal of Policy and Practice</w:t>
      </w:r>
      <w:r w:rsidRPr="009E6368">
        <w:rPr>
          <w:rFonts w:ascii="Arial" w:hAnsi="Arial" w:cs="Arial"/>
          <w:color w:val="000000"/>
          <w:sz w:val="24"/>
          <w:szCs w:val="24"/>
        </w:rPr>
        <w:t xml:space="preserve">, 18. </w:t>
      </w:r>
      <w:hyperlink r:id="rId15" w:tgtFrame="_new" w:history="1">
        <w:r w:rsidRPr="009E6368">
          <w:rPr>
            <w:rStyle w:val="Hyperlink"/>
            <w:rFonts w:ascii="Arial" w:hAnsi="Arial" w:cs="Arial"/>
            <w:sz w:val="24"/>
            <w:szCs w:val="24"/>
          </w:rPr>
          <w:t>https://doi.org/10.1093/police/paae126</w:t>
        </w:r>
      </w:hyperlink>
      <w:r w:rsidRPr="009E6368">
        <w:rPr>
          <w:rFonts w:ascii="Arial" w:hAnsi="Arial" w:cs="Arial"/>
          <w:color w:val="000000"/>
          <w:sz w:val="24"/>
          <w:szCs w:val="24"/>
        </w:rPr>
        <w:t>.</w:t>
      </w:r>
    </w:p>
    <w:p w14:paraId="71DCE17B" w14:textId="77777777" w:rsidR="00722255" w:rsidRPr="009E6368" w:rsidRDefault="00722255">
      <w:pPr>
        <w:rPr>
          <w:rFonts w:ascii="Arial" w:hAnsi="Arial" w:cs="Arial"/>
          <w:color w:val="000000"/>
          <w:sz w:val="24"/>
          <w:szCs w:val="24"/>
        </w:rPr>
      </w:pPr>
    </w:p>
    <w:p w14:paraId="71DCE17C" w14:textId="77777777" w:rsidR="00722255" w:rsidRPr="009E6368" w:rsidRDefault="00722255">
      <w:pPr>
        <w:rPr>
          <w:rFonts w:ascii="Arial" w:hAnsi="Arial" w:cs="Arial"/>
          <w:sz w:val="24"/>
          <w:szCs w:val="24"/>
        </w:rPr>
      </w:pPr>
    </w:p>
    <w:p w14:paraId="71DCE17D" w14:textId="77777777" w:rsidR="00722255" w:rsidRPr="009E6368" w:rsidRDefault="00722255">
      <w:pPr>
        <w:rPr>
          <w:rFonts w:ascii="Arial" w:hAnsi="Arial" w:cs="Arial"/>
          <w:sz w:val="24"/>
          <w:szCs w:val="24"/>
        </w:rPr>
      </w:pPr>
    </w:p>
    <w:sectPr w:rsidR="00722255" w:rsidRPr="009E6368">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F5559" w14:textId="77777777" w:rsidR="00C6785F" w:rsidRDefault="00C6785F" w:rsidP="00EF1DDB">
      <w:pPr>
        <w:spacing w:line="240" w:lineRule="auto"/>
      </w:pPr>
      <w:r>
        <w:separator/>
      </w:r>
    </w:p>
  </w:endnote>
  <w:endnote w:type="continuationSeparator" w:id="0">
    <w:p w14:paraId="5FA8CFC9" w14:textId="77777777" w:rsidR="00C6785F" w:rsidRDefault="00C6785F" w:rsidP="00EF1D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559F880-D0E9-435A-BEC6-865292B5C6DC}"/>
    <w:embedBold r:id="rId2" w:fontKey="{9022D492-F1E9-4253-88D5-2BAD5EADE245}"/>
    <w:embedItalic r:id="rId3" w:fontKey="{D8B40135-C81E-47C3-AA79-A8B7B70613C7}"/>
    <w:embedBoldItalic r:id="rId4" w:fontKey="{BFA9385B-DF11-4278-97DF-CC02FF638E5E}"/>
  </w:font>
  <w:font w:name="Georgia">
    <w:panose1 w:val="02040502050405020303"/>
    <w:charset w:val="00"/>
    <w:family w:val="roman"/>
    <w:pitch w:val="variable"/>
    <w:sig w:usb0="00000287" w:usb1="00000000" w:usb2="00000000" w:usb3="00000000" w:csb0="0000009F" w:csb1="00000000"/>
    <w:embedItalic r:id="rId5" w:fontKey="{B979E450-ED61-4EF0-BF88-8EC44DCCB5B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C30A0764-F4D2-47D2-B65F-C7C9032A9C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E184" w14:textId="77777777" w:rsidR="00EF1DDB" w:rsidRDefault="00EF1D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E185" w14:textId="77777777" w:rsidR="00EF1DDB" w:rsidRDefault="00EF1D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E187" w14:textId="77777777" w:rsidR="00EF1DDB" w:rsidRDefault="00EF1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C0B83" w14:textId="77777777" w:rsidR="00C6785F" w:rsidRDefault="00C6785F" w:rsidP="00EF1DDB">
      <w:pPr>
        <w:spacing w:line="240" w:lineRule="auto"/>
      </w:pPr>
      <w:r>
        <w:separator/>
      </w:r>
    </w:p>
  </w:footnote>
  <w:footnote w:type="continuationSeparator" w:id="0">
    <w:p w14:paraId="2543C4E1" w14:textId="77777777" w:rsidR="00C6785F" w:rsidRDefault="00C6785F" w:rsidP="00EF1D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E182" w14:textId="77777777" w:rsidR="00EF1DDB" w:rsidRDefault="00EF1D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E183" w14:textId="77777777" w:rsidR="00EF1DDB" w:rsidRDefault="00EF1D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E186" w14:textId="77777777" w:rsidR="00EF1DDB" w:rsidRDefault="00EF1D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A20C8"/>
    <w:multiLevelType w:val="multilevel"/>
    <w:tmpl w:val="B852C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52032D"/>
    <w:multiLevelType w:val="multilevel"/>
    <w:tmpl w:val="1F427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7132991">
    <w:abstractNumId w:val="1"/>
  </w:num>
  <w:num w:numId="2" w16cid:durableId="1676227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255"/>
    <w:rsid w:val="00010A49"/>
    <w:rsid w:val="000D21EB"/>
    <w:rsid w:val="00111380"/>
    <w:rsid w:val="001569DC"/>
    <w:rsid w:val="00181B56"/>
    <w:rsid w:val="0069082D"/>
    <w:rsid w:val="00722255"/>
    <w:rsid w:val="00754B89"/>
    <w:rsid w:val="0082390E"/>
    <w:rsid w:val="008377DC"/>
    <w:rsid w:val="009567FE"/>
    <w:rsid w:val="009B275A"/>
    <w:rsid w:val="009E6368"/>
    <w:rsid w:val="00AD1839"/>
    <w:rsid w:val="00AF39C0"/>
    <w:rsid w:val="00B1166B"/>
    <w:rsid w:val="00B23760"/>
    <w:rsid w:val="00B85FB1"/>
    <w:rsid w:val="00C37F95"/>
    <w:rsid w:val="00C6785F"/>
    <w:rsid w:val="00E16E57"/>
    <w:rsid w:val="00E43EB8"/>
    <w:rsid w:val="00EF1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DCE0EE"/>
  <w15:docId w15:val="{8582EF26-019E-436E-8E0C-6E31C5015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bCs/>
      <w:sz w:val="48"/>
      <w:szCs w:val="48"/>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EF1DDB"/>
    <w:pPr>
      <w:tabs>
        <w:tab w:val="center" w:pos="4513"/>
        <w:tab w:val="right" w:pos="9026"/>
      </w:tabs>
      <w:spacing w:line="240" w:lineRule="auto"/>
    </w:pPr>
  </w:style>
  <w:style w:type="character" w:customStyle="1" w:styleId="HeaderChar">
    <w:name w:val="Header Char"/>
    <w:basedOn w:val="DefaultParagraphFont"/>
    <w:link w:val="Header"/>
    <w:uiPriority w:val="99"/>
    <w:rsid w:val="00EF1DDB"/>
  </w:style>
  <w:style w:type="paragraph" w:styleId="Footer">
    <w:name w:val="footer"/>
    <w:basedOn w:val="Normal"/>
    <w:link w:val="FooterChar"/>
    <w:uiPriority w:val="99"/>
    <w:unhideWhenUsed/>
    <w:rsid w:val="00EF1DDB"/>
    <w:pPr>
      <w:tabs>
        <w:tab w:val="center" w:pos="4513"/>
        <w:tab w:val="right" w:pos="9026"/>
      </w:tabs>
      <w:spacing w:line="240" w:lineRule="auto"/>
    </w:pPr>
  </w:style>
  <w:style w:type="character" w:customStyle="1" w:styleId="FooterChar">
    <w:name w:val="Footer Char"/>
    <w:basedOn w:val="DefaultParagraphFont"/>
    <w:link w:val="Footer"/>
    <w:uiPriority w:val="99"/>
    <w:rsid w:val="00EF1DDB"/>
  </w:style>
  <w:style w:type="character" w:styleId="Hyperlink">
    <w:name w:val="Hyperlink"/>
    <w:basedOn w:val="DefaultParagraphFont"/>
    <w:uiPriority w:val="99"/>
    <w:unhideWhenUsed/>
    <w:rsid w:val="0069082D"/>
    <w:rPr>
      <w:color w:val="0000FF" w:themeColor="hyperlink"/>
      <w:u w:val="single"/>
    </w:rPr>
  </w:style>
  <w:style w:type="character" w:styleId="UnresolvedMention">
    <w:name w:val="Unresolved Mention"/>
    <w:basedOn w:val="DefaultParagraphFont"/>
    <w:uiPriority w:val="99"/>
    <w:semiHidden/>
    <w:unhideWhenUsed/>
    <w:rsid w:val="0069082D"/>
    <w:rPr>
      <w:color w:val="605E5C"/>
      <w:shd w:val="clear" w:color="auto" w:fill="E1DFDD"/>
    </w:rPr>
  </w:style>
  <w:style w:type="character" w:styleId="SubtleEmphasis">
    <w:name w:val="Subtle Emphasis"/>
    <w:basedOn w:val="DefaultParagraphFont"/>
    <w:uiPriority w:val="19"/>
    <w:qFormat/>
    <w:rsid w:val="009B275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77/1744987120927206" TargetMode="External"/><Relationship Id="rId13" Type="http://schemas.openxmlformats.org/officeDocument/2006/relationships/hyperlink" Target="https://doi.org/10.1080/10439463.2024.2334009"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doi.org/10.1093/police/paae074" TargetMode="External"/><Relationship Id="rId12" Type="http://schemas.openxmlformats.org/officeDocument/2006/relationships/hyperlink" Target="https://www.ons.gov.uk/peoplepopulationandcommunity/crimeandjustice/articles/perceptionandexperienceofpoliceandcriminaljusticesystemenglandandwales/yearendingmarch2025"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rma.2026.1778160" TargetMode="External"/><Relationship Id="rId5" Type="http://schemas.openxmlformats.org/officeDocument/2006/relationships/footnotes" Target="footnotes.xml"/><Relationship Id="rId15" Type="http://schemas.openxmlformats.org/officeDocument/2006/relationships/hyperlink" Target="https://doi.org/10.1093/police/paae126" TargetMode="External"/><Relationship Id="rId23" Type="http://schemas.openxmlformats.org/officeDocument/2006/relationships/theme" Target="theme/theme1.xml"/><Relationship Id="rId10" Type="http://schemas.openxmlformats.org/officeDocument/2006/relationships/hyperlink" Target="https://academic.oup.com/policing/article/doi/10.1093/police/paag009/8519399"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80/10439463.2023.2267733" TargetMode="External"/><Relationship Id="rId14" Type="http://schemas.openxmlformats.org/officeDocument/2006/relationships/hyperlink" Target="https://phlr.org/sites/default/files/downloads/resource/CPHLR-TheoryMethods2023_ProceduralJustice.pdf"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2251</Words>
  <Characters>12831</Characters>
  <Application>Microsoft Office Word</Application>
  <DocSecurity>0</DocSecurity>
  <Lines>106</Lines>
  <Paragraphs>30</Paragraphs>
  <ScaleCrop>false</ScaleCrop>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Sylwia Maciejewska</cp:lastModifiedBy>
  <cp:revision>3</cp:revision>
  <dcterms:created xsi:type="dcterms:W3CDTF">2026-07-17T13:31:00Z</dcterms:created>
  <dcterms:modified xsi:type="dcterms:W3CDTF">2026-07-17T13:34:00Z</dcterms:modified>
</cp:coreProperties>
</file>