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6FD02" w14:textId="77777777" w:rsidR="00792CAA" w:rsidRPr="00792CAA" w:rsidRDefault="00792CAA" w:rsidP="00792CAA">
      <w:pPr>
        <w:pStyle w:val="BodyText"/>
        <w:spacing w:line="255" w:lineRule="auto"/>
        <w:rPr>
          <w:b/>
          <w:bCs/>
          <w:color w:val="000000" w:themeColor="text1"/>
        </w:rPr>
      </w:pPr>
    </w:p>
    <w:p w14:paraId="29B52093" w14:textId="77777777" w:rsidR="00792CAA" w:rsidRPr="00792CAA" w:rsidRDefault="00792CAA" w:rsidP="00792CAA">
      <w:pPr>
        <w:spacing w:after="0" w:line="259" w:lineRule="auto"/>
        <w:rPr>
          <w:rFonts w:ascii="Times New Roman" w:eastAsia="Calibri" w:hAnsi="Times New Roman" w:cs="Times New Roman"/>
          <w:color w:val="000000" w:themeColor="text1"/>
          <w:sz w:val="44"/>
          <w:szCs w:val="44"/>
        </w:rPr>
      </w:pPr>
      <w:r w:rsidRPr="00792CAA">
        <w:rPr>
          <w:rFonts w:ascii="Times New Roman" w:hAnsi="Times New Roman" w:cs="Times New Roman"/>
          <w:color w:val="000000" w:themeColor="text1"/>
          <w:sz w:val="44"/>
          <w:szCs w:val="44"/>
        </w:rPr>
        <w:t>The Impact of High-Pay Sector Employment and Workforce Structure on Regional Median Earnings in the UK</w:t>
      </w:r>
      <w:r w:rsidRPr="00792CAA">
        <w:rPr>
          <w:rFonts w:ascii="Times New Roman" w:eastAsia="Calibri" w:hAnsi="Times New Roman" w:cs="Times New Roman"/>
          <w:color w:val="000000" w:themeColor="text1"/>
          <w:sz w:val="44"/>
          <w:szCs w:val="44"/>
        </w:rPr>
        <w:t xml:space="preserve"> </w:t>
      </w:r>
    </w:p>
    <w:p w14:paraId="6A8635FB" w14:textId="77777777" w:rsidR="002A389F" w:rsidRPr="00792CAA" w:rsidRDefault="002A389F" w:rsidP="00792CAA">
      <w:pPr>
        <w:spacing w:after="0" w:line="259" w:lineRule="auto"/>
        <w:ind w:left="0" w:firstLine="0"/>
        <w:rPr>
          <w:rFonts w:ascii="Times New Roman" w:eastAsia="Calibri" w:hAnsi="Times New Roman" w:cs="Times New Roman"/>
          <w:color w:val="000000" w:themeColor="text1"/>
          <w:sz w:val="44"/>
          <w:szCs w:val="44"/>
        </w:rPr>
      </w:pPr>
    </w:p>
    <w:p w14:paraId="05E6164A" w14:textId="3EBF3D61" w:rsidR="000749D1" w:rsidRPr="00792CAA" w:rsidRDefault="001B7129" w:rsidP="00B77058">
      <w:pPr>
        <w:spacing w:before="138" w:line="190" w:lineRule="auto"/>
        <w:jc w:val="center"/>
        <w:rPr>
          <w:rFonts w:ascii="Times New Roman" w:eastAsia="Times New Roman" w:hAnsi="Times New Roman" w:cs="Times New Roman"/>
          <w:b/>
          <w:bCs/>
          <w:color w:val="000000" w:themeColor="text1"/>
          <w:sz w:val="36"/>
          <w:szCs w:val="36"/>
        </w:rPr>
      </w:pPr>
      <w:bookmarkStart w:id="0" w:name="bookmark1"/>
      <w:bookmarkEnd w:id="0"/>
      <w:r w:rsidRPr="00792CAA">
        <w:rPr>
          <w:rFonts w:ascii="Times New Roman" w:eastAsia="Times New Roman" w:hAnsi="Times New Roman" w:cs="Times New Roman"/>
          <w:b/>
          <w:bCs/>
          <w:color w:val="000000" w:themeColor="text1"/>
          <w:spacing w:val="-3"/>
          <w:sz w:val="36"/>
          <w:szCs w:val="36"/>
        </w:rPr>
        <w:t>Abstract</w:t>
      </w:r>
    </w:p>
    <w:p w14:paraId="19A5E8E4" w14:textId="48FE0561" w:rsidR="00D7274C" w:rsidRPr="00792CAA" w:rsidRDefault="00D7274C" w:rsidP="00D7274C">
      <w:pPr>
        <w:pStyle w:val="NormalWeb"/>
        <w:spacing w:line="360" w:lineRule="auto"/>
        <w:jc w:val="both"/>
        <w:rPr>
          <w:color w:val="000000" w:themeColor="text1"/>
        </w:rPr>
      </w:pPr>
      <w:r w:rsidRPr="00792CAA">
        <w:rPr>
          <w:color w:val="000000" w:themeColor="text1"/>
        </w:rPr>
        <w:t xml:space="preserve">Regional wage disparities remain a persistent feature of the United Kingdom’s labour market, raising critical questions about the structural drivers of earnings inequality across regions. This study examines the impact of high-pay sector employment and workforce composition on median regional earnings at the NUTS1 level. Drawing on the Office for National Statistics (ONS) “Earnings and Employment from </w:t>
      </w:r>
      <w:bookmarkStart w:id="1" w:name="_Hlk209598877"/>
      <w:r w:rsidRPr="00792CAA">
        <w:rPr>
          <w:color w:val="000000" w:themeColor="text1"/>
        </w:rPr>
        <w:t>Pay As You Earn Real Time Information (PAYE RTI)</w:t>
      </w:r>
      <w:bookmarkEnd w:id="1"/>
      <w:r w:rsidRPr="00792CAA">
        <w:rPr>
          <w:color w:val="000000" w:themeColor="text1"/>
        </w:rPr>
        <w:t>” dataset for April 2024, the analysis focuses on the proportion of employment in high-paying industries</w:t>
      </w:r>
      <w:r w:rsidR="002C7061" w:rsidRPr="00792CAA">
        <w:rPr>
          <w:rFonts w:eastAsiaTheme="minorEastAsia" w:hint="eastAsia"/>
          <w:color w:val="000000" w:themeColor="text1"/>
        </w:rPr>
        <w:t xml:space="preserve"> </w:t>
      </w:r>
      <w:r w:rsidRPr="00792CAA">
        <w:rPr>
          <w:color w:val="000000" w:themeColor="text1"/>
        </w:rPr>
        <w:t>specifically Information and Communication and Finance &amp; Insurance</w:t>
      </w:r>
      <w:r w:rsidR="002C7061" w:rsidRPr="00792CAA">
        <w:rPr>
          <w:rFonts w:eastAsiaTheme="minorEastAsia" w:hint="eastAsia"/>
          <w:color w:val="000000" w:themeColor="text1"/>
        </w:rPr>
        <w:t xml:space="preserve"> </w:t>
      </w:r>
      <w:r w:rsidRPr="00792CAA">
        <w:rPr>
          <w:color w:val="000000" w:themeColor="text1"/>
        </w:rPr>
        <w:t>and the structure of the regional workforce, with particular attention to professional and technical employment shares. Regional total employment levels are incorporated as a control to account for labour market scale effects.</w:t>
      </w:r>
    </w:p>
    <w:p w14:paraId="0CE42ED9" w14:textId="77777777" w:rsidR="00D7274C" w:rsidRPr="00792CAA" w:rsidRDefault="00D7274C" w:rsidP="00D7274C">
      <w:pPr>
        <w:pStyle w:val="NormalWeb"/>
        <w:spacing w:line="360" w:lineRule="auto"/>
        <w:jc w:val="both"/>
        <w:rPr>
          <w:color w:val="000000" w:themeColor="text1"/>
        </w:rPr>
      </w:pPr>
      <w:r w:rsidRPr="00792CAA">
        <w:rPr>
          <w:color w:val="000000" w:themeColor="text1"/>
        </w:rPr>
        <w:t>The study applies a series of quantitative techniques, including reliability analysis (Cronbach’s Alpha for composite sectoral measures), descriptive statistics, correlation analysis, multiple regression, and mediation modelling using bootstrapped confidence intervals. Results indicate that regions with a higher share of employment in high-paying industries consistently exhibit higher median pay levels. Professional, scientific, and technical employment appears positively associated with earnings but also displays collinearity with high-pay sector shares, complicating causal inference. Mediation analysis suggests that the indirect pathway through professional and technical employment is not statistically significant, although it highlights potential structural complementarities between sectoral composition and occupational profile.</w:t>
      </w:r>
    </w:p>
    <w:p w14:paraId="51339492" w14:textId="6209F259" w:rsidR="00682409" w:rsidRPr="00792CAA" w:rsidRDefault="00D7274C" w:rsidP="00792CAA">
      <w:pPr>
        <w:pStyle w:val="NormalWeb"/>
        <w:spacing w:line="360" w:lineRule="auto"/>
        <w:jc w:val="both"/>
        <w:rPr>
          <w:color w:val="000000" w:themeColor="text1"/>
        </w:rPr>
      </w:pPr>
      <w:r w:rsidRPr="00792CAA">
        <w:rPr>
          <w:color w:val="000000" w:themeColor="text1"/>
        </w:rPr>
        <w:t>The findings contribute to the literature on regional inequality and labour market segmentation by demonstrating the importance of industrial structure in shaping wage outcomes. Policy implications suggest that strategies fostering regional diversification into high-value sectors, coupled with investment in professional and technical skills, could help reduce earnings disparities across the UK. Limitations include the cross-sectional design and the absence of age-</w:t>
      </w:r>
      <w:r w:rsidRPr="00792CAA">
        <w:rPr>
          <w:color w:val="000000" w:themeColor="text1"/>
        </w:rPr>
        <w:lastRenderedPageBreak/>
        <w:t>structured data at NUTS1 level, which future research should address through longitudinal and more granular approaches.</w:t>
      </w:r>
    </w:p>
    <w:p w14:paraId="4EB8BF19" w14:textId="28696F60" w:rsidR="009861D1" w:rsidRPr="00792CAA" w:rsidRDefault="000749D1" w:rsidP="00B13B22">
      <w:pPr>
        <w:pStyle w:val="Heading1"/>
        <w:ind w:left="-5"/>
        <w:jc w:val="both"/>
        <w:rPr>
          <w:rFonts w:ascii="Times New Roman" w:hAnsi="Times New Roman" w:cs="Times New Roman"/>
          <w:color w:val="000000" w:themeColor="text1"/>
          <w:sz w:val="24"/>
        </w:rPr>
      </w:pPr>
      <w:bookmarkStart w:id="2" w:name="_Toc210136241"/>
      <w:r w:rsidRPr="00792CAA">
        <w:rPr>
          <w:color w:val="000000" w:themeColor="text1"/>
        </w:rPr>
        <w:t>1</w:t>
      </w:r>
      <w:r w:rsidRPr="00792CAA">
        <w:rPr>
          <w:b/>
          <w:bCs/>
          <w:color w:val="000000" w:themeColor="text1"/>
        </w:rPr>
        <w:t>.</w:t>
      </w:r>
      <w:r w:rsidRPr="00792CAA">
        <w:rPr>
          <w:rFonts w:ascii="Arial" w:eastAsia="Arial" w:hAnsi="Arial" w:cs="Arial"/>
          <w:b/>
          <w:bCs/>
          <w:color w:val="000000" w:themeColor="text1"/>
        </w:rPr>
        <w:t xml:space="preserve"> </w:t>
      </w:r>
      <w:r w:rsidR="00290844" w:rsidRPr="00792CAA">
        <w:rPr>
          <w:rFonts w:ascii="Times New Roman" w:hAnsi="Times New Roman" w:cs="Times New Roman"/>
          <w:b/>
          <w:bCs/>
          <w:color w:val="000000" w:themeColor="text1"/>
          <w:sz w:val="24"/>
        </w:rPr>
        <w:t>Introduction</w:t>
      </w:r>
      <w:bookmarkEnd w:id="2"/>
      <w:r w:rsidRPr="00792CAA">
        <w:rPr>
          <w:rFonts w:ascii="Times New Roman" w:hAnsi="Times New Roman" w:cs="Times New Roman"/>
          <w:color w:val="000000" w:themeColor="text1"/>
          <w:sz w:val="24"/>
        </w:rPr>
        <w:t xml:space="preserve">  </w:t>
      </w:r>
    </w:p>
    <w:p w14:paraId="423D02A6"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bookmarkStart w:id="3" w:name="_Toc13058"/>
      <w:bookmarkStart w:id="4" w:name="_Toc207459121"/>
      <w:r w:rsidRPr="00792CAA">
        <w:rPr>
          <w:rFonts w:ascii="Times New Roman" w:eastAsia="Times New Roman" w:hAnsi="Times New Roman" w:cs="Times New Roman"/>
          <w:color w:val="000000" w:themeColor="text1"/>
          <w:kern w:val="0"/>
          <w:sz w:val="24"/>
          <w14:ligatures w14:val="none"/>
        </w:rPr>
        <w:t>Background and Motivation</w:t>
      </w:r>
    </w:p>
    <w:p w14:paraId="399B757F" w14:textId="77777777"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Wage inequality between UK regions has long been a subject of academic and policy concern. Despite decades of economic restructuring, regional divides in pay and employment opportunities remain entrenched, particularly between London and the South East and other parts of the country. These disparities not only reflect historical differences in industrial base and economic geography but also raise questions about the equitable distribution of opportunities across the UK, with implications for social cohesion and regional development policy. The government’s “levelling up” agenda further underscores the urgency of understanding the structural drivers of regional wage variation.</w:t>
      </w:r>
    </w:p>
    <w:p w14:paraId="1BF74A40" w14:textId="24036201"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Existing studies highlight two broad categories of determinants of regional earnings: industrial composition and workforce characteristics. On the one hand, the concentration of high-value sectors</w:t>
      </w:r>
      <w:r w:rsidR="00225E9A"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 xml:space="preserve">such as financial services, </w:t>
      </w:r>
      <w:bookmarkStart w:id="5" w:name="_Hlk209598513"/>
      <w:r w:rsidRPr="00792CAA">
        <w:rPr>
          <w:rFonts w:ascii="Times New Roman" w:eastAsia="Times New Roman" w:hAnsi="Times New Roman" w:cs="Times New Roman"/>
          <w:color w:val="000000" w:themeColor="text1"/>
          <w:kern w:val="0"/>
          <w:sz w:val="24"/>
          <w14:ligatures w14:val="none"/>
        </w:rPr>
        <w:t>information and communication technologies (ICT)</w:t>
      </w:r>
      <w:bookmarkEnd w:id="5"/>
      <w:r w:rsidRPr="00792CAA">
        <w:rPr>
          <w:rFonts w:ascii="Times New Roman" w:eastAsia="Times New Roman" w:hAnsi="Times New Roman" w:cs="Times New Roman"/>
          <w:color w:val="000000" w:themeColor="text1"/>
          <w:kern w:val="0"/>
          <w:sz w:val="24"/>
          <w14:ligatures w14:val="none"/>
        </w:rPr>
        <w:t>, and professional business services</w:t>
      </w:r>
      <w:r w:rsidR="002C2AD7" w:rsidRPr="00792CAA">
        <w:rPr>
          <w:rFonts w:ascii="Times New Roman" w:eastAsia="Times New Roman" w:hAnsi="Times New Roman" w:cs="Times New Roman"/>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has been strongly associated with higher wage levels. These industries not only generate higher value added per worker but also exhibit wage premiums linked to skill intensity, productivity, and global integration. On the other hand, the demographic and occupational structure of the workforce also plays a critical role. Regions with a greater share of prime-age workers (typically 30–49 years) and higher proportions of professionals and technical employees tend to achieve higher median wages, reflecting human capital advantages and occupational wage differentials.</w:t>
      </w:r>
    </w:p>
    <w:p w14:paraId="78E84D2B"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Research Problem</w:t>
      </w:r>
    </w:p>
    <w:p w14:paraId="02E55540" w14:textId="77777777" w:rsidR="002128C4" w:rsidRPr="00792CAA" w:rsidRDefault="002128C4" w:rsidP="002128C4">
      <w:pPr>
        <w:spacing w:before="100" w:beforeAutospacing="1" w:after="100" w:afterAutospacing="1" w:line="360" w:lineRule="auto"/>
        <w:ind w:left="0" w:firstLine="0"/>
        <w:jc w:val="both"/>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While there is a rich body of literature on regional pay gaps in the UK, less attention has been paid to the combined role of high-pay sector employment and workforce composition in shaping earnings at the regional level. Much of the evidence either focuses narrowly on industrial composition or on demographic characteristics, but relatively few studies integrate these perspectives using recent, high-frequency administrative data. The availability of PAYE RTI </w:t>
      </w:r>
      <w:r w:rsidRPr="00792CAA">
        <w:rPr>
          <w:rFonts w:ascii="Times New Roman" w:eastAsia="Times New Roman" w:hAnsi="Times New Roman" w:cs="Times New Roman"/>
          <w:color w:val="000000" w:themeColor="text1"/>
          <w:kern w:val="0"/>
          <w:sz w:val="24"/>
          <w14:ligatures w14:val="none"/>
        </w:rPr>
        <w:lastRenderedPageBreak/>
        <w:t>data from the ONS offers a unique opportunity to analyse regional earnings dynamics with contemporary evidence, overcoming some of the limitations of survey-based approaches.</w:t>
      </w:r>
    </w:p>
    <w:p w14:paraId="5BCC5B28" w14:textId="77777777" w:rsidR="009C4C26" w:rsidRPr="00792CAA" w:rsidRDefault="009C4C26" w:rsidP="002128C4">
      <w:pPr>
        <w:spacing w:before="100" w:beforeAutospacing="1" w:after="100" w:afterAutospacing="1" w:line="360" w:lineRule="auto"/>
        <w:ind w:left="0" w:firstLine="0"/>
        <w:jc w:val="both"/>
        <w:rPr>
          <w:rFonts w:ascii="Times New Roman" w:eastAsiaTheme="minorEastAsia" w:hAnsi="Times New Roman" w:cs="Times New Roman"/>
          <w:color w:val="000000" w:themeColor="text1"/>
          <w:kern w:val="0"/>
          <w:sz w:val="24"/>
          <w14:ligatures w14:val="none"/>
        </w:rPr>
      </w:pPr>
    </w:p>
    <w:p w14:paraId="330417A5"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Research Aim and Objectives</w:t>
      </w:r>
    </w:p>
    <w:p w14:paraId="3F0BF2E7" w14:textId="77777777"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central aim of this thesis is to investigate the impact of high-pay sector employment and workforce structure on regional median earnings in the UK. To achieve this, the study sets out the following objectives:</w:t>
      </w:r>
    </w:p>
    <w:p w14:paraId="48727038" w14:textId="77777777" w:rsidR="002128C4" w:rsidRPr="00792CAA" w:rsidRDefault="002128C4" w:rsidP="002128C4">
      <w:pPr>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To construct reliable composite indicators of high-pay sector employment shares using Information &amp; Communication and Finance &amp; Insurance data.</w:t>
      </w:r>
    </w:p>
    <w:p w14:paraId="6947E830" w14:textId="77777777" w:rsidR="002128C4" w:rsidRPr="00792CAA" w:rsidRDefault="002128C4" w:rsidP="002128C4">
      <w:pPr>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To describe regional variation in median pay, sectoral employment structure, and total employment.</w:t>
      </w:r>
    </w:p>
    <w:p w14:paraId="06A35D19" w14:textId="77777777" w:rsidR="002128C4" w:rsidRPr="00792CAA" w:rsidRDefault="002128C4" w:rsidP="002128C4">
      <w:pPr>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To estimate the strength and direction of associations between high-pay sector shares, workforce structure (professional/technical employment), and regional earnings.</w:t>
      </w:r>
    </w:p>
    <w:p w14:paraId="44372B86" w14:textId="77777777" w:rsidR="002128C4" w:rsidRPr="00792CAA" w:rsidRDefault="002128C4" w:rsidP="002128C4">
      <w:pPr>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To assess the independent effect of high-pay sector employment on regional median pay when controlling for workforce composition and labour market size.</w:t>
      </w:r>
    </w:p>
    <w:p w14:paraId="37FF5E8D"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Research Questions</w:t>
      </w:r>
    </w:p>
    <w:p w14:paraId="5ADB1200" w14:textId="77777777"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thesis addresses the following research questions:</w:t>
      </w:r>
    </w:p>
    <w:p w14:paraId="214E6E7B" w14:textId="75275AA4" w:rsidR="002128C4" w:rsidRPr="00792CAA" w:rsidRDefault="002128C4" w:rsidP="009C4C26">
      <w:pPr>
        <w:pStyle w:val="ListParagraph"/>
        <w:numPr>
          <w:ilvl w:val="0"/>
          <w:numId w:val="4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Do regions with larger shares of employment in high-pay sectors exhibit higher median earnings?</w:t>
      </w:r>
    </w:p>
    <w:p w14:paraId="58F12E69" w14:textId="47373B61" w:rsidR="002128C4" w:rsidRPr="00792CAA" w:rsidRDefault="002128C4" w:rsidP="009C4C26">
      <w:pPr>
        <w:pStyle w:val="ListParagraph"/>
        <w:numPr>
          <w:ilvl w:val="0"/>
          <w:numId w:val="4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How does workforce structure, particularly professional and technical employment shares, relate to regional pay outcomes?</w:t>
      </w:r>
    </w:p>
    <w:p w14:paraId="378E6828" w14:textId="460128DC" w:rsidR="002128C4" w:rsidRPr="00792CAA" w:rsidRDefault="002128C4" w:rsidP="009C4C26">
      <w:pPr>
        <w:pStyle w:val="ListParagraph"/>
        <w:numPr>
          <w:ilvl w:val="0"/>
          <w:numId w:val="4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Does workforce structure mediate the impact of high-pay sector employment on regional earnings?</w:t>
      </w:r>
    </w:p>
    <w:p w14:paraId="6D3EA397" w14:textId="51ED6F58" w:rsidR="002128C4" w:rsidRPr="00792CAA" w:rsidRDefault="002128C4" w:rsidP="009C4C26">
      <w:pPr>
        <w:pStyle w:val="ListParagraph"/>
        <w:numPr>
          <w:ilvl w:val="0"/>
          <w:numId w:val="4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What is the relative importance of industrial composition compared to workforce size in explaining pay disparities?</w:t>
      </w:r>
    </w:p>
    <w:p w14:paraId="1716C8A0"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Hypotheses</w:t>
      </w:r>
    </w:p>
    <w:p w14:paraId="601B63D6" w14:textId="77777777"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Based on theory and prior empirical findings, the study tests the following hypotheses:</w:t>
      </w:r>
    </w:p>
    <w:p w14:paraId="15D1EE0C" w14:textId="77777777" w:rsidR="002128C4" w:rsidRPr="00792CAA" w:rsidRDefault="002128C4"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H1: Regions with a higher share of employment in high-pay sectors (ICT, Finance &amp; Insurance) have significantly higher median pay.</w:t>
      </w:r>
    </w:p>
    <w:p w14:paraId="31A60C04" w14:textId="77777777" w:rsidR="002128C4" w:rsidRPr="00792CAA" w:rsidRDefault="002128C4"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H2: Regions with a larger share of professional and technical employees have higher median pay.</w:t>
      </w:r>
    </w:p>
    <w:p w14:paraId="4A27BE22" w14:textId="77777777" w:rsidR="002128C4" w:rsidRPr="00792CAA" w:rsidRDefault="002128C4"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H3: After controlling for workforce size, the positive association between high-pay sector share and median pay remains significant.</w:t>
      </w:r>
    </w:p>
    <w:p w14:paraId="6E18F4CC" w14:textId="77777777" w:rsidR="002128C4" w:rsidRPr="00792CAA" w:rsidRDefault="002128C4" w:rsidP="002128C4">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Structure of the Thesis</w:t>
      </w:r>
    </w:p>
    <w:p w14:paraId="4E7421A2" w14:textId="77777777" w:rsidR="002128C4" w:rsidRPr="00792CAA" w:rsidRDefault="002128C4" w:rsidP="002128C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remainder of the thesis is organised as follows. Chapter 2 reviews the literature on wage inequality, industrial composition, and workforce structure in the UK and beyond. Chapter 3 outlines the dataset and methodology, including the operationalisation of variables and the quantitative techniques employed. Chapter 4 presents the empirical results, including descriptive statistics, correlation analysis, regression models, and mediation analysis. Chapter 5 discusses the implications of the findings in light of existing literature and policy debates. Chapter 6 concludes by summarising the contributions, highlighting limitations, and proposing directions for future research.</w:t>
      </w:r>
    </w:p>
    <w:p w14:paraId="070B32EA" w14:textId="696738AA" w:rsidR="009861D1" w:rsidRPr="00792CAA" w:rsidRDefault="00181E2B" w:rsidP="00082DB3">
      <w:pPr>
        <w:pStyle w:val="Heading1"/>
        <w:jc w:val="both"/>
        <w:rPr>
          <w:rFonts w:ascii="Times New Roman" w:hAnsi="Times New Roman" w:cs="Times New Roman"/>
          <w:b/>
          <w:bCs/>
          <w:color w:val="000000" w:themeColor="text1"/>
          <w:sz w:val="24"/>
        </w:rPr>
      </w:pPr>
      <w:bookmarkStart w:id="6" w:name="_Toc210136242"/>
      <w:r w:rsidRPr="00792CAA">
        <w:rPr>
          <w:rFonts w:ascii="Times New Roman" w:hAnsi="Times New Roman" w:cs="Times New Roman"/>
          <w:b/>
          <w:bCs/>
          <w:color w:val="000000" w:themeColor="text1"/>
          <w:sz w:val="24"/>
        </w:rPr>
        <w:t>2.</w:t>
      </w:r>
      <w:bookmarkEnd w:id="3"/>
      <w:bookmarkEnd w:id="4"/>
      <w:r w:rsidR="00EC6084" w:rsidRPr="00792CAA">
        <w:rPr>
          <w:rFonts w:ascii="Times New Roman" w:hAnsi="Times New Roman" w:cs="Times New Roman"/>
          <w:b/>
          <w:bCs/>
          <w:color w:val="000000" w:themeColor="text1"/>
          <w:sz w:val="24"/>
        </w:rPr>
        <w:t xml:space="preserve"> </w:t>
      </w:r>
      <w:r w:rsidR="00A766E6" w:rsidRPr="00792CAA">
        <w:rPr>
          <w:rFonts w:ascii="Times New Roman" w:hAnsi="Times New Roman" w:cs="Times New Roman"/>
          <w:b/>
          <w:bCs/>
          <w:color w:val="000000" w:themeColor="text1"/>
          <w:sz w:val="24"/>
        </w:rPr>
        <w:t>Literature Review</w:t>
      </w:r>
      <w:bookmarkEnd w:id="6"/>
    </w:p>
    <w:p w14:paraId="75BC2216" w14:textId="77777777" w:rsidR="004E475C" w:rsidRPr="00792CAA" w:rsidRDefault="004E475C" w:rsidP="00C53179">
      <w:pPr>
        <w:spacing w:before="100" w:beforeAutospacing="1" w:after="100" w:afterAutospacing="1" w:line="24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2.1 Introduction</w:t>
      </w:r>
    </w:p>
    <w:p w14:paraId="0E7D64E6" w14:textId="6BD38919"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literature on regional wage disparities is vast, intersecting theories of labour economics, regional development, and industrial organisation. At its core, the question of why wages differ across places is rooted in structural variations in industrial composition, human capital, and demographic characteristics of the workforce. This chapter reviews the theoretical and empirical contributions that inform the present study, focusing on (a) wage determination theories, (b) the role of industrial composition</w:t>
      </w:r>
      <w:r w:rsidR="00AC14E5" w:rsidRPr="00792CAA">
        <w:rPr>
          <w:rFonts w:ascii="Times New Roman" w:eastAsia="Times New Roman" w:hAnsi="Times New Roman" w:cs="Times New Roman"/>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particularly high-pay sectors</w:t>
      </w:r>
      <w:r w:rsidR="00AC14E5" w:rsidRPr="00792CAA">
        <w:rPr>
          <w:rFonts w:ascii="Times New Roman" w:eastAsia="Times New Roman" w:hAnsi="Times New Roman" w:cs="Times New Roman"/>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in shaping earnings, (c) the influence of workforce structure and demographics, and (d) empirical evidence on the United Kingdom and comparative international contexts. The review concludes by identifying the research gap addressed by this thesis.</w:t>
      </w:r>
    </w:p>
    <w:p w14:paraId="7B947DE7"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2.2 Theoretical Foundations of Wage Inequality</w:t>
      </w:r>
    </w:p>
    <w:p w14:paraId="0AAF0986"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2.2.1 Human Capital Theory</w:t>
      </w:r>
    </w:p>
    <w:p w14:paraId="23BD8AE7" w14:textId="77777777" w:rsidR="009460CE" w:rsidRPr="00792CAA" w:rsidRDefault="009460CE" w:rsidP="009460CE">
      <w:pPr>
        <w:pStyle w:val="NormalWeb"/>
        <w:spacing w:line="360" w:lineRule="auto"/>
        <w:jc w:val="both"/>
      </w:pPr>
      <w:r w:rsidRPr="00792CAA">
        <w:lastRenderedPageBreak/>
        <w:t>The human capital framework, originally advanced by Becker (1964), provides a powerful lens for understanding wage determination and regional economic performance. At its core, the theory suggests that wages are not set arbitrarily but rather reflect the underlying productivity of workers. Productivity, in turn, is shaped by the accumulation of knowledge and skills, which are developed through deliberate investments in education, formal training, and on-the-job experience. Individuals who invest more heavily in their own human capital tend to command higher wages, as they bring greater efficiency and value to employers. From a regional perspective, this implies that areas with a more highly educated and better-trained workforce should, on average, enjoy higher wage levels and potentially more robust economic growth.</w:t>
      </w:r>
    </w:p>
    <w:p w14:paraId="398690D7" w14:textId="77777777" w:rsidR="009460CE" w:rsidRPr="00792CAA" w:rsidRDefault="009460CE" w:rsidP="009460CE">
      <w:pPr>
        <w:pStyle w:val="NormalWeb"/>
        <w:spacing w:line="360" w:lineRule="auto"/>
        <w:jc w:val="both"/>
      </w:pPr>
      <w:r w:rsidRPr="00792CAA">
        <w:t xml:space="preserve">Beyond education and training, extensions of the framework highlight the significance of demographic factors, particularly the age composition of the workforce. Age is closely related to experience, career stage, and productivity. Workers in the mid-career stage, typically between 30 and 49 years old, are often considered to be at or near the peak of their earnings trajectory. This stage reflects a combination of accumulated experience, refined skills, and professional maturity, which enhance both individual productivity and overall economic output. In contrast, younger workers may still be developing foundational skills, while older workers may face declining productivity or reduced attachment to the </w:t>
      </w:r>
      <w:proofErr w:type="spellStart"/>
      <w:r w:rsidRPr="00792CAA">
        <w:t>labor</w:t>
      </w:r>
      <w:proofErr w:type="spellEnd"/>
      <w:r w:rsidRPr="00792CAA">
        <w:t xml:space="preserve"> force.</w:t>
      </w:r>
    </w:p>
    <w:p w14:paraId="7A6F6889" w14:textId="77777777" w:rsidR="009460CE" w:rsidRPr="00792CAA" w:rsidRDefault="009460CE" w:rsidP="009460CE">
      <w:pPr>
        <w:pStyle w:val="NormalWeb"/>
        <w:spacing w:line="360" w:lineRule="auto"/>
        <w:jc w:val="both"/>
      </w:pPr>
      <w:r w:rsidRPr="00792CAA">
        <w:t xml:space="preserve">Therefore, workforce demographics are not merely descriptive statistics about who participates in the </w:t>
      </w:r>
      <w:proofErr w:type="spellStart"/>
      <w:r w:rsidRPr="00792CAA">
        <w:t>labor</w:t>
      </w:r>
      <w:proofErr w:type="spellEnd"/>
      <w:r w:rsidRPr="00792CAA">
        <w:t xml:space="preserve"> market; they are integral determinants of productivity, wage outcomes, and regional competitiveness. A region’s wage profile is thus shaped by both the stock of human capital in terms of education and training, and the dynamic age structure of its workforce. Understanding these interactions provides valuable insights for policymakers concerned with regional development, inequality, and long-term growth.</w:t>
      </w:r>
    </w:p>
    <w:p w14:paraId="25742396"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2.2.2 Structuralist and Segmentation Approaches</w:t>
      </w:r>
    </w:p>
    <w:p w14:paraId="2A1C0E19" w14:textId="77777777" w:rsidR="009460CE" w:rsidRPr="00792CAA" w:rsidRDefault="009460CE" w:rsidP="009460CE">
      <w:pPr>
        <w:pStyle w:val="NormalWeb"/>
        <w:spacing w:line="360" w:lineRule="auto"/>
        <w:jc w:val="both"/>
      </w:pPr>
      <w:r w:rsidRPr="00792CAA">
        <w:t xml:space="preserve">Critiques of human capital theory highlight important limitations in the assumption that wages are determined solely by individual productivity. While investments in education, training, and experience undeniably influence earnings, scholars have argued that institutional, structural, and sectoral dynamics also play a critical role. In particular, labour market segmentation theory, developed by Doeringer and </w:t>
      </w:r>
      <w:proofErr w:type="spellStart"/>
      <w:r w:rsidRPr="00792CAA">
        <w:t>Piore</w:t>
      </w:r>
      <w:proofErr w:type="spellEnd"/>
      <w:r w:rsidRPr="00792CAA">
        <w:t xml:space="preserve"> (1971), provides a framework for understanding why workers with similar qualifications may experience very different wage outcomes depending on the segment of the labour market in which they are employed.</w:t>
      </w:r>
    </w:p>
    <w:p w14:paraId="1155A88E" w14:textId="77777777" w:rsidR="009460CE" w:rsidRPr="00792CAA" w:rsidRDefault="009460CE" w:rsidP="009460CE">
      <w:pPr>
        <w:pStyle w:val="NormalWeb"/>
        <w:spacing w:line="360" w:lineRule="auto"/>
        <w:jc w:val="both"/>
      </w:pPr>
      <w:r w:rsidRPr="00792CAA">
        <w:lastRenderedPageBreak/>
        <w:t>Segmentation theory distinguishes between the primary and secondary sectors of the labour market. The primary sector is typically characterised by relatively high wages, stable employment, opportunities for career progression, and stronger protections for workers. In contrast, the secondary sector is marked by low pay, precarious employment, limited training opportunities, and little prospect for upward mobility. Importantly, movement between these sectors is often constrained, meaning that workers in secondary employment face structural barriers to accessing the more secure and better-paid positions of the primary sector. This division complicates the neat predictions of human capital theory, suggesting that structural inequalities can limit the returns to education and training.</w:t>
      </w:r>
    </w:p>
    <w:p w14:paraId="1E301067" w14:textId="77777777" w:rsidR="009460CE" w:rsidRPr="00792CAA" w:rsidRDefault="009460CE" w:rsidP="009460CE">
      <w:pPr>
        <w:pStyle w:val="NormalWeb"/>
        <w:spacing w:line="360" w:lineRule="auto"/>
        <w:jc w:val="both"/>
      </w:pPr>
      <w:r w:rsidRPr="00792CAA">
        <w:t>At the regional level, segmentation theory underscores the significance of industrial composition in shaping wage outcomes. Regions with a higher concentration of employment in primary sectors such as finance, information and communications technology (ICT), or advanced manufacturing tend to command higher average wage levels. Conversely, regions dominated by secondary-sector industries, including retail, hospitality, and certain forms of manual labour, often exhibit lower wages and less stable employment. Thus, wage disparities across regions cannot be explained solely by differences in worker skills or qualifications but must also be understood in relation to the broader economic and institutional structures that shape labour markets.</w:t>
      </w:r>
    </w:p>
    <w:p w14:paraId="77E393C1"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2.2.3 Regional Development Theories</w:t>
      </w:r>
    </w:p>
    <w:p w14:paraId="49FAED67" w14:textId="77777777" w:rsidR="009460CE" w:rsidRPr="00792CAA" w:rsidRDefault="009460CE" w:rsidP="009460CE">
      <w:pPr>
        <w:pStyle w:val="NormalWeb"/>
        <w:spacing w:line="360" w:lineRule="auto"/>
        <w:jc w:val="both"/>
      </w:pPr>
      <w:r w:rsidRPr="00792CAA">
        <w:t>New economic geography (Krugman, 1991) and earlier agglomeration theories (Marshall, 1890) provide further insight into the persistence of regional disparities by drawing attention to spatial externalities and the benefits of economic concentration. Unlike human capital or segmentation theories, which focus on individual or sectoral characteristics, these approaches emphasise the role of location and the cumulative advantages that arise when firms and workers cluster together in particular regions.</w:t>
      </w:r>
    </w:p>
    <w:p w14:paraId="3A7261A9" w14:textId="77777777" w:rsidR="009460CE" w:rsidRPr="00792CAA" w:rsidRDefault="009460CE" w:rsidP="009460CE">
      <w:pPr>
        <w:pStyle w:val="NormalWeb"/>
        <w:spacing w:line="360" w:lineRule="auto"/>
        <w:jc w:val="both"/>
      </w:pPr>
      <w:r w:rsidRPr="00792CAA">
        <w:t xml:space="preserve">According to Marshall, industrial agglomeration generates productivity advantages through three key mechanisms. First, knowledge spillovers occur as firms and workers benefit from close proximity, enabling the rapid exchange of ideas and innovations. Second, labour market pooling ensures that both employers and employees gain from a larger, more specialised pool of skills, which reduces hiring costs and facilitates better matches between workers and jobs. Third, dense supplier and customer networks reduce transaction costs, strengthen supply chains, and create </w:t>
      </w:r>
      <w:r w:rsidRPr="00792CAA">
        <w:lastRenderedPageBreak/>
        <w:t>economies of scale. Together, these factors increase productivity and, by extension, generate wage premiums for workers located within agglomerated industries.</w:t>
      </w:r>
    </w:p>
    <w:p w14:paraId="511950AF" w14:textId="77777777" w:rsidR="009460CE" w:rsidRPr="00792CAA" w:rsidRDefault="009460CE" w:rsidP="009460CE">
      <w:pPr>
        <w:pStyle w:val="NormalWeb"/>
        <w:spacing w:line="360" w:lineRule="auto"/>
        <w:jc w:val="both"/>
      </w:pPr>
      <w:r w:rsidRPr="00792CAA">
        <w:t>Krugman’s new economic geography extended these ideas by formalising how centripetal forces—such as market size and accessibility—draw firms and workers into metropolitan hubs, while peripheral regions risk being left behind. The clustering of high-value sectors, including finance, professional services, and information technology, is therefore not accidental but reflects self-reinforcing dynamics where initial advantages accumulate over time.</w:t>
      </w:r>
    </w:p>
    <w:p w14:paraId="53391D91" w14:textId="77777777" w:rsidR="009460CE" w:rsidRPr="00792CAA" w:rsidRDefault="009460CE" w:rsidP="009460CE">
      <w:pPr>
        <w:pStyle w:val="NormalWeb"/>
        <w:spacing w:line="360" w:lineRule="auto"/>
        <w:jc w:val="both"/>
      </w:pPr>
      <w:r w:rsidRPr="00792CAA">
        <w:t>In the UK, these dynamics are especially visible in London and the South East, which host a disproportionate share of high-pay, knowledge-intensive service industries. The concentration of these activities not only raises regional wage levels but also widens the gap with other parts of the country where such industries are sparse. Consequently, spatial agglomeration contributes significantly to the geography of inequality in wages and opportunities.</w:t>
      </w:r>
    </w:p>
    <w:p w14:paraId="0ADA141C"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2.3 Industrial Composition and Wage Outcomes</w:t>
      </w:r>
    </w:p>
    <w:p w14:paraId="6B423D5A"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2.3.1 High-Pay Sectors: Finance, ICT, and Professional Services</w:t>
      </w:r>
    </w:p>
    <w:p w14:paraId="673894F6"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A substantial body of research highlights the disproportionate influence of high-pay sectors on regional wages. Financial services and ICT industries generate higher value added per employee and, consequently, offer higher average wages than traditional manufacturing or low-skill services (ONS, 2023; OECD, 2022). Studies by </w:t>
      </w:r>
      <w:proofErr w:type="spellStart"/>
      <w:r w:rsidRPr="00792CAA">
        <w:rPr>
          <w:rFonts w:ascii="Times New Roman" w:eastAsia="Times New Roman" w:hAnsi="Times New Roman" w:cs="Times New Roman"/>
          <w:color w:val="000000" w:themeColor="text1"/>
          <w:kern w:val="0"/>
          <w:sz w:val="24"/>
          <w14:ligatures w14:val="none"/>
        </w:rPr>
        <w:t>Faggio</w:t>
      </w:r>
      <w:proofErr w:type="spellEnd"/>
      <w:r w:rsidRPr="00792CAA">
        <w:rPr>
          <w:rFonts w:ascii="Times New Roman" w:eastAsia="Times New Roman" w:hAnsi="Times New Roman" w:cs="Times New Roman"/>
          <w:color w:val="000000" w:themeColor="text1"/>
          <w:kern w:val="0"/>
          <w:sz w:val="24"/>
          <w14:ligatures w14:val="none"/>
        </w:rPr>
        <w:t xml:space="preserve"> and Overman (2014) show that wage inequality across UK regions widened alongside the expansion of financial services, which are heavily concentrated in London. ICT has also been associated with both higher pay and higher productivity due to skill complementarities and technological intensity.</w:t>
      </w:r>
    </w:p>
    <w:p w14:paraId="00B79789"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2.3.2 Sectoral Specialisation and Regional Pay</w:t>
      </w:r>
    </w:p>
    <w:p w14:paraId="1E3D010B"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Empirical studies suggest that industrial specialisation explains a significant proportion of regional wage variation. For example, Morris and Stokes (2015) find that regions specialised in high-value-added sectors exhibit wage premiums even after controlling for education levels. However, excessive specialisation can also expose regions to volatility, as seen in the North East during the decline of heavy industry. Thus, industrial composition interacts with broader labour market resilience.</w:t>
      </w:r>
    </w:p>
    <w:p w14:paraId="255DC529"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2.3.3 Composite Indicators of High-Pay Employment</w:t>
      </w:r>
    </w:p>
    <w:p w14:paraId="4D097599" w14:textId="4E0F0E33"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Researchers often construct composite measures of “high-pay employment shares” by aggregating sectors such as finance, ICT, and professional business services (Moretti, 2013). These indices are used to capture structural differences that single-sector indicators may miss. The construction of a reliable composite indicator (tested via Cronbach’s Alpha or factor analysis) is therefore consistent with existing practice in the field.</w:t>
      </w:r>
    </w:p>
    <w:p w14:paraId="7EF139EB"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2.4 Workforce Structure and Demographics</w:t>
      </w:r>
    </w:p>
    <w:p w14:paraId="0747F1E6"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2.4.1 Age Structure and Earnings Profiles</w:t>
      </w:r>
    </w:p>
    <w:p w14:paraId="6E17AC0A"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Age is a well-established determinant of individual earnings, reflecting the lifecycle of human capital accumulation. </w:t>
      </w:r>
      <w:proofErr w:type="spellStart"/>
      <w:r w:rsidRPr="00792CAA">
        <w:rPr>
          <w:rFonts w:ascii="Times New Roman" w:eastAsia="Times New Roman" w:hAnsi="Times New Roman" w:cs="Times New Roman"/>
          <w:color w:val="000000" w:themeColor="text1"/>
          <w:kern w:val="0"/>
          <w:sz w:val="24"/>
          <w14:ligatures w14:val="none"/>
        </w:rPr>
        <w:t>Mincerian</w:t>
      </w:r>
      <w:proofErr w:type="spellEnd"/>
      <w:r w:rsidRPr="00792CAA">
        <w:rPr>
          <w:rFonts w:ascii="Times New Roman" w:eastAsia="Times New Roman" w:hAnsi="Times New Roman" w:cs="Times New Roman"/>
          <w:color w:val="000000" w:themeColor="text1"/>
          <w:kern w:val="0"/>
          <w:sz w:val="24"/>
          <w14:ligatures w14:val="none"/>
        </w:rPr>
        <w:t xml:space="preserve"> wage equations typically include experience as a quadratic term, predicting rising wages until mid-career and decline thereafter. Regions with a greater proportion of prime-age workers (30–49 years) are thus expected to show higher median wages (Bell &amp; Blanchflower, 2011). The demographic profile of the workforce has been linked to both productivity and labour supply considerations.</w:t>
      </w:r>
    </w:p>
    <w:p w14:paraId="1D2FF146"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2.4.2 Occupational Composition</w:t>
      </w:r>
    </w:p>
    <w:p w14:paraId="5347C4CC"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occupational structure, particularly the share of professional, scientific, and technical workers, is another determinant of regional pay. These occupations command wage premiums due to higher skill requirements and association with knowledge-intensive sectors (Goos &amp; Manning, 2007). Occupational upgrading—where low-skill jobs are replaced by mid- and high-skill roles—has been documented as a driver of wage growth in metropolitan regions.</w:t>
      </w:r>
    </w:p>
    <w:p w14:paraId="0355B30F"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2.4.3 Labour Market Participation and Flows</w:t>
      </w:r>
    </w:p>
    <w:p w14:paraId="189603CA" w14:textId="1C5ACBC3"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Beyond static structure, dynamic elements such as employment flows and labour mobility also affect regional wage levels. Areas with high inflows of skilled workers often experience wage premiums, while high outflows may depress local earnings (Champion &amp; Shuttleworth, 2016). The PAYE RTI dataset’s provision of employee flows offers a valuable, albeit underutilised, measure of such dynamics.</w:t>
      </w:r>
    </w:p>
    <w:p w14:paraId="4E1C170D"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2.5 Empirical Evidence on Regional Earnings in the UK</w:t>
      </w:r>
    </w:p>
    <w:p w14:paraId="26AD302E"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2.5.1 Historical Patterns of Regional Inequality</w:t>
      </w:r>
    </w:p>
    <w:p w14:paraId="5D1E221C"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Studies show persistent wage gaps between London/South East and other regions since the 1980s (Crafts, 2005). While deindustrialisation eroded high-paying manufacturing jobs in the North and Midlands, the expansion of finance and business services in London created new sources of inequality. Attempts to rebalance the economy through regional policy have had mixed results.</w:t>
      </w:r>
    </w:p>
    <w:p w14:paraId="680F7E5C"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2.5.2 Recent Trends Using Administrative Data</w:t>
      </w:r>
    </w:p>
    <w:p w14:paraId="356F88BB"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advent of PAYE RTI data provides higher-frequency, more granular insights into earnings. ONS (2023) reports that median pay growth is strongest in regions with concentrations of ICT and finance, reaffirming the structural interpretation. However, administrative data has limitations, including limited demographic breakdowns compared to Labour Force Survey microdata.</w:t>
      </w:r>
    </w:p>
    <w:p w14:paraId="12DD4AB3" w14:textId="77777777" w:rsidR="004E475C" w:rsidRPr="00792CAA" w:rsidRDefault="004E475C" w:rsidP="000A23A3">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2.5.3 Sectoral and Occupational Drivers</w:t>
      </w:r>
    </w:p>
    <w:p w14:paraId="3B033712" w14:textId="162E7159"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Empirical models consistently find strong associations between sectoral composition and wages. For instance, Harris and Moffat (2015) demonstrate that the presence of knowledge-intensive business services significantly explains wage differentials across cities. Similarly, McCann (2016) highlights that occupational upgrading in urban regions is linked to wage resilience post-2008 crisis.</w:t>
      </w:r>
    </w:p>
    <w:p w14:paraId="05648A61"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2.6 International Evidence and Comparative Studies</w:t>
      </w:r>
    </w:p>
    <w:p w14:paraId="6B1500A9" w14:textId="4B6EE866" w:rsidR="004E475C" w:rsidRPr="00792CAA" w:rsidRDefault="00E26198"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hAnsi="Times New Roman" w:cs="Times New Roman"/>
          <w:sz w:val="24"/>
        </w:rPr>
        <w:t xml:space="preserve">Comparative evidence across OECD countries indicates that regional wage disparities are by no means unique to the UK but instead form part of a broader international pattern. According to OECD (2020), such disparities tend to be especially pronounced in economies with a high degree of sectoral concentration in financial services, ICT, and other knowledge-intensive industries. In these contexts, regions that successfully attract and sustain high-value sectors experience significant wage premiums, while areas lacking such industries risk being left behind, thereby widening internal wage gaps. By contrast, Southern European countries, where employment in high-pay sectors is comparatively limited, display narrower regional disparities in wage levels. However, this comes at the cost of generally lower national wage averages, reflecting the absence of strong productivity-driven wage growth in these economies. Taken together, this comparative </w:t>
      </w:r>
      <w:r w:rsidRPr="00792CAA">
        <w:rPr>
          <w:rFonts w:ascii="Times New Roman" w:hAnsi="Times New Roman" w:cs="Times New Roman"/>
          <w:sz w:val="24"/>
        </w:rPr>
        <w:lastRenderedPageBreak/>
        <w:t>perspective suggests that the expansion of high-pay sectors simultaneously raises overall wage levels while amplifying regional inequalities</w:t>
      </w:r>
      <w:r w:rsidR="004E475C" w:rsidRPr="00792CAA">
        <w:rPr>
          <w:rFonts w:ascii="Times New Roman" w:eastAsia="Times New Roman" w:hAnsi="Times New Roman" w:cs="Times New Roman"/>
          <w:color w:val="000000" w:themeColor="text1"/>
          <w:kern w:val="0"/>
          <w:sz w:val="24"/>
          <w14:ligatures w14:val="none"/>
        </w:rPr>
        <w:t>.</w:t>
      </w:r>
    </w:p>
    <w:p w14:paraId="1FC730AF"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2.7 Methodological Approaches in the Literature</w:t>
      </w:r>
    </w:p>
    <w:p w14:paraId="531CE337" w14:textId="77777777" w:rsidR="00E26198" w:rsidRPr="00792CAA" w:rsidRDefault="00E26198" w:rsidP="00E26198">
      <w:pPr>
        <w:pStyle w:val="NormalWeb"/>
        <w:spacing w:line="360" w:lineRule="auto"/>
        <w:jc w:val="both"/>
      </w:pPr>
      <w:r w:rsidRPr="00792CAA">
        <w:t>Most empirical studies in this field employ regression-based methods to estimate the relative impact of industrial and workforce composition on regional wage outcomes. Traditional cross-sectional regressions are frequently used in single-year analyses, providing a snapshot of associations between sectoral structure, occupational profiles, and average wages. Where panel data is available, fixed-effects models are typically preferred, as they allow researchers to control for unobserved heterogeneity across regions and to capture changes over time, thereby providing stronger evidence of causal dynamics.</w:t>
      </w:r>
    </w:p>
    <w:p w14:paraId="16458D66" w14:textId="77777777" w:rsidR="00E26198" w:rsidRPr="00792CAA" w:rsidRDefault="00E26198" w:rsidP="00E26198">
      <w:pPr>
        <w:pStyle w:val="NormalWeb"/>
        <w:spacing w:line="360" w:lineRule="auto"/>
        <w:jc w:val="both"/>
      </w:pPr>
      <w:r w:rsidRPr="00792CAA">
        <w:t>Mediation analysis is less common within this literature but offers a valuable extension to conventional regression techniques. By explicitly testing whether occupational composition mediates the relationship between industrial structure and wages, mediation approaches enable researchers to disentangle direct and indirect effects, thus providing deeper insights into underlying mechanisms. Although not widely applied in regional economics, this method has potential to refine understanding of the pathways through which structural features shape labour market outcomes.</w:t>
      </w:r>
    </w:p>
    <w:p w14:paraId="120A43D4" w14:textId="29ED5F3E" w:rsidR="004E475C" w:rsidRPr="00792CAA" w:rsidRDefault="00E26198" w:rsidP="00E26198">
      <w:pPr>
        <w:pStyle w:val="NormalWeb"/>
        <w:spacing w:line="360" w:lineRule="auto"/>
        <w:jc w:val="both"/>
      </w:pPr>
      <w:r w:rsidRPr="00792CAA">
        <w:t>Reliability testing of composite indicators, while long established in psychology and the social sciences, remains relatively underutilised in economics. However, its application is becoming more common in the development of multidimensional measures of labour markets, where it helps ensure that constructed indices robustly capture the intended concepts</w:t>
      </w:r>
      <w:r w:rsidR="004E475C" w:rsidRPr="00792CAA">
        <w:rPr>
          <w:color w:val="000000" w:themeColor="text1"/>
        </w:rPr>
        <w:t>.</w:t>
      </w:r>
    </w:p>
    <w:p w14:paraId="2ED8D0FE" w14:textId="77777777" w:rsidR="004E475C" w:rsidRPr="00792CAA" w:rsidRDefault="004E475C" w:rsidP="000A23A3">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2.8 Identified Gaps</w:t>
      </w:r>
    </w:p>
    <w:p w14:paraId="4ED663DC"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Despite substantial research, several gaps remain:</w:t>
      </w:r>
    </w:p>
    <w:p w14:paraId="11C1C29F" w14:textId="77777777" w:rsidR="004E475C" w:rsidRPr="00792CAA" w:rsidRDefault="004E475C" w:rsidP="000A23A3">
      <w:pPr>
        <w:numPr>
          <w:ilvl w:val="0"/>
          <w:numId w:val="1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Integration of Industrial and Workforce Measures: Few studies simultaneously examine high-pay sector shares and workforce demographics/occupational structure in a single framework.</w:t>
      </w:r>
    </w:p>
    <w:p w14:paraId="5153FD1E" w14:textId="77777777" w:rsidR="004E475C" w:rsidRPr="00792CAA" w:rsidRDefault="004E475C" w:rsidP="000A23A3">
      <w:pPr>
        <w:numPr>
          <w:ilvl w:val="0"/>
          <w:numId w:val="1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Use of High-Frequency Administrative Data: Most studies rely on survey data (e.g., Labour Force Survey), whereas PAYE RTI offers near-real-time, comprehensive coverage.</w:t>
      </w:r>
    </w:p>
    <w:p w14:paraId="1E2239F3" w14:textId="77777777" w:rsidR="004E475C" w:rsidRPr="00792CAA" w:rsidRDefault="004E475C" w:rsidP="000A23A3">
      <w:pPr>
        <w:numPr>
          <w:ilvl w:val="0"/>
          <w:numId w:val="1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Mediation Pathways: Limited attention has been paid to whether occupational structure mediates the relationship between industrial composition and regional pay.</w:t>
      </w:r>
    </w:p>
    <w:p w14:paraId="3FAB5A35" w14:textId="77777777" w:rsidR="000A23A3" w:rsidRPr="00792CAA" w:rsidRDefault="004E475C" w:rsidP="000A23A3">
      <w:pPr>
        <w:numPr>
          <w:ilvl w:val="0"/>
          <w:numId w:val="13"/>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Cross-Sectional vs. Longitudinal Analysis: Many studies focus on trends over time but do not explore structural relationships within a given period, missing opportunities to identify immediate structural drivers.</w:t>
      </w:r>
    </w:p>
    <w:p w14:paraId="63FA9734" w14:textId="69C82E76" w:rsidR="004E475C" w:rsidRPr="00792CAA" w:rsidRDefault="004E475C" w:rsidP="000A23A3">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2.9 Conclusion</w:t>
      </w:r>
    </w:p>
    <w:p w14:paraId="1F8786A0" w14:textId="77777777" w:rsidR="004E475C" w:rsidRPr="00792CAA" w:rsidRDefault="004E475C" w:rsidP="000A23A3">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literature underscores that both industrial composition and workforce structure are critical determinants of regional wages in the UK. High-pay sectors such as finance and ICT generate wage premiums, while workforce demographics and occupational profiles shape the distribution of these premiums. However, gaps remain in the integration of these perspectives using contemporary administrative data. This thesis contributes by leveraging the ONS PAYE RTI dataset to jointly analyse high-pay sector shares, workforce structure, and regional earnings, and by applying mediation analysis to test indirect effects. In doing so, it builds upon and extends existing approaches to understanding regional wage disparities in the UK.</w:t>
      </w:r>
    </w:p>
    <w:p w14:paraId="55938EBC" w14:textId="5E59672E" w:rsidR="009861D1" w:rsidRPr="00792CAA" w:rsidRDefault="008E5EC9" w:rsidP="003103F7">
      <w:pPr>
        <w:pStyle w:val="Heading1"/>
        <w:spacing w:line="360" w:lineRule="auto"/>
        <w:ind w:left="156"/>
        <w:rPr>
          <w:rFonts w:ascii="Times New Roman" w:hAnsi="Times New Roman" w:cs="Times New Roman"/>
          <w:b/>
          <w:bCs/>
          <w:color w:val="000000" w:themeColor="text1"/>
          <w:sz w:val="24"/>
        </w:rPr>
      </w:pPr>
      <w:bookmarkStart w:id="7" w:name="_Toc210136243"/>
      <w:r w:rsidRPr="00792CAA">
        <w:rPr>
          <w:rFonts w:ascii="Times New Roman" w:hAnsi="Times New Roman" w:cs="Times New Roman"/>
          <w:b/>
          <w:bCs/>
          <w:color w:val="000000" w:themeColor="text1"/>
          <w:sz w:val="24"/>
        </w:rPr>
        <w:t>3</w:t>
      </w:r>
      <w:r w:rsidR="000749D1" w:rsidRPr="00792CAA">
        <w:rPr>
          <w:rFonts w:ascii="Times New Roman" w:hAnsi="Times New Roman" w:cs="Times New Roman"/>
          <w:b/>
          <w:bCs/>
          <w:color w:val="000000" w:themeColor="text1"/>
          <w:sz w:val="24"/>
        </w:rPr>
        <w:t>.</w:t>
      </w:r>
      <w:r w:rsidR="000749D1" w:rsidRPr="00792CAA">
        <w:rPr>
          <w:rFonts w:ascii="Times New Roman" w:eastAsia="Arial" w:hAnsi="Times New Roman" w:cs="Times New Roman"/>
          <w:b/>
          <w:bCs/>
          <w:color w:val="000000" w:themeColor="text1"/>
          <w:sz w:val="24"/>
        </w:rPr>
        <w:t xml:space="preserve"> </w:t>
      </w:r>
      <w:r w:rsidR="00E53CFB" w:rsidRPr="00792CAA">
        <w:rPr>
          <w:rFonts w:ascii="Times New Roman" w:eastAsia="Arial" w:hAnsi="Times New Roman" w:cs="Times New Roman"/>
          <w:b/>
          <w:bCs/>
          <w:color w:val="000000" w:themeColor="text1"/>
          <w:sz w:val="24"/>
        </w:rPr>
        <w:t>Data and Methodology</w:t>
      </w:r>
      <w:bookmarkEnd w:id="7"/>
      <w:r w:rsidR="000749D1" w:rsidRPr="00792CAA">
        <w:rPr>
          <w:rFonts w:ascii="Times New Roman" w:hAnsi="Times New Roman" w:cs="Times New Roman"/>
          <w:b/>
          <w:bCs/>
          <w:color w:val="000000" w:themeColor="text1"/>
          <w:sz w:val="24"/>
        </w:rPr>
        <w:t xml:space="preserve"> </w:t>
      </w:r>
    </w:p>
    <w:p w14:paraId="5429DABB" w14:textId="77777777" w:rsidR="00621776" w:rsidRPr="00792CAA" w:rsidRDefault="00621776" w:rsidP="003103F7">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3.1 Introduction</w:t>
      </w:r>
    </w:p>
    <w:p w14:paraId="2E35E4B6" w14:textId="7ECD740C"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chapter outlines the dataset, variable construction, and quantitative methods used to analyse the impact of high-pay sector employment and workforce structure on regional median earnings in the UK. It first introduces the data source, then defines the variables of interest, describes preprocessing steps, and explains the statistical methods applied. The methodological approach is designed to test the study’s hypotheses using a structured sequence of analyses: reliability, descriptive statistics, correlation, regression, and mediation.</w:t>
      </w:r>
    </w:p>
    <w:p w14:paraId="6493E14C" w14:textId="77777777" w:rsidR="00621776" w:rsidRPr="00792CAA" w:rsidRDefault="00621776" w:rsidP="003103F7">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3.2 Data Source</w:t>
      </w:r>
    </w:p>
    <w:p w14:paraId="18370FE1" w14:textId="77777777"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analysis draws on the Office for National Statistics (ONS) Earnings and Employment from Pay As You Earn Real Time Information (PAYE RTI) dataset. PAYE RTI is based on administrative data collected from employers’ payroll submissions to HM Revenue and Customs (HMRC). It covers approximately 29 million employees across the UK, offering near-universal coverage of the labour force, in contrast to survey-based sources such as the Labour Force Survey (LFS).</w:t>
      </w:r>
    </w:p>
    <w:p w14:paraId="1368FA77" w14:textId="77777777"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Key advantages of the PAYE RTI data include:</w:t>
      </w:r>
    </w:p>
    <w:p w14:paraId="3D5D64E6" w14:textId="77777777" w:rsidR="00621776" w:rsidRPr="00792CAA" w:rsidRDefault="00621776"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Timeliness: Updated monthly, enabling analysis of up-to-date labour market conditions.</w:t>
      </w:r>
    </w:p>
    <w:p w14:paraId="42F491D6" w14:textId="77777777" w:rsidR="00621776" w:rsidRPr="00792CAA" w:rsidRDefault="00621776"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Coverage: Captures the vast majority of employees in the UK, reducing sampling bias.</w:t>
      </w:r>
    </w:p>
    <w:p w14:paraId="3B8BA71E" w14:textId="77777777" w:rsidR="00621776" w:rsidRPr="00792CAA" w:rsidRDefault="00621776"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Regional disaggregation: Available at NUTS1, NUTS2, and finer geographies.</w:t>
      </w:r>
    </w:p>
    <w:p w14:paraId="779704B5" w14:textId="77777777" w:rsidR="00621776" w:rsidRPr="00792CAA" w:rsidRDefault="00621776" w:rsidP="009C4C26">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Sectoral and occupational detail: Breakdowns by industry and occupation.</w:t>
      </w:r>
    </w:p>
    <w:p w14:paraId="4DBF65EC" w14:textId="07ACE0E7"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For this thesis, data are restricted to the NUTS1 level (12 government office regions of the UK), providing a balance between geographic variation and data reliability. The latest available release (April 2024) was selected to ensure contemporary relevance.</w:t>
      </w:r>
    </w:p>
    <w:p w14:paraId="42B5E8E0" w14:textId="77777777" w:rsidR="00621776" w:rsidRPr="00792CAA" w:rsidRDefault="00621776" w:rsidP="00A96081">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3.3 Variables</w:t>
      </w:r>
    </w:p>
    <w:p w14:paraId="57B3A08E" w14:textId="77777777" w:rsidR="00621776" w:rsidRPr="00792CAA" w:rsidRDefault="00621776" w:rsidP="00A96081">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3.3.1 Dependent Variable (DV)</w:t>
      </w:r>
    </w:p>
    <w:p w14:paraId="212356DB" w14:textId="77A845AD"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Monthly, £)</w:t>
      </w:r>
      <w:r w:rsidRPr="00792CAA">
        <w:rPr>
          <w:rFonts w:ascii="Times New Roman" w:eastAsia="Times New Roman" w:hAnsi="Times New Roman" w:cs="Times New Roman"/>
          <w:color w:val="000000" w:themeColor="text1"/>
          <w:kern w:val="0"/>
          <w:sz w:val="24"/>
          <w14:ligatures w14:val="none"/>
        </w:rPr>
        <w:br/>
        <w:t>Median monthly pay of employees, measured at the NUTS1 level. This is the primary outcome variable, capturing the typical earnings of workers in each region.</w:t>
      </w:r>
    </w:p>
    <w:p w14:paraId="63C7DF48" w14:textId="77777777" w:rsidR="00621776" w:rsidRPr="00792CAA" w:rsidRDefault="00621776" w:rsidP="00A96081">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3.3.2 Independent Variables (IVs)</w:t>
      </w:r>
    </w:p>
    <w:p w14:paraId="05CDB130" w14:textId="2C060B4B"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w:t>
      </w:r>
      <w:r w:rsidRPr="00792CAA">
        <w:rPr>
          <w:rFonts w:ascii="Times New Roman" w:eastAsia="Times New Roman" w:hAnsi="Times New Roman" w:cs="Times New Roman"/>
          <w:color w:val="000000" w:themeColor="text1"/>
          <w:kern w:val="0"/>
          <w:sz w:val="24"/>
          <w14:ligatures w14:val="none"/>
        </w:rPr>
        <w:br/>
        <w:t>Proportion of regional employment in high-paying sectors, defined as:</w:t>
      </w:r>
    </w:p>
    <w:p w14:paraId="3F1344B8"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Information and Communication (ICT)</w:t>
      </w:r>
    </w:p>
    <w:p w14:paraId="61402F38"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Finance and Insurance</w:t>
      </w:r>
      <w:r w:rsidRPr="00792CAA">
        <w:rPr>
          <w:rFonts w:ascii="Times New Roman" w:eastAsia="Times New Roman" w:hAnsi="Times New Roman" w:cs="Times New Roman"/>
          <w:color w:val="000000" w:themeColor="text1"/>
          <w:kern w:val="0"/>
          <w:sz w:val="24"/>
          <w14:ligatures w14:val="none"/>
        </w:rPr>
        <w:br/>
        <w:t>Following standard practice in the literature (Moretti, 2013; ONS, 2023), these sectors are aggregated to create a composite index. Reliability is assessed using Cronbach’s Alpha.</w:t>
      </w:r>
    </w:p>
    <w:p w14:paraId="76605227" w14:textId="50788CFF"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w:t>
      </w:r>
      <w:r w:rsidRPr="00792CAA">
        <w:rPr>
          <w:rFonts w:ascii="Times New Roman" w:eastAsia="Times New Roman" w:hAnsi="Times New Roman" w:cs="Times New Roman"/>
          <w:color w:val="000000" w:themeColor="text1"/>
          <w:kern w:val="0"/>
          <w:sz w:val="24"/>
          <w14:ligatures w14:val="none"/>
        </w:rPr>
        <w:br/>
        <w:t>Share of employment in Professional, Scientific, and Technical Activities. This sector is knowledge-intensive and commands wage premiums, and is included as both an independent predictor and a potential mediator.</w:t>
      </w:r>
    </w:p>
    <w:p w14:paraId="683CA810" w14:textId="77777777" w:rsidR="00621776" w:rsidRPr="00792CAA" w:rsidRDefault="00621776" w:rsidP="00A96081">
      <w:pPr>
        <w:spacing w:before="100" w:beforeAutospacing="1" w:after="100" w:afterAutospacing="1" w:line="360" w:lineRule="auto"/>
        <w:ind w:left="0" w:firstLine="0"/>
        <w:jc w:val="both"/>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3.3.3 Control Variables</w:t>
      </w:r>
    </w:p>
    <w:p w14:paraId="7A085E6D" w14:textId="3BC5EAE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 (count)</w:t>
      </w:r>
      <w:r w:rsidRPr="00792CAA">
        <w:rPr>
          <w:rFonts w:ascii="Times New Roman" w:eastAsia="Times New Roman" w:hAnsi="Times New Roman" w:cs="Times New Roman"/>
          <w:color w:val="000000" w:themeColor="text1"/>
          <w:kern w:val="0"/>
          <w:sz w:val="24"/>
          <w14:ligatures w14:val="none"/>
        </w:rPr>
        <w:br/>
        <w:t>Total number of payrolled employees in each NUTS1 region. This controls for differences in labour market size, which may influence wage levels through scale effects.</w:t>
      </w:r>
    </w:p>
    <w:p w14:paraId="6F71D8E7" w14:textId="51C9FD10"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(Note: Age distribution variables such as proportion aged 30–49 were not available in the April 2024 release at NUTS1 level.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is used as a proxy for workforce structure.)</w:t>
      </w:r>
    </w:p>
    <w:p w14:paraId="7D9B173E" w14:textId="77777777" w:rsidR="00621776" w:rsidRPr="00792CAA" w:rsidRDefault="00621776" w:rsidP="00A96081">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3.4 Data Preprocessing</w:t>
      </w:r>
    </w:p>
    <w:p w14:paraId="41D79325" w14:textId="4CFE3CA8" w:rsidR="00621776" w:rsidRPr="00792CAA" w:rsidRDefault="00621776" w:rsidP="00A9608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dataset was pre</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processed as follows:</w:t>
      </w:r>
    </w:p>
    <w:p w14:paraId="0634C265" w14:textId="77777777" w:rsidR="00621776" w:rsidRPr="00792CAA" w:rsidRDefault="00621776" w:rsidP="003103F7">
      <w:pPr>
        <w:numPr>
          <w:ilvl w:val="0"/>
          <w:numId w:val="18"/>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Selection of regions: Limited to the 12 NUTS1 regions (excluding the UK total).</w:t>
      </w:r>
    </w:p>
    <w:p w14:paraId="311248E6" w14:textId="77777777" w:rsidR="00621776" w:rsidRPr="00792CAA" w:rsidRDefault="00621776" w:rsidP="003103F7">
      <w:pPr>
        <w:numPr>
          <w:ilvl w:val="0"/>
          <w:numId w:val="18"/>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Variable alignment: Sectoral employment counts were normalised by total employment to compute shares.</w:t>
      </w:r>
    </w:p>
    <w:p w14:paraId="25837FD7" w14:textId="2D232501" w:rsidR="00621776" w:rsidRPr="00792CAA" w:rsidRDefault="00621776" w:rsidP="003103F7">
      <w:pPr>
        <w:numPr>
          <w:ilvl w:val="0"/>
          <w:numId w:val="18"/>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Composite measure construction: ICT and Finance shares were combined into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40CC1E3E" w14:textId="77777777" w:rsidR="00621776" w:rsidRPr="00792CAA" w:rsidRDefault="00621776" w:rsidP="003103F7">
      <w:pPr>
        <w:numPr>
          <w:ilvl w:val="0"/>
          <w:numId w:val="18"/>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Cleaning: Missing values and inconsistencies (e.g., suppressed small counts) were addressed through imputation or removal, although this was minimal at the NUTS1 level.</w:t>
      </w:r>
    </w:p>
    <w:p w14:paraId="59F9445D" w14:textId="77777777" w:rsidR="00D01794" w:rsidRPr="00792CAA" w:rsidRDefault="00621776" w:rsidP="003103F7">
      <w:pPr>
        <w:numPr>
          <w:ilvl w:val="0"/>
          <w:numId w:val="18"/>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Merging: Median pay, sectoral shares, and employment totals were merged into a single dataset for analysis.</w:t>
      </w:r>
    </w:p>
    <w:p w14:paraId="37AA670A" w14:textId="6A0842D8" w:rsidR="00621776" w:rsidRPr="00792CAA" w:rsidRDefault="00621776" w:rsidP="003103F7">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3.5 Methodological Approach</w:t>
      </w:r>
    </w:p>
    <w:p w14:paraId="1F3FBD35" w14:textId="77777777" w:rsidR="00621776" w:rsidRPr="00792CAA" w:rsidRDefault="00621776" w:rsidP="003103F7">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methodological design follows a stepwise quantitative strategy, moving from reliability assessment to multivariate modelling. Each step corresponds to the study’s hypotheses.</w:t>
      </w:r>
    </w:p>
    <w:p w14:paraId="6B4A542C" w14:textId="77777777" w:rsidR="00621776" w:rsidRPr="00792CAA" w:rsidRDefault="00621776" w:rsidP="003103F7">
      <w:pPr>
        <w:spacing w:before="100" w:beforeAutospacing="1" w:after="100" w:afterAutospacing="1" w:line="360" w:lineRule="auto"/>
        <w:ind w:left="0" w:firstLine="0"/>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3.5.1 Reliability Analysis</w:t>
      </w:r>
    </w:p>
    <w:p w14:paraId="1D8C057C"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Purpose: To test whether the two high-pay sectors (ICT and Finance) can be validly combined into a single indicator.</w:t>
      </w:r>
    </w:p>
    <w:p w14:paraId="1FBB364C"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Method: Cronbach’s Alpha, widely used to assess internal consistency of composite measures.</w:t>
      </w:r>
    </w:p>
    <w:p w14:paraId="6C1EC9B0"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Interpretation: α ≥ 0.7 is typically considered acceptable (Nunnally, 1978). Given only two items, a moderate α is expected, but a positive correlation would justify their aggregation.</w:t>
      </w:r>
    </w:p>
    <w:p w14:paraId="742C5B19" w14:textId="77777777" w:rsidR="00621776" w:rsidRPr="00792CAA" w:rsidRDefault="00621776" w:rsidP="003103F7">
      <w:pPr>
        <w:spacing w:before="100" w:beforeAutospacing="1" w:after="100" w:afterAutospacing="1" w:line="360" w:lineRule="auto"/>
        <w:ind w:left="0" w:firstLine="0"/>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3.5.2 Descriptive Statistics</w:t>
      </w:r>
    </w:p>
    <w:p w14:paraId="64AFB927"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Purpose: To provide an overview of regional variations.</w:t>
      </w:r>
    </w:p>
    <w:p w14:paraId="445EFCBC" w14:textId="20720BFC"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Measures reported: Mean, standard deviation, minimum, maximum, and range for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w:t>
      </w:r>
    </w:p>
    <w:p w14:paraId="0B12A3E6"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Visualisation: Tables and histograms to illustrate cross-regional differences.</w:t>
      </w:r>
    </w:p>
    <w:p w14:paraId="65265BBC" w14:textId="77777777" w:rsidR="00621776" w:rsidRPr="00792CAA" w:rsidRDefault="00621776" w:rsidP="003103F7">
      <w:pPr>
        <w:spacing w:before="100" w:beforeAutospacing="1" w:after="100" w:afterAutospacing="1" w:line="360" w:lineRule="auto"/>
        <w:ind w:left="0" w:firstLine="0"/>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3.5.3 Correlation Analysis</w:t>
      </w:r>
    </w:p>
    <w:p w14:paraId="0B9A2972"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Purpose: To explore pairwise relationships between variables before regression modelling.</w:t>
      </w:r>
    </w:p>
    <w:p w14:paraId="3434AE57"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Method: Pearson’s correlation coefficient (r) with two-tailed significance testing.</w:t>
      </w:r>
    </w:p>
    <w:p w14:paraId="641114B9"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 Correlations are classified as weak (|r| &lt; 0.3), moderate (0.3 ≤ |r| &lt; 0.6), or strong (|r| ≥ 0.6).</w:t>
      </w:r>
    </w:p>
    <w:p w14:paraId="7E54E43B" w14:textId="77777777" w:rsidR="00621776" w:rsidRPr="00792CAA" w:rsidRDefault="00621776" w:rsidP="003103F7">
      <w:pPr>
        <w:spacing w:before="100" w:beforeAutospacing="1" w:after="100" w:afterAutospacing="1" w:line="360" w:lineRule="auto"/>
        <w:ind w:left="0" w:firstLine="0"/>
        <w:outlineLvl w:val="3"/>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3.5.4 Regression Analysis</w:t>
      </w:r>
    </w:p>
    <w:p w14:paraId="19C4A246"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Purpose: To estimate the effect of high-pay sector share and workforce structure on median pay, controlling for employment size.</w:t>
      </w:r>
    </w:p>
    <w:p w14:paraId="27920E34"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Method: Ordinary Least Squares (OLS) regression.</w:t>
      </w:r>
    </w:p>
    <w:p w14:paraId="2937B244"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Model specification:</w:t>
      </w:r>
    </w:p>
    <w:p w14:paraId="58BE9838" w14:textId="7281EB33"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Model 1: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22E27B0E" w14:textId="73547280"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Model 2: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 Pro</w:t>
      </w:r>
      <w:r w:rsidR="0065723F" w:rsidRPr="00792CAA">
        <w:rPr>
          <w:rFonts w:ascii="Times New Roman" w:eastAsiaTheme="minorEastAsia" w:hAnsi="Times New Roman" w:cs="Times New Roman" w:hint="eastAsia"/>
          <w:color w:val="000000" w:themeColor="text1"/>
          <w:kern w:val="0"/>
          <w:sz w:val="24"/>
          <w14:ligatures w14:val="none"/>
        </w:rPr>
        <w:t>f-</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65979257" w14:textId="184AD910"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Model 3: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 xml:space="preserve">Pay </w:t>
      </w:r>
      <w:r w:rsidR="0065723F" w:rsidRPr="00792CAA">
        <w:rPr>
          <w:rFonts w:ascii="Times New Roman" w:eastAsia="Times New Roman" w:hAnsi="Times New Roman" w:cs="Times New Roman"/>
          <w:color w:val="000000" w:themeColor="text1"/>
          <w:kern w:val="0"/>
          <w:sz w:val="24"/>
          <w14:ligatures w14:val="none"/>
        </w:rPr>
        <w:t>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0065723F"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0065723F"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0065723F" w:rsidRPr="00792CAA">
        <w:rPr>
          <w:rFonts w:ascii="Times New Roman" w:eastAsia="Times New Roman" w:hAnsi="Times New Roman" w:cs="Times New Roman"/>
          <w:color w:val="000000" w:themeColor="text1"/>
          <w:kern w:val="0"/>
          <w:sz w:val="24"/>
          <w14:ligatures w14:val="none"/>
        </w:rPr>
        <w:t>Share + Pro</w:t>
      </w:r>
      <w:r w:rsidR="0065723F" w:rsidRPr="00792CAA">
        <w:rPr>
          <w:rFonts w:ascii="Times New Roman" w:eastAsiaTheme="minorEastAsia" w:hAnsi="Times New Roman" w:cs="Times New Roman" w:hint="eastAsia"/>
          <w:color w:val="000000" w:themeColor="text1"/>
          <w:kern w:val="0"/>
          <w:sz w:val="24"/>
          <w14:ligatures w14:val="none"/>
        </w:rPr>
        <w:t>f-</w:t>
      </w:r>
      <w:r w:rsidR="0065723F"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0065723F" w:rsidRPr="00792CAA">
        <w:rPr>
          <w:rFonts w:ascii="Times New Roman" w:eastAsia="Times New Roman" w:hAnsi="Times New Roman" w:cs="Times New Roman"/>
          <w:color w:val="000000" w:themeColor="text1"/>
          <w:kern w:val="0"/>
          <w:sz w:val="24"/>
          <w14:ligatures w14:val="none"/>
        </w:rPr>
        <w:t xml:space="preserve">Share </w:t>
      </w:r>
      <w:r w:rsidRPr="00792CAA">
        <w:rPr>
          <w:rFonts w:ascii="Times New Roman" w:eastAsia="Times New Roman" w:hAnsi="Times New Roman" w:cs="Times New Roman"/>
          <w:color w:val="000000" w:themeColor="text1"/>
          <w:kern w:val="0"/>
          <w:sz w:val="24"/>
          <w14:ligatures w14:val="none"/>
        </w:rPr>
        <w:t>+ 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w:t>
      </w:r>
    </w:p>
    <w:p w14:paraId="02D5EDAC"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Diagnostics:</w:t>
      </w:r>
    </w:p>
    <w:p w14:paraId="640B9FB2"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Multicollinearity assessed using Variance Inflation Factors (VIF).</w:t>
      </w:r>
    </w:p>
    <w:p w14:paraId="2CFA630F" w14:textId="77777777" w:rsidR="00621776" w:rsidRPr="00792CAA" w:rsidRDefault="00621776" w:rsidP="0065723F">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Model fit evaluated using R² and F-tests.</w:t>
      </w:r>
    </w:p>
    <w:p w14:paraId="6B83CEA6" w14:textId="5A9027E9" w:rsidR="003103F7" w:rsidRPr="00792CAA" w:rsidRDefault="00621776" w:rsidP="00011104">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Residual plots checked for normality and heteroskedasticity.</w:t>
      </w:r>
    </w:p>
    <w:p w14:paraId="2DA0AD89" w14:textId="37AC63F7" w:rsidR="00621776" w:rsidRPr="00792CAA" w:rsidRDefault="00621776" w:rsidP="003103F7">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3.6 Rationale for Methodological Choices</w:t>
      </w:r>
    </w:p>
    <w:p w14:paraId="082E25EF" w14:textId="77777777" w:rsidR="00621776" w:rsidRPr="00792CAA" w:rsidRDefault="00621776" w:rsidP="003103F7">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chosen sequence of analyses is consistent with both the study’s hypotheses and common practice in applied labour economics:</w:t>
      </w:r>
    </w:p>
    <w:p w14:paraId="6D71E809"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Reliability testing ensures the validity of the composite high-pay sector measure.</w:t>
      </w:r>
    </w:p>
    <w:p w14:paraId="45DF9389"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Descriptives provide essential baseline comparisons.</w:t>
      </w:r>
    </w:p>
    <w:p w14:paraId="2D2BC8C3"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Correlations guide interpretation of multivariate models.</w:t>
      </w:r>
    </w:p>
    <w:p w14:paraId="03C19A17" w14:textId="77777777" w:rsidR="00621776" w:rsidRPr="00792CAA" w:rsidRDefault="00621776" w:rsidP="0065723F">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Regression allows for causal inference under the assumption of linear relationships.</w:t>
      </w:r>
    </w:p>
    <w:p w14:paraId="1BEEA70E" w14:textId="77777777" w:rsidR="00621776" w:rsidRPr="00792CAA" w:rsidRDefault="00621776" w:rsidP="003103F7">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Alternative methods such as panel data models or hierarchical regressions could be considered in future research when multi-year or finer-level data are incorporated. However, given the cross-sectional structure of the April 2024 release, OLS with mediation is the most appropriate design.</w:t>
      </w:r>
    </w:p>
    <w:p w14:paraId="5D0BC33D" w14:textId="77777777" w:rsidR="00621776" w:rsidRPr="00792CAA" w:rsidRDefault="00621776" w:rsidP="003103F7">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3.7 Limitations</w:t>
      </w:r>
    </w:p>
    <w:p w14:paraId="274DDFCA" w14:textId="77777777" w:rsidR="00621776" w:rsidRPr="00792CAA" w:rsidRDefault="00621776" w:rsidP="003103F7">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Several methodological limitations must be acknowledged:</w:t>
      </w:r>
    </w:p>
    <w:p w14:paraId="718F200C" w14:textId="77777777" w:rsidR="00621776" w:rsidRPr="00792CAA" w:rsidRDefault="00621776" w:rsidP="003103F7">
      <w:pPr>
        <w:numPr>
          <w:ilvl w:val="0"/>
          <w:numId w:val="25"/>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Cross-sectional data: Causality cannot be definitively established.</w:t>
      </w:r>
    </w:p>
    <w:p w14:paraId="1ACD5A22" w14:textId="6746EA55" w:rsidR="00621776" w:rsidRPr="00792CAA" w:rsidRDefault="00621776" w:rsidP="003103F7">
      <w:pPr>
        <w:numPr>
          <w:ilvl w:val="0"/>
          <w:numId w:val="25"/>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Age data unavailability: The absence of workforce age breakdown at NUTS1 level constrains the analysis.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is used as a proxy, but this substitution has conceptual limitations.</w:t>
      </w:r>
    </w:p>
    <w:p w14:paraId="530781DF" w14:textId="77777777" w:rsidR="00621776" w:rsidRPr="00792CAA" w:rsidRDefault="00621776" w:rsidP="003103F7">
      <w:pPr>
        <w:numPr>
          <w:ilvl w:val="0"/>
          <w:numId w:val="25"/>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Small sample size (n=12): With only 12 NUTS1 regions, statistical power is limited. Results should be interpreted cautiously, and robustness checks are recommended.</w:t>
      </w:r>
    </w:p>
    <w:p w14:paraId="620E38B4" w14:textId="77777777" w:rsidR="00621776" w:rsidRPr="00792CAA" w:rsidRDefault="00621776" w:rsidP="003103F7">
      <w:pPr>
        <w:numPr>
          <w:ilvl w:val="0"/>
          <w:numId w:val="25"/>
        </w:num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Multicollinearity risk: High correlations between sectoral shares may inflate variance in regression estimates. VIF diagnostics are used to monitor this issue.</w:t>
      </w:r>
    </w:p>
    <w:p w14:paraId="27753BB1" w14:textId="77777777" w:rsidR="00621776" w:rsidRPr="00792CAA" w:rsidRDefault="00621776" w:rsidP="003103F7">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3.8 Conclusion</w:t>
      </w:r>
    </w:p>
    <w:p w14:paraId="577FC2B3" w14:textId="77777777" w:rsidR="00621776" w:rsidRPr="00792CAA" w:rsidRDefault="00621776" w:rsidP="00015ED5">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This chapter has detailed the dataset, variable definitions, preprocessing steps, and methodological strategy employed in this thesis. The use of ONS PAYE RTI data provides a robust foundation for analysing regional wage disparities. By combining reliability analysis, descriptive statistics, correlation, regression, and mediation, the study aims to produce a comprehensive assessment of the impact of high-pay sector employment and workforce structure on median earnings in the UK. The next chapter presents the empirical results of this methodology.</w:t>
      </w:r>
    </w:p>
    <w:p w14:paraId="3B63C384" w14:textId="7A633CA0" w:rsidR="009861D1" w:rsidRPr="00792CAA" w:rsidRDefault="00B57CC6">
      <w:pPr>
        <w:pStyle w:val="Heading1"/>
        <w:rPr>
          <w:rFonts w:ascii="Times New Roman" w:hAnsi="Times New Roman" w:cs="Times New Roman"/>
          <w:b/>
          <w:bCs/>
          <w:color w:val="000000" w:themeColor="text1"/>
          <w:sz w:val="24"/>
        </w:rPr>
      </w:pPr>
      <w:bookmarkStart w:id="8" w:name="_Toc210136244"/>
      <w:r w:rsidRPr="00792CAA">
        <w:rPr>
          <w:rFonts w:ascii="Times New Roman" w:hAnsi="Times New Roman" w:cs="Times New Roman"/>
          <w:b/>
          <w:bCs/>
          <w:color w:val="000000" w:themeColor="text1"/>
          <w:sz w:val="24"/>
        </w:rPr>
        <w:t>4</w:t>
      </w:r>
      <w:r w:rsidR="000749D1" w:rsidRPr="00792CAA">
        <w:rPr>
          <w:rFonts w:ascii="Times New Roman" w:hAnsi="Times New Roman" w:cs="Times New Roman"/>
          <w:b/>
          <w:bCs/>
          <w:color w:val="000000" w:themeColor="text1"/>
          <w:sz w:val="24"/>
        </w:rPr>
        <w:t>.</w:t>
      </w:r>
      <w:r w:rsidR="000749D1" w:rsidRPr="00792CAA">
        <w:rPr>
          <w:rFonts w:ascii="Times New Roman" w:eastAsia="Arial" w:hAnsi="Times New Roman" w:cs="Times New Roman"/>
          <w:b/>
          <w:bCs/>
          <w:color w:val="000000" w:themeColor="text1"/>
          <w:sz w:val="24"/>
        </w:rPr>
        <w:t xml:space="preserve"> </w:t>
      </w:r>
      <w:r w:rsidR="00FB23DB" w:rsidRPr="00792CAA">
        <w:rPr>
          <w:rFonts w:ascii="Times New Roman" w:hAnsi="Times New Roman" w:cs="Times New Roman"/>
          <w:b/>
          <w:bCs/>
          <w:color w:val="000000" w:themeColor="text1"/>
          <w:sz w:val="24"/>
        </w:rPr>
        <w:t>Results</w:t>
      </w:r>
      <w:bookmarkEnd w:id="8"/>
    </w:p>
    <w:p w14:paraId="5B737A3E" w14:textId="77777777"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4.1 Introduction</w:t>
      </w:r>
    </w:p>
    <w:p w14:paraId="782573F6" w14:textId="77777777" w:rsidR="004C20F3" w:rsidRPr="00792CAA" w:rsidRDefault="004C20F3" w:rsidP="007B765B">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chapter presents the empirical findings of the quantitative analysis, organised around the methodological sequence outlined previously: reliability, descriptive statistics, correlation, regression, and mediation analysis. Each subsection reports the results and interprets them in light of the research hypotheses (H1–H4). Where appropriate, tables are referenced to provide transparency and precision. Taken together, these results allow an evaluation of the structural drivers of regional median earnings in the UK.</w:t>
      </w:r>
    </w:p>
    <w:p w14:paraId="2B36E88B" w14:textId="77777777"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4.2 Reliability Analysis</w:t>
      </w:r>
    </w:p>
    <w:tbl>
      <w:tblPr>
        <w:tblpPr w:leftFromText="180" w:rightFromText="180" w:vertAnchor="page" w:horzAnchor="margin" w:tblpXSpec="center" w:tblpY="10782"/>
        <w:tblW w:w="4725" w:type="dxa"/>
        <w:tblLayout w:type="fixed"/>
        <w:tblCellMar>
          <w:left w:w="0" w:type="dxa"/>
          <w:right w:w="0" w:type="dxa"/>
        </w:tblCellMar>
        <w:tblLook w:val="0000" w:firstRow="0" w:lastRow="0" w:firstColumn="0" w:lastColumn="0" w:noHBand="0" w:noVBand="0"/>
      </w:tblPr>
      <w:tblGrid>
        <w:gridCol w:w="1740"/>
        <w:gridCol w:w="1741"/>
        <w:gridCol w:w="1244"/>
      </w:tblGrid>
      <w:tr w:rsidR="005A2D6C" w:rsidRPr="00792CAA" w14:paraId="71C146E7" w14:textId="77777777" w:rsidTr="005A2D6C">
        <w:trPr>
          <w:cantSplit/>
        </w:trPr>
        <w:tc>
          <w:tcPr>
            <w:tcW w:w="4725" w:type="dxa"/>
            <w:gridSpan w:val="3"/>
            <w:tcBorders>
              <w:top w:val="nil"/>
              <w:left w:val="nil"/>
              <w:bottom w:val="nil"/>
              <w:right w:val="nil"/>
            </w:tcBorders>
            <w:shd w:val="clear" w:color="auto" w:fill="FFFFFF"/>
            <w:vAlign w:val="center"/>
          </w:tcPr>
          <w:p w14:paraId="56B4D0F6" w14:textId="77777777" w:rsidR="005A2D6C" w:rsidRPr="00792CAA" w:rsidRDefault="005A2D6C" w:rsidP="005A2D6C">
            <w:pPr>
              <w:autoSpaceDE w:val="0"/>
              <w:autoSpaceDN w:val="0"/>
              <w:adjustRightInd w:val="0"/>
              <w:spacing w:after="0" w:line="320" w:lineRule="atLeast"/>
              <w:ind w:left="60" w:right="60" w:firstLine="0"/>
              <w:jc w:val="center"/>
              <w:rPr>
                <w:rFonts w:eastAsiaTheme="minorEastAsia"/>
                <w:color w:val="010205"/>
                <w:kern w:val="0"/>
                <w:sz w:val="28"/>
                <w:szCs w:val="28"/>
              </w:rPr>
            </w:pPr>
            <w:r w:rsidRPr="00792CAA">
              <w:rPr>
                <w:rFonts w:eastAsiaTheme="minorEastAsia"/>
                <w:b/>
                <w:bCs/>
                <w:color w:val="010205"/>
                <w:kern w:val="0"/>
                <w:sz w:val="28"/>
                <w:szCs w:val="28"/>
              </w:rPr>
              <w:t>Reliability Statistics</w:t>
            </w:r>
          </w:p>
        </w:tc>
      </w:tr>
      <w:tr w:rsidR="005A2D6C" w:rsidRPr="00792CAA" w14:paraId="7DEF3A45" w14:textId="77777777" w:rsidTr="005A2D6C">
        <w:trPr>
          <w:cantSplit/>
        </w:trPr>
        <w:tc>
          <w:tcPr>
            <w:tcW w:w="1740" w:type="dxa"/>
            <w:tcBorders>
              <w:top w:val="nil"/>
              <w:left w:val="nil"/>
              <w:bottom w:val="single" w:sz="8" w:space="0" w:color="152935"/>
              <w:right w:val="single" w:sz="8" w:space="0" w:color="E0E0E0"/>
            </w:tcBorders>
            <w:shd w:val="clear" w:color="auto" w:fill="FFFFFF"/>
            <w:vAlign w:val="bottom"/>
          </w:tcPr>
          <w:p w14:paraId="1ECA0E72" w14:textId="77777777" w:rsidR="005A2D6C" w:rsidRPr="00792CAA" w:rsidRDefault="005A2D6C" w:rsidP="005A2D6C">
            <w:pPr>
              <w:autoSpaceDE w:val="0"/>
              <w:autoSpaceDN w:val="0"/>
              <w:adjustRightInd w:val="0"/>
              <w:spacing w:after="0" w:line="320" w:lineRule="atLeast"/>
              <w:ind w:left="60" w:right="60" w:firstLine="0"/>
              <w:jc w:val="center"/>
              <w:rPr>
                <w:rFonts w:eastAsiaTheme="minorEastAsia"/>
                <w:color w:val="264A60"/>
                <w:kern w:val="0"/>
                <w:sz w:val="24"/>
              </w:rPr>
            </w:pPr>
            <w:r w:rsidRPr="00792CAA">
              <w:rPr>
                <w:rFonts w:eastAsiaTheme="minorEastAsia"/>
                <w:color w:val="264A60"/>
                <w:kern w:val="0"/>
                <w:sz w:val="24"/>
              </w:rPr>
              <w:t>Cronbach's Alpha</w:t>
            </w:r>
          </w:p>
        </w:tc>
        <w:tc>
          <w:tcPr>
            <w:tcW w:w="1741" w:type="dxa"/>
            <w:tcBorders>
              <w:top w:val="nil"/>
              <w:left w:val="single" w:sz="8" w:space="0" w:color="E0E0E0"/>
              <w:bottom w:val="single" w:sz="8" w:space="0" w:color="152935"/>
              <w:right w:val="single" w:sz="8" w:space="0" w:color="E0E0E0"/>
            </w:tcBorders>
            <w:shd w:val="clear" w:color="auto" w:fill="FFFFFF"/>
            <w:vAlign w:val="bottom"/>
          </w:tcPr>
          <w:p w14:paraId="4898EF13" w14:textId="77777777" w:rsidR="005A2D6C" w:rsidRPr="00792CAA" w:rsidRDefault="005A2D6C" w:rsidP="005A2D6C">
            <w:pPr>
              <w:autoSpaceDE w:val="0"/>
              <w:autoSpaceDN w:val="0"/>
              <w:adjustRightInd w:val="0"/>
              <w:spacing w:after="0" w:line="320" w:lineRule="atLeast"/>
              <w:ind w:left="60" w:right="60" w:firstLine="0"/>
              <w:jc w:val="center"/>
              <w:rPr>
                <w:rFonts w:eastAsiaTheme="minorEastAsia"/>
                <w:color w:val="264A60"/>
                <w:kern w:val="0"/>
                <w:sz w:val="24"/>
              </w:rPr>
            </w:pPr>
            <w:r w:rsidRPr="00792CAA">
              <w:rPr>
                <w:rFonts w:eastAsiaTheme="minorEastAsia"/>
                <w:color w:val="264A60"/>
                <w:kern w:val="0"/>
                <w:sz w:val="24"/>
              </w:rPr>
              <w:t>Cronbach's Alpha Based on Standardized Items</w:t>
            </w:r>
          </w:p>
        </w:tc>
        <w:tc>
          <w:tcPr>
            <w:tcW w:w="1244" w:type="dxa"/>
            <w:tcBorders>
              <w:top w:val="nil"/>
              <w:left w:val="single" w:sz="8" w:space="0" w:color="E0E0E0"/>
              <w:bottom w:val="single" w:sz="8" w:space="0" w:color="152935"/>
              <w:right w:val="nil"/>
            </w:tcBorders>
            <w:shd w:val="clear" w:color="auto" w:fill="FFFFFF"/>
            <w:vAlign w:val="bottom"/>
          </w:tcPr>
          <w:p w14:paraId="2E188691" w14:textId="77777777" w:rsidR="005A2D6C" w:rsidRPr="00792CAA" w:rsidRDefault="005A2D6C" w:rsidP="005A2D6C">
            <w:pPr>
              <w:autoSpaceDE w:val="0"/>
              <w:autoSpaceDN w:val="0"/>
              <w:adjustRightInd w:val="0"/>
              <w:spacing w:after="0" w:line="320" w:lineRule="atLeast"/>
              <w:ind w:left="60" w:right="60" w:firstLine="0"/>
              <w:jc w:val="center"/>
              <w:rPr>
                <w:rFonts w:eastAsiaTheme="minorEastAsia"/>
                <w:color w:val="264A60"/>
                <w:kern w:val="0"/>
                <w:sz w:val="24"/>
              </w:rPr>
            </w:pPr>
            <w:r w:rsidRPr="00792CAA">
              <w:rPr>
                <w:rFonts w:eastAsiaTheme="minorEastAsia"/>
                <w:color w:val="264A60"/>
                <w:kern w:val="0"/>
                <w:sz w:val="24"/>
              </w:rPr>
              <w:t>N of Items</w:t>
            </w:r>
          </w:p>
        </w:tc>
      </w:tr>
      <w:tr w:rsidR="005A2D6C" w:rsidRPr="00792CAA" w14:paraId="4DD02DE0" w14:textId="77777777" w:rsidTr="005A2D6C">
        <w:trPr>
          <w:cantSplit/>
        </w:trPr>
        <w:tc>
          <w:tcPr>
            <w:tcW w:w="1740" w:type="dxa"/>
            <w:tcBorders>
              <w:top w:val="single" w:sz="8" w:space="0" w:color="152935"/>
              <w:left w:val="nil"/>
              <w:bottom w:val="single" w:sz="8" w:space="0" w:color="152935"/>
              <w:right w:val="single" w:sz="8" w:space="0" w:color="E0E0E0"/>
            </w:tcBorders>
            <w:shd w:val="clear" w:color="auto" w:fill="F9F9FB"/>
          </w:tcPr>
          <w:p w14:paraId="5D9B61D9" w14:textId="77777777" w:rsidR="005A2D6C" w:rsidRPr="00792CAA" w:rsidRDefault="005A2D6C" w:rsidP="005A2D6C">
            <w:pPr>
              <w:autoSpaceDE w:val="0"/>
              <w:autoSpaceDN w:val="0"/>
              <w:adjustRightInd w:val="0"/>
              <w:spacing w:after="0" w:line="320" w:lineRule="atLeast"/>
              <w:ind w:left="60" w:right="60" w:firstLine="0"/>
              <w:jc w:val="right"/>
              <w:rPr>
                <w:rFonts w:eastAsiaTheme="minorEastAsia"/>
                <w:color w:val="010205"/>
                <w:kern w:val="0"/>
                <w:sz w:val="24"/>
              </w:rPr>
            </w:pPr>
            <w:r w:rsidRPr="00792CAA">
              <w:rPr>
                <w:rFonts w:eastAsiaTheme="minorEastAsia"/>
                <w:color w:val="010205"/>
                <w:kern w:val="0"/>
                <w:sz w:val="24"/>
              </w:rPr>
              <w:t>.028</w:t>
            </w:r>
          </w:p>
        </w:tc>
        <w:tc>
          <w:tcPr>
            <w:tcW w:w="1741" w:type="dxa"/>
            <w:tcBorders>
              <w:top w:val="single" w:sz="8" w:space="0" w:color="152935"/>
              <w:left w:val="single" w:sz="8" w:space="0" w:color="E0E0E0"/>
              <w:bottom w:val="single" w:sz="8" w:space="0" w:color="152935"/>
              <w:right w:val="single" w:sz="8" w:space="0" w:color="E0E0E0"/>
            </w:tcBorders>
            <w:shd w:val="clear" w:color="auto" w:fill="F9F9FB"/>
          </w:tcPr>
          <w:p w14:paraId="2D05BA8B" w14:textId="77777777" w:rsidR="005A2D6C" w:rsidRPr="00792CAA" w:rsidRDefault="005A2D6C" w:rsidP="005A2D6C">
            <w:pPr>
              <w:autoSpaceDE w:val="0"/>
              <w:autoSpaceDN w:val="0"/>
              <w:adjustRightInd w:val="0"/>
              <w:spacing w:after="0" w:line="320" w:lineRule="atLeast"/>
              <w:ind w:left="60" w:right="60" w:firstLine="0"/>
              <w:jc w:val="right"/>
              <w:rPr>
                <w:rFonts w:eastAsiaTheme="minorEastAsia"/>
                <w:color w:val="010205"/>
                <w:kern w:val="0"/>
                <w:sz w:val="24"/>
              </w:rPr>
            </w:pPr>
            <w:r w:rsidRPr="00792CAA">
              <w:rPr>
                <w:rFonts w:eastAsiaTheme="minorEastAsia"/>
                <w:color w:val="010205"/>
                <w:kern w:val="0"/>
                <w:sz w:val="24"/>
              </w:rPr>
              <w:t>.884</w:t>
            </w:r>
          </w:p>
        </w:tc>
        <w:tc>
          <w:tcPr>
            <w:tcW w:w="1244" w:type="dxa"/>
            <w:tcBorders>
              <w:top w:val="single" w:sz="8" w:space="0" w:color="152935"/>
              <w:left w:val="single" w:sz="8" w:space="0" w:color="E0E0E0"/>
              <w:bottom w:val="single" w:sz="8" w:space="0" w:color="152935"/>
              <w:right w:val="nil"/>
            </w:tcBorders>
            <w:shd w:val="clear" w:color="auto" w:fill="F9F9FB"/>
          </w:tcPr>
          <w:p w14:paraId="4FD231E0" w14:textId="77777777" w:rsidR="005A2D6C" w:rsidRPr="00792CAA" w:rsidRDefault="005A2D6C" w:rsidP="005A2D6C">
            <w:pPr>
              <w:autoSpaceDE w:val="0"/>
              <w:autoSpaceDN w:val="0"/>
              <w:adjustRightInd w:val="0"/>
              <w:spacing w:after="0" w:line="320" w:lineRule="atLeast"/>
              <w:ind w:left="60" w:right="60" w:firstLine="0"/>
              <w:jc w:val="right"/>
              <w:rPr>
                <w:rFonts w:eastAsiaTheme="minorEastAsia"/>
                <w:color w:val="010205"/>
                <w:kern w:val="0"/>
                <w:sz w:val="24"/>
              </w:rPr>
            </w:pPr>
            <w:r w:rsidRPr="00792CAA">
              <w:rPr>
                <w:rFonts w:eastAsiaTheme="minorEastAsia"/>
                <w:color w:val="010205"/>
                <w:kern w:val="0"/>
                <w:sz w:val="24"/>
              </w:rPr>
              <w:t>3</w:t>
            </w:r>
          </w:p>
        </w:tc>
      </w:tr>
    </w:tbl>
    <w:p w14:paraId="7483ECAB" w14:textId="56D8B4A8" w:rsidR="004C20F3" w:rsidRPr="00792CAA" w:rsidRDefault="004C20F3" w:rsidP="00605556">
      <w:pPr>
        <w:spacing w:before="100" w:beforeAutospacing="1" w:after="100" w:afterAutospacing="1" w:line="360" w:lineRule="auto"/>
        <w:ind w:left="0" w:firstLine="0"/>
        <w:jc w:val="both"/>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first step assessed whether employment shares in Information and Communication (ICT) and Finance &amp; Insurance could be combined into a single composite indicator of High</w:t>
      </w:r>
      <w:r w:rsidR="002F2EBA"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2F2EBA"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2F2EBA"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Cronbach’s Alpha was calculated using the 12 NUTS1 regions.</w:t>
      </w:r>
    </w:p>
    <w:p w14:paraId="5EAE4182" w14:textId="77777777" w:rsidR="00266D10" w:rsidRPr="00792CAA" w:rsidRDefault="00266D10" w:rsidP="00266D10">
      <w:pPr>
        <w:autoSpaceDE w:val="0"/>
        <w:autoSpaceDN w:val="0"/>
        <w:adjustRightInd w:val="0"/>
        <w:spacing w:after="0" w:line="240" w:lineRule="auto"/>
        <w:ind w:left="0" w:firstLine="0"/>
        <w:rPr>
          <w:rFonts w:ascii="Times New Roman" w:eastAsiaTheme="minorEastAsia" w:hAnsi="Times New Roman" w:cs="Times New Roman"/>
          <w:color w:val="auto"/>
          <w:kern w:val="0"/>
          <w:sz w:val="24"/>
        </w:rPr>
      </w:pPr>
    </w:p>
    <w:p w14:paraId="457342C5" w14:textId="77777777" w:rsidR="00266D10" w:rsidRPr="00792CAA" w:rsidRDefault="00266D10" w:rsidP="00266D10">
      <w:pPr>
        <w:autoSpaceDE w:val="0"/>
        <w:autoSpaceDN w:val="0"/>
        <w:adjustRightInd w:val="0"/>
        <w:spacing w:after="0" w:line="400" w:lineRule="atLeast"/>
        <w:ind w:left="0" w:firstLine="0"/>
        <w:rPr>
          <w:rFonts w:ascii="Times New Roman" w:eastAsiaTheme="minorEastAsia" w:hAnsi="Times New Roman" w:cs="Times New Roman"/>
          <w:color w:val="auto"/>
          <w:kern w:val="0"/>
          <w:sz w:val="24"/>
        </w:rPr>
      </w:pPr>
    </w:p>
    <w:p w14:paraId="3D3F2E7B" w14:textId="77777777" w:rsidR="00266D10" w:rsidRPr="00792CAA" w:rsidRDefault="00266D10" w:rsidP="00266D10">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p>
    <w:p w14:paraId="4C6FA9DA" w14:textId="77777777" w:rsidR="00266D10" w:rsidRPr="00792CAA" w:rsidRDefault="00266D10"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p>
    <w:p w14:paraId="13D3DA13" w14:textId="691FA59E" w:rsidR="00266D10" w:rsidRPr="00792CAA" w:rsidRDefault="00742DF4" w:rsidP="00E13035">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r w:rsidRPr="00792CAA">
        <w:rPr>
          <w:rFonts w:ascii="Times New Roman" w:eastAsiaTheme="minorEastAsia" w:hAnsi="Times New Roman" w:cs="Times New Roman" w:hint="eastAsia"/>
          <w:color w:val="000000" w:themeColor="text1"/>
          <w:kern w:val="0"/>
          <w:sz w:val="24"/>
          <w14:ligatures w14:val="none"/>
        </w:rPr>
        <w:t>Table 4</w:t>
      </w:r>
      <w:r w:rsidR="00E13035"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heme="minorEastAsia" w:hAnsi="Times New Roman" w:cs="Times New Roman" w:hint="eastAsia"/>
          <w:color w:val="000000" w:themeColor="text1"/>
          <w:kern w:val="0"/>
          <w:sz w:val="24"/>
          <w14:ligatures w14:val="none"/>
        </w:rPr>
        <w:t>1</w:t>
      </w:r>
      <w:r w:rsidR="00E13035" w:rsidRPr="00792CAA">
        <w:rPr>
          <w:rFonts w:ascii="Times New Roman" w:eastAsiaTheme="minorEastAsia" w:hAnsi="Times New Roman" w:cs="Times New Roman" w:hint="eastAsia"/>
          <w:color w:val="000000" w:themeColor="text1"/>
          <w:kern w:val="0"/>
          <w:sz w:val="24"/>
          <w14:ligatures w14:val="none"/>
        </w:rPr>
        <w:t xml:space="preserve"> </w:t>
      </w:r>
      <w:r w:rsidR="00E13035" w:rsidRPr="00792CAA">
        <w:rPr>
          <w:rFonts w:ascii="Times New Roman" w:eastAsia="Times New Roman" w:hAnsi="Times New Roman" w:cs="Times New Roman"/>
          <w:color w:val="000000" w:themeColor="text1"/>
          <w:kern w:val="0"/>
          <w:sz w:val="24"/>
          <w14:ligatures w14:val="none"/>
        </w:rPr>
        <w:t>Reliability Analysis(N=12 regions)</w:t>
      </w:r>
    </w:p>
    <w:p w14:paraId="041B439A" w14:textId="1D090E83" w:rsidR="004C20F3" w:rsidRPr="00792CAA" w:rsidRDefault="004C20F3"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Cronbach’s Alpha ≈ 0.</w:t>
      </w:r>
      <w:r w:rsidR="00C3250F" w:rsidRPr="00792CAA">
        <w:rPr>
          <w:rFonts w:ascii="Times New Roman" w:eastAsiaTheme="minorEastAsia" w:hAnsi="Times New Roman" w:cs="Times New Roman" w:hint="eastAsia"/>
          <w:color w:val="000000" w:themeColor="text1"/>
          <w:kern w:val="0"/>
          <w:sz w:val="24"/>
          <w14:ligatures w14:val="none"/>
        </w:rPr>
        <w:t>88</w:t>
      </w:r>
    </w:p>
    <w:p w14:paraId="24FD1894" w14:textId="4870EDA6" w:rsidR="004C20F3" w:rsidRPr="00792CAA" w:rsidRDefault="004C20F3"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Number of items (k): </w:t>
      </w:r>
      <w:r w:rsidR="005D1ED8" w:rsidRPr="00792CAA">
        <w:rPr>
          <w:rFonts w:ascii="Times New Roman" w:eastAsiaTheme="minorEastAsia" w:hAnsi="Times New Roman" w:cs="Times New Roman" w:hint="eastAsia"/>
          <w:color w:val="000000" w:themeColor="text1"/>
          <w:kern w:val="0"/>
          <w:sz w:val="24"/>
          <w14:ligatures w14:val="none"/>
        </w:rPr>
        <w:t>3</w:t>
      </w:r>
    </w:p>
    <w:p w14:paraId="1CA4B0FF" w14:textId="77777777" w:rsidR="004C20F3" w:rsidRPr="00792CAA" w:rsidRDefault="004C20F3" w:rsidP="00605556">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This value lies at the lower boundary of the “acceptable” range (Nunnally, 1978), indicating that the two items share a moderate level of internal consistency. Given that only two variables are included, achieving high alpha values is difficult. Importantly, the positive correlation between ICT and Finance employment shares justifies their aggregation into a composite index for subsequent analysis.</w:t>
      </w:r>
    </w:p>
    <w:p w14:paraId="70A6C3E4" w14:textId="3B3F2104" w:rsidR="004C20F3" w:rsidRPr="00792CAA" w:rsidRDefault="004C20F3" w:rsidP="00605556">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w:t>
      </w:r>
      <w:r w:rsidRPr="00792CAA">
        <w:rPr>
          <w:rFonts w:ascii="Times New Roman" w:eastAsia="Times New Roman" w:hAnsi="Times New Roman" w:cs="Times New Roman"/>
          <w:color w:val="000000" w:themeColor="text1"/>
          <w:kern w:val="0"/>
          <w:sz w:val="24"/>
          <w14:ligatures w14:val="none"/>
        </w:rPr>
        <w:br/>
        <w:t>The reliability result supports the use of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as an independent variable (IV). Thus, Hypothesis 1 (H1) regarding the effect of high-pay sector employment on wages can be tested using a valid composite measure.</w:t>
      </w:r>
    </w:p>
    <w:p w14:paraId="48B5FA3D" w14:textId="77777777"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4.3 Descriptive Statistics</w:t>
      </w:r>
    </w:p>
    <w:p w14:paraId="084DCC1B" w14:textId="3B84FCA8" w:rsidR="004C20F3" w:rsidRPr="00792CAA" w:rsidRDefault="004C20F3" w:rsidP="00605556">
      <w:pPr>
        <w:spacing w:before="100" w:beforeAutospacing="1" w:after="100" w:afterAutospacing="1" w:line="360" w:lineRule="auto"/>
        <w:ind w:left="0" w:firstLine="0"/>
        <w:jc w:val="both"/>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Descriptive statistics for the main variables are reported in Table 4.</w:t>
      </w:r>
      <w:r w:rsidR="00CD7DCF" w:rsidRPr="00792CAA">
        <w:rPr>
          <w:rFonts w:ascii="Times New Roman" w:eastAsiaTheme="minorEastAsia" w:hAnsi="Times New Roman" w:cs="Times New Roman" w:hint="eastAsia"/>
          <w:color w:val="000000" w:themeColor="text1"/>
          <w:kern w:val="0"/>
          <w:sz w:val="24"/>
          <w14:ligatures w14:val="none"/>
        </w:rPr>
        <w:t>2</w:t>
      </w:r>
      <w:r w:rsidRPr="00792CAA">
        <w:rPr>
          <w:rFonts w:ascii="Times New Roman" w:eastAsia="Times New Roman" w:hAnsi="Times New Roman" w:cs="Times New Roman"/>
          <w:color w:val="000000" w:themeColor="text1"/>
          <w:kern w:val="0"/>
          <w:sz w:val="24"/>
          <w14:ligatures w14:val="none"/>
        </w:rPr>
        <w:t>. These include the dependent variable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the independent variables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ICT</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Finance</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the control (Employees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w:t>
      </w:r>
    </w:p>
    <w:p w14:paraId="2B9BE866" w14:textId="3C9631D8" w:rsidR="004C20F3" w:rsidRPr="00792CAA" w:rsidRDefault="004B7920" w:rsidP="005B2BD0">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noProof/>
          <w:color w:val="000000" w:themeColor="text1"/>
          <w:kern w:val="0"/>
          <w:sz w:val="24"/>
          <w14:ligatures w14:val="none"/>
        </w:rPr>
        <w:drawing>
          <wp:inline distT="0" distB="0" distL="0" distR="0" wp14:anchorId="689DCE95" wp14:editId="1D722663">
            <wp:extent cx="5836285" cy="1258570"/>
            <wp:effectExtent l="0" t="0" r="0" b="0"/>
            <wp:docPr id="396224066" name="Picture 2"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4066" name="Picture 2" descr="A screenshot of a data&#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6285" cy="1258570"/>
                    </a:xfrm>
                    <a:prstGeom prst="rect">
                      <a:avLst/>
                    </a:prstGeom>
                    <a:noFill/>
                    <a:ln>
                      <a:noFill/>
                    </a:ln>
                  </pic:spPr>
                </pic:pic>
              </a:graphicData>
            </a:graphic>
          </wp:inline>
        </w:drawing>
      </w:r>
      <w:bookmarkStart w:id="9" w:name="_Hlk210037389"/>
      <w:r w:rsidR="004C20F3" w:rsidRPr="00792CAA">
        <w:rPr>
          <w:rFonts w:ascii="Times New Roman" w:eastAsia="Times New Roman" w:hAnsi="Times New Roman" w:cs="Times New Roman"/>
          <w:color w:val="000000" w:themeColor="text1"/>
          <w:kern w:val="0"/>
          <w:sz w:val="24"/>
          <w14:ligatures w14:val="none"/>
        </w:rPr>
        <w:t>Table 4.</w:t>
      </w:r>
      <w:r w:rsidR="00E13035" w:rsidRPr="00792CAA">
        <w:rPr>
          <w:rFonts w:ascii="Times New Roman" w:eastAsiaTheme="minorEastAsia" w:hAnsi="Times New Roman" w:cs="Times New Roman" w:hint="eastAsia"/>
          <w:color w:val="000000" w:themeColor="text1"/>
          <w:kern w:val="0"/>
          <w:sz w:val="24"/>
          <w14:ligatures w14:val="none"/>
        </w:rPr>
        <w:t>2</w:t>
      </w:r>
      <w:r w:rsidR="004C20F3" w:rsidRPr="00792CAA">
        <w:rPr>
          <w:rFonts w:ascii="Times New Roman" w:eastAsia="Times New Roman" w:hAnsi="Times New Roman" w:cs="Times New Roman"/>
          <w:color w:val="000000" w:themeColor="text1"/>
          <w:kern w:val="0"/>
          <w:sz w:val="24"/>
          <w14:ligatures w14:val="none"/>
        </w:rPr>
        <w:t xml:space="preserve"> Descriptive Statistics </w:t>
      </w:r>
      <w:bookmarkStart w:id="10" w:name="_Hlk210034932"/>
      <w:r w:rsidR="004C20F3" w:rsidRPr="00792CAA">
        <w:rPr>
          <w:rFonts w:ascii="Times New Roman" w:eastAsia="Times New Roman" w:hAnsi="Times New Roman" w:cs="Times New Roman"/>
          <w:color w:val="000000" w:themeColor="text1"/>
          <w:kern w:val="0"/>
          <w:sz w:val="24"/>
          <w14:ligatures w14:val="none"/>
        </w:rPr>
        <w:t>(N=12 regions)</w:t>
      </w:r>
    </w:p>
    <w:bookmarkEnd w:id="9"/>
    <w:bookmarkEnd w:id="10"/>
    <w:p w14:paraId="172F5A90" w14:textId="157ECFA8"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Mean = ~£</w:t>
      </w:r>
      <w:r w:rsidR="000823F1" w:rsidRPr="00792CAA">
        <w:rPr>
          <w:rFonts w:ascii="Times New Roman" w:eastAsiaTheme="minorEastAsia" w:hAnsi="Times New Roman" w:cs="Times New Roman" w:hint="eastAsia"/>
          <w:color w:val="000000" w:themeColor="text1"/>
          <w:kern w:val="0"/>
          <w:sz w:val="24"/>
          <w14:ligatures w14:val="none"/>
        </w:rPr>
        <w:t>1,849</w:t>
      </w:r>
      <w:r w:rsidRPr="00792CAA">
        <w:rPr>
          <w:rFonts w:ascii="Times New Roman" w:eastAsia="Times New Roman" w:hAnsi="Times New Roman" w:cs="Times New Roman"/>
          <w:color w:val="000000" w:themeColor="text1"/>
          <w:kern w:val="0"/>
          <w:sz w:val="24"/>
          <w14:ligatures w14:val="none"/>
        </w:rPr>
        <w:t>/month, SD = ~2</w:t>
      </w:r>
      <w:r w:rsidR="000823F1" w:rsidRPr="00792CAA">
        <w:rPr>
          <w:rFonts w:ascii="Times New Roman" w:eastAsiaTheme="minorEastAsia" w:hAnsi="Times New Roman" w:cs="Times New Roman" w:hint="eastAsia"/>
          <w:color w:val="000000" w:themeColor="text1"/>
          <w:kern w:val="0"/>
          <w:sz w:val="24"/>
          <w14:ligatures w14:val="none"/>
        </w:rPr>
        <w:t>7</w:t>
      </w:r>
      <w:r w:rsidRPr="00792CAA">
        <w:rPr>
          <w:rFonts w:ascii="Times New Roman" w:eastAsia="Times New Roman" w:hAnsi="Times New Roman" w:cs="Times New Roman"/>
          <w:color w:val="000000" w:themeColor="text1"/>
          <w:kern w:val="0"/>
          <w:sz w:val="24"/>
          <w14:ligatures w14:val="none"/>
        </w:rPr>
        <w:t>0, Min = ~£</w:t>
      </w:r>
      <w:r w:rsidR="00843FB1" w:rsidRPr="00792CAA">
        <w:rPr>
          <w:rFonts w:ascii="Times New Roman" w:eastAsiaTheme="minorEastAsia" w:hAnsi="Times New Roman" w:cs="Times New Roman" w:hint="eastAsia"/>
          <w:color w:val="000000" w:themeColor="text1"/>
          <w:kern w:val="0"/>
          <w:sz w:val="24"/>
          <w14:ligatures w14:val="none"/>
        </w:rPr>
        <w:t>1</w:t>
      </w:r>
      <w:r w:rsidRPr="00792CAA">
        <w:rPr>
          <w:rFonts w:ascii="Times New Roman" w:eastAsia="Times New Roman" w:hAnsi="Times New Roman" w:cs="Times New Roman"/>
          <w:color w:val="000000" w:themeColor="text1"/>
          <w:kern w:val="0"/>
          <w:sz w:val="24"/>
          <w14:ligatures w14:val="none"/>
        </w:rPr>
        <w:t>,</w:t>
      </w:r>
      <w:r w:rsidR="00843FB1" w:rsidRPr="00792CAA">
        <w:rPr>
          <w:rFonts w:ascii="Times New Roman" w:eastAsiaTheme="minorEastAsia" w:hAnsi="Times New Roman" w:cs="Times New Roman" w:hint="eastAsia"/>
          <w:color w:val="000000" w:themeColor="text1"/>
          <w:kern w:val="0"/>
          <w:sz w:val="24"/>
          <w14:ligatures w14:val="none"/>
        </w:rPr>
        <w:t>488</w:t>
      </w:r>
      <w:r w:rsidRPr="00792CAA">
        <w:rPr>
          <w:rFonts w:ascii="Times New Roman" w:eastAsia="Times New Roman" w:hAnsi="Times New Roman" w:cs="Times New Roman"/>
          <w:color w:val="000000" w:themeColor="text1"/>
          <w:kern w:val="0"/>
          <w:sz w:val="24"/>
          <w14:ligatures w14:val="none"/>
        </w:rPr>
        <w:t>(Northern Ireland), Max = ~£2,826 (London).</w:t>
      </w:r>
    </w:p>
    <w:p w14:paraId="0EB2010F" w14:textId="10CED283"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Mean ≈ 8–9%, with London at the top (~13.7%) and East Midlands at the lower end (~5%).</w:t>
      </w:r>
    </w:p>
    <w:p w14:paraId="5DDF5F82" w14:textId="51957813"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ICT</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Finance</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exhibit similar variation, with ICT generally larger than Finance across regions.</w:t>
      </w:r>
    </w:p>
    <w:p w14:paraId="5D5FEDDE" w14:textId="26C07436"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Moderate variation across regions, typically 7–12% of employment.</w:t>
      </w:r>
    </w:p>
    <w:p w14:paraId="44355037" w14:textId="2E24A878"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 Ranges from ~</w:t>
      </w:r>
      <w:r w:rsidR="00BB7BA2" w:rsidRPr="00792CAA">
        <w:rPr>
          <w:rFonts w:ascii="Times New Roman" w:eastAsiaTheme="minorEastAsia" w:hAnsi="Times New Roman" w:cs="Times New Roman" w:hint="eastAsia"/>
          <w:color w:val="000000" w:themeColor="text1"/>
          <w:kern w:val="0"/>
          <w:sz w:val="24"/>
          <w14:ligatures w14:val="none"/>
        </w:rPr>
        <w:t>0</w:t>
      </w:r>
      <w:r w:rsidRPr="00792CAA">
        <w:rPr>
          <w:rFonts w:ascii="Times New Roman" w:eastAsia="Times New Roman" w:hAnsi="Times New Roman" w:cs="Times New Roman"/>
          <w:color w:val="000000" w:themeColor="text1"/>
          <w:kern w:val="0"/>
          <w:sz w:val="24"/>
          <w14:ligatures w14:val="none"/>
        </w:rPr>
        <w:t>.</w:t>
      </w:r>
      <w:r w:rsidR="00AE7FF2" w:rsidRPr="00792CAA">
        <w:rPr>
          <w:rFonts w:ascii="Times New Roman" w:eastAsiaTheme="minorEastAsia" w:hAnsi="Times New Roman" w:cs="Times New Roman" w:hint="eastAsia"/>
          <w:color w:val="000000" w:themeColor="text1"/>
          <w:kern w:val="0"/>
          <w:sz w:val="24"/>
          <w14:ligatures w14:val="none"/>
        </w:rPr>
        <w:t>7</w:t>
      </w:r>
      <w:r w:rsidRPr="00792CAA">
        <w:rPr>
          <w:rFonts w:ascii="Times New Roman" w:eastAsia="Times New Roman" w:hAnsi="Times New Roman" w:cs="Times New Roman"/>
          <w:color w:val="000000" w:themeColor="text1"/>
          <w:kern w:val="0"/>
          <w:sz w:val="24"/>
          <w14:ligatures w14:val="none"/>
        </w:rPr>
        <w:t>m (North East) to ~4.3m (London), reflecting major differences in labour market scale.</w:t>
      </w:r>
    </w:p>
    <w:p w14:paraId="4C531D67" w14:textId="77777777" w:rsidR="004C20F3" w:rsidRPr="00792CAA" w:rsidRDefault="004C20F3" w:rsidP="00605556">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w:t>
      </w:r>
      <w:r w:rsidRPr="00792CAA">
        <w:rPr>
          <w:rFonts w:ascii="Times New Roman" w:eastAsia="Times New Roman" w:hAnsi="Times New Roman" w:cs="Times New Roman"/>
          <w:color w:val="000000" w:themeColor="text1"/>
          <w:kern w:val="0"/>
          <w:sz w:val="24"/>
          <w14:ligatures w14:val="none"/>
        </w:rPr>
        <w:br/>
        <w:t>London consistently emerges as the outlier with the highest wages and strongest concentration of high-pay sectors. Regions such as Northern Ireland, Wales, and the North East show lower wages and lower shares of high-pay sectors. This descriptive evidence aligns with longstanding regional disparities documented in the literature.</w:t>
      </w:r>
    </w:p>
    <w:p w14:paraId="16F75BF5" w14:textId="77777777"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4.4 Correlation Analysis</w:t>
      </w:r>
    </w:p>
    <w:p w14:paraId="2A8F8685" w14:textId="2A155023" w:rsidR="004C20F3" w:rsidRPr="00792CAA" w:rsidRDefault="004C20F3" w:rsidP="004C20F3">
      <w:pPr>
        <w:spacing w:before="100" w:beforeAutospacing="1" w:after="100" w:afterAutospacing="1" w:line="360" w:lineRule="auto"/>
        <w:ind w:left="0" w:firstLine="0"/>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Pairwise Pearson correlations between variables are shown in Table 4.</w:t>
      </w:r>
      <w:r w:rsidR="00AE7FF2" w:rsidRPr="00792CAA">
        <w:rPr>
          <w:rFonts w:ascii="Times New Roman" w:eastAsiaTheme="minorEastAsia" w:hAnsi="Times New Roman" w:cs="Times New Roman" w:hint="eastAsia"/>
          <w:color w:val="000000" w:themeColor="text1"/>
          <w:kern w:val="0"/>
          <w:sz w:val="24"/>
          <w14:ligatures w14:val="none"/>
        </w:rPr>
        <w:t>3</w:t>
      </w:r>
      <w:r w:rsidRPr="00792CAA">
        <w:rPr>
          <w:rFonts w:ascii="Times New Roman" w:eastAsia="Times New Roman" w:hAnsi="Times New Roman" w:cs="Times New Roman"/>
          <w:color w:val="000000" w:themeColor="text1"/>
          <w:kern w:val="0"/>
          <w:sz w:val="24"/>
          <w14:ligatures w14:val="none"/>
        </w:rPr>
        <w:t>.</w:t>
      </w:r>
    </w:p>
    <w:p w14:paraId="709F0ADD" w14:textId="42420883" w:rsidR="00614598" w:rsidRPr="00792CAA" w:rsidRDefault="005339FB" w:rsidP="004C20F3">
      <w:pPr>
        <w:spacing w:before="100" w:beforeAutospacing="1" w:after="100" w:afterAutospacing="1" w:line="360" w:lineRule="auto"/>
        <w:ind w:left="0" w:firstLine="0"/>
        <w:rPr>
          <w:rFonts w:ascii="Times New Roman" w:eastAsiaTheme="minorEastAsia" w:hAnsi="Times New Roman" w:cs="Times New Roman"/>
          <w:color w:val="000000" w:themeColor="text1"/>
          <w:kern w:val="0"/>
          <w:sz w:val="24"/>
          <w14:ligatures w14:val="none"/>
        </w:rPr>
      </w:pPr>
      <w:r w:rsidRPr="00792CAA">
        <w:rPr>
          <w:rFonts w:ascii="Times New Roman" w:eastAsiaTheme="minorEastAsia" w:hAnsi="Times New Roman" w:cs="Times New Roman"/>
          <w:noProof/>
          <w:color w:val="000000" w:themeColor="text1"/>
          <w:kern w:val="0"/>
          <w:sz w:val="24"/>
          <w14:ligatures w14:val="none"/>
        </w:rPr>
        <w:drawing>
          <wp:inline distT="0" distB="0" distL="0" distR="0" wp14:anchorId="0FDFE4EC" wp14:editId="3E7B340D">
            <wp:extent cx="5836285" cy="2830830"/>
            <wp:effectExtent l="0" t="0" r="0" b="7620"/>
            <wp:docPr id="1278606983" name="Picture 4"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06983" name="Picture 4" descr="A screenshot of a spreadshee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6285" cy="2830830"/>
                    </a:xfrm>
                    <a:prstGeom prst="rect">
                      <a:avLst/>
                    </a:prstGeom>
                    <a:noFill/>
                    <a:ln>
                      <a:noFill/>
                    </a:ln>
                  </pic:spPr>
                </pic:pic>
              </a:graphicData>
            </a:graphic>
          </wp:inline>
        </w:drawing>
      </w:r>
    </w:p>
    <w:p w14:paraId="4EEDE6DA" w14:textId="49F2E6F2" w:rsidR="002051BF" w:rsidRPr="00792CAA" w:rsidRDefault="002051BF" w:rsidP="002051BF">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bookmarkStart w:id="11" w:name="_Hlk210039613"/>
      <w:r w:rsidRPr="00792CAA">
        <w:rPr>
          <w:rFonts w:ascii="Times New Roman" w:eastAsia="Times New Roman" w:hAnsi="Times New Roman" w:cs="Times New Roman"/>
          <w:color w:val="000000" w:themeColor="text1"/>
          <w:kern w:val="0"/>
          <w:sz w:val="24"/>
          <w14:ligatures w14:val="none"/>
        </w:rPr>
        <w:t>Table 4.</w:t>
      </w:r>
      <w:r w:rsidRPr="00792CAA">
        <w:rPr>
          <w:rFonts w:ascii="Times New Roman" w:eastAsiaTheme="minorEastAsia" w:hAnsi="Times New Roman" w:cs="Times New Roman" w:hint="eastAsia"/>
          <w:color w:val="000000" w:themeColor="text1"/>
          <w:kern w:val="0"/>
          <w:sz w:val="24"/>
          <w14:ligatures w14:val="none"/>
        </w:rPr>
        <w:t>3</w:t>
      </w:r>
      <w:r w:rsidRPr="00792CAA">
        <w:rPr>
          <w:rFonts w:ascii="Times New Roman" w:eastAsia="Times New Roman" w:hAnsi="Times New Roman" w:cs="Times New Roman"/>
          <w:color w:val="000000" w:themeColor="text1"/>
          <w:kern w:val="0"/>
          <w:sz w:val="24"/>
          <w14:ligatures w14:val="none"/>
        </w:rPr>
        <w:t xml:space="preserve"> Correlation Analysis (N=12 regions)</w:t>
      </w:r>
    </w:p>
    <w:bookmarkEnd w:id="11"/>
    <w:p w14:paraId="5F285EDA" w14:textId="77777777" w:rsidR="004C20F3" w:rsidRPr="00792CAA" w:rsidRDefault="004C20F3" w:rsidP="004C20F3">
      <w:pPr>
        <w:spacing w:before="100" w:beforeAutospacing="1" w:after="100" w:afterAutospacing="1" w:line="360" w:lineRule="auto"/>
        <w:ind w:left="0" w:firstLine="0"/>
        <w:rPr>
          <w:rFonts w:ascii="Times New Roman" w:eastAsiaTheme="minorEastAsia" w:hAnsi="Times New Roman" w:cs="Times New Roman"/>
          <w:color w:val="000000" w:themeColor="text1"/>
          <w:kern w:val="0"/>
          <w:sz w:val="24"/>
          <w:lang w:val="en-US"/>
          <w14:ligatures w14:val="none"/>
        </w:rPr>
      </w:pPr>
      <w:r w:rsidRPr="00792CAA">
        <w:rPr>
          <w:rFonts w:ascii="Times New Roman" w:eastAsia="Times New Roman" w:hAnsi="Times New Roman" w:cs="Times New Roman"/>
          <w:color w:val="000000" w:themeColor="text1"/>
          <w:kern w:val="0"/>
          <w:sz w:val="24"/>
          <w14:ligatures w14:val="none"/>
        </w:rPr>
        <w:t>Key findings:</w:t>
      </w:r>
    </w:p>
    <w:p w14:paraId="2ACBB66D" w14:textId="39A07C59"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and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Strong positive correlation (r &gt; 0.6, p &lt; 0.05).</w:t>
      </w:r>
    </w:p>
    <w:p w14:paraId="64223648" w14:textId="5FBFA330"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and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Moderate-to-strong positive correlation (r ≈ 0.5–0.6, p &lt; 0.05).</w:t>
      </w:r>
    </w:p>
    <w:p w14:paraId="0F895B53" w14:textId="3C1C31A1"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Very high correlation (r &gt; 0.7, p &lt; 0.01).</w:t>
      </w:r>
    </w:p>
    <w:p w14:paraId="23813999" w14:textId="0489837D"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and Employees</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 Positive but weaker correlation (r ≈ 0.3), not always statistically significant.</w:t>
      </w:r>
    </w:p>
    <w:p w14:paraId="2F8B7022" w14:textId="37DAC0E0" w:rsidR="004C20F3" w:rsidRPr="00792CAA" w:rsidRDefault="004C20F3" w:rsidP="00605556">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w:t>
      </w:r>
      <w:r w:rsidRPr="00792CAA">
        <w:rPr>
          <w:rFonts w:ascii="Times New Roman" w:eastAsia="Times New Roman" w:hAnsi="Times New Roman" w:cs="Times New Roman"/>
          <w:color w:val="000000" w:themeColor="text1"/>
          <w:kern w:val="0"/>
          <w:sz w:val="24"/>
          <w14:ligatures w14:val="none"/>
        </w:rPr>
        <w:br/>
        <w:t>These results lend initial support to H1 and H2, indicating that regions with larger high-pay sector shares and greater professional/technical employment tend to have higher wages. However, the very strong correlation between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raises concerns of multicollinearity in regression models. This issue is addressed below.</w:t>
      </w:r>
    </w:p>
    <w:p w14:paraId="70AD2399" w14:textId="77777777"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4.5 Regression Analysis</w:t>
      </w:r>
    </w:p>
    <w:p w14:paraId="1B27FC40" w14:textId="295B10B2" w:rsidR="00B76C79" w:rsidRPr="00792CAA" w:rsidRDefault="004C20F3" w:rsidP="005A2D6C">
      <w:pPr>
        <w:spacing w:before="100" w:beforeAutospacing="1" w:after="100" w:afterAutospacing="1" w:line="360" w:lineRule="auto"/>
        <w:ind w:left="0" w:firstLine="0"/>
        <w:outlineLvl w:val="3"/>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4.5.1 Model 1: Median</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 ~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5587026F" w14:textId="10276384" w:rsidR="009E2203" w:rsidRPr="00792CAA" w:rsidRDefault="009B421F" w:rsidP="00453F26">
      <w:pPr>
        <w:spacing w:before="100" w:beforeAutospacing="1" w:after="100" w:afterAutospacing="1" w:line="360" w:lineRule="auto"/>
        <w:rPr>
          <w:rFonts w:eastAsiaTheme="minorEastAsia"/>
        </w:rPr>
      </w:pPr>
      <w:r w:rsidRPr="00792CAA">
        <w:rPr>
          <w:rFonts w:eastAsiaTheme="minorEastAsia"/>
          <w:noProof/>
        </w:rPr>
        <w:drawing>
          <wp:inline distT="0" distB="0" distL="0" distR="0" wp14:anchorId="5A0FE63B" wp14:editId="2255641F">
            <wp:extent cx="5836285" cy="1468755"/>
            <wp:effectExtent l="0" t="0" r="0" b="0"/>
            <wp:docPr id="1401585820"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85820" name="Picture 5" descr="A screenshot of a grap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6285" cy="1468755"/>
                    </a:xfrm>
                    <a:prstGeom prst="rect">
                      <a:avLst/>
                    </a:prstGeom>
                    <a:noFill/>
                    <a:ln>
                      <a:noFill/>
                    </a:ln>
                  </pic:spPr>
                </pic:pic>
              </a:graphicData>
            </a:graphic>
          </wp:inline>
        </w:drawing>
      </w:r>
    </w:p>
    <w:p w14:paraId="02F190AB" w14:textId="34AE6D4F" w:rsidR="00F65FAF" w:rsidRPr="00792CAA" w:rsidRDefault="00F65FAF" w:rsidP="00B668A8">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Table 4.</w:t>
      </w:r>
      <w:r w:rsidRPr="00792CAA">
        <w:rPr>
          <w:rFonts w:ascii="Times New Roman" w:eastAsiaTheme="minorEastAsia" w:hAnsi="Times New Roman" w:cs="Times New Roman" w:hint="eastAsia"/>
          <w:color w:val="000000" w:themeColor="text1"/>
          <w:kern w:val="0"/>
          <w:sz w:val="24"/>
          <w14:ligatures w14:val="none"/>
        </w:rPr>
        <w:t>4</w:t>
      </w:r>
      <w:r w:rsidRPr="00792CAA">
        <w:rPr>
          <w:rFonts w:ascii="Times New Roman" w:eastAsia="Times New Roman" w:hAnsi="Times New Roman" w:cs="Times New Roman"/>
          <w:color w:val="000000" w:themeColor="text1"/>
          <w:kern w:val="0"/>
          <w:sz w:val="24"/>
          <w14:ligatures w14:val="none"/>
        </w:rPr>
        <w:t xml:space="preserve"> </w:t>
      </w:r>
      <w:r w:rsidR="00B668A8" w:rsidRPr="00792CAA">
        <w:rPr>
          <w:rFonts w:ascii="Times New Roman" w:eastAsia="Times New Roman" w:hAnsi="Times New Roman" w:cs="Times New Roman"/>
          <w:color w:val="000000" w:themeColor="text1"/>
          <w:kern w:val="0"/>
          <w:sz w:val="24"/>
          <w14:ligatures w14:val="none"/>
        </w:rPr>
        <w:t>Regression Analysis</w:t>
      </w:r>
      <w:r w:rsidR="004210C1" w:rsidRPr="00792CAA">
        <w:rPr>
          <w:rFonts w:ascii="Times New Roman" w:eastAsiaTheme="minorEastAsia" w:hAnsi="Times New Roman" w:cs="Times New Roman" w:hint="eastAsia"/>
          <w:color w:val="000000" w:themeColor="text1"/>
          <w:kern w:val="0"/>
          <w:sz w:val="24"/>
          <w14:ligatures w14:val="none"/>
        </w:rPr>
        <w:t xml:space="preserve"> 1</w:t>
      </w:r>
      <w:r w:rsidR="00B668A8" w:rsidRPr="00792CAA">
        <w:rPr>
          <w:rFonts w:ascii="Times New Roman" w:eastAsia="Times New Roman" w:hAnsi="Times New Roman" w:cs="Times New Roman"/>
          <w:color w:val="000000" w:themeColor="text1"/>
          <w:kern w:val="0"/>
          <w:sz w:val="24"/>
          <w14:ligatures w14:val="none"/>
        </w:rPr>
        <w:t xml:space="preserve"> </w:t>
      </w:r>
    </w:p>
    <w:p w14:paraId="34BA5E5B" w14:textId="3FF05B76"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Coefficient on High</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65723F"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positive and significant.</w:t>
      </w:r>
    </w:p>
    <w:p w14:paraId="6CC29855"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 Every one percentage point increase in high-pay sector share is associated with a sizeable increase in median pay (hundreds of pounds per month).</w:t>
      </w:r>
    </w:p>
    <w:p w14:paraId="005AD577"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Supports H1.</w:t>
      </w:r>
    </w:p>
    <w:p w14:paraId="5E887EE3" w14:textId="1F5CDE49" w:rsidR="00E61DBB" w:rsidRPr="00792CAA" w:rsidRDefault="004C20F3" w:rsidP="00D047B0">
      <w:pPr>
        <w:pStyle w:val="ListParagraph"/>
        <w:numPr>
          <w:ilvl w:val="2"/>
          <w:numId w:val="43"/>
        </w:numPr>
        <w:spacing w:before="100" w:beforeAutospacing="1" w:after="100" w:afterAutospacing="1" w:line="360" w:lineRule="auto"/>
        <w:outlineLvl w:val="3"/>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Model 2: Adding Prof</w:t>
      </w:r>
      <w:r w:rsidR="0065723F"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4AEC0CBE" w14:textId="77777777" w:rsidR="003B3C2F" w:rsidRPr="00792CAA" w:rsidRDefault="003B3C2F" w:rsidP="00963E7B">
      <w:pPr>
        <w:pStyle w:val="ListParagraph"/>
        <w:spacing w:before="100" w:beforeAutospacing="1" w:after="100" w:afterAutospacing="1" w:line="360" w:lineRule="auto"/>
        <w:ind w:left="881" w:firstLine="0"/>
        <w:outlineLvl w:val="3"/>
        <w:rPr>
          <w:rFonts w:ascii="Times New Roman" w:eastAsiaTheme="minorEastAsia" w:hAnsi="Times New Roman" w:cs="Times New Roman"/>
          <w:color w:val="000000" w:themeColor="text1"/>
          <w:kern w:val="0"/>
          <w:sz w:val="24"/>
          <w14:ligatures w14:val="none"/>
        </w:rPr>
      </w:pPr>
    </w:p>
    <w:p w14:paraId="00DD3C5B" w14:textId="33BF3F4C" w:rsidR="00963E7B" w:rsidRPr="00792CAA" w:rsidRDefault="00103890" w:rsidP="00303051">
      <w:pPr>
        <w:pStyle w:val="ListParagraph"/>
        <w:spacing w:before="100" w:beforeAutospacing="1" w:after="100" w:afterAutospacing="1" w:line="360" w:lineRule="auto"/>
        <w:ind w:left="881" w:firstLine="0"/>
        <w:jc w:val="both"/>
        <w:outlineLvl w:val="3"/>
        <w:rPr>
          <w:rFonts w:ascii="Times New Roman" w:eastAsiaTheme="minorEastAsia" w:hAnsi="Times New Roman" w:cs="Times New Roman"/>
          <w:color w:val="000000" w:themeColor="text1"/>
          <w:kern w:val="0"/>
          <w:sz w:val="24"/>
          <w14:ligatures w14:val="none"/>
        </w:rPr>
      </w:pPr>
      <w:r w:rsidRPr="00792CAA">
        <w:rPr>
          <w:rFonts w:ascii="Times New Roman" w:eastAsiaTheme="minorEastAsia" w:hAnsi="Times New Roman" w:cs="Times New Roman"/>
          <w:noProof/>
          <w:color w:val="000000" w:themeColor="text1"/>
          <w:kern w:val="0"/>
          <w:sz w:val="24"/>
          <w14:ligatures w14:val="none"/>
        </w:rPr>
        <w:lastRenderedPageBreak/>
        <w:drawing>
          <wp:inline distT="0" distB="0" distL="0" distR="0" wp14:anchorId="2CC87D90" wp14:editId="1B8A4012">
            <wp:extent cx="5836285" cy="1739265"/>
            <wp:effectExtent l="0" t="0" r="0" b="0"/>
            <wp:docPr id="1777450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36285" cy="1739265"/>
                    </a:xfrm>
                    <a:prstGeom prst="rect">
                      <a:avLst/>
                    </a:prstGeom>
                    <a:noFill/>
                    <a:ln>
                      <a:noFill/>
                    </a:ln>
                  </pic:spPr>
                </pic:pic>
              </a:graphicData>
            </a:graphic>
          </wp:inline>
        </w:drawing>
      </w:r>
    </w:p>
    <w:p w14:paraId="500743F9" w14:textId="78378192" w:rsidR="00D047B0" w:rsidRPr="00792CAA" w:rsidRDefault="00D047B0" w:rsidP="00D047B0">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Table 4.</w:t>
      </w:r>
      <w:r w:rsidRPr="00792CAA">
        <w:rPr>
          <w:rFonts w:ascii="Times New Roman" w:eastAsiaTheme="minorEastAsia" w:hAnsi="Times New Roman" w:cs="Times New Roman" w:hint="eastAsia"/>
          <w:color w:val="000000" w:themeColor="text1"/>
          <w:kern w:val="0"/>
          <w:sz w:val="24"/>
          <w14:ligatures w14:val="none"/>
        </w:rPr>
        <w:t>5</w:t>
      </w:r>
      <w:r w:rsidRPr="00792CAA">
        <w:rPr>
          <w:rFonts w:ascii="Times New Roman" w:eastAsia="Times New Roman" w:hAnsi="Times New Roman" w:cs="Times New Roman"/>
          <w:color w:val="000000" w:themeColor="text1"/>
          <w:kern w:val="0"/>
          <w:sz w:val="24"/>
          <w14:ligatures w14:val="none"/>
        </w:rPr>
        <w:t xml:space="preserve"> Regression Analysis</w:t>
      </w:r>
      <w:r w:rsidRPr="00792CAA">
        <w:rPr>
          <w:rFonts w:ascii="Times New Roman" w:eastAsiaTheme="minorEastAsia" w:hAnsi="Times New Roman" w:cs="Times New Roman" w:hint="eastAsia"/>
          <w:color w:val="000000" w:themeColor="text1"/>
          <w:kern w:val="0"/>
          <w:sz w:val="24"/>
          <w14:ligatures w14:val="none"/>
        </w:rPr>
        <w:t xml:space="preserve"> 2</w:t>
      </w:r>
      <w:r w:rsidRPr="00792CAA">
        <w:rPr>
          <w:rFonts w:ascii="Times New Roman" w:eastAsia="Times New Roman" w:hAnsi="Times New Roman" w:cs="Times New Roman"/>
          <w:color w:val="000000" w:themeColor="text1"/>
          <w:kern w:val="0"/>
          <w:sz w:val="24"/>
          <w14:ligatures w14:val="none"/>
        </w:rPr>
        <w:t xml:space="preserve"> </w:t>
      </w:r>
    </w:p>
    <w:p w14:paraId="3FCACD60" w14:textId="3975BA13" w:rsidR="004C20F3" w:rsidRPr="00792CAA" w:rsidRDefault="004C20F3" w:rsidP="003B3C2F">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Both High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remain positively associated with wages.</w:t>
      </w:r>
    </w:p>
    <w:p w14:paraId="6235AFB8"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However, multicollinearity inflates standard errors, and significance weakens.</w:t>
      </w:r>
    </w:p>
    <w:p w14:paraId="40A30980"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suggests overlapping variance between sectoral and occupational measures.</w:t>
      </w:r>
    </w:p>
    <w:p w14:paraId="49B03D4E"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Provides partial support for H2, but highlights collinearity risk.</w:t>
      </w:r>
    </w:p>
    <w:p w14:paraId="1B7E959D" w14:textId="49BBF228" w:rsidR="00575BDA" w:rsidRPr="00792CAA" w:rsidRDefault="004C20F3" w:rsidP="00303051">
      <w:pPr>
        <w:spacing w:before="100" w:beforeAutospacing="1" w:after="100" w:afterAutospacing="1" w:line="360" w:lineRule="auto"/>
        <w:ind w:left="0" w:firstLine="0"/>
        <w:outlineLvl w:val="3"/>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4.5.3 Model 3: Adding Employees</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w:t>
      </w:r>
    </w:p>
    <w:p w14:paraId="1103D754" w14:textId="30EB6FB5" w:rsidR="00575BDA" w:rsidRPr="00792CAA" w:rsidRDefault="00575BDA"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heme="minorEastAsia" w:hAnsi="Times New Roman" w:cs="Times New Roman"/>
          <w:noProof/>
          <w:color w:val="000000" w:themeColor="text1"/>
          <w:kern w:val="0"/>
          <w:sz w:val="24"/>
          <w14:ligatures w14:val="none"/>
        </w:rPr>
        <w:drawing>
          <wp:inline distT="0" distB="0" distL="0" distR="0" wp14:anchorId="508952D0" wp14:editId="77364FDD">
            <wp:extent cx="5836285" cy="1505585"/>
            <wp:effectExtent l="0" t="0" r="0" b="0"/>
            <wp:docPr id="271633462" name="Picture 8"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33462" name="Picture 8" descr="A table with numbers and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6285" cy="1505585"/>
                    </a:xfrm>
                    <a:prstGeom prst="rect">
                      <a:avLst/>
                    </a:prstGeom>
                    <a:noFill/>
                    <a:ln>
                      <a:noFill/>
                    </a:ln>
                  </pic:spPr>
                </pic:pic>
              </a:graphicData>
            </a:graphic>
          </wp:inline>
        </w:drawing>
      </w:r>
    </w:p>
    <w:p w14:paraId="07AB9EB9" w14:textId="610A6517" w:rsidR="000E48E3" w:rsidRPr="00792CAA" w:rsidRDefault="000E48E3" w:rsidP="000E48E3">
      <w:pPr>
        <w:spacing w:before="100" w:beforeAutospacing="1" w:after="100" w:afterAutospacing="1" w:line="360" w:lineRule="auto"/>
        <w:ind w:left="0" w:firstLine="0"/>
        <w:jc w:val="center"/>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Table 4.</w:t>
      </w:r>
      <w:r w:rsidR="00CE0220" w:rsidRPr="00792CAA">
        <w:rPr>
          <w:rFonts w:ascii="Times New Roman" w:eastAsiaTheme="minorEastAsia" w:hAnsi="Times New Roman" w:cs="Times New Roman" w:hint="eastAsia"/>
          <w:color w:val="000000" w:themeColor="text1"/>
          <w:kern w:val="0"/>
          <w:sz w:val="24"/>
          <w14:ligatures w14:val="none"/>
        </w:rPr>
        <w:t>6</w:t>
      </w:r>
      <w:r w:rsidRPr="00792CAA">
        <w:rPr>
          <w:rFonts w:ascii="Times New Roman" w:eastAsia="Times New Roman" w:hAnsi="Times New Roman" w:cs="Times New Roman"/>
          <w:color w:val="000000" w:themeColor="text1"/>
          <w:kern w:val="0"/>
          <w:sz w:val="24"/>
          <w14:ligatures w14:val="none"/>
        </w:rPr>
        <w:t xml:space="preserve"> Regression Analysis</w:t>
      </w:r>
      <w:r w:rsidRPr="00792CAA">
        <w:rPr>
          <w:rFonts w:ascii="Times New Roman" w:eastAsiaTheme="minorEastAsia" w:hAnsi="Times New Roman" w:cs="Times New Roman" w:hint="eastAsia"/>
          <w:color w:val="000000" w:themeColor="text1"/>
          <w:kern w:val="0"/>
          <w:sz w:val="24"/>
          <w14:ligatures w14:val="none"/>
        </w:rPr>
        <w:t xml:space="preserve"> </w:t>
      </w:r>
      <w:r w:rsidR="00CE0220" w:rsidRPr="00792CAA">
        <w:rPr>
          <w:rFonts w:ascii="Times New Roman" w:eastAsiaTheme="minorEastAsia" w:hAnsi="Times New Roman" w:cs="Times New Roman" w:hint="eastAsia"/>
          <w:color w:val="000000" w:themeColor="text1"/>
          <w:kern w:val="0"/>
          <w:sz w:val="24"/>
          <w14:ligatures w14:val="none"/>
        </w:rPr>
        <w:t>3</w:t>
      </w:r>
    </w:p>
    <w:p w14:paraId="1266FC95" w14:textId="029901D3" w:rsidR="004C20F3" w:rsidRPr="00792CAA" w:rsidRDefault="00CE0220" w:rsidP="000E48E3">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heme="minorEastAsia" w:hAnsi="Times New Roman" w:cs="Times New Roman" w:hint="eastAsia"/>
          <w:color w:val="000000" w:themeColor="text1"/>
          <w:kern w:val="0"/>
          <w:sz w:val="24"/>
          <w14:ligatures w14:val="none"/>
        </w:rPr>
        <w:t xml:space="preserve">   </w:t>
      </w:r>
      <w:r w:rsidR="004C20F3" w:rsidRPr="00792CAA">
        <w:rPr>
          <w:rFonts w:ascii="Times New Roman" w:eastAsia="Times New Roman" w:hAnsi="Times New Roman" w:cs="Times New Roman"/>
          <w:color w:val="000000" w:themeColor="text1"/>
          <w:kern w:val="0"/>
          <w:sz w:val="24"/>
          <w14:ligatures w14:val="none"/>
        </w:rPr>
        <w:t>Control variable (Employees</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004C20F3" w:rsidRPr="00792CAA">
        <w:rPr>
          <w:rFonts w:ascii="Times New Roman" w:eastAsia="Times New Roman" w:hAnsi="Times New Roman" w:cs="Times New Roman"/>
          <w:color w:val="000000" w:themeColor="text1"/>
          <w:kern w:val="0"/>
          <w:sz w:val="24"/>
          <w14:ligatures w14:val="none"/>
        </w:rPr>
        <w:t>Total) has a small, non-significant coefficient.</w:t>
      </w:r>
    </w:p>
    <w:p w14:paraId="13F4AAE9"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Main results remain: high-pay sectors matter most, with professional/technical shares still positively related but unstable.</w:t>
      </w:r>
    </w:p>
    <w:p w14:paraId="2C4D6AC3"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Variance Inflation Factors (VIF):</w:t>
      </w:r>
    </w:p>
    <w:p w14:paraId="31058492" w14:textId="2C4764E2" w:rsidR="004C20F3" w:rsidRPr="00792CAA" w:rsidRDefault="004C20F3"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High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 1</w:t>
      </w:r>
      <w:r w:rsidR="009F19AE" w:rsidRPr="00792CAA">
        <w:rPr>
          <w:rFonts w:ascii="Times New Roman" w:eastAsiaTheme="minorEastAsia" w:hAnsi="Times New Roman" w:cs="Times New Roman" w:hint="eastAsia"/>
          <w:color w:val="000000" w:themeColor="text1"/>
          <w:kern w:val="0"/>
          <w:sz w:val="24"/>
          <w14:ligatures w14:val="none"/>
        </w:rPr>
        <w:t>2</w:t>
      </w:r>
      <w:r w:rsidRPr="00792CAA">
        <w:rPr>
          <w:rFonts w:ascii="Times New Roman" w:eastAsia="Times New Roman" w:hAnsi="Times New Roman" w:cs="Times New Roman"/>
          <w:color w:val="000000" w:themeColor="text1"/>
          <w:kern w:val="0"/>
          <w:sz w:val="24"/>
          <w14:ligatures w14:val="none"/>
        </w:rPr>
        <w:t>.</w:t>
      </w:r>
      <w:r w:rsidR="009F19AE" w:rsidRPr="00792CAA">
        <w:rPr>
          <w:rFonts w:ascii="Times New Roman" w:eastAsiaTheme="minorEastAsia" w:hAnsi="Times New Roman" w:cs="Times New Roman" w:hint="eastAsia"/>
          <w:color w:val="000000" w:themeColor="text1"/>
          <w:kern w:val="0"/>
          <w:sz w:val="24"/>
          <w14:ligatures w14:val="none"/>
        </w:rPr>
        <w:t>2</w:t>
      </w:r>
    </w:p>
    <w:p w14:paraId="3BBBA4B0" w14:textId="2592F738" w:rsidR="004C20F3" w:rsidRPr="00792CAA" w:rsidRDefault="004C20F3"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 2</w:t>
      </w:r>
      <w:r w:rsidR="009F19AE" w:rsidRPr="00792CAA">
        <w:rPr>
          <w:rFonts w:ascii="Times New Roman" w:eastAsiaTheme="minorEastAsia" w:hAnsi="Times New Roman" w:cs="Times New Roman" w:hint="eastAsia"/>
          <w:color w:val="000000" w:themeColor="text1"/>
          <w:kern w:val="0"/>
          <w:sz w:val="24"/>
          <w14:ligatures w14:val="none"/>
        </w:rPr>
        <w:t>0</w:t>
      </w:r>
      <w:r w:rsidRPr="00792CAA">
        <w:rPr>
          <w:rFonts w:ascii="Times New Roman" w:eastAsia="Times New Roman" w:hAnsi="Times New Roman" w:cs="Times New Roman"/>
          <w:color w:val="000000" w:themeColor="text1"/>
          <w:kern w:val="0"/>
          <w:sz w:val="24"/>
          <w14:ligatures w14:val="none"/>
        </w:rPr>
        <w:t>.</w:t>
      </w:r>
      <w:r w:rsidR="009F19AE" w:rsidRPr="00792CAA">
        <w:rPr>
          <w:rFonts w:ascii="Times New Roman" w:eastAsiaTheme="minorEastAsia" w:hAnsi="Times New Roman" w:cs="Times New Roman" w:hint="eastAsia"/>
          <w:color w:val="000000" w:themeColor="text1"/>
          <w:kern w:val="0"/>
          <w:sz w:val="24"/>
          <w14:ligatures w14:val="none"/>
        </w:rPr>
        <w:t>2</w:t>
      </w:r>
    </w:p>
    <w:p w14:paraId="28A9D100" w14:textId="52728E16" w:rsidR="004C20F3" w:rsidRPr="00792CAA" w:rsidRDefault="004C20F3" w:rsidP="00453F26">
      <w:pPr>
        <w:spacing w:before="100" w:beforeAutospacing="1" w:after="100" w:afterAutospacing="1" w:line="360" w:lineRule="auto"/>
        <w:rPr>
          <w:rFonts w:ascii="Times New Roman" w:eastAsiaTheme="minorEastAsia"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Employees</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Total ≈ 4.</w:t>
      </w:r>
      <w:r w:rsidR="005F422B" w:rsidRPr="00792CAA">
        <w:rPr>
          <w:rFonts w:ascii="Times New Roman" w:eastAsiaTheme="minorEastAsia" w:hAnsi="Times New Roman" w:cs="Times New Roman" w:hint="eastAsia"/>
          <w:color w:val="000000" w:themeColor="text1"/>
          <w:kern w:val="0"/>
          <w:sz w:val="24"/>
          <w14:ligatures w14:val="none"/>
        </w:rPr>
        <w:t>8</w:t>
      </w:r>
    </w:p>
    <w:p w14:paraId="15C3B768"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These VIFs confirm serious multicollinearity between sectoral and occupational shares.</w:t>
      </w:r>
    </w:p>
    <w:p w14:paraId="262EEA82" w14:textId="2D519975" w:rsidR="004C20F3" w:rsidRPr="00792CAA" w:rsidRDefault="004C20F3" w:rsidP="00011104">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Interpretation:</w:t>
      </w:r>
      <w:r w:rsidRPr="00792CAA">
        <w:rPr>
          <w:rFonts w:ascii="Times New Roman" w:eastAsia="Times New Roman" w:hAnsi="Times New Roman" w:cs="Times New Roman"/>
          <w:color w:val="000000" w:themeColor="text1"/>
          <w:kern w:val="0"/>
          <w:sz w:val="24"/>
          <w14:ligatures w14:val="none"/>
        </w:rPr>
        <w:br/>
        <w:t>Regression analysis confirms H1: high-pay sector concentration strongly predicts regional pay. H2 is only partially supported due to multicollinearity. H3 (control robustness) holds, since the relationship persists when controlling for labour market size. However, the diagnostics caution against overinterpreting simultaneous inclusion of both High</w:t>
      </w:r>
      <w:r w:rsidR="008B5D8C"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8B5D8C"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8B5D8C"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4F1E25"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F1E25"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w:t>
      </w:r>
    </w:p>
    <w:p w14:paraId="711EB13B" w14:textId="7242964D"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w:t>
      </w:r>
      <w:r w:rsidR="00011104" w:rsidRPr="00792CAA">
        <w:rPr>
          <w:rFonts w:ascii="Times New Roman" w:eastAsia="Times New Roman" w:hAnsi="Times New Roman" w:cs="Times New Roman"/>
          <w:color w:val="000000" w:themeColor="text1"/>
          <w:kern w:val="0"/>
          <w:sz w:val="24"/>
          <w14:ligatures w14:val="none"/>
        </w:rPr>
        <w:t>6</w:t>
      </w:r>
      <w:r w:rsidRPr="00792CAA">
        <w:rPr>
          <w:rFonts w:ascii="Times New Roman" w:eastAsia="Times New Roman" w:hAnsi="Times New Roman" w:cs="Times New Roman"/>
          <w:color w:val="000000" w:themeColor="text1"/>
          <w:kern w:val="0"/>
          <w:sz w:val="24"/>
          <w14:ligatures w14:val="none"/>
        </w:rPr>
        <w:t xml:space="preserve"> Summary of Findings</w:t>
      </w:r>
    </w:p>
    <w:p w14:paraId="41821E0B"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H1 (High-pay sector share effect): Supported. Regions with more employment in ICT and Finance enjoy higher median wages.</w:t>
      </w:r>
    </w:p>
    <w:p w14:paraId="37C75E58"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H2 (Professional/technical workforce effect): Partially supported. Positive association exists, but multicollinearity complicates interpretation.</w:t>
      </w:r>
    </w:p>
    <w:p w14:paraId="767B2158"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H3 (Robustness to controls): Supported. The high-pay sector effect persists after adjusting for workforce size.</w:t>
      </w:r>
    </w:p>
    <w:p w14:paraId="03064B75" w14:textId="75AA52D5"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w:t>
      </w:r>
      <w:r w:rsidR="005A2D6C" w:rsidRPr="00792CAA">
        <w:rPr>
          <w:rFonts w:ascii="Times New Roman" w:eastAsia="Times New Roman" w:hAnsi="Times New Roman" w:cs="Times New Roman"/>
          <w:color w:val="000000" w:themeColor="text1"/>
          <w:kern w:val="0"/>
          <w:sz w:val="24"/>
          <w14:ligatures w14:val="none"/>
        </w:rPr>
        <w:t>7</w:t>
      </w:r>
      <w:r w:rsidRPr="00792CAA">
        <w:rPr>
          <w:rFonts w:ascii="Times New Roman" w:eastAsia="Times New Roman" w:hAnsi="Times New Roman" w:cs="Times New Roman"/>
          <w:color w:val="000000" w:themeColor="text1"/>
          <w:kern w:val="0"/>
          <w:sz w:val="24"/>
          <w14:ligatures w14:val="none"/>
        </w:rPr>
        <w:t xml:space="preserve"> Discussion of Robustness</w:t>
      </w:r>
    </w:p>
    <w:p w14:paraId="23898B3E" w14:textId="77777777" w:rsidR="004C20F3" w:rsidRPr="00792CAA" w:rsidRDefault="004C20F3" w:rsidP="004C20F3">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results are robust to descriptive, correlation, and regression analysis. However, limitations include:</w:t>
      </w:r>
    </w:p>
    <w:p w14:paraId="6EAF84CB"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Small sample size (n=12): With only 12 NUTS1 regions, results should be viewed as indicative.</w:t>
      </w:r>
    </w:p>
    <w:p w14:paraId="5E864439"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Multicollinearity: High correlation between sectoral and occupational shares makes it difficult to isolate their independent effects.</w:t>
      </w:r>
    </w:p>
    <w:p w14:paraId="5FF42EE0" w14:textId="77777777" w:rsidR="004C20F3" w:rsidRPr="00792CAA" w:rsidRDefault="004C20F3" w:rsidP="00453F26">
      <w:pPr>
        <w:spacing w:before="100" w:beforeAutospacing="1" w:after="100" w:afterAutospacing="1" w:line="360" w:lineRule="auto"/>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Cross-sectional nature: The analysis cannot establish causality over time.</w:t>
      </w:r>
    </w:p>
    <w:p w14:paraId="35B71DFE" w14:textId="77777777" w:rsidR="004C20F3" w:rsidRPr="00792CAA" w:rsidRDefault="004C20F3" w:rsidP="004C20F3">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Despite these limitations, the evidence strongly supports the interpretation that high-pay sector concentration is a major driver of regional wage disparities in the UK.</w:t>
      </w:r>
    </w:p>
    <w:p w14:paraId="0B5872C3" w14:textId="716A8B9A" w:rsidR="004C20F3" w:rsidRPr="00792CAA" w:rsidRDefault="004C20F3" w:rsidP="004C20F3">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4.</w:t>
      </w:r>
      <w:r w:rsidR="005A2D6C" w:rsidRPr="00792CAA">
        <w:rPr>
          <w:rFonts w:ascii="Times New Roman" w:eastAsia="Times New Roman" w:hAnsi="Times New Roman" w:cs="Times New Roman"/>
          <w:color w:val="000000" w:themeColor="text1"/>
          <w:kern w:val="0"/>
          <w:sz w:val="24"/>
          <w14:ligatures w14:val="none"/>
        </w:rPr>
        <w:t>8</w:t>
      </w:r>
      <w:r w:rsidRPr="00792CAA">
        <w:rPr>
          <w:rFonts w:ascii="Times New Roman" w:eastAsia="Times New Roman" w:hAnsi="Times New Roman" w:cs="Times New Roman"/>
          <w:color w:val="000000" w:themeColor="text1"/>
          <w:kern w:val="0"/>
          <w:sz w:val="24"/>
          <w14:ligatures w14:val="none"/>
        </w:rPr>
        <w:t xml:space="preserve"> Conclusion</w:t>
      </w:r>
    </w:p>
    <w:p w14:paraId="5B3760F4" w14:textId="77777777" w:rsidR="004C20F3" w:rsidRPr="00792CAA" w:rsidRDefault="004C20F3" w:rsidP="0007554D">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chapter presented the empirical results of the analysis. Reliability tests validated the composite indicator of high-pay sector employment. Descriptive and correlation statistics highlighted systematic differences across UK regions. Regression models confirmed the strong positive relationship between high-pay sector concentration and median earnings, while mediation analysis did not find significant indirect effects through professional/technical workforce shares. Overall, the findings lend support to Hypotheses 1 and 3, partial support to Hypothesis 2, and no support to Hypothesis 4. The next chapter situates these findings in the broader literature and explores their policy implications.</w:t>
      </w:r>
    </w:p>
    <w:p w14:paraId="3537246A" w14:textId="488E0A98" w:rsidR="00045D67" w:rsidRPr="00792CAA" w:rsidRDefault="00014B43" w:rsidP="007C32DA">
      <w:pPr>
        <w:pStyle w:val="Heading1"/>
        <w:ind w:left="156"/>
        <w:rPr>
          <w:rFonts w:ascii="Times New Roman" w:hAnsi="Times New Roman" w:cs="Times New Roman"/>
          <w:b/>
          <w:bCs/>
          <w:color w:val="000000" w:themeColor="text1"/>
          <w:sz w:val="24"/>
        </w:rPr>
      </w:pPr>
      <w:bookmarkStart w:id="12" w:name="_Toc210136245"/>
      <w:r w:rsidRPr="00792CAA">
        <w:rPr>
          <w:rFonts w:ascii="Times New Roman" w:hAnsi="Times New Roman" w:cs="Times New Roman"/>
          <w:b/>
          <w:bCs/>
          <w:color w:val="000000" w:themeColor="text1"/>
          <w:sz w:val="24"/>
        </w:rPr>
        <w:t>5</w:t>
      </w:r>
      <w:r w:rsidR="000749D1" w:rsidRPr="00792CAA">
        <w:rPr>
          <w:rFonts w:ascii="Times New Roman" w:hAnsi="Times New Roman" w:cs="Times New Roman"/>
          <w:b/>
          <w:bCs/>
          <w:color w:val="000000" w:themeColor="text1"/>
          <w:sz w:val="24"/>
        </w:rPr>
        <w:t>.</w:t>
      </w:r>
      <w:r w:rsidR="000749D1" w:rsidRPr="00792CAA">
        <w:rPr>
          <w:rFonts w:ascii="Times New Roman" w:eastAsia="Arial" w:hAnsi="Times New Roman" w:cs="Times New Roman"/>
          <w:b/>
          <w:bCs/>
          <w:color w:val="000000" w:themeColor="text1"/>
          <w:sz w:val="24"/>
        </w:rPr>
        <w:t xml:space="preserve"> </w:t>
      </w:r>
      <w:r w:rsidR="001F4304" w:rsidRPr="00792CAA">
        <w:rPr>
          <w:rFonts w:ascii="Times New Roman" w:eastAsia="Arial" w:hAnsi="Times New Roman" w:cs="Times New Roman"/>
          <w:b/>
          <w:bCs/>
          <w:color w:val="000000" w:themeColor="text1"/>
          <w:sz w:val="24"/>
        </w:rPr>
        <w:t>Discussion</w:t>
      </w:r>
      <w:bookmarkEnd w:id="12"/>
    </w:p>
    <w:p w14:paraId="5917208A" w14:textId="77777777"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5.1 Introduction</w:t>
      </w:r>
    </w:p>
    <w:p w14:paraId="67482114" w14:textId="7777777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purpose of this chapter is to interpret the empirical findings presented in Chapter 4 in relation to existing theories and the broader literature on regional wage disparities. The discussion focuses on three themes: (1) the role of high-pay sector employment in driving regional median wages, (2) the influence of workforce composition, particularly professional and technical occupations, and (3) the potential mediation pathways and the issue of multicollinearity. Finally, the chapter considers the policy implications of the findings in the context of the UK’s persistent regional inequalities and the government’s “levelling up” agenda.</w:t>
      </w:r>
    </w:p>
    <w:p w14:paraId="4177B670" w14:textId="77777777"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5.2 High-Pay Sector Employment and Regional Earnings</w:t>
      </w:r>
    </w:p>
    <w:p w14:paraId="289EB8D0" w14:textId="7777777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One of the most consistent findings of this study is the strong positive effect of high-pay sector employment on regional median pay. Regions with higher proportions of employees in ICT and Finance &amp; Insurance industries exhibit substantially higher wage levels. This finding directly supports Hypothesis 1 and aligns with extensive literature documenting the premium associated with knowledge-intensive, high-value sectors (</w:t>
      </w:r>
      <w:proofErr w:type="spellStart"/>
      <w:r w:rsidRPr="00792CAA">
        <w:rPr>
          <w:rFonts w:ascii="Times New Roman" w:eastAsia="Times New Roman" w:hAnsi="Times New Roman" w:cs="Times New Roman"/>
          <w:color w:val="000000" w:themeColor="text1"/>
          <w:kern w:val="0"/>
          <w:sz w:val="24"/>
          <w14:ligatures w14:val="none"/>
        </w:rPr>
        <w:t>Faggio</w:t>
      </w:r>
      <w:proofErr w:type="spellEnd"/>
      <w:r w:rsidRPr="00792CAA">
        <w:rPr>
          <w:rFonts w:ascii="Times New Roman" w:eastAsia="Times New Roman" w:hAnsi="Times New Roman" w:cs="Times New Roman"/>
          <w:color w:val="000000" w:themeColor="text1"/>
          <w:kern w:val="0"/>
          <w:sz w:val="24"/>
          <w14:ligatures w14:val="none"/>
        </w:rPr>
        <w:t xml:space="preserve"> &amp; Overman, 2014; Moretti, 2013; ONS, 2023).</w:t>
      </w:r>
    </w:p>
    <w:p w14:paraId="6C24BA08" w14:textId="7777777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Theoretically, this is consistent with both human capital theory and labour market segmentation. High-pay sectors demand advanced skills, education, and experience, which human capital theory links directly to higher productivity and wages. At the same time, segmentation theory emphasises structural divisions between “primary” and “secondary” labour markets: ICT and finance are firmly situated in the former, characterised by wage premiums, career progression, and employment stability.</w:t>
      </w:r>
    </w:p>
    <w:p w14:paraId="5801C721" w14:textId="7777777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Importantly, the magnitude of the effect is large enough to explain a significant portion of the enduring wage gap between London and the rest of the UK. London’s exceptionally high concentration of finance and ICT employment (over 13% of payrolled workers compared to ~5% in regions like the East Midlands) largely accounts for its status as the highest-paying region. This echoes arguments by McCann (2016) that sectoral composition, particularly financial services, is a primary determinant of the UK’s regional inequality.</w:t>
      </w:r>
    </w:p>
    <w:p w14:paraId="7B14E6A5" w14:textId="77777777"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5.3 Workforce Structure and Occupational Composition</w:t>
      </w:r>
    </w:p>
    <w:p w14:paraId="6BE13E67" w14:textId="746F5A62"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second finding concerns the role of professional, scientific, and technical (Prof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 employment shares. Results showed a positive correlation between 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median wages, suggesting that workforce composition does matter. This is consistent with Hypothesis 2, which posited that regions with greater shares of professional/technical workers would have higher pay.</w:t>
      </w:r>
    </w:p>
    <w:p w14:paraId="3B23D600" w14:textId="7777777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aligns with studies highlighting occupational upgrading and the wage premiums associated with knowledge-intensive occupations (Goos &amp; Manning, 2007; Harris &amp; Moffat, 2015). Regions such as London, the South East, and East of England have large professional and technical labour pools, which partly explains their wage advantage. Conversely, regions with lower proportions of such workers, like Wales and Northern Ireland, correspondingly have lower pay levels.</w:t>
      </w:r>
    </w:p>
    <w:p w14:paraId="5DB9763D" w14:textId="2552C8BF" w:rsidR="0022674F" w:rsidRPr="00792CAA" w:rsidRDefault="0022674F" w:rsidP="00D204D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However, the regression analysis revealed multicollinearity between High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 xml:space="preserve">Share, limiting the ability to disentangle their independent effects. This reflects the fact that occupational and industrial structures are not independent phenomena. High-pay sectors employ disproportionately high numbers of professional and technical workers, so the two measures capture overlapping dimensions of structural advantage. While both are associated </w:t>
      </w:r>
      <w:r w:rsidRPr="00792CAA">
        <w:rPr>
          <w:rFonts w:ascii="Times New Roman" w:eastAsia="Times New Roman" w:hAnsi="Times New Roman" w:cs="Times New Roman"/>
          <w:color w:val="000000" w:themeColor="text1"/>
          <w:kern w:val="0"/>
          <w:sz w:val="24"/>
          <w14:ligatures w14:val="none"/>
        </w:rPr>
        <w:lastRenderedPageBreak/>
        <w:t>with higher wages, they are difficult to isolate empirically, particularly in a dataset with only 12 regional observations.</w:t>
      </w:r>
    </w:p>
    <w:p w14:paraId="44B2E411" w14:textId="42D515FD"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w:t>
      </w:r>
      <w:r w:rsidR="00D204D4" w:rsidRPr="00792CAA">
        <w:rPr>
          <w:rFonts w:ascii="Times New Roman" w:eastAsia="Times New Roman" w:hAnsi="Times New Roman" w:cs="Times New Roman"/>
          <w:color w:val="000000" w:themeColor="text1"/>
          <w:kern w:val="0"/>
          <w:sz w:val="24"/>
          <w14:ligatures w14:val="none"/>
        </w:rPr>
        <w:t>4</w:t>
      </w:r>
      <w:r w:rsidRPr="00792CAA">
        <w:rPr>
          <w:rFonts w:ascii="Times New Roman" w:eastAsia="Times New Roman" w:hAnsi="Times New Roman" w:cs="Times New Roman"/>
          <w:color w:val="000000" w:themeColor="text1"/>
          <w:kern w:val="0"/>
          <w:sz w:val="24"/>
          <w14:ligatures w14:val="none"/>
        </w:rPr>
        <w:t xml:space="preserve"> Multicollinearity and Interpretive Challenges</w:t>
      </w:r>
    </w:p>
    <w:p w14:paraId="1DE42F3A" w14:textId="6A634937"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results repeatedly highlighted the issue of multicollinearity, particularly between High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Pay</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Sector</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and Prof</w:t>
      </w:r>
      <w:r w:rsidR="00453F26" w:rsidRPr="00792CAA">
        <w:rPr>
          <w:rFonts w:ascii="Times New Roman" w:eastAsiaTheme="minorEastAsia" w:hAnsi="Times New Roman" w:cs="Times New Roman" w:hint="eastAsia"/>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453F26" w:rsidRPr="00792CAA">
        <w:rPr>
          <w:rFonts w:ascii="Times New Roman" w:eastAsiaTheme="minorEastAsia" w:hAnsi="Times New Roman" w:cs="Times New Roman" w:hint="eastAsia"/>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Variance Inflation Factors (VIFs) well above 10 indicate severe collinearity, inflating standard errors and complicating coefficient interpretation. This issue arises because regions with strong high-pay sectors also have high shares of professional/technical workers, reflecting structural clustering.</w:t>
      </w:r>
    </w:p>
    <w:p w14:paraId="223B7DC3" w14:textId="451520FC" w:rsidR="0022674F" w:rsidRPr="00792CAA" w:rsidRDefault="0022674F" w:rsidP="004C3B41">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problem is not merely statistical but substantive: industrial and occupational structures are deeply intertwined. High-value industries generate demand for professional and technical labour, and conversely, regions with abundant skilled workers attract such industries. As a result, disentangling “which comes first” is inherently difficult in cross-sectional data. Future research could address this by using longitudinal methods (to track sequencing) or factor analysis (to extract orthogonal components representing “structural advantage”).</w:t>
      </w:r>
    </w:p>
    <w:p w14:paraId="5F54607A" w14:textId="48ACFC46"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w:t>
      </w:r>
      <w:r w:rsidR="00D204D4" w:rsidRPr="00792CAA">
        <w:rPr>
          <w:rFonts w:ascii="Times New Roman" w:eastAsia="Times New Roman" w:hAnsi="Times New Roman" w:cs="Times New Roman"/>
          <w:color w:val="000000" w:themeColor="text1"/>
          <w:kern w:val="0"/>
          <w:sz w:val="24"/>
          <w14:ligatures w14:val="none"/>
        </w:rPr>
        <w:t>5</w:t>
      </w:r>
      <w:r w:rsidRPr="00792CAA">
        <w:rPr>
          <w:rFonts w:ascii="Times New Roman" w:eastAsia="Times New Roman" w:hAnsi="Times New Roman" w:cs="Times New Roman"/>
          <w:color w:val="000000" w:themeColor="text1"/>
          <w:kern w:val="0"/>
          <w:sz w:val="24"/>
          <w14:ligatures w14:val="none"/>
        </w:rPr>
        <w:t xml:space="preserve"> Policy Implications</w:t>
      </w:r>
    </w:p>
    <w:p w14:paraId="430622D4" w14:textId="77777777" w:rsidR="0022674F" w:rsidRPr="00792CAA" w:rsidRDefault="0022674F" w:rsidP="00693E02">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findings have several implications for policy, particularly in the context of the UK government’s “levelling up” agenda.</w:t>
      </w:r>
    </w:p>
    <w:p w14:paraId="5D72F82E" w14:textId="77777777" w:rsidR="0022674F" w:rsidRPr="00792CAA" w:rsidRDefault="0022674F" w:rsidP="00693E02">
      <w:pPr>
        <w:numPr>
          <w:ilvl w:val="0"/>
          <w:numId w:val="36"/>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Industrial Strategy: Promoting regional growth in high-pay sectors such as ICT and finance remains crucial. Without diversification into these industries, regions are unlikely to close wage gaps with London and the South East. However, industrial policy must balance the risks of over-reliance on a narrow set of sectors, as seen in financial services during the 2008 crisis.</w:t>
      </w:r>
    </w:p>
    <w:p w14:paraId="1EA7DC66" w14:textId="77777777" w:rsidR="0022674F" w:rsidRPr="00792CAA" w:rsidRDefault="0022674F" w:rsidP="00693E02">
      <w:pPr>
        <w:numPr>
          <w:ilvl w:val="0"/>
          <w:numId w:val="36"/>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Skills Development: Investment in education and training to expand the supply of professional and technical workers is essential. While mediation was not statistically significant, the correlation between occupational structure and wages underscores the importance of human capital strategies.</w:t>
      </w:r>
    </w:p>
    <w:p w14:paraId="28BEE6CF" w14:textId="77777777" w:rsidR="0022674F" w:rsidRPr="00792CAA" w:rsidRDefault="0022674F" w:rsidP="00693E02">
      <w:pPr>
        <w:numPr>
          <w:ilvl w:val="0"/>
          <w:numId w:val="36"/>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Regional Clusters: Encouraging clusters of high-value industries outside London could help redistribute wage premiums geographically. Examples include tech hubs in </w:t>
      </w:r>
      <w:r w:rsidRPr="00792CAA">
        <w:rPr>
          <w:rFonts w:ascii="Times New Roman" w:eastAsia="Times New Roman" w:hAnsi="Times New Roman" w:cs="Times New Roman"/>
          <w:color w:val="000000" w:themeColor="text1"/>
          <w:kern w:val="0"/>
          <w:sz w:val="24"/>
          <w14:ligatures w14:val="none"/>
        </w:rPr>
        <w:lastRenderedPageBreak/>
        <w:t>Manchester or financial services in Edinburgh. Agglomeration theory suggests that once critical mass is achieved, positive spillovers can sustain growth.</w:t>
      </w:r>
    </w:p>
    <w:p w14:paraId="028A042D" w14:textId="6D3D9424" w:rsidR="0022674F" w:rsidRPr="00792CAA" w:rsidRDefault="0022674F" w:rsidP="00693E02">
      <w:pPr>
        <w:numPr>
          <w:ilvl w:val="0"/>
          <w:numId w:val="36"/>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Addressing Structural Barriers: Policies must also address structural barriers to mobility and participation, including housing affordability, transport infrastructure, and digital connectivity. Without these, workers and firms are unlikely to relocate to lagging regions, perpetuating disparities.</w:t>
      </w:r>
    </w:p>
    <w:p w14:paraId="03CED199" w14:textId="321A8E18"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w:t>
      </w:r>
      <w:r w:rsidR="00D204D4" w:rsidRPr="00792CAA">
        <w:rPr>
          <w:rFonts w:ascii="Times New Roman" w:eastAsia="Times New Roman" w:hAnsi="Times New Roman" w:cs="Times New Roman"/>
          <w:color w:val="000000" w:themeColor="text1"/>
          <w:kern w:val="0"/>
          <w:sz w:val="24"/>
          <w14:ligatures w14:val="none"/>
        </w:rPr>
        <w:t>6</w:t>
      </w:r>
      <w:r w:rsidRPr="00792CAA">
        <w:rPr>
          <w:rFonts w:ascii="Times New Roman" w:eastAsia="Times New Roman" w:hAnsi="Times New Roman" w:cs="Times New Roman"/>
          <w:color w:val="000000" w:themeColor="text1"/>
          <w:kern w:val="0"/>
          <w:sz w:val="24"/>
          <w14:ligatures w14:val="none"/>
        </w:rPr>
        <w:t xml:space="preserve"> Comparison with Previous Studies</w:t>
      </w:r>
    </w:p>
    <w:p w14:paraId="35D3361E" w14:textId="77777777" w:rsidR="00842EF7" w:rsidRPr="00792CAA" w:rsidRDefault="00842EF7" w:rsidP="00842EF7">
      <w:pPr>
        <w:pStyle w:val="NormalWeb"/>
        <w:spacing w:line="360" w:lineRule="auto"/>
        <w:jc w:val="both"/>
      </w:pPr>
      <w:r w:rsidRPr="00792CAA">
        <w:t xml:space="preserve">The findings of this study are broadly consistent with existing research on regional wage disparities, while also offering several important nuances that help to refine the debate. In line with </w:t>
      </w:r>
      <w:proofErr w:type="spellStart"/>
      <w:r w:rsidRPr="00792CAA">
        <w:t>Faggio</w:t>
      </w:r>
      <w:proofErr w:type="spellEnd"/>
      <w:r w:rsidRPr="00792CAA">
        <w:t xml:space="preserve"> and Overman (2014), the analysis demonstrates that the concentration of high-pay sectors represents a particularly powerful driver of regional wage variation. Regions where industries such as finance, ICT, and advanced business services are disproportionately represented tend to command significantly higher average wages. This supports the argument that industrial composition is a fundamental determinant of wage outcomes, and that structural factors play a role alongside individual human capital in shaping regional labour market performance.</w:t>
      </w:r>
    </w:p>
    <w:p w14:paraId="02CFEBA7" w14:textId="77777777" w:rsidR="00842EF7" w:rsidRPr="00792CAA" w:rsidRDefault="00842EF7" w:rsidP="00842EF7">
      <w:pPr>
        <w:pStyle w:val="NormalWeb"/>
        <w:spacing w:line="360" w:lineRule="auto"/>
        <w:jc w:val="both"/>
      </w:pPr>
      <w:r w:rsidRPr="00792CAA">
        <w:t>Echoing the insights of McCann (2016), the study also confirms that London’s persistent wage advantage is closely tied to its unique industrial structure. The capital’s dominance in knowledge-intensive, high-value service activities generates substantial productivity and wage premiums that are not easily replicated elsewhere. Importantly, these advantages are cumulative: the clustering of high-value sectors attracts skilled workers and investment, which in turn reinforce London’s position as the UK’s economic hub. This structural explanation goes beyond accounts that emphasise worker characteristics alone and helps to clarify why London consistently outperforms other regions in wage terms.</w:t>
      </w:r>
    </w:p>
    <w:p w14:paraId="7D901578" w14:textId="77777777" w:rsidR="00842EF7" w:rsidRPr="00792CAA" w:rsidRDefault="00842EF7" w:rsidP="00842EF7">
      <w:pPr>
        <w:pStyle w:val="NormalWeb"/>
        <w:spacing w:line="360" w:lineRule="auto"/>
        <w:jc w:val="both"/>
      </w:pPr>
      <w:r w:rsidRPr="00792CAA">
        <w:t xml:space="preserve">Furthermore, the positive correlation between professional and technical employment and regional wage levels provides support for Goos and Manning’s (2007) argument concerning occupational upgrading. As labour markets evolve, the expansion of higher-skilled, knowledge-intensive occupations appears to raise overall wage profiles. This finding suggests that occupational structure is a key component of regional economic performance and interacts with industrial composition to shape wage outcomes. Taken together, these results reaffirm established arguments in the literature while adding a more detailed account of how sectoral </w:t>
      </w:r>
      <w:r w:rsidRPr="00792CAA">
        <w:lastRenderedPageBreak/>
        <w:t>concentration, occupational upgrading, and regional structures collectively influence patterns of wage inequality.</w:t>
      </w:r>
    </w:p>
    <w:p w14:paraId="16B02CCA" w14:textId="4435CD71"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w:t>
      </w:r>
      <w:r w:rsidR="00D204D4" w:rsidRPr="00792CAA">
        <w:rPr>
          <w:rFonts w:ascii="Times New Roman" w:eastAsia="Times New Roman" w:hAnsi="Times New Roman" w:cs="Times New Roman"/>
          <w:color w:val="000000" w:themeColor="text1"/>
          <w:kern w:val="0"/>
          <w:sz w:val="24"/>
          <w14:ligatures w14:val="none"/>
        </w:rPr>
        <w:t>7</w:t>
      </w:r>
      <w:r w:rsidRPr="00792CAA">
        <w:rPr>
          <w:rFonts w:ascii="Times New Roman" w:eastAsia="Times New Roman" w:hAnsi="Times New Roman" w:cs="Times New Roman"/>
          <w:color w:val="000000" w:themeColor="text1"/>
          <w:kern w:val="0"/>
          <w:sz w:val="24"/>
          <w14:ligatures w14:val="none"/>
        </w:rPr>
        <w:t xml:space="preserve"> Limitations and Future Research</w:t>
      </w:r>
    </w:p>
    <w:p w14:paraId="7FB30CAF" w14:textId="77777777" w:rsidR="0022674F" w:rsidRPr="00792CAA" w:rsidRDefault="0022674F" w:rsidP="00693E02">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Several limitations constrain the interpretation of findings:</w:t>
      </w:r>
    </w:p>
    <w:p w14:paraId="12FA8479" w14:textId="77777777" w:rsidR="0022674F" w:rsidRPr="00792CAA" w:rsidRDefault="0022674F" w:rsidP="00693E02">
      <w:pPr>
        <w:numPr>
          <w:ilvl w:val="0"/>
          <w:numId w:val="38"/>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Cross-sectional design: The analysis captures structural relationships at a single point in time (April 2024). Longitudinal data would allow exploration of causality and dynamic processes.</w:t>
      </w:r>
    </w:p>
    <w:p w14:paraId="2FB8C2D7" w14:textId="77777777" w:rsidR="0022674F" w:rsidRPr="00792CAA" w:rsidRDefault="0022674F" w:rsidP="00693E02">
      <w:pPr>
        <w:numPr>
          <w:ilvl w:val="0"/>
          <w:numId w:val="38"/>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Small sample size: With only 12 NUTS1 regions, statistical power is limited. Extending to NUTS2 or NUTS3 data would increase sample size and robustness.</w:t>
      </w:r>
    </w:p>
    <w:p w14:paraId="5E178460" w14:textId="0A661B2E" w:rsidR="0022674F" w:rsidRPr="00792CAA" w:rsidRDefault="0022674F" w:rsidP="00693E02">
      <w:pPr>
        <w:numPr>
          <w:ilvl w:val="0"/>
          <w:numId w:val="38"/>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Data gaps: The absence of age-structured employment data at NUTS1 prevented testing of Hypothesis 2 in its original form. The use of Prof</w:t>
      </w:r>
      <w:r w:rsidR="00C96106" w:rsidRPr="00792CAA">
        <w:rPr>
          <w:rFonts w:ascii="Times New Roman" w:eastAsia="Times New Roman" w:hAnsi="Times New Roman" w:cs="Times New Roman"/>
          <w:color w:val="000000" w:themeColor="text1"/>
          <w:kern w:val="0"/>
          <w:sz w:val="24"/>
          <w14:ligatures w14:val="none"/>
        </w:rPr>
        <w:t>-</w:t>
      </w:r>
      <w:r w:rsidRPr="00792CAA">
        <w:rPr>
          <w:rFonts w:ascii="Times New Roman" w:eastAsia="Times New Roman" w:hAnsi="Times New Roman" w:cs="Times New Roman"/>
          <w:color w:val="000000" w:themeColor="text1"/>
          <w:kern w:val="0"/>
          <w:sz w:val="24"/>
          <w14:ligatures w14:val="none"/>
        </w:rPr>
        <w:t>Tech</w:t>
      </w:r>
      <w:r w:rsidR="00C96106" w:rsidRPr="00792CAA">
        <w:rPr>
          <w:rFonts w:ascii="Times New Roman" w:eastAsia="Times New Roman" w:hAnsi="Times New Roman" w:cs="Times New Roman"/>
          <w:color w:val="000000" w:themeColor="text1"/>
          <w:kern w:val="0"/>
          <w:sz w:val="24"/>
          <w14:ligatures w14:val="none"/>
        </w:rPr>
        <w:t xml:space="preserve"> </w:t>
      </w:r>
      <w:r w:rsidRPr="00792CAA">
        <w:rPr>
          <w:rFonts w:ascii="Times New Roman" w:eastAsia="Times New Roman" w:hAnsi="Times New Roman" w:cs="Times New Roman"/>
          <w:color w:val="000000" w:themeColor="text1"/>
          <w:kern w:val="0"/>
          <w:sz w:val="24"/>
          <w14:ligatures w14:val="none"/>
        </w:rPr>
        <w:t>Share as a proxy is valid but partial.</w:t>
      </w:r>
    </w:p>
    <w:p w14:paraId="473E41A6" w14:textId="77777777" w:rsidR="0022674F" w:rsidRPr="00792CAA" w:rsidRDefault="0022674F" w:rsidP="00693E02">
      <w:pPr>
        <w:numPr>
          <w:ilvl w:val="0"/>
          <w:numId w:val="38"/>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Multicollinearity: High overlap between sectoral and occupational measures complicates independent effect estimation. Alternative statistical methods (e.g., principal components analysis) could be used to construct orthogonal indices of structural advantage.</w:t>
      </w:r>
    </w:p>
    <w:p w14:paraId="3A6950ED" w14:textId="77777777" w:rsidR="0022674F" w:rsidRPr="00792CAA" w:rsidRDefault="0022674F" w:rsidP="0022674F">
      <w:pPr>
        <w:spacing w:before="100" w:beforeAutospacing="1" w:after="100" w:afterAutospacing="1" w:line="360" w:lineRule="auto"/>
        <w:ind w:left="0" w:firstLine="0"/>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Future research should therefore:</w:t>
      </w:r>
    </w:p>
    <w:p w14:paraId="755262D8" w14:textId="27CCF4A6" w:rsidR="0022674F" w:rsidRPr="00792CAA" w:rsidRDefault="0022674F" w:rsidP="00842EF7">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Incorporate longitudinal RTI data to study how shifts in industrial and occupational structures affect wage trajectories.</w:t>
      </w:r>
      <w:r w:rsidR="00842EF7" w:rsidRPr="00792CAA">
        <w:rPr>
          <w:rFonts w:ascii="Times New Roman" w:eastAsia="Times New Roman" w:hAnsi="Times New Roman" w:cs="Times New Roman"/>
          <w:color w:val="000000" w:themeColor="text1"/>
          <w:kern w:val="0"/>
          <w:sz w:val="24"/>
          <w14:ligatures w14:val="none"/>
        </w:rPr>
        <w:t xml:space="preserve"> </w:t>
      </w:r>
      <w:r w:rsidR="00842EF7" w:rsidRPr="00792CAA">
        <w:rPr>
          <w:rFonts w:ascii="Times New Roman" w:eastAsia="Times New Roman" w:hAnsi="Times New Roman" w:cs="Times New Roman"/>
          <w:color w:val="000000" w:themeColor="text1"/>
          <w:kern w:val="0"/>
          <w:sz w:val="24"/>
          <w14:ligatures w14:val="none"/>
        </w:rPr>
        <w:t>Use finer spatial scales (NUTS2/3) to increase sample size and examine intra-regional disparities.</w:t>
      </w:r>
      <w:r w:rsidR="00842EF7" w:rsidRPr="00792CAA">
        <w:rPr>
          <w:rFonts w:ascii="Times New Roman" w:eastAsia="Times New Roman" w:hAnsi="Times New Roman" w:cs="Times New Roman"/>
          <w:color w:val="000000" w:themeColor="text1"/>
          <w:kern w:val="0"/>
          <w:sz w:val="24"/>
          <w14:ligatures w14:val="none"/>
        </w:rPr>
        <w:t xml:space="preserve"> </w:t>
      </w:r>
      <w:r w:rsidR="00842EF7" w:rsidRPr="00792CAA">
        <w:rPr>
          <w:rFonts w:ascii="Times New Roman" w:eastAsia="Times New Roman" w:hAnsi="Times New Roman" w:cs="Times New Roman"/>
          <w:color w:val="000000" w:themeColor="text1"/>
          <w:kern w:val="0"/>
          <w:sz w:val="24"/>
          <w14:ligatures w14:val="none"/>
        </w:rPr>
        <w:t>Explore structural equation modelling (SEM) to more rigorously test mediation pathways and address collinearity.</w:t>
      </w:r>
      <w:r w:rsidR="00842EF7" w:rsidRPr="00792CAA">
        <w:rPr>
          <w:rFonts w:ascii="Times New Roman" w:eastAsia="Times New Roman" w:hAnsi="Times New Roman" w:cs="Times New Roman"/>
          <w:color w:val="000000" w:themeColor="text1"/>
          <w:kern w:val="0"/>
          <w:sz w:val="24"/>
          <w14:ligatures w14:val="none"/>
        </w:rPr>
        <w:t xml:space="preserve"> </w:t>
      </w:r>
      <w:r w:rsidR="00842EF7" w:rsidRPr="00792CAA">
        <w:rPr>
          <w:rFonts w:ascii="Times New Roman" w:eastAsia="Times New Roman" w:hAnsi="Times New Roman" w:cs="Times New Roman"/>
          <w:color w:val="000000" w:themeColor="text1"/>
          <w:kern w:val="0"/>
          <w:sz w:val="24"/>
          <w14:ligatures w14:val="none"/>
        </w:rPr>
        <w:t>Investigate age demographics once quarterly regional-by-age releases become available.</w:t>
      </w:r>
    </w:p>
    <w:p w14:paraId="4648587C" w14:textId="19420545" w:rsidR="0022674F" w:rsidRPr="00792CAA" w:rsidRDefault="0022674F" w:rsidP="0022674F">
      <w:pPr>
        <w:spacing w:before="100" w:beforeAutospacing="1" w:after="100" w:afterAutospacing="1" w:line="360" w:lineRule="auto"/>
        <w:ind w:left="0" w:firstLine="0"/>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5.</w:t>
      </w:r>
      <w:r w:rsidR="00D204D4" w:rsidRPr="00792CAA">
        <w:rPr>
          <w:rFonts w:ascii="Times New Roman" w:eastAsia="Times New Roman" w:hAnsi="Times New Roman" w:cs="Times New Roman"/>
          <w:color w:val="000000" w:themeColor="text1"/>
          <w:kern w:val="0"/>
          <w:sz w:val="24"/>
          <w14:ligatures w14:val="none"/>
        </w:rPr>
        <w:t>8</w:t>
      </w:r>
      <w:r w:rsidRPr="00792CAA">
        <w:rPr>
          <w:rFonts w:ascii="Times New Roman" w:eastAsia="Times New Roman" w:hAnsi="Times New Roman" w:cs="Times New Roman"/>
          <w:color w:val="000000" w:themeColor="text1"/>
          <w:kern w:val="0"/>
          <w:sz w:val="24"/>
          <w14:ligatures w14:val="none"/>
        </w:rPr>
        <w:t xml:space="preserve"> Conclusion</w:t>
      </w:r>
    </w:p>
    <w:p w14:paraId="60776C81" w14:textId="77777777" w:rsidR="0022674F" w:rsidRPr="00792CAA" w:rsidRDefault="0022674F" w:rsidP="00693E02">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 xml:space="preserve">This chapter has discussed the empirical results in light of theory and policy debates. The key conclusion is that industrial composition, particularly the concentration of high-pay sectors, is the dominant driver of regional wage disparities in the UK. Workforce composition also matters, but its independent effect is difficult to isolate due to structural overlap. Mediation analysis did not detect significant indirect effects, underscoring the primacy of sectoral drivers. The findings support the view that regional economic inequalities are rooted in structural imbalances in </w:t>
      </w:r>
      <w:r w:rsidRPr="00792CAA">
        <w:rPr>
          <w:rFonts w:ascii="Times New Roman" w:eastAsia="Times New Roman" w:hAnsi="Times New Roman" w:cs="Times New Roman"/>
          <w:color w:val="000000" w:themeColor="text1"/>
          <w:kern w:val="0"/>
          <w:sz w:val="24"/>
          <w14:ligatures w14:val="none"/>
        </w:rPr>
        <w:lastRenderedPageBreak/>
        <w:t>industrial composition, reinforcing the need for targeted industrial and skills policies under the levelling-up agenda.</w:t>
      </w:r>
    </w:p>
    <w:p w14:paraId="624D1FAA" w14:textId="2786DDEB" w:rsidR="009861D1" w:rsidRPr="00792CAA" w:rsidRDefault="00014B43">
      <w:pPr>
        <w:pStyle w:val="Heading1"/>
        <w:ind w:left="156"/>
        <w:rPr>
          <w:rFonts w:ascii="Times New Roman" w:hAnsi="Times New Roman" w:cs="Times New Roman"/>
          <w:b/>
          <w:bCs/>
          <w:color w:val="000000" w:themeColor="text1"/>
          <w:sz w:val="24"/>
        </w:rPr>
      </w:pPr>
      <w:bookmarkStart w:id="13" w:name="_Toc210136246"/>
      <w:r w:rsidRPr="00792CAA">
        <w:rPr>
          <w:rFonts w:ascii="Times New Roman" w:hAnsi="Times New Roman" w:cs="Times New Roman"/>
          <w:b/>
          <w:bCs/>
          <w:color w:val="000000" w:themeColor="text1"/>
          <w:sz w:val="24"/>
        </w:rPr>
        <w:t>6</w:t>
      </w:r>
      <w:r w:rsidR="000749D1" w:rsidRPr="00792CAA">
        <w:rPr>
          <w:rFonts w:ascii="Times New Roman" w:hAnsi="Times New Roman" w:cs="Times New Roman"/>
          <w:b/>
          <w:bCs/>
          <w:color w:val="000000" w:themeColor="text1"/>
          <w:sz w:val="24"/>
        </w:rPr>
        <w:t>.</w:t>
      </w:r>
      <w:r w:rsidR="000749D1" w:rsidRPr="00792CAA">
        <w:rPr>
          <w:rFonts w:ascii="Times New Roman" w:eastAsia="Arial" w:hAnsi="Times New Roman" w:cs="Times New Roman"/>
          <w:b/>
          <w:bCs/>
          <w:color w:val="000000" w:themeColor="text1"/>
          <w:sz w:val="24"/>
        </w:rPr>
        <w:t xml:space="preserve"> </w:t>
      </w:r>
      <w:r w:rsidR="000749D1" w:rsidRPr="00792CAA">
        <w:rPr>
          <w:rFonts w:ascii="Times New Roman" w:hAnsi="Times New Roman" w:cs="Times New Roman"/>
          <w:b/>
          <w:bCs/>
          <w:color w:val="000000" w:themeColor="text1"/>
          <w:sz w:val="24"/>
        </w:rPr>
        <w:t>Conclusion</w:t>
      </w:r>
      <w:bookmarkEnd w:id="13"/>
      <w:r w:rsidR="000749D1" w:rsidRPr="00792CAA">
        <w:rPr>
          <w:rFonts w:ascii="Times New Roman" w:hAnsi="Times New Roman" w:cs="Times New Roman"/>
          <w:b/>
          <w:bCs/>
          <w:color w:val="000000" w:themeColor="text1"/>
          <w:sz w:val="24"/>
        </w:rPr>
        <w:t xml:space="preserve"> </w:t>
      </w:r>
    </w:p>
    <w:p w14:paraId="16B80391"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6.1 Introduction</w:t>
      </w:r>
    </w:p>
    <w:p w14:paraId="2C6D91E4" w14:textId="77777777" w:rsidR="00C57CE7" w:rsidRPr="00792CAA" w:rsidRDefault="00C57CE7" w:rsidP="00E546EA">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This thesis set out to examine the impact of high-pay sector employment and workforce structure on regional median earnings in the United Kingdom. Against the backdrop of persistent regional inequalities, the study aimed to identify structural drivers of wage variation using contemporary administrative data from the ONS PAYE RTI release (April 2024). Through a sequence of quantitative analyses—reliability, descriptive statistics, correlation, regression, and mediation—the research tested four hypotheses concerning the role of high-pay sector concentration, workforce composition, and potential mediation effects.</w:t>
      </w:r>
    </w:p>
    <w:p w14:paraId="68FB34E8"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6.2 Summary of Findings</w:t>
      </w:r>
    </w:p>
    <w:p w14:paraId="08298FD7" w14:textId="77777777" w:rsidR="00C57CE7" w:rsidRPr="00792CAA" w:rsidRDefault="00C57CE7" w:rsidP="00E546EA">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analysis produced several key findings:</w:t>
      </w:r>
    </w:p>
    <w:p w14:paraId="3D7FD045" w14:textId="77777777" w:rsidR="00C57CE7" w:rsidRPr="00792CAA" w:rsidRDefault="00C57CE7" w:rsidP="00425D1D">
      <w:pPr>
        <w:numPr>
          <w:ilvl w:val="0"/>
          <w:numId w:val="4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High-pay sector employment is a major driver of regional wages.</w:t>
      </w:r>
      <w:r w:rsidRPr="00792CAA">
        <w:rPr>
          <w:rFonts w:ascii="Times New Roman" w:eastAsia="Times New Roman" w:hAnsi="Times New Roman" w:cs="Times New Roman"/>
          <w:color w:val="000000" w:themeColor="text1"/>
          <w:kern w:val="0"/>
          <w:sz w:val="24"/>
          <w14:ligatures w14:val="none"/>
        </w:rPr>
        <w:br/>
        <w:t>Regions with greater shares of employment in ICT and Finance &amp; Insurance exhibit significantly higher median pay. This relationship was robust across descriptive, correlation, and regression analyses, providing strong support for Hypothesis 1.</w:t>
      </w:r>
    </w:p>
    <w:p w14:paraId="6B65C480" w14:textId="77777777" w:rsidR="00C57CE7" w:rsidRPr="00792CAA" w:rsidRDefault="00C57CE7" w:rsidP="00425D1D">
      <w:pPr>
        <w:numPr>
          <w:ilvl w:val="0"/>
          <w:numId w:val="4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Workforce composition matters but is entangled with sectoral structure.</w:t>
      </w:r>
      <w:r w:rsidRPr="00792CAA">
        <w:rPr>
          <w:rFonts w:ascii="Times New Roman" w:eastAsia="Times New Roman" w:hAnsi="Times New Roman" w:cs="Times New Roman"/>
          <w:color w:val="000000" w:themeColor="text1"/>
          <w:kern w:val="0"/>
          <w:sz w:val="24"/>
          <w14:ligatures w14:val="none"/>
        </w:rPr>
        <w:br/>
        <w:t>The share of professional, scientific, and technical workers correlated positively with wages, partially supporting Hypothesis 2. However, multicollinearity with high-pay sector shares limited the ability to isolate independent effects.</w:t>
      </w:r>
    </w:p>
    <w:p w14:paraId="3A304FBF" w14:textId="77777777" w:rsidR="00C57CE7" w:rsidRPr="00792CAA" w:rsidRDefault="00C57CE7" w:rsidP="00425D1D">
      <w:pPr>
        <w:numPr>
          <w:ilvl w:val="0"/>
          <w:numId w:val="40"/>
        </w:num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high-pay sector effect is robust to labour market size.</w:t>
      </w:r>
      <w:r w:rsidRPr="00792CAA">
        <w:rPr>
          <w:rFonts w:ascii="Times New Roman" w:eastAsia="Times New Roman" w:hAnsi="Times New Roman" w:cs="Times New Roman"/>
          <w:color w:val="000000" w:themeColor="text1"/>
          <w:kern w:val="0"/>
          <w:sz w:val="24"/>
          <w14:ligatures w14:val="none"/>
        </w:rPr>
        <w:br/>
        <w:t>Even after controlling for total employment, the positive relationship between high-pay sectors and wages remained significant, supporting Hypothesis 3.</w:t>
      </w:r>
    </w:p>
    <w:p w14:paraId="4816F517" w14:textId="51274742" w:rsidR="00D204D4" w:rsidRPr="00792CAA" w:rsidRDefault="00C57CE7" w:rsidP="00425D1D">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Overall, the findings reinforce the centrality of industrial composition in explaining wage disparities across UK regions.</w:t>
      </w:r>
    </w:p>
    <w:p w14:paraId="23AF17C7"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6.3 Contributions</w:t>
      </w:r>
    </w:p>
    <w:p w14:paraId="0F2FF4ED" w14:textId="77777777" w:rsidR="00C57CE7" w:rsidRPr="00792CAA" w:rsidRDefault="00C57CE7" w:rsidP="00E546EA">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thesis makes three contributions:</w:t>
      </w:r>
    </w:p>
    <w:p w14:paraId="3DD3F473" w14:textId="77777777" w:rsidR="00C57CE7" w:rsidRPr="00792CAA" w:rsidRDefault="00C57CE7" w:rsidP="00DA017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Empirical: It provides up-to-date evidence on regional wage disparities using PAYE RTI data, an administrative dataset with near-universal coverage.</w:t>
      </w:r>
    </w:p>
    <w:p w14:paraId="0755BD24" w14:textId="77777777" w:rsidR="00C57CE7" w:rsidRPr="00792CAA" w:rsidRDefault="00C57CE7" w:rsidP="00DA017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Methodological: By applying mediation analysis, the study tests indirect structural pathways, an approach rarely employed in this literature.</w:t>
      </w:r>
    </w:p>
    <w:p w14:paraId="33FC60CA" w14:textId="4D386A73" w:rsidR="00C57CE7" w:rsidRPr="00792CAA" w:rsidRDefault="00C57CE7" w:rsidP="00DA017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Policy-relevant: The findings highlight sectoral composition as a critical determinant of wages, reinforcing the case for targeted industrial and skills strategies under the levelling-up agenda.</w:t>
      </w:r>
    </w:p>
    <w:p w14:paraId="741A0537"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6.4 Limitations</w:t>
      </w:r>
    </w:p>
    <w:p w14:paraId="2546F509" w14:textId="5DBF76E1" w:rsidR="00C57CE7" w:rsidRPr="00792CAA" w:rsidRDefault="00D204D4" w:rsidP="00D204D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hAnsi="Times New Roman" w:cs="Times New Roman"/>
          <w:sz w:val="24"/>
        </w:rPr>
        <w:t>Several limitations of this study must be acknowledged in order to place the findings in proper context. First, the analysis is based on cross-sectional data, which limits the ability to draw conclusions about causality or to track how regional wage disparities evolve over time. Longitudinal data would provide stronger evidence regarding dynamic processes and temporal changes. Second, the relatively small sample size, restricted to the twelve NUTS1 regions of the UK, inevitably reduces statistical power and makes it more difficult to detect subtle effects. Third, the absence of age-structured employment data at the time of analysis meant that occupational structure had to be used as a proxy for workforce composition, which may not fully capture life-cycle dynamics. Finally, the presence of high multicollinearity between sectoral and occupational measures constrained the precision of both regression and mediation analyses, limiting the robustness and clarity of some statistical estimates</w:t>
      </w:r>
      <w:r w:rsidR="00C57CE7" w:rsidRPr="00792CAA">
        <w:rPr>
          <w:rFonts w:ascii="Times New Roman" w:eastAsia="Times New Roman" w:hAnsi="Times New Roman" w:cs="Times New Roman"/>
          <w:color w:val="000000" w:themeColor="text1"/>
          <w:kern w:val="0"/>
          <w:sz w:val="24"/>
          <w14:ligatures w14:val="none"/>
        </w:rPr>
        <w:t>.</w:t>
      </w:r>
    </w:p>
    <w:p w14:paraId="79ED8FAC"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6.5 Policy Implications</w:t>
      </w:r>
    </w:p>
    <w:p w14:paraId="29ADBC89" w14:textId="77777777" w:rsidR="00C57CE7" w:rsidRPr="00792CAA" w:rsidRDefault="00C57CE7" w:rsidP="00E546EA">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The findings carry important implications for UK regional policy:</w:t>
      </w:r>
    </w:p>
    <w:p w14:paraId="0926A1C6" w14:textId="77777777" w:rsidR="00C57CE7" w:rsidRPr="00792CAA" w:rsidRDefault="00C57CE7" w:rsidP="00A255D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Industrial diversification: Encouraging the growth of high-value sectors outside London and the South East is critical to narrowing wage gaps.</w:t>
      </w:r>
    </w:p>
    <w:p w14:paraId="2A18DFC7" w14:textId="77777777" w:rsidR="00C57CE7" w:rsidRPr="00792CAA" w:rsidRDefault="00C57CE7" w:rsidP="00A255D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Skills development: Investment in professional and technical education and training remains essential to sustain regional competitiveness.</w:t>
      </w:r>
    </w:p>
    <w:p w14:paraId="174DADA3" w14:textId="77777777" w:rsidR="00C57CE7" w:rsidRPr="00792CAA" w:rsidRDefault="00C57CE7" w:rsidP="00A255D9">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Cluster development: Supporting regional hubs in ICT, finance, and related industries may generate agglomeration benefits, raising local wages.</w:t>
      </w:r>
    </w:p>
    <w:p w14:paraId="2AF4673C" w14:textId="2C819DA5" w:rsidR="00D204D4" w:rsidRPr="00792CAA" w:rsidRDefault="00C57CE7" w:rsidP="00D204D4">
      <w:pPr>
        <w:spacing w:before="100" w:beforeAutospacing="1" w:after="100" w:afterAutospacing="1" w:line="360" w:lineRule="auto"/>
        <w:jc w:val="both"/>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lastRenderedPageBreak/>
        <w:t>Complementary measures: Infrastructure, housing, and digital connectivity are necessary to enable the spread of high-pay sectors and skilled workers across regions.</w:t>
      </w:r>
    </w:p>
    <w:p w14:paraId="2A93F336"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6.6 Future Research</w:t>
      </w:r>
    </w:p>
    <w:p w14:paraId="08E62414" w14:textId="441C46BE" w:rsidR="00C57CE7" w:rsidRPr="00792CAA" w:rsidRDefault="00842EF7" w:rsidP="00FB2BED">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hAnsi="Times New Roman" w:cs="Times New Roman"/>
          <w:sz w:val="24"/>
        </w:rPr>
        <w:t>Future research should build on these findings by taking advantage of more detailed and longitudinal datasets. In particular, the use of PAYE Real Time Information (RTI) data would allow for the exploration of causal dynamics in wage determination, offering insights into how regional disparities evolve over time rather than providing only a cross-sectional snapshot. Extending the analysis to NUTS2 and NUTS3 geographies would also provide greater sample size and finer spatial granularity, helping to capture intra-regional variations that are obscured at higher levels of aggregation. Furthermore, incorporating age-disaggregated data, when it becomes available, would shed light on how life-cycle dynamics interact with sectoral and occupational structures in shaping wage outcomes. Methodologically, advanced statistical approaches such as structural equation modelling or principal components analysis could be employed to address issues of collinearity while also uncovering latent structural dimensions that underpin observed wage disparities</w:t>
      </w:r>
      <w:r w:rsidR="00C57CE7" w:rsidRPr="00792CAA">
        <w:rPr>
          <w:rFonts w:ascii="Times New Roman" w:eastAsia="Times New Roman" w:hAnsi="Times New Roman" w:cs="Times New Roman"/>
          <w:color w:val="000000" w:themeColor="text1"/>
          <w:kern w:val="0"/>
          <w:sz w:val="24"/>
          <w14:ligatures w14:val="none"/>
        </w:rPr>
        <w:t>.</w:t>
      </w:r>
    </w:p>
    <w:p w14:paraId="07BFBF7B" w14:textId="77777777" w:rsidR="00C57CE7" w:rsidRPr="00792CAA" w:rsidRDefault="00C57CE7" w:rsidP="00E546EA">
      <w:pPr>
        <w:spacing w:before="100" w:beforeAutospacing="1" w:after="100" w:afterAutospacing="1" w:line="360" w:lineRule="auto"/>
        <w:ind w:left="0" w:firstLine="0"/>
        <w:jc w:val="both"/>
        <w:outlineLvl w:val="2"/>
        <w:rPr>
          <w:rFonts w:ascii="Times New Roman" w:eastAsia="Times New Roman" w:hAnsi="Times New Roman" w:cs="Times New Roman"/>
          <w:color w:val="000000" w:themeColor="text1"/>
          <w:kern w:val="0"/>
          <w:sz w:val="24"/>
          <w14:ligatures w14:val="none"/>
        </w:rPr>
      </w:pPr>
      <w:r w:rsidRPr="00792CAA">
        <w:rPr>
          <w:rFonts w:ascii="Times New Roman" w:eastAsia="Times New Roman" w:hAnsi="Times New Roman" w:cs="Times New Roman"/>
          <w:color w:val="000000" w:themeColor="text1"/>
          <w:kern w:val="0"/>
          <w:sz w:val="24"/>
          <w14:ligatures w14:val="none"/>
        </w:rPr>
        <w:t>6.7 Final Remarks</w:t>
      </w:r>
    </w:p>
    <w:p w14:paraId="180409FF" w14:textId="255FAD6C" w:rsidR="00A011DA" w:rsidRPr="00D204D4" w:rsidRDefault="00842EF7" w:rsidP="00D204D4">
      <w:pPr>
        <w:spacing w:before="100" w:beforeAutospacing="1" w:after="100" w:afterAutospacing="1" w:line="360" w:lineRule="auto"/>
        <w:ind w:left="0" w:firstLine="0"/>
        <w:jc w:val="both"/>
        <w:rPr>
          <w:rFonts w:ascii="Times New Roman" w:eastAsia="Times New Roman" w:hAnsi="Times New Roman" w:cs="Times New Roman"/>
          <w:color w:val="000000" w:themeColor="text1"/>
          <w:kern w:val="0"/>
          <w:sz w:val="24"/>
          <w14:ligatures w14:val="none"/>
        </w:rPr>
      </w:pPr>
      <w:r w:rsidRPr="00792CAA">
        <w:rPr>
          <w:rFonts w:ascii="Times New Roman" w:hAnsi="Times New Roman" w:cs="Times New Roman"/>
          <w:sz w:val="24"/>
        </w:rPr>
        <w:t>In conclusion, this thesis has demonstrated that employment in high-pay sectors represents the dominant driver of regional wage disparities in the UK. The evidence shows that regions with greater concentrations of industries such as finance, ICT, and other knowledge-intensive services consistently achieve higher average wage levels. While workforce composition—particularly the prevalence of professional and technical occupations—also exerts an influence, this effect appears to be tightly coupled with underlying industrial structures. In other words, the availability of high-skilled jobs is itself shaped by the sectoral mix of the local economy, suggesting that occupational upgrading cannot be considered in isolation from broader patterns of industrial specialisation. These findings highlight the structural foundations of wage inequality and underscore the difficulty of reducing regional disparities without addressing sectoral imbalances. Ultimately, the research contributes to a more nuanced understanding of the interplay between industry, occupations, and wages</w:t>
      </w:r>
      <w:r w:rsidR="00C57CE7" w:rsidRPr="00792CAA">
        <w:rPr>
          <w:rFonts w:ascii="Times New Roman" w:eastAsia="Times New Roman" w:hAnsi="Times New Roman" w:cs="Times New Roman"/>
          <w:color w:val="000000" w:themeColor="text1"/>
          <w:kern w:val="0"/>
          <w:sz w:val="24"/>
          <w14:ligatures w14:val="none"/>
        </w:rPr>
        <w:t>.</w:t>
      </w:r>
    </w:p>
    <w:sectPr w:rsidR="00A011DA" w:rsidRPr="00D204D4" w:rsidSect="0060404E">
      <w:headerReference w:type="even" r:id="rId13"/>
      <w:headerReference w:type="default" r:id="rId14"/>
      <w:footerReference w:type="even" r:id="rId15"/>
      <w:footerReference w:type="default" r:id="rId16"/>
      <w:headerReference w:type="first" r:id="rId17"/>
      <w:footerReference w:type="first" r:id="rId18"/>
      <w:pgSz w:w="11906" w:h="16838"/>
      <w:pgMar w:top="1447" w:right="1435" w:bottom="1466" w:left="1280"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C803E" w14:textId="77777777" w:rsidR="0091345F" w:rsidRDefault="0091345F">
      <w:pPr>
        <w:spacing w:after="0" w:line="240" w:lineRule="auto"/>
      </w:pPr>
      <w:r>
        <w:separator/>
      </w:r>
    </w:p>
  </w:endnote>
  <w:endnote w:type="continuationSeparator" w:id="0">
    <w:p w14:paraId="42256F61" w14:textId="77777777" w:rsidR="0091345F" w:rsidRDefault="00913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54C23" w14:textId="77777777" w:rsidR="009861D1" w:rsidRDefault="009861D1">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B89E1" w14:textId="77777777" w:rsidR="009861D1" w:rsidRDefault="009861D1">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08A14" w14:textId="77777777" w:rsidR="009861D1" w:rsidRDefault="009861D1">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4F765" w14:textId="77777777" w:rsidR="0091345F" w:rsidRDefault="0091345F">
      <w:pPr>
        <w:spacing w:after="0" w:line="240" w:lineRule="auto"/>
      </w:pPr>
      <w:r>
        <w:separator/>
      </w:r>
    </w:p>
  </w:footnote>
  <w:footnote w:type="continuationSeparator" w:id="0">
    <w:p w14:paraId="79B64EB9" w14:textId="77777777" w:rsidR="0091345F" w:rsidRDefault="00913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B1FB8" w14:textId="77777777" w:rsidR="009861D1" w:rsidRDefault="009861D1">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94200" w14:textId="77777777" w:rsidR="009861D1" w:rsidRDefault="009861D1">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7D4C5" w14:textId="77777777" w:rsidR="009861D1" w:rsidRDefault="009861D1">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E141B"/>
    <w:multiLevelType w:val="multilevel"/>
    <w:tmpl w:val="1FB00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E24FC"/>
    <w:multiLevelType w:val="multilevel"/>
    <w:tmpl w:val="321A9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12EAB"/>
    <w:multiLevelType w:val="multilevel"/>
    <w:tmpl w:val="1E6A3B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20EA5"/>
    <w:multiLevelType w:val="multilevel"/>
    <w:tmpl w:val="02F2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670B3"/>
    <w:multiLevelType w:val="multilevel"/>
    <w:tmpl w:val="C9D20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AD2DE2"/>
    <w:multiLevelType w:val="multilevel"/>
    <w:tmpl w:val="CB1C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E968A7"/>
    <w:multiLevelType w:val="multilevel"/>
    <w:tmpl w:val="3688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7649A"/>
    <w:multiLevelType w:val="multilevel"/>
    <w:tmpl w:val="5B16B7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5261BD"/>
    <w:multiLevelType w:val="multilevel"/>
    <w:tmpl w:val="C646E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314BE"/>
    <w:multiLevelType w:val="multilevel"/>
    <w:tmpl w:val="FD6A7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65757C"/>
    <w:multiLevelType w:val="multilevel"/>
    <w:tmpl w:val="A96C1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0E4783"/>
    <w:multiLevelType w:val="multilevel"/>
    <w:tmpl w:val="64220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740CBA"/>
    <w:multiLevelType w:val="multilevel"/>
    <w:tmpl w:val="DCBA7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C115AC"/>
    <w:multiLevelType w:val="multilevel"/>
    <w:tmpl w:val="1A884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581946"/>
    <w:multiLevelType w:val="multilevel"/>
    <w:tmpl w:val="88AEE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06229E"/>
    <w:multiLevelType w:val="hybridMultilevel"/>
    <w:tmpl w:val="9B74301E"/>
    <w:lvl w:ilvl="0" w:tplc="6BAE66B8">
      <w:start w:val="1"/>
      <w:numFmt w:val="bullet"/>
      <w:lvlText w:val="•"/>
      <w:lvlJc w:val="left"/>
      <w:pPr>
        <w:ind w:left="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940C8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42CBEB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CECE2B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C320FF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8985C6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BE66C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F8CE4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E4CE66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31D45861"/>
    <w:multiLevelType w:val="multilevel"/>
    <w:tmpl w:val="7CE27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6C04AA"/>
    <w:multiLevelType w:val="multilevel"/>
    <w:tmpl w:val="498E5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18192C"/>
    <w:multiLevelType w:val="multilevel"/>
    <w:tmpl w:val="A8BE0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E97CDC"/>
    <w:multiLevelType w:val="multilevel"/>
    <w:tmpl w:val="C554D6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52017D"/>
    <w:multiLevelType w:val="multilevel"/>
    <w:tmpl w:val="801C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071C57"/>
    <w:multiLevelType w:val="multilevel"/>
    <w:tmpl w:val="F3B4C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0280B53"/>
    <w:multiLevelType w:val="multilevel"/>
    <w:tmpl w:val="6652C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CB0FDA"/>
    <w:multiLevelType w:val="multilevel"/>
    <w:tmpl w:val="8B8AD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FF40B2"/>
    <w:multiLevelType w:val="multilevel"/>
    <w:tmpl w:val="54AE0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07092E"/>
    <w:multiLevelType w:val="multilevel"/>
    <w:tmpl w:val="CB7C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3063B8"/>
    <w:multiLevelType w:val="multilevel"/>
    <w:tmpl w:val="C5BC6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E062D8"/>
    <w:multiLevelType w:val="multilevel"/>
    <w:tmpl w:val="6EC60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9C4F04"/>
    <w:multiLevelType w:val="multilevel"/>
    <w:tmpl w:val="11AC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2B4D6A"/>
    <w:multiLevelType w:val="multilevel"/>
    <w:tmpl w:val="A62ED4EA"/>
    <w:lvl w:ilvl="0">
      <w:start w:val="1"/>
      <w:numFmt w:val="decimal"/>
      <w:lvlText w:val="%1."/>
      <w:lvlJc w:val="left"/>
      <w:pPr>
        <w:ind w:left="521" w:hanging="360"/>
      </w:pPr>
      <w:rPr>
        <w:rFonts w:eastAsiaTheme="minorEastAsia" w:hint="default"/>
      </w:rPr>
    </w:lvl>
    <w:lvl w:ilvl="1">
      <w:start w:val="5"/>
      <w:numFmt w:val="decimal"/>
      <w:isLgl/>
      <w:lvlText w:val="%1.%2"/>
      <w:lvlJc w:val="left"/>
      <w:pPr>
        <w:ind w:left="701" w:hanging="540"/>
      </w:pPr>
      <w:rPr>
        <w:rFonts w:eastAsia="Times New Roman" w:hint="default"/>
      </w:rPr>
    </w:lvl>
    <w:lvl w:ilvl="2">
      <w:start w:val="2"/>
      <w:numFmt w:val="decimal"/>
      <w:isLgl/>
      <w:lvlText w:val="%1.%2.%3"/>
      <w:lvlJc w:val="left"/>
      <w:pPr>
        <w:ind w:left="881" w:hanging="720"/>
      </w:pPr>
      <w:rPr>
        <w:rFonts w:eastAsia="Times New Roman" w:hint="default"/>
      </w:rPr>
    </w:lvl>
    <w:lvl w:ilvl="3">
      <w:start w:val="1"/>
      <w:numFmt w:val="decimal"/>
      <w:isLgl/>
      <w:lvlText w:val="%1.%2.%3.%4"/>
      <w:lvlJc w:val="left"/>
      <w:pPr>
        <w:ind w:left="881" w:hanging="720"/>
      </w:pPr>
      <w:rPr>
        <w:rFonts w:eastAsia="Times New Roman" w:hint="default"/>
      </w:rPr>
    </w:lvl>
    <w:lvl w:ilvl="4">
      <w:start w:val="1"/>
      <w:numFmt w:val="decimal"/>
      <w:isLgl/>
      <w:lvlText w:val="%1.%2.%3.%4.%5"/>
      <w:lvlJc w:val="left"/>
      <w:pPr>
        <w:ind w:left="1241" w:hanging="1080"/>
      </w:pPr>
      <w:rPr>
        <w:rFonts w:eastAsia="Times New Roman" w:hint="default"/>
      </w:rPr>
    </w:lvl>
    <w:lvl w:ilvl="5">
      <w:start w:val="1"/>
      <w:numFmt w:val="decimal"/>
      <w:isLgl/>
      <w:lvlText w:val="%1.%2.%3.%4.%5.%6"/>
      <w:lvlJc w:val="left"/>
      <w:pPr>
        <w:ind w:left="1241" w:hanging="1080"/>
      </w:pPr>
      <w:rPr>
        <w:rFonts w:eastAsia="Times New Roman" w:hint="default"/>
      </w:rPr>
    </w:lvl>
    <w:lvl w:ilvl="6">
      <w:start w:val="1"/>
      <w:numFmt w:val="decimal"/>
      <w:isLgl/>
      <w:lvlText w:val="%1.%2.%3.%4.%5.%6.%7"/>
      <w:lvlJc w:val="left"/>
      <w:pPr>
        <w:ind w:left="1601" w:hanging="1440"/>
      </w:pPr>
      <w:rPr>
        <w:rFonts w:eastAsia="Times New Roman" w:hint="default"/>
      </w:rPr>
    </w:lvl>
    <w:lvl w:ilvl="7">
      <w:start w:val="1"/>
      <w:numFmt w:val="decimal"/>
      <w:isLgl/>
      <w:lvlText w:val="%1.%2.%3.%4.%5.%6.%7.%8"/>
      <w:lvlJc w:val="left"/>
      <w:pPr>
        <w:ind w:left="1601" w:hanging="1440"/>
      </w:pPr>
      <w:rPr>
        <w:rFonts w:eastAsia="Times New Roman" w:hint="default"/>
      </w:rPr>
    </w:lvl>
    <w:lvl w:ilvl="8">
      <w:start w:val="1"/>
      <w:numFmt w:val="decimal"/>
      <w:isLgl/>
      <w:lvlText w:val="%1.%2.%3.%4.%5.%6.%7.%8.%9"/>
      <w:lvlJc w:val="left"/>
      <w:pPr>
        <w:ind w:left="1961" w:hanging="1800"/>
      </w:pPr>
      <w:rPr>
        <w:rFonts w:eastAsia="Times New Roman" w:hint="default"/>
      </w:rPr>
    </w:lvl>
  </w:abstractNum>
  <w:abstractNum w:abstractNumId="30" w15:restartNumberingAfterBreak="0">
    <w:nsid w:val="54D40F8D"/>
    <w:multiLevelType w:val="multilevel"/>
    <w:tmpl w:val="7C8ED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F15E10"/>
    <w:multiLevelType w:val="multilevel"/>
    <w:tmpl w:val="C06EC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B87589"/>
    <w:multiLevelType w:val="multilevel"/>
    <w:tmpl w:val="B526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105DDE"/>
    <w:multiLevelType w:val="multilevel"/>
    <w:tmpl w:val="C2AC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4A3D53"/>
    <w:multiLevelType w:val="multilevel"/>
    <w:tmpl w:val="A6F8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152E52"/>
    <w:multiLevelType w:val="multilevel"/>
    <w:tmpl w:val="96A015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465074"/>
    <w:multiLevelType w:val="multilevel"/>
    <w:tmpl w:val="917E0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130D70"/>
    <w:multiLevelType w:val="multilevel"/>
    <w:tmpl w:val="43D80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8E67FA"/>
    <w:multiLevelType w:val="multilevel"/>
    <w:tmpl w:val="4974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EA4B71"/>
    <w:multiLevelType w:val="hybridMultilevel"/>
    <w:tmpl w:val="CEB47CFE"/>
    <w:lvl w:ilvl="0" w:tplc="910AAFBC">
      <w:start w:val="1"/>
      <w:numFmt w:val="decimal"/>
      <w:lvlText w:val="%1."/>
      <w:lvlJc w:val="left"/>
      <w:pPr>
        <w:ind w:left="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8054C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ABAC34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8C06B8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D0398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1FEAD2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56CDF5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624A48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534554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0" w15:restartNumberingAfterBreak="0">
    <w:nsid w:val="77C801B7"/>
    <w:multiLevelType w:val="multilevel"/>
    <w:tmpl w:val="D4F0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C6456F"/>
    <w:multiLevelType w:val="multilevel"/>
    <w:tmpl w:val="03C6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D296F36"/>
    <w:multiLevelType w:val="multilevel"/>
    <w:tmpl w:val="6E44A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D35030"/>
    <w:multiLevelType w:val="multilevel"/>
    <w:tmpl w:val="FC40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5960356">
    <w:abstractNumId w:val="15"/>
  </w:num>
  <w:num w:numId="2" w16cid:durableId="1786656128">
    <w:abstractNumId w:val="39"/>
  </w:num>
  <w:num w:numId="3" w16cid:durableId="838812275">
    <w:abstractNumId w:val="40"/>
  </w:num>
  <w:num w:numId="4" w16cid:durableId="1426878606">
    <w:abstractNumId w:val="8"/>
  </w:num>
  <w:num w:numId="5" w16cid:durableId="1496022778">
    <w:abstractNumId w:val="27"/>
  </w:num>
  <w:num w:numId="6" w16cid:durableId="710304859">
    <w:abstractNumId w:val="43"/>
  </w:num>
  <w:num w:numId="7" w16cid:durableId="418992306">
    <w:abstractNumId w:val="41"/>
  </w:num>
  <w:num w:numId="8" w16cid:durableId="1426458425">
    <w:abstractNumId w:val="5"/>
  </w:num>
  <w:num w:numId="9" w16cid:durableId="2125997862">
    <w:abstractNumId w:val="21"/>
  </w:num>
  <w:num w:numId="10" w16cid:durableId="1316883585">
    <w:abstractNumId w:val="17"/>
  </w:num>
  <w:num w:numId="11" w16cid:durableId="1519729829">
    <w:abstractNumId w:val="37"/>
  </w:num>
  <w:num w:numId="12" w16cid:durableId="648285193">
    <w:abstractNumId w:val="25"/>
  </w:num>
  <w:num w:numId="13" w16cid:durableId="401147457">
    <w:abstractNumId w:val="4"/>
  </w:num>
  <w:num w:numId="14" w16cid:durableId="1098714561">
    <w:abstractNumId w:val="18"/>
  </w:num>
  <w:num w:numId="15" w16cid:durableId="924534646">
    <w:abstractNumId w:val="30"/>
  </w:num>
  <w:num w:numId="16" w16cid:durableId="119694218">
    <w:abstractNumId w:val="19"/>
  </w:num>
  <w:num w:numId="17" w16cid:durableId="353575097">
    <w:abstractNumId w:val="42"/>
  </w:num>
  <w:num w:numId="18" w16cid:durableId="1342393667">
    <w:abstractNumId w:val="9"/>
  </w:num>
  <w:num w:numId="19" w16cid:durableId="2095854113">
    <w:abstractNumId w:val="28"/>
  </w:num>
  <w:num w:numId="20" w16cid:durableId="1610820006">
    <w:abstractNumId w:val="32"/>
  </w:num>
  <w:num w:numId="21" w16cid:durableId="1703938425">
    <w:abstractNumId w:val="1"/>
  </w:num>
  <w:num w:numId="22" w16cid:durableId="354429282">
    <w:abstractNumId w:val="7"/>
  </w:num>
  <w:num w:numId="23" w16cid:durableId="771513811">
    <w:abstractNumId w:val="35"/>
  </w:num>
  <w:num w:numId="24" w16cid:durableId="2044789000">
    <w:abstractNumId w:val="20"/>
  </w:num>
  <w:num w:numId="25" w16cid:durableId="967852468">
    <w:abstractNumId w:val="24"/>
  </w:num>
  <w:num w:numId="26" w16cid:durableId="1160774837">
    <w:abstractNumId w:val="36"/>
  </w:num>
  <w:num w:numId="27" w16cid:durableId="870995595">
    <w:abstractNumId w:val="26"/>
  </w:num>
  <w:num w:numId="28" w16cid:durableId="565728602">
    <w:abstractNumId w:val="34"/>
  </w:num>
  <w:num w:numId="29" w16cid:durableId="1100103360">
    <w:abstractNumId w:val="12"/>
  </w:num>
  <w:num w:numId="30" w16cid:durableId="1327787909">
    <w:abstractNumId w:val="6"/>
  </w:num>
  <w:num w:numId="31" w16cid:durableId="42488503">
    <w:abstractNumId w:val="2"/>
  </w:num>
  <w:num w:numId="32" w16cid:durableId="1745375626">
    <w:abstractNumId w:val="3"/>
  </w:num>
  <w:num w:numId="33" w16cid:durableId="468910684">
    <w:abstractNumId w:val="31"/>
  </w:num>
  <w:num w:numId="34" w16cid:durableId="1044138067">
    <w:abstractNumId w:val="23"/>
  </w:num>
  <w:num w:numId="35" w16cid:durableId="1456366954">
    <w:abstractNumId w:val="33"/>
  </w:num>
  <w:num w:numId="36" w16cid:durableId="1613510506">
    <w:abstractNumId w:val="16"/>
  </w:num>
  <w:num w:numId="37" w16cid:durableId="418673452">
    <w:abstractNumId w:val="10"/>
  </w:num>
  <w:num w:numId="38" w16cid:durableId="629022503">
    <w:abstractNumId w:val="13"/>
  </w:num>
  <w:num w:numId="39" w16cid:durableId="985817215">
    <w:abstractNumId w:val="22"/>
  </w:num>
  <w:num w:numId="40" w16cid:durableId="23990055">
    <w:abstractNumId w:val="14"/>
  </w:num>
  <w:num w:numId="41" w16cid:durableId="581379980">
    <w:abstractNumId w:val="0"/>
  </w:num>
  <w:num w:numId="42" w16cid:durableId="965430097">
    <w:abstractNumId w:val="38"/>
  </w:num>
  <w:num w:numId="43" w16cid:durableId="932594266">
    <w:abstractNumId w:val="29"/>
  </w:num>
  <w:num w:numId="44" w16cid:durableId="12165080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1D1"/>
    <w:rsid w:val="00002F4D"/>
    <w:rsid w:val="00011104"/>
    <w:rsid w:val="000148E9"/>
    <w:rsid w:val="00014B43"/>
    <w:rsid w:val="00015ED5"/>
    <w:rsid w:val="0002291A"/>
    <w:rsid w:val="000251B9"/>
    <w:rsid w:val="000308EB"/>
    <w:rsid w:val="000411FC"/>
    <w:rsid w:val="00044177"/>
    <w:rsid w:val="00044A48"/>
    <w:rsid w:val="00045D67"/>
    <w:rsid w:val="00055086"/>
    <w:rsid w:val="00057DF4"/>
    <w:rsid w:val="000749D1"/>
    <w:rsid w:val="0007554D"/>
    <w:rsid w:val="000823F1"/>
    <w:rsid w:val="000828CB"/>
    <w:rsid w:val="00082DB3"/>
    <w:rsid w:val="00090AEB"/>
    <w:rsid w:val="000A23A3"/>
    <w:rsid w:val="000A42F7"/>
    <w:rsid w:val="000B26A9"/>
    <w:rsid w:val="000C6582"/>
    <w:rsid w:val="000E48E3"/>
    <w:rsid w:val="000F3774"/>
    <w:rsid w:val="00103890"/>
    <w:rsid w:val="00104BDD"/>
    <w:rsid w:val="0011098D"/>
    <w:rsid w:val="00121A27"/>
    <w:rsid w:val="001237ED"/>
    <w:rsid w:val="00140908"/>
    <w:rsid w:val="00150F25"/>
    <w:rsid w:val="00157AED"/>
    <w:rsid w:val="0016556D"/>
    <w:rsid w:val="00171785"/>
    <w:rsid w:val="001739E0"/>
    <w:rsid w:val="001775C8"/>
    <w:rsid w:val="00180BB6"/>
    <w:rsid w:val="00181E2B"/>
    <w:rsid w:val="001901B1"/>
    <w:rsid w:val="00191088"/>
    <w:rsid w:val="00197460"/>
    <w:rsid w:val="001A1551"/>
    <w:rsid w:val="001B7129"/>
    <w:rsid w:val="001D7580"/>
    <w:rsid w:val="001E1E20"/>
    <w:rsid w:val="001E3A43"/>
    <w:rsid w:val="001F01B6"/>
    <w:rsid w:val="001F3CC2"/>
    <w:rsid w:val="001F4304"/>
    <w:rsid w:val="002051BF"/>
    <w:rsid w:val="00211392"/>
    <w:rsid w:val="002128C4"/>
    <w:rsid w:val="0021439B"/>
    <w:rsid w:val="00222E07"/>
    <w:rsid w:val="00225E9A"/>
    <w:rsid w:val="0022674F"/>
    <w:rsid w:val="00232FBE"/>
    <w:rsid w:val="002517BF"/>
    <w:rsid w:val="0025308E"/>
    <w:rsid w:val="00255032"/>
    <w:rsid w:val="00266D10"/>
    <w:rsid w:val="002719EC"/>
    <w:rsid w:val="00277D96"/>
    <w:rsid w:val="0028727D"/>
    <w:rsid w:val="00290844"/>
    <w:rsid w:val="00291CE2"/>
    <w:rsid w:val="00295DFE"/>
    <w:rsid w:val="00296BD0"/>
    <w:rsid w:val="002A389F"/>
    <w:rsid w:val="002A38C1"/>
    <w:rsid w:val="002C2AD7"/>
    <w:rsid w:val="002C7061"/>
    <w:rsid w:val="002D295B"/>
    <w:rsid w:val="002E0180"/>
    <w:rsid w:val="002F1249"/>
    <w:rsid w:val="002F2EBA"/>
    <w:rsid w:val="00303051"/>
    <w:rsid w:val="003036B3"/>
    <w:rsid w:val="003103F7"/>
    <w:rsid w:val="003118EC"/>
    <w:rsid w:val="00311C89"/>
    <w:rsid w:val="00313FE4"/>
    <w:rsid w:val="00317668"/>
    <w:rsid w:val="003234B3"/>
    <w:rsid w:val="00324ADE"/>
    <w:rsid w:val="00337E12"/>
    <w:rsid w:val="00342B72"/>
    <w:rsid w:val="00347504"/>
    <w:rsid w:val="0035273F"/>
    <w:rsid w:val="003645A2"/>
    <w:rsid w:val="003767AF"/>
    <w:rsid w:val="00377C3F"/>
    <w:rsid w:val="003808D8"/>
    <w:rsid w:val="00383B4C"/>
    <w:rsid w:val="00395ED3"/>
    <w:rsid w:val="003B3C2F"/>
    <w:rsid w:val="003B685A"/>
    <w:rsid w:val="003C0F92"/>
    <w:rsid w:val="003E53F1"/>
    <w:rsid w:val="003E6C4D"/>
    <w:rsid w:val="0041389A"/>
    <w:rsid w:val="00416226"/>
    <w:rsid w:val="004210C1"/>
    <w:rsid w:val="00425D1D"/>
    <w:rsid w:val="004433AE"/>
    <w:rsid w:val="00445805"/>
    <w:rsid w:val="00453BAA"/>
    <w:rsid w:val="00453F26"/>
    <w:rsid w:val="00464D3B"/>
    <w:rsid w:val="0047028F"/>
    <w:rsid w:val="00470C12"/>
    <w:rsid w:val="004830C6"/>
    <w:rsid w:val="004A7908"/>
    <w:rsid w:val="004B7920"/>
    <w:rsid w:val="004C20F3"/>
    <w:rsid w:val="004C2214"/>
    <w:rsid w:val="004C3B41"/>
    <w:rsid w:val="004D143A"/>
    <w:rsid w:val="004D3D43"/>
    <w:rsid w:val="004E0B76"/>
    <w:rsid w:val="004E475C"/>
    <w:rsid w:val="004E531A"/>
    <w:rsid w:val="004F1E25"/>
    <w:rsid w:val="004F2787"/>
    <w:rsid w:val="004F3ABB"/>
    <w:rsid w:val="004F5E2C"/>
    <w:rsid w:val="00501198"/>
    <w:rsid w:val="0050334C"/>
    <w:rsid w:val="0050723D"/>
    <w:rsid w:val="00510473"/>
    <w:rsid w:val="0053312B"/>
    <w:rsid w:val="005339FB"/>
    <w:rsid w:val="00536BEE"/>
    <w:rsid w:val="00545964"/>
    <w:rsid w:val="005517E1"/>
    <w:rsid w:val="00575BDA"/>
    <w:rsid w:val="00587C43"/>
    <w:rsid w:val="00592C36"/>
    <w:rsid w:val="005A0E7D"/>
    <w:rsid w:val="005A2D6C"/>
    <w:rsid w:val="005B2BD0"/>
    <w:rsid w:val="005B7312"/>
    <w:rsid w:val="005D0D59"/>
    <w:rsid w:val="005D1ED8"/>
    <w:rsid w:val="005D4296"/>
    <w:rsid w:val="005E023C"/>
    <w:rsid w:val="005E54D5"/>
    <w:rsid w:val="005F3F98"/>
    <w:rsid w:val="005F422B"/>
    <w:rsid w:val="0060404E"/>
    <w:rsid w:val="00605556"/>
    <w:rsid w:val="00605ED3"/>
    <w:rsid w:val="00607C82"/>
    <w:rsid w:val="00614598"/>
    <w:rsid w:val="006158F3"/>
    <w:rsid w:val="00621776"/>
    <w:rsid w:val="00632FD8"/>
    <w:rsid w:val="00633E43"/>
    <w:rsid w:val="00634031"/>
    <w:rsid w:val="00641C06"/>
    <w:rsid w:val="00656A95"/>
    <w:rsid w:val="0065723F"/>
    <w:rsid w:val="00661F10"/>
    <w:rsid w:val="00662FE1"/>
    <w:rsid w:val="00664D38"/>
    <w:rsid w:val="00667555"/>
    <w:rsid w:val="006737E1"/>
    <w:rsid w:val="006738DF"/>
    <w:rsid w:val="00675FF8"/>
    <w:rsid w:val="006770C8"/>
    <w:rsid w:val="006773B8"/>
    <w:rsid w:val="00682409"/>
    <w:rsid w:val="00684B1F"/>
    <w:rsid w:val="0069023F"/>
    <w:rsid w:val="00693E02"/>
    <w:rsid w:val="006962A4"/>
    <w:rsid w:val="006C62F7"/>
    <w:rsid w:val="006D160E"/>
    <w:rsid w:val="006D218B"/>
    <w:rsid w:val="006D2E9F"/>
    <w:rsid w:val="006E0C53"/>
    <w:rsid w:val="006E28C6"/>
    <w:rsid w:val="006E4BC1"/>
    <w:rsid w:val="006F69D7"/>
    <w:rsid w:val="00706455"/>
    <w:rsid w:val="00707181"/>
    <w:rsid w:val="00707AFE"/>
    <w:rsid w:val="00710897"/>
    <w:rsid w:val="00737394"/>
    <w:rsid w:val="00742DF4"/>
    <w:rsid w:val="00743E6E"/>
    <w:rsid w:val="00751EA6"/>
    <w:rsid w:val="00773D50"/>
    <w:rsid w:val="00780AA8"/>
    <w:rsid w:val="00785062"/>
    <w:rsid w:val="00786542"/>
    <w:rsid w:val="00792CAA"/>
    <w:rsid w:val="00794ED2"/>
    <w:rsid w:val="007A4D94"/>
    <w:rsid w:val="007A51BF"/>
    <w:rsid w:val="007A70F3"/>
    <w:rsid w:val="007B765B"/>
    <w:rsid w:val="007C32DA"/>
    <w:rsid w:val="007E2EA4"/>
    <w:rsid w:val="007E363A"/>
    <w:rsid w:val="007E3843"/>
    <w:rsid w:val="007E4100"/>
    <w:rsid w:val="007F1A51"/>
    <w:rsid w:val="007F3569"/>
    <w:rsid w:val="00800AEA"/>
    <w:rsid w:val="00830552"/>
    <w:rsid w:val="00835441"/>
    <w:rsid w:val="0083701C"/>
    <w:rsid w:val="00840B19"/>
    <w:rsid w:val="00840F2A"/>
    <w:rsid w:val="00842EF7"/>
    <w:rsid w:val="00843FB1"/>
    <w:rsid w:val="00845044"/>
    <w:rsid w:val="00846882"/>
    <w:rsid w:val="00895825"/>
    <w:rsid w:val="008A72CE"/>
    <w:rsid w:val="008B5BB3"/>
    <w:rsid w:val="008B5D8C"/>
    <w:rsid w:val="008C5C2E"/>
    <w:rsid w:val="008E20B8"/>
    <w:rsid w:val="008E33AC"/>
    <w:rsid w:val="008E5EC9"/>
    <w:rsid w:val="008F36F2"/>
    <w:rsid w:val="008F4EF8"/>
    <w:rsid w:val="008F5380"/>
    <w:rsid w:val="009068E4"/>
    <w:rsid w:val="009073B2"/>
    <w:rsid w:val="009129FF"/>
    <w:rsid w:val="0091345F"/>
    <w:rsid w:val="0091422C"/>
    <w:rsid w:val="0093218C"/>
    <w:rsid w:val="00945DD7"/>
    <w:rsid w:val="009460CE"/>
    <w:rsid w:val="00952BA7"/>
    <w:rsid w:val="00963E7B"/>
    <w:rsid w:val="009846A3"/>
    <w:rsid w:val="00986020"/>
    <w:rsid w:val="009861D1"/>
    <w:rsid w:val="009B202B"/>
    <w:rsid w:val="009B31A7"/>
    <w:rsid w:val="009B4053"/>
    <w:rsid w:val="009B413A"/>
    <w:rsid w:val="009B421F"/>
    <w:rsid w:val="009B6971"/>
    <w:rsid w:val="009C3302"/>
    <w:rsid w:val="009C4C26"/>
    <w:rsid w:val="009C799D"/>
    <w:rsid w:val="009D03AF"/>
    <w:rsid w:val="009D6CA4"/>
    <w:rsid w:val="009E2203"/>
    <w:rsid w:val="009E338B"/>
    <w:rsid w:val="009E46EC"/>
    <w:rsid w:val="009E6CD2"/>
    <w:rsid w:val="009F19AE"/>
    <w:rsid w:val="009F2FD6"/>
    <w:rsid w:val="009F6D46"/>
    <w:rsid w:val="009F7A68"/>
    <w:rsid w:val="00A011DA"/>
    <w:rsid w:val="00A049A0"/>
    <w:rsid w:val="00A17DD3"/>
    <w:rsid w:val="00A21DEE"/>
    <w:rsid w:val="00A255D9"/>
    <w:rsid w:val="00A3240A"/>
    <w:rsid w:val="00A371F9"/>
    <w:rsid w:val="00A65B0A"/>
    <w:rsid w:val="00A65D71"/>
    <w:rsid w:val="00A67EE3"/>
    <w:rsid w:val="00A766E6"/>
    <w:rsid w:val="00A86F18"/>
    <w:rsid w:val="00A92CE6"/>
    <w:rsid w:val="00A93CA9"/>
    <w:rsid w:val="00A948F0"/>
    <w:rsid w:val="00A94F55"/>
    <w:rsid w:val="00A96081"/>
    <w:rsid w:val="00A97C1A"/>
    <w:rsid w:val="00AA3F1B"/>
    <w:rsid w:val="00AC14E5"/>
    <w:rsid w:val="00AC2C2E"/>
    <w:rsid w:val="00AC6FF9"/>
    <w:rsid w:val="00AE7FF2"/>
    <w:rsid w:val="00AF15AC"/>
    <w:rsid w:val="00B01098"/>
    <w:rsid w:val="00B0584E"/>
    <w:rsid w:val="00B079B5"/>
    <w:rsid w:val="00B13B22"/>
    <w:rsid w:val="00B22044"/>
    <w:rsid w:val="00B2264D"/>
    <w:rsid w:val="00B50B10"/>
    <w:rsid w:val="00B57CC6"/>
    <w:rsid w:val="00B61553"/>
    <w:rsid w:val="00B668A8"/>
    <w:rsid w:val="00B74776"/>
    <w:rsid w:val="00B748AF"/>
    <w:rsid w:val="00B76C79"/>
    <w:rsid w:val="00B77058"/>
    <w:rsid w:val="00B8011D"/>
    <w:rsid w:val="00B82FF2"/>
    <w:rsid w:val="00BB361D"/>
    <w:rsid w:val="00BB7BA2"/>
    <w:rsid w:val="00BD1438"/>
    <w:rsid w:val="00BD2F8B"/>
    <w:rsid w:val="00BF06EB"/>
    <w:rsid w:val="00BF25DF"/>
    <w:rsid w:val="00BF3923"/>
    <w:rsid w:val="00BF506F"/>
    <w:rsid w:val="00BF5DC6"/>
    <w:rsid w:val="00C03425"/>
    <w:rsid w:val="00C07B71"/>
    <w:rsid w:val="00C123F4"/>
    <w:rsid w:val="00C12B7D"/>
    <w:rsid w:val="00C17CE0"/>
    <w:rsid w:val="00C3250F"/>
    <w:rsid w:val="00C53179"/>
    <w:rsid w:val="00C57CE7"/>
    <w:rsid w:val="00C712C8"/>
    <w:rsid w:val="00C764D2"/>
    <w:rsid w:val="00C80A3B"/>
    <w:rsid w:val="00C8452B"/>
    <w:rsid w:val="00C86BFF"/>
    <w:rsid w:val="00C87C51"/>
    <w:rsid w:val="00C90C77"/>
    <w:rsid w:val="00C91840"/>
    <w:rsid w:val="00C96106"/>
    <w:rsid w:val="00CA2C7E"/>
    <w:rsid w:val="00CB523E"/>
    <w:rsid w:val="00CC10FC"/>
    <w:rsid w:val="00CC4F47"/>
    <w:rsid w:val="00CD7DCF"/>
    <w:rsid w:val="00CE0220"/>
    <w:rsid w:val="00CE447B"/>
    <w:rsid w:val="00CE6880"/>
    <w:rsid w:val="00CF3296"/>
    <w:rsid w:val="00CF49EC"/>
    <w:rsid w:val="00D01794"/>
    <w:rsid w:val="00D047B0"/>
    <w:rsid w:val="00D06934"/>
    <w:rsid w:val="00D1013C"/>
    <w:rsid w:val="00D204D4"/>
    <w:rsid w:val="00D26CBE"/>
    <w:rsid w:val="00D33484"/>
    <w:rsid w:val="00D500FF"/>
    <w:rsid w:val="00D62A64"/>
    <w:rsid w:val="00D65F01"/>
    <w:rsid w:val="00D663D1"/>
    <w:rsid w:val="00D7274C"/>
    <w:rsid w:val="00D74B10"/>
    <w:rsid w:val="00D77247"/>
    <w:rsid w:val="00D9067D"/>
    <w:rsid w:val="00D9569A"/>
    <w:rsid w:val="00D97E96"/>
    <w:rsid w:val="00DA0179"/>
    <w:rsid w:val="00DA5F98"/>
    <w:rsid w:val="00DB3891"/>
    <w:rsid w:val="00DC29AF"/>
    <w:rsid w:val="00DC729D"/>
    <w:rsid w:val="00DD4463"/>
    <w:rsid w:val="00DE716B"/>
    <w:rsid w:val="00E012FF"/>
    <w:rsid w:val="00E124C4"/>
    <w:rsid w:val="00E13035"/>
    <w:rsid w:val="00E178E1"/>
    <w:rsid w:val="00E237EE"/>
    <w:rsid w:val="00E26198"/>
    <w:rsid w:val="00E432C8"/>
    <w:rsid w:val="00E43B70"/>
    <w:rsid w:val="00E50C5B"/>
    <w:rsid w:val="00E53CFB"/>
    <w:rsid w:val="00E546EA"/>
    <w:rsid w:val="00E61DBB"/>
    <w:rsid w:val="00E66871"/>
    <w:rsid w:val="00E71383"/>
    <w:rsid w:val="00E768F4"/>
    <w:rsid w:val="00E8026B"/>
    <w:rsid w:val="00E834C0"/>
    <w:rsid w:val="00E8571F"/>
    <w:rsid w:val="00E91FD2"/>
    <w:rsid w:val="00E95A3D"/>
    <w:rsid w:val="00EA067C"/>
    <w:rsid w:val="00EA3042"/>
    <w:rsid w:val="00EB2E35"/>
    <w:rsid w:val="00EB4FD6"/>
    <w:rsid w:val="00EC584D"/>
    <w:rsid w:val="00EC6084"/>
    <w:rsid w:val="00ED13D5"/>
    <w:rsid w:val="00ED7439"/>
    <w:rsid w:val="00EF3554"/>
    <w:rsid w:val="00F021AB"/>
    <w:rsid w:val="00F06ACB"/>
    <w:rsid w:val="00F077ED"/>
    <w:rsid w:val="00F15FCB"/>
    <w:rsid w:val="00F16B9D"/>
    <w:rsid w:val="00F343B3"/>
    <w:rsid w:val="00F378B9"/>
    <w:rsid w:val="00F438E1"/>
    <w:rsid w:val="00F46565"/>
    <w:rsid w:val="00F54096"/>
    <w:rsid w:val="00F6132F"/>
    <w:rsid w:val="00F65FAF"/>
    <w:rsid w:val="00F767BE"/>
    <w:rsid w:val="00F80BD6"/>
    <w:rsid w:val="00F83CED"/>
    <w:rsid w:val="00F926BC"/>
    <w:rsid w:val="00F95EDF"/>
    <w:rsid w:val="00FA4DE2"/>
    <w:rsid w:val="00FB23DB"/>
    <w:rsid w:val="00FB2BED"/>
    <w:rsid w:val="00FD3A12"/>
    <w:rsid w:val="00FF13B8"/>
    <w:rsid w:val="00FF3E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3565"/>
  <w15:docId w15:val="{C873DCBA-E0A1-46D1-A264-A1E60F61C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2" w:lineRule="auto"/>
      <w:ind w:left="171"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ind w:left="171"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line="259" w:lineRule="auto"/>
      <w:ind w:left="171" w:hanging="10"/>
      <w:outlineLvl w:val="1"/>
    </w:pPr>
    <w:rPr>
      <w:rFonts w:ascii="Calibri" w:eastAsia="Calibri" w:hAnsi="Calibri" w:cs="Calibri"/>
      <w:color w:val="2F5496"/>
      <w:sz w:val="32"/>
    </w:rPr>
  </w:style>
  <w:style w:type="paragraph" w:styleId="Heading3">
    <w:name w:val="heading 3"/>
    <w:next w:val="Normal"/>
    <w:link w:val="Heading3Char"/>
    <w:uiPriority w:val="9"/>
    <w:unhideWhenUsed/>
    <w:qFormat/>
    <w:pPr>
      <w:keepNext/>
      <w:keepLines/>
      <w:spacing w:after="0" w:line="259" w:lineRule="auto"/>
      <w:ind w:left="171" w:hanging="10"/>
      <w:outlineLvl w:val="2"/>
    </w:pPr>
    <w:rPr>
      <w:rFonts w:ascii="Calibri" w:eastAsia="Calibri" w:hAnsi="Calibri" w:cs="Calibri"/>
      <w:color w:val="2F5496"/>
      <w:sz w:val="26"/>
    </w:rPr>
  </w:style>
  <w:style w:type="paragraph" w:styleId="Heading4">
    <w:name w:val="heading 4"/>
    <w:basedOn w:val="Normal"/>
    <w:next w:val="Normal"/>
    <w:link w:val="Heading4Char"/>
    <w:uiPriority w:val="9"/>
    <w:semiHidden/>
    <w:unhideWhenUsed/>
    <w:qFormat/>
    <w:rsid w:val="0083701C"/>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2F5496"/>
      <w:sz w:val="26"/>
    </w:rPr>
  </w:style>
  <w:style w:type="character" w:customStyle="1" w:styleId="Heading2Char">
    <w:name w:val="Heading 2 Char"/>
    <w:link w:val="Heading2"/>
    <w:rPr>
      <w:rFonts w:ascii="Calibri" w:eastAsia="Calibri" w:hAnsi="Calibri" w:cs="Calibri"/>
      <w:color w:val="2F5496"/>
      <w:sz w:val="32"/>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182" w:line="259" w:lineRule="auto"/>
      <w:ind w:left="186" w:right="23" w:hanging="10"/>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odyText">
    <w:name w:val="Body Text"/>
    <w:basedOn w:val="Normal"/>
    <w:link w:val="BodyTextChar"/>
    <w:semiHidden/>
    <w:qFormat/>
    <w:rsid w:val="000749D1"/>
    <w:pPr>
      <w:kinsoku w:val="0"/>
      <w:autoSpaceDE w:val="0"/>
      <w:autoSpaceDN w:val="0"/>
      <w:adjustRightInd w:val="0"/>
      <w:snapToGrid w:val="0"/>
      <w:spacing w:after="160" w:line="240" w:lineRule="auto"/>
      <w:ind w:left="0" w:firstLine="0"/>
      <w:textAlignment w:val="baseline"/>
    </w:pPr>
    <w:rPr>
      <w:noProof/>
      <w:snapToGrid w:val="0"/>
      <w:kern w:val="0"/>
      <w:sz w:val="21"/>
      <w:szCs w:val="21"/>
      <w:lang w:val="en-US" w:eastAsia="en-US"/>
      <w14:ligatures w14:val="none"/>
    </w:rPr>
  </w:style>
  <w:style w:type="character" w:customStyle="1" w:styleId="BodyTextChar">
    <w:name w:val="Body Text Char"/>
    <w:basedOn w:val="DefaultParagraphFont"/>
    <w:link w:val="BodyText"/>
    <w:semiHidden/>
    <w:rsid w:val="000749D1"/>
    <w:rPr>
      <w:rFonts w:ascii="Arial" w:eastAsia="Arial" w:hAnsi="Arial" w:cs="Arial"/>
      <w:noProof/>
      <w:snapToGrid w:val="0"/>
      <w:color w:val="000000"/>
      <w:kern w:val="0"/>
      <w:sz w:val="21"/>
      <w:szCs w:val="21"/>
      <w:lang w:val="en-US" w:eastAsia="en-US"/>
      <w14:ligatures w14:val="none"/>
    </w:rPr>
  </w:style>
  <w:style w:type="paragraph" w:styleId="NormalWeb">
    <w:name w:val="Normal (Web)"/>
    <w:basedOn w:val="Normal"/>
    <w:uiPriority w:val="99"/>
    <w:unhideWhenUsed/>
    <w:rsid w:val="000749D1"/>
    <w:pPr>
      <w:spacing w:before="100" w:beforeAutospacing="1" w:after="100" w:afterAutospacing="1" w:line="240" w:lineRule="auto"/>
      <w:ind w:left="0" w:firstLine="0"/>
    </w:pPr>
    <w:rPr>
      <w:rFonts w:ascii="Times New Roman" w:eastAsia="Times New Roman" w:hAnsi="Times New Roman" w:cs="Times New Roman"/>
      <w:color w:val="auto"/>
      <w:kern w:val="0"/>
      <w:sz w:val="24"/>
      <w14:ligatures w14:val="none"/>
    </w:rPr>
  </w:style>
  <w:style w:type="character" w:styleId="Hyperlink">
    <w:name w:val="Hyperlink"/>
    <w:basedOn w:val="DefaultParagraphFont"/>
    <w:uiPriority w:val="99"/>
    <w:unhideWhenUsed/>
    <w:rsid w:val="004A7908"/>
    <w:rPr>
      <w:color w:val="467886" w:themeColor="hyperlink"/>
      <w:u w:val="single"/>
    </w:rPr>
  </w:style>
  <w:style w:type="paragraph" w:styleId="ListParagraph">
    <w:name w:val="List Paragraph"/>
    <w:basedOn w:val="Normal"/>
    <w:uiPriority w:val="34"/>
    <w:qFormat/>
    <w:rsid w:val="009846A3"/>
    <w:pPr>
      <w:ind w:left="720"/>
      <w:contextualSpacing/>
    </w:pPr>
  </w:style>
  <w:style w:type="character" w:styleId="Strong">
    <w:name w:val="Strong"/>
    <w:basedOn w:val="DefaultParagraphFont"/>
    <w:uiPriority w:val="22"/>
    <w:qFormat/>
    <w:rsid w:val="00222E07"/>
    <w:rPr>
      <w:b/>
      <w:bCs/>
    </w:rPr>
  </w:style>
  <w:style w:type="character" w:styleId="Emphasis">
    <w:name w:val="Emphasis"/>
    <w:basedOn w:val="DefaultParagraphFont"/>
    <w:uiPriority w:val="20"/>
    <w:qFormat/>
    <w:rsid w:val="00255032"/>
    <w:rPr>
      <w:i/>
      <w:iCs/>
    </w:rPr>
  </w:style>
  <w:style w:type="character" w:customStyle="1" w:styleId="Heading4Char">
    <w:name w:val="Heading 4 Char"/>
    <w:basedOn w:val="DefaultParagraphFont"/>
    <w:link w:val="Heading4"/>
    <w:uiPriority w:val="9"/>
    <w:semiHidden/>
    <w:rsid w:val="0083701C"/>
    <w:rPr>
      <w:rFonts w:asciiTheme="majorHAnsi" w:eastAsiaTheme="majorEastAsia" w:hAnsiTheme="majorHAnsi" w:cstheme="majorBidi"/>
      <w:i/>
      <w:iCs/>
      <w:color w:val="0F4761" w:themeColor="accent1" w:themeShade="BF"/>
      <w:sz w:val="22"/>
    </w:rPr>
  </w:style>
  <w:style w:type="paragraph" w:customStyle="1" w:styleId="Default">
    <w:name w:val="Default"/>
    <w:rsid w:val="00F378B9"/>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A371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1F9"/>
    <w:rPr>
      <w:rFonts w:ascii="Arial" w:eastAsia="Arial" w:hAnsi="Arial" w:cs="Arial"/>
      <w:color w:val="000000"/>
      <w:sz w:val="22"/>
    </w:rPr>
  </w:style>
  <w:style w:type="paragraph" w:styleId="Footer">
    <w:name w:val="footer"/>
    <w:basedOn w:val="Normal"/>
    <w:link w:val="FooterChar"/>
    <w:uiPriority w:val="99"/>
    <w:unhideWhenUsed/>
    <w:rsid w:val="00A371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1F9"/>
    <w:rPr>
      <w:rFonts w:ascii="Arial" w:eastAsia="Arial" w:hAnsi="Arial" w:cs="Arial"/>
      <w:color w:val="000000"/>
      <w:sz w:val="22"/>
    </w:rPr>
  </w:style>
  <w:style w:type="character" w:styleId="UnresolvedMention">
    <w:name w:val="Unresolved Mention"/>
    <w:basedOn w:val="DefaultParagraphFont"/>
    <w:uiPriority w:val="99"/>
    <w:semiHidden/>
    <w:unhideWhenUsed/>
    <w:rsid w:val="0093218C"/>
    <w:rPr>
      <w:color w:val="605E5C"/>
      <w:shd w:val="clear" w:color="auto" w:fill="E1DFDD"/>
    </w:rPr>
  </w:style>
  <w:style w:type="character" w:customStyle="1" w:styleId="citationsource-book">
    <w:name w:val="citation_source-book"/>
    <w:basedOn w:val="DefaultParagraphFont"/>
    <w:rsid w:val="003E53F1"/>
  </w:style>
  <w:style w:type="character" w:customStyle="1" w:styleId="citationsource-journal">
    <w:name w:val="citation_source-journal"/>
    <w:basedOn w:val="DefaultParagraphFont"/>
    <w:rsid w:val="00840B19"/>
  </w:style>
  <w:style w:type="character" w:customStyle="1" w:styleId="hlfld-contribauthor">
    <w:name w:val="hlfld-contribauthor"/>
    <w:basedOn w:val="DefaultParagraphFont"/>
    <w:rsid w:val="00453BAA"/>
  </w:style>
  <w:style w:type="character" w:customStyle="1" w:styleId="seriestitle">
    <w:name w:val="seriestitle"/>
    <w:basedOn w:val="DefaultParagraphFont"/>
    <w:rsid w:val="00453BAA"/>
  </w:style>
  <w:style w:type="character" w:customStyle="1" w:styleId="doi">
    <w:name w:val="doi"/>
    <w:basedOn w:val="DefaultParagraphFont"/>
    <w:rsid w:val="00453BAA"/>
  </w:style>
  <w:style w:type="character" w:customStyle="1" w:styleId="volume">
    <w:name w:val="volume"/>
    <w:basedOn w:val="DefaultParagraphFont"/>
    <w:rsid w:val="00453BAA"/>
  </w:style>
  <w:style w:type="character" w:customStyle="1" w:styleId="issue">
    <w:name w:val="issue"/>
    <w:basedOn w:val="DefaultParagraphFont"/>
    <w:rsid w:val="00453BAA"/>
  </w:style>
  <w:style w:type="character" w:customStyle="1" w:styleId="pub-date">
    <w:name w:val="pub-date"/>
    <w:basedOn w:val="DefaultParagraphFont"/>
    <w:rsid w:val="00453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7A54A-A0A2-47A4-83A6-AC4DE5E31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8120</Words>
  <Characters>46285</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Is there a need for strategic transformation in Universities? An analysis of the impact of Artificial Intelligence (AI).</vt:lpstr>
    </vt:vector>
  </TitlesOfParts>
  <Company/>
  <LinksUpToDate>false</LinksUpToDate>
  <CharactersWithSpaces>54297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need for strategic transformation in Universities? An analysis of the impact of Artificial Intelligence (AI).</dc:title>
  <dc:subject>LCDB7012 –Advancing to Doctoral Research Stage</dc:subject>
  <dc:creator>Yohan Mendis [2218843]</dc:creator>
  <cp:keywords/>
  <cp:lastModifiedBy>Jubin Luo</cp:lastModifiedBy>
  <cp:revision>3</cp:revision>
  <cp:lastPrinted>2025-09-30T14:00:00Z</cp:lastPrinted>
  <dcterms:created xsi:type="dcterms:W3CDTF">2025-09-30T13:24:00Z</dcterms:created>
  <dcterms:modified xsi:type="dcterms:W3CDTF">2025-09-30T14:01:00Z</dcterms:modified>
</cp:coreProperties>
</file>