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548A1" w14:textId="60B9EE62" w:rsidR="00A97BDD" w:rsidRDefault="00A50B5D" w:rsidP="00A97BDD">
      <w:pPr>
        <w:spacing w:line="360" w:lineRule="auto"/>
        <w:jc w:val="center"/>
        <w:rPr>
          <w:rFonts w:ascii="Arial" w:hAnsi="Arial" w:cs="Arial"/>
          <w:sz w:val="40"/>
          <w:szCs w:val="40"/>
        </w:rPr>
      </w:pPr>
      <w:r w:rsidRPr="00A406E5">
        <w:rPr>
          <w:rFonts w:ascii="Arial" w:hAnsi="Arial" w:cs="Arial"/>
          <w:noProof/>
        </w:rPr>
        <w:drawing>
          <wp:anchor distT="0" distB="0" distL="114300" distR="114300" simplePos="0" relativeHeight="251658240" behindDoc="0" locked="0" layoutInCell="1" allowOverlap="1" wp14:anchorId="57FB0223" wp14:editId="06CF556B">
            <wp:simplePos x="0" y="0"/>
            <wp:positionH relativeFrom="column">
              <wp:posOffset>-334850</wp:posOffset>
            </wp:positionH>
            <wp:positionV relativeFrom="paragraph">
              <wp:posOffset>206</wp:posOffset>
            </wp:positionV>
            <wp:extent cx="2214880" cy="133921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14880" cy="1339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C4AD8F" w14:textId="77777777" w:rsidR="00A97BDD" w:rsidRDefault="00A97BDD" w:rsidP="00A97BDD">
      <w:pPr>
        <w:spacing w:line="360" w:lineRule="auto"/>
        <w:jc w:val="center"/>
        <w:rPr>
          <w:rFonts w:ascii="Arial" w:hAnsi="Arial" w:cs="Arial"/>
          <w:sz w:val="40"/>
          <w:szCs w:val="40"/>
        </w:rPr>
      </w:pPr>
    </w:p>
    <w:p w14:paraId="79D1C598" w14:textId="77777777" w:rsidR="00A97BDD" w:rsidRDefault="00A97BDD" w:rsidP="00A97BDD">
      <w:pPr>
        <w:spacing w:line="360" w:lineRule="auto"/>
        <w:jc w:val="center"/>
        <w:rPr>
          <w:rFonts w:ascii="Arial" w:hAnsi="Arial" w:cs="Arial"/>
          <w:sz w:val="40"/>
          <w:szCs w:val="40"/>
        </w:rPr>
      </w:pPr>
    </w:p>
    <w:p w14:paraId="42D6FAEB" w14:textId="77777777" w:rsidR="00A97BDD" w:rsidRDefault="00A97BDD" w:rsidP="00A97BDD">
      <w:pPr>
        <w:spacing w:line="360" w:lineRule="auto"/>
        <w:jc w:val="center"/>
        <w:rPr>
          <w:rFonts w:ascii="Arial" w:hAnsi="Arial" w:cs="Arial"/>
          <w:sz w:val="40"/>
          <w:szCs w:val="40"/>
        </w:rPr>
      </w:pPr>
    </w:p>
    <w:p w14:paraId="56D1D040" w14:textId="77777777" w:rsidR="00A97BDD" w:rsidRDefault="00A97BDD" w:rsidP="00A97BDD">
      <w:pPr>
        <w:spacing w:line="360" w:lineRule="auto"/>
        <w:jc w:val="center"/>
        <w:rPr>
          <w:rFonts w:ascii="Arial" w:hAnsi="Arial" w:cs="Arial"/>
          <w:sz w:val="40"/>
          <w:szCs w:val="40"/>
        </w:rPr>
      </w:pPr>
    </w:p>
    <w:p w14:paraId="0C20B4CD" w14:textId="77777777" w:rsidR="00A97BDD" w:rsidRDefault="00A97BDD" w:rsidP="00A97BDD">
      <w:pPr>
        <w:spacing w:line="360" w:lineRule="auto"/>
        <w:jc w:val="center"/>
        <w:rPr>
          <w:rFonts w:ascii="Arial" w:hAnsi="Arial" w:cs="Arial"/>
          <w:sz w:val="40"/>
          <w:szCs w:val="40"/>
        </w:rPr>
      </w:pPr>
    </w:p>
    <w:p w14:paraId="7B944D64" w14:textId="4A2F1AB7" w:rsidR="00A97BDD" w:rsidRPr="001A435B" w:rsidRDefault="00A97BDD" w:rsidP="00A97BDD">
      <w:pPr>
        <w:spacing w:line="360" w:lineRule="auto"/>
        <w:jc w:val="center"/>
        <w:rPr>
          <w:rFonts w:ascii="Arial" w:hAnsi="Arial" w:cs="Arial"/>
          <w:sz w:val="40"/>
          <w:szCs w:val="40"/>
        </w:rPr>
      </w:pPr>
      <w:r w:rsidRPr="001A435B">
        <w:rPr>
          <w:rFonts w:ascii="Arial" w:hAnsi="Arial" w:cs="Arial"/>
          <w:sz w:val="40"/>
          <w:szCs w:val="40"/>
        </w:rPr>
        <w:t>Psychopathological classifications and provisions</w:t>
      </w:r>
    </w:p>
    <w:p w14:paraId="0369EAF8" w14:textId="77777777" w:rsidR="00A97BDD" w:rsidRPr="001A435B" w:rsidRDefault="00A97BDD" w:rsidP="00A97BDD">
      <w:pPr>
        <w:spacing w:line="360" w:lineRule="auto"/>
        <w:jc w:val="center"/>
        <w:rPr>
          <w:rFonts w:ascii="Arial" w:hAnsi="Arial" w:cs="Arial"/>
          <w:sz w:val="40"/>
          <w:szCs w:val="40"/>
        </w:rPr>
      </w:pPr>
      <w:r w:rsidRPr="001A435B">
        <w:rPr>
          <w:rFonts w:ascii="Arial" w:hAnsi="Arial" w:cs="Arial"/>
          <w:sz w:val="40"/>
          <w:szCs w:val="40"/>
        </w:rPr>
        <w:t>BMHP6029</w:t>
      </w:r>
    </w:p>
    <w:p w14:paraId="1167E651" w14:textId="77777777" w:rsidR="00A97BDD" w:rsidRPr="001A435B" w:rsidRDefault="00A97BDD" w:rsidP="00A97BDD">
      <w:pPr>
        <w:spacing w:line="360" w:lineRule="auto"/>
        <w:jc w:val="center"/>
        <w:rPr>
          <w:rFonts w:ascii="Arial" w:hAnsi="Arial" w:cs="Arial"/>
          <w:sz w:val="40"/>
          <w:szCs w:val="40"/>
        </w:rPr>
      </w:pPr>
      <w:r w:rsidRPr="001A435B">
        <w:rPr>
          <w:rFonts w:ascii="Arial" w:hAnsi="Arial" w:cs="Arial"/>
          <w:sz w:val="40"/>
          <w:szCs w:val="40"/>
        </w:rPr>
        <w:t>Student name – Sameena Shahban</w:t>
      </w:r>
    </w:p>
    <w:p w14:paraId="59FB6A12" w14:textId="77777777" w:rsidR="00A97BDD" w:rsidRDefault="00A97BDD" w:rsidP="00A97BDD">
      <w:pPr>
        <w:spacing w:line="360" w:lineRule="auto"/>
        <w:jc w:val="center"/>
        <w:rPr>
          <w:rFonts w:ascii="Arial" w:hAnsi="Arial" w:cs="Arial"/>
          <w:sz w:val="40"/>
          <w:szCs w:val="40"/>
        </w:rPr>
      </w:pPr>
      <w:r w:rsidRPr="001A435B">
        <w:rPr>
          <w:rFonts w:ascii="Arial" w:hAnsi="Arial" w:cs="Arial"/>
          <w:sz w:val="40"/>
          <w:szCs w:val="40"/>
        </w:rPr>
        <w:t>Student number -2325941</w:t>
      </w:r>
    </w:p>
    <w:p w14:paraId="0D567882" w14:textId="1A702E7E" w:rsidR="00A50B5D" w:rsidRPr="001A435B" w:rsidRDefault="00A50B5D" w:rsidP="00A97BDD">
      <w:pPr>
        <w:spacing w:line="360" w:lineRule="auto"/>
        <w:jc w:val="center"/>
        <w:rPr>
          <w:rFonts w:ascii="Arial" w:hAnsi="Arial" w:cs="Arial"/>
          <w:sz w:val="40"/>
          <w:szCs w:val="40"/>
        </w:rPr>
      </w:pPr>
      <w:r>
        <w:rPr>
          <w:rFonts w:ascii="Arial" w:hAnsi="Arial" w:cs="Arial"/>
          <w:sz w:val="40"/>
          <w:szCs w:val="40"/>
        </w:rPr>
        <w:t xml:space="preserve">Component 2 </w:t>
      </w:r>
      <w:r w:rsidR="007608C5">
        <w:rPr>
          <w:rFonts w:ascii="Arial" w:hAnsi="Arial" w:cs="Arial"/>
          <w:sz w:val="40"/>
          <w:szCs w:val="40"/>
        </w:rPr>
        <w:t>-Report</w:t>
      </w:r>
    </w:p>
    <w:p w14:paraId="1D211AAB" w14:textId="77777777" w:rsidR="00A97BDD" w:rsidRDefault="00A97BDD" w:rsidP="00A97BDD">
      <w:pPr>
        <w:spacing w:line="360" w:lineRule="auto"/>
        <w:jc w:val="center"/>
        <w:rPr>
          <w:rFonts w:ascii="Arial" w:hAnsi="Arial" w:cs="Arial"/>
          <w:sz w:val="40"/>
          <w:szCs w:val="40"/>
        </w:rPr>
      </w:pPr>
      <w:r w:rsidRPr="001A435B">
        <w:rPr>
          <w:rFonts w:ascii="Arial" w:hAnsi="Arial" w:cs="Arial"/>
          <w:sz w:val="40"/>
          <w:szCs w:val="40"/>
        </w:rPr>
        <w:t>Lecturer – Neale Haddon</w:t>
      </w:r>
    </w:p>
    <w:p w14:paraId="77A551B2" w14:textId="77777777" w:rsidR="005B671B" w:rsidRDefault="005B671B" w:rsidP="00A97BDD">
      <w:pPr>
        <w:spacing w:line="360" w:lineRule="auto"/>
        <w:jc w:val="center"/>
        <w:rPr>
          <w:rFonts w:ascii="Arial" w:hAnsi="Arial" w:cs="Arial"/>
          <w:sz w:val="40"/>
          <w:szCs w:val="40"/>
        </w:rPr>
      </w:pPr>
    </w:p>
    <w:p w14:paraId="469FA381" w14:textId="77777777" w:rsidR="005B671B" w:rsidRDefault="005B671B" w:rsidP="00A97BDD">
      <w:pPr>
        <w:spacing w:line="360" w:lineRule="auto"/>
        <w:jc w:val="center"/>
        <w:rPr>
          <w:rFonts w:ascii="Arial" w:hAnsi="Arial" w:cs="Arial"/>
          <w:sz w:val="40"/>
          <w:szCs w:val="40"/>
        </w:rPr>
      </w:pPr>
    </w:p>
    <w:p w14:paraId="28CA9705" w14:textId="77777777" w:rsidR="005B671B" w:rsidRDefault="005B671B" w:rsidP="00A97BDD">
      <w:pPr>
        <w:spacing w:line="360" w:lineRule="auto"/>
        <w:jc w:val="center"/>
        <w:rPr>
          <w:rFonts w:ascii="Arial" w:hAnsi="Arial" w:cs="Arial"/>
          <w:sz w:val="40"/>
          <w:szCs w:val="40"/>
        </w:rPr>
      </w:pPr>
    </w:p>
    <w:p w14:paraId="3432EFE5" w14:textId="77777777" w:rsidR="005B671B" w:rsidRDefault="005B671B" w:rsidP="00A97BDD">
      <w:pPr>
        <w:spacing w:line="360" w:lineRule="auto"/>
        <w:jc w:val="center"/>
        <w:rPr>
          <w:rFonts w:ascii="Arial" w:hAnsi="Arial" w:cs="Arial"/>
          <w:sz w:val="40"/>
          <w:szCs w:val="40"/>
        </w:rPr>
      </w:pPr>
    </w:p>
    <w:p w14:paraId="62B2CE33" w14:textId="692D3A5E" w:rsidR="005B671B" w:rsidRPr="00A77ED8" w:rsidRDefault="00E31490" w:rsidP="00A97BDD">
      <w:pPr>
        <w:spacing w:line="360" w:lineRule="auto"/>
        <w:jc w:val="center"/>
        <w:rPr>
          <w:rFonts w:ascii="Arial" w:hAnsi="Arial" w:cs="Arial"/>
          <w:b/>
          <w:bCs/>
          <w:sz w:val="40"/>
          <w:szCs w:val="40"/>
        </w:rPr>
      </w:pPr>
      <w:r w:rsidRPr="00A77ED8">
        <w:rPr>
          <w:rFonts w:ascii="Arial" w:hAnsi="Arial" w:cs="Arial"/>
          <w:b/>
          <w:bCs/>
          <w:sz w:val="40"/>
          <w:szCs w:val="40"/>
        </w:rPr>
        <w:lastRenderedPageBreak/>
        <w:t xml:space="preserve">CONTENTS </w:t>
      </w:r>
    </w:p>
    <w:p w14:paraId="63DA5E65" w14:textId="77777777" w:rsidR="00A97BDD" w:rsidRPr="003856A8" w:rsidRDefault="00A97BDD" w:rsidP="003856A8">
      <w:pPr>
        <w:spacing w:line="360" w:lineRule="auto"/>
        <w:jc w:val="center"/>
        <w:rPr>
          <w:rFonts w:ascii="Arial" w:hAnsi="Arial" w:cs="Arial"/>
          <w:sz w:val="22"/>
          <w:szCs w:val="22"/>
        </w:rPr>
      </w:pPr>
    </w:p>
    <w:p w14:paraId="03CF2899" w14:textId="77777777" w:rsidR="003856A8" w:rsidRPr="003856A8" w:rsidRDefault="003856A8" w:rsidP="003856A8">
      <w:pPr>
        <w:spacing w:line="360" w:lineRule="auto"/>
        <w:rPr>
          <w:rFonts w:ascii="Arial" w:hAnsi="Arial" w:cs="Arial"/>
          <w:sz w:val="22"/>
          <w:szCs w:val="22"/>
        </w:rPr>
      </w:pPr>
    </w:p>
    <w:p w14:paraId="3D5527DC" w14:textId="14189F2C"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Introduction .................................................</w:t>
      </w:r>
      <w:r>
        <w:rPr>
          <w:rFonts w:ascii="Arial" w:hAnsi="Arial" w:cs="Arial"/>
          <w:sz w:val="22"/>
          <w:szCs w:val="22"/>
        </w:rPr>
        <w:t>..............................................................</w:t>
      </w:r>
      <w:r w:rsidRPr="003856A8">
        <w:rPr>
          <w:rFonts w:ascii="Arial" w:hAnsi="Arial" w:cs="Arial"/>
          <w:sz w:val="22"/>
          <w:szCs w:val="22"/>
        </w:rPr>
        <w:t>.......</w:t>
      </w:r>
      <w:r w:rsidR="00F0776B">
        <w:rPr>
          <w:rFonts w:ascii="Arial" w:hAnsi="Arial" w:cs="Arial"/>
          <w:sz w:val="22"/>
          <w:szCs w:val="22"/>
        </w:rPr>
        <w:t>3</w:t>
      </w:r>
    </w:p>
    <w:p w14:paraId="06E6F832" w14:textId="0D125A23"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Classification and Diagnosis ...............</w:t>
      </w:r>
      <w:r>
        <w:rPr>
          <w:rFonts w:ascii="Arial" w:hAnsi="Arial" w:cs="Arial"/>
          <w:sz w:val="22"/>
          <w:szCs w:val="22"/>
        </w:rPr>
        <w:t>..........................................................</w:t>
      </w:r>
      <w:r w:rsidRPr="003856A8">
        <w:rPr>
          <w:rFonts w:ascii="Arial" w:hAnsi="Arial" w:cs="Arial"/>
          <w:sz w:val="22"/>
          <w:szCs w:val="22"/>
        </w:rPr>
        <w:t>...................</w:t>
      </w:r>
      <w:r w:rsidR="00F0776B">
        <w:rPr>
          <w:rFonts w:ascii="Arial" w:hAnsi="Arial" w:cs="Arial"/>
          <w:sz w:val="22"/>
          <w:szCs w:val="22"/>
        </w:rPr>
        <w:t>3-4</w:t>
      </w:r>
    </w:p>
    <w:p w14:paraId="65CC3E66" w14:textId="0F9F2624"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Treatment Approaches ................</w:t>
      </w:r>
      <w:r>
        <w:rPr>
          <w:rFonts w:ascii="Arial" w:hAnsi="Arial" w:cs="Arial"/>
          <w:sz w:val="22"/>
          <w:szCs w:val="22"/>
        </w:rPr>
        <w:t>...........................................................</w:t>
      </w:r>
      <w:r w:rsidRPr="003856A8">
        <w:rPr>
          <w:rFonts w:ascii="Arial" w:hAnsi="Arial" w:cs="Arial"/>
          <w:sz w:val="22"/>
          <w:szCs w:val="22"/>
        </w:rPr>
        <w:t>......................</w:t>
      </w:r>
      <w:r w:rsidR="00B70898">
        <w:rPr>
          <w:rFonts w:ascii="Arial" w:hAnsi="Arial" w:cs="Arial"/>
          <w:sz w:val="22"/>
          <w:szCs w:val="22"/>
        </w:rPr>
        <w:t>.</w:t>
      </w:r>
      <w:r w:rsidRPr="003856A8">
        <w:rPr>
          <w:rFonts w:ascii="Arial" w:hAnsi="Arial" w:cs="Arial"/>
          <w:sz w:val="22"/>
          <w:szCs w:val="22"/>
        </w:rPr>
        <w:t>..</w:t>
      </w:r>
      <w:r w:rsidR="00C20C5B">
        <w:rPr>
          <w:rFonts w:ascii="Arial" w:hAnsi="Arial" w:cs="Arial"/>
          <w:sz w:val="22"/>
          <w:szCs w:val="22"/>
        </w:rPr>
        <w:t>5</w:t>
      </w:r>
      <w:r w:rsidR="009D1B96">
        <w:rPr>
          <w:rFonts w:ascii="Arial" w:hAnsi="Arial" w:cs="Arial"/>
          <w:sz w:val="22"/>
          <w:szCs w:val="22"/>
        </w:rPr>
        <w:t>-</w:t>
      </w:r>
      <w:r w:rsidR="00C20C5B">
        <w:rPr>
          <w:rFonts w:ascii="Arial" w:hAnsi="Arial" w:cs="Arial"/>
          <w:sz w:val="22"/>
          <w:szCs w:val="22"/>
        </w:rPr>
        <w:t>6</w:t>
      </w:r>
    </w:p>
    <w:p w14:paraId="6782BDA6" w14:textId="6786EDAC"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Rehabilitation &amp; Long-Term Management .......</w:t>
      </w:r>
      <w:r>
        <w:rPr>
          <w:rFonts w:ascii="Arial" w:hAnsi="Arial" w:cs="Arial"/>
          <w:sz w:val="22"/>
          <w:szCs w:val="22"/>
        </w:rPr>
        <w:t>......................................................</w:t>
      </w:r>
      <w:r w:rsidRPr="003856A8">
        <w:rPr>
          <w:rFonts w:ascii="Arial" w:hAnsi="Arial" w:cs="Arial"/>
          <w:sz w:val="22"/>
          <w:szCs w:val="22"/>
        </w:rPr>
        <w:t>..........</w:t>
      </w:r>
      <w:r w:rsidR="00C20C5B">
        <w:rPr>
          <w:rFonts w:ascii="Arial" w:hAnsi="Arial" w:cs="Arial"/>
          <w:sz w:val="22"/>
          <w:szCs w:val="22"/>
        </w:rPr>
        <w:t>6</w:t>
      </w:r>
    </w:p>
    <w:p w14:paraId="1DB2670B" w14:textId="3E58BAF9"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Current Debates &amp; Emerging Issues ...</w:t>
      </w:r>
      <w:r>
        <w:rPr>
          <w:rFonts w:ascii="Arial" w:hAnsi="Arial" w:cs="Arial"/>
          <w:sz w:val="22"/>
          <w:szCs w:val="22"/>
        </w:rPr>
        <w:t>........................................................</w:t>
      </w:r>
      <w:r w:rsidRPr="003856A8">
        <w:rPr>
          <w:rFonts w:ascii="Arial" w:hAnsi="Arial" w:cs="Arial"/>
          <w:sz w:val="22"/>
          <w:szCs w:val="22"/>
        </w:rPr>
        <w:t>....................</w:t>
      </w:r>
      <w:r w:rsidR="00561138">
        <w:rPr>
          <w:rFonts w:ascii="Arial" w:hAnsi="Arial" w:cs="Arial"/>
          <w:sz w:val="22"/>
          <w:szCs w:val="22"/>
        </w:rPr>
        <w:t>7</w:t>
      </w:r>
    </w:p>
    <w:p w14:paraId="6027CD63" w14:textId="284A6FA3"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Recommendations .................</w:t>
      </w:r>
      <w:r>
        <w:rPr>
          <w:rFonts w:ascii="Arial" w:hAnsi="Arial" w:cs="Arial"/>
          <w:sz w:val="22"/>
          <w:szCs w:val="22"/>
        </w:rPr>
        <w:t>............................................................</w:t>
      </w:r>
      <w:r w:rsidRPr="003856A8">
        <w:rPr>
          <w:rFonts w:ascii="Arial" w:hAnsi="Arial" w:cs="Arial"/>
          <w:sz w:val="22"/>
          <w:szCs w:val="22"/>
        </w:rPr>
        <w:t>.............................</w:t>
      </w:r>
      <w:r w:rsidR="008F49BA">
        <w:rPr>
          <w:rFonts w:ascii="Arial" w:hAnsi="Arial" w:cs="Arial"/>
          <w:sz w:val="22"/>
          <w:szCs w:val="22"/>
        </w:rPr>
        <w:t>8</w:t>
      </w:r>
    </w:p>
    <w:p w14:paraId="71FF383D" w14:textId="4AA996C2" w:rsidR="003856A8"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Conclusion .....................</w:t>
      </w:r>
      <w:r>
        <w:rPr>
          <w:rFonts w:ascii="Arial" w:hAnsi="Arial" w:cs="Arial"/>
          <w:sz w:val="22"/>
          <w:szCs w:val="22"/>
        </w:rPr>
        <w:t>...............................................................</w:t>
      </w:r>
      <w:r w:rsidRPr="003856A8">
        <w:rPr>
          <w:rFonts w:ascii="Arial" w:hAnsi="Arial" w:cs="Arial"/>
          <w:sz w:val="22"/>
          <w:szCs w:val="22"/>
        </w:rPr>
        <w:t>...................................</w:t>
      </w:r>
      <w:r w:rsidR="008F49BA">
        <w:rPr>
          <w:rFonts w:ascii="Arial" w:hAnsi="Arial" w:cs="Arial"/>
          <w:sz w:val="22"/>
          <w:szCs w:val="22"/>
        </w:rPr>
        <w:t>8-9</w:t>
      </w:r>
    </w:p>
    <w:p w14:paraId="4F1C1EC2" w14:textId="67096272" w:rsidR="007974EE" w:rsidRPr="003856A8" w:rsidRDefault="003856A8" w:rsidP="00B42F7A">
      <w:pPr>
        <w:spacing w:line="360" w:lineRule="auto"/>
        <w:jc w:val="both"/>
        <w:rPr>
          <w:rFonts w:ascii="Arial" w:hAnsi="Arial" w:cs="Arial"/>
          <w:sz w:val="22"/>
          <w:szCs w:val="22"/>
        </w:rPr>
      </w:pPr>
      <w:r w:rsidRPr="003856A8">
        <w:rPr>
          <w:rFonts w:ascii="Arial" w:hAnsi="Arial" w:cs="Arial"/>
          <w:sz w:val="22"/>
          <w:szCs w:val="22"/>
        </w:rPr>
        <w:t>References ....................</w:t>
      </w:r>
      <w:r>
        <w:rPr>
          <w:rFonts w:ascii="Arial" w:hAnsi="Arial" w:cs="Arial"/>
          <w:sz w:val="22"/>
          <w:szCs w:val="22"/>
        </w:rPr>
        <w:t>..............................................................</w:t>
      </w:r>
      <w:r w:rsidRPr="003856A8">
        <w:rPr>
          <w:rFonts w:ascii="Arial" w:hAnsi="Arial" w:cs="Arial"/>
          <w:sz w:val="22"/>
          <w:szCs w:val="22"/>
        </w:rPr>
        <w:t>....................................</w:t>
      </w:r>
      <w:r w:rsidR="008F49BA">
        <w:rPr>
          <w:rFonts w:ascii="Arial" w:hAnsi="Arial" w:cs="Arial"/>
          <w:sz w:val="22"/>
          <w:szCs w:val="22"/>
        </w:rPr>
        <w:t>10-</w:t>
      </w:r>
      <w:r w:rsidR="00B42F7A">
        <w:rPr>
          <w:rFonts w:ascii="Arial" w:hAnsi="Arial" w:cs="Arial"/>
          <w:sz w:val="22"/>
          <w:szCs w:val="22"/>
        </w:rPr>
        <w:t>12</w:t>
      </w:r>
    </w:p>
    <w:p w14:paraId="37B2148F" w14:textId="77777777" w:rsidR="00E31490" w:rsidRDefault="00E31490" w:rsidP="00B42F7A">
      <w:pPr>
        <w:jc w:val="both"/>
      </w:pPr>
    </w:p>
    <w:p w14:paraId="29C7B833" w14:textId="77777777" w:rsidR="00E31490" w:rsidRDefault="00E31490" w:rsidP="00B42F7A">
      <w:pPr>
        <w:jc w:val="both"/>
      </w:pPr>
    </w:p>
    <w:p w14:paraId="01281105" w14:textId="77777777" w:rsidR="00E31490" w:rsidRDefault="00E31490"/>
    <w:p w14:paraId="194BB7B7" w14:textId="77777777" w:rsidR="00E31490" w:rsidRDefault="00E31490"/>
    <w:p w14:paraId="3C56535C" w14:textId="77777777" w:rsidR="00E31490" w:rsidRDefault="00E31490"/>
    <w:p w14:paraId="71ECE806" w14:textId="77777777" w:rsidR="00E31490" w:rsidRDefault="00E31490"/>
    <w:p w14:paraId="7003C974" w14:textId="77777777" w:rsidR="00E31490" w:rsidRDefault="00E31490"/>
    <w:p w14:paraId="28814105" w14:textId="77777777" w:rsidR="00E31490" w:rsidRDefault="00E31490"/>
    <w:p w14:paraId="2A5D1E33" w14:textId="77777777" w:rsidR="00E31490" w:rsidRDefault="00E31490"/>
    <w:p w14:paraId="5F6C73DD" w14:textId="77777777" w:rsidR="00E31490" w:rsidRDefault="00E31490"/>
    <w:p w14:paraId="1C2E2BEC" w14:textId="77777777" w:rsidR="00E31490" w:rsidRDefault="00E31490"/>
    <w:p w14:paraId="6BD5D958" w14:textId="77777777" w:rsidR="00E31490" w:rsidRDefault="00E31490"/>
    <w:p w14:paraId="46B13EBD" w14:textId="77777777" w:rsidR="00E31490" w:rsidRDefault="00E31490"/>
    <w:p w14:paraId="33504CE4" w14:textId="77777777" w:rsidR="00E31490" w:rsidRDefault="00E31490"/>
    <w:p w14:paraId="053D2C19" w14:textId="77777777" w:rsidR="00E31490" w:rsidRDefault="00E31490"/>
    <w:p w14:paraId="7988ACC4" w14:textId="77777777" w:rsidR="00E31490" w:rsidRDefault="00E31490"/>
    <w:p w14:paraId="5962D4D8" w14:textId="77777777" w:rsidR="00786107" w:rsidRDefault="00786107"/>
    <w:p w14:paraId="32D81402" w14:textId="58CF4BCF" w:rsidR="00E31490" w:rsidRPr="00E31490" w:rsidRDefault="00E31490" w:rsidP="00AB3FA6">
      <w:pPr>
        <w:spacing w:line="360" w:lineRule="auto"/>
        <w:jc w:val="both"/>
        <w:rPr>
          <w:rFonts w:ascii="Arial" w:hAnsi="Arial" w:cs="Arial"/>
          <w:b/>
          <w:bCs/>
          <w:sz w:val="32"/>
          <w:szCs w:val="32"/>
          <w:lang w:eastAsia="en-GB"/>
        </w:rPr>
      </w:pPr>
      <w:r w:rsidRPr="00E31490">
        <w:rPr>
          <w:rFonts w:ascii="Arial" w:hAnsi="Arial" w:cs="Arial"/>
          <w:b/>
          <w:bCs/>
          <w:sz w:val="32"/>
          <w:szCs w:val="32"/>
          <w:lang w:eastAsia="en-GB"/>
        </w:rPr>
        <w:t>Written Assignment: Autism Spectrum Disorder in ICD-11</w:t>
      </w:r>
    </w:p>
    <w:p w14:paraId="63370E54" w14:textId="4EDE6E1A" w:rsidR="00DB7C37" w:rsidRPr="00D05146" w:rsidRDefault="00E31490" w:rsidP="00AB3FA6">
      <w:pPr>
        <w:spacing w:line="360" w:lineRule="auto"/>
        <w:jc w:val="both"/>
        <w:rPr>
          <w:rFonts w:ascii="Arial" w:hAnsi="Arial" w:cs="Arial"/>
          <w:b/>
          <w:bCs/>
          <w:sz w:val="32"/>
          <w:szCs w:val="32"/>
          <w:lang w:eastAsia="en-GB"/>
        </w:rPr>
      </w:pPr>
      <w:r w:rsidRPr="00E31490">
        <w:rPr>
          <w:rFonts w:ascii="Arial" w:hAnsi="Arial" w:cs="Arial"/>
          <w:b/>
          <w:bCs/>
          <w:sz w:val="32"/>
          <w:szCs w:val="32"/>
          <w:lang w:eastAsia="en-GB"/>
        </w:rPr>
        <w:t>Introduction</w:t>
      </w:r>
    </w:p>
    <w:p w14:paraId="6F3CEC9E" w14:textId="77777777"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Autism Spectrum Disorder (ASD) is a neurodevelopmental condition that affects how a person communicates, interacts with others, and experiences the world. It involves persistent difficulties in social communication and interaction, alongside restricted, repetitive patterns of behaviour, interests, or activities. In the ICD-11, which is the international standard for classifying diseases, ASD is located in Chapter 6 under code 6A02 (World Health Organization, 2022).</w:t>
      </w:r>
    </w:p>
    <w:p w14:paraId="0F4E6D93" w14:textId="031DEDDE"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This report provides a critical examination of how autism is classified, diagnosed, treated, and managed in the UK. It also explores current debates including the neurodiversity movement, the profound autism controversy, and systemic failures in service provision. The topic is of urgent importance because autism affects approximately 1 in 100 people in the UK. Referrals for autism assessments have risen dramatically</w:t>
      </w:r>
      <w:r w:rsidR="00740399"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by 115% between 2015 and 2019 alone (Parr et al., 2021). Despite this, over 236,000 people are currently waiting for an autism assessment in England (National Autistic Society, 2025). Research shows that only 17.9% of services consistently meet the standards set out in NICE guidance (Parr et al., 2021). This means hundreds of thousands of children and adults face years of uncertainty without a diagnosis, and without access to the support that diagnosis can bring. The financial cost to the NHS and social care system is substantial, but the human cost</w:t>
      </w:r>
      <w:r w:rsidR="00E31A1A"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in terms of anxiety, family stress, mental health deterioration, and missed opportunities</w:t>
      </w:r>
      <w:r w:rsidR="00740399"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is even greater. This report is structured into six sections: classification and diagnosis, treatment approaches, rehabilitation and long-term management, current debates and emerging issues, recommendations, and conclusion.</w:t>
      </w:r>
    </w:p>
    <w:p w14:paraId="5ED614FE" w14:textId="77777777" w:rsidR="00F106A6" w:rsidRPr="00F106A6" w:rsidRDefault="00F106A6" w:rsidP="00AB3FA6">
      <w:pPr>
        <w:spacing w:before="480" w:after="240" w:line="360" w:lineRule="auto"/>
        <w:jc w:val="both"/>
        <w:outlineLvl w:val="1"/>
        <w:rPr>
          <w:rFonts w:ascii="Arial" w:eastAsia="Times New Roman" w:hAnsi="Arial" w:cs="Arial"/>
          <w:b/>
          <w:bCs/>
          <w:color w:val="0F1115"/>
          <w:kern w:val="0"/>
          <w:sz w:val="32"/>
          <w:szCs w:val="32"/>
          <w:lang w:eastAsia="en-GB"/>
          <w14:ligatures w14:val="none"/>
        </w:rPr>
      </w:pPr>
      <w:r w:rsidRPr="00F106A6">
        <w:rPr>
          <w:rFonts w:ascii="Arial" w:eastAsia="Times New Roman" w:hAnsi="Arial" w:cs="Arial"/>
          <w:b/>
          <w:bCs/>
          <w:color w:val="0F1115"/>
          <w:kern w:val="0"/>
          <w:sz w:val="32"/>
          <w:szCs w:val="32"/>
          <w:lang w:eastAsia="en-GB"/>
          <w14:ligatures w14:val="none"/>
        </w:rPr>
        <w:t>Classification and Diagnosis</w:t>
      </w:r>
    </w:p>
    <w:p w14:paraId="55F0365B" w14:textId="77777777" w:rsidR="00F106A6" w:rsidRPr="00D05146" w:rsidRDefault="00F106A6" w:rsidP="00AB3FA6">
      <w:pPr>
        <w:spacing w:before="240" w:after="240" w:line="360" w:lineRule="auto"/>
        <w:jc w:val="both"/>
        <w:rPr>
          <w:rFonts w:ascii="Arial" w:eastAsia="Times New Roman" w:hAnsi="Arial" w:cs="Arial"/>
          <w:b/>
          <w:bCs/>
          <w:color w:val="0F1115"/>
          <w:kern w:val="0"/>
          <w:sz w:val="22"/>
          <w:szCs w:val="22"/>
          <w:lang w:eastAsia="en-GB"/>
          <w14:ligatures w14:val="none"/>
        </w:rPr>
      </w:pPr>
      <w:r w:rsidRPr="00F106A6">
        <w:rPr>
          <w:rFonts w:ascii="Arial" w:eastAsia="Times New Roman" w:hAnsi="Arial" w:cs="Arial"/>
          <w:b/>
          <w:bCs/>
          <w:color w:val="0F1115"/>
          <w:kern w:val="0"/>
          <w:sz w:val="22"/>
          <w:szCs w:val="22"/>
          <w:lang w:eastAsia="en-GB"/>
          <w14:ligatures w14:val="none"/>
        </w:rPr>
        <w:t>Case Study: Ellie</w:t>
      </w:r>
    </w:p>
    <w:p w14:paraId="3AC6158E" w14:textId="77777777" w:rsidR="00332FB0"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Ellie is 14 years old. For years, she struggled with anxiety and school refusal. Her mother first sought help when Ellie was seven, but professionals said she was just shy. At school, Ellie seemed to have friends. She made eye contact and smiled. But at home, she was exhausted. She had rigid routines and intense interests in animals, which she hid from classmates. She </w:t>
      </w:r>
      <w:r w:rsidRPr="00D05146">
        <w:rPr>
          <w:rFonts w:ascii="Arial" w:hAnsi="Arial" w:cs="Arial"/>
          <w:color w:val="0F1115"/>
          <w:sz w:val="22"/>
          <w:szCs w:val="22"/>
        </w:rPr>
        <w:lastRenderedPageBreak/>
        <w:t>later explained: "I thought everyone was acting all the time. Now I know why I'm tired." When Ellie finally had an autism assessment, the team used the ADOS-2. They learned that Ellie copied everything her friends did to fit in. This is called masking. It is common in autistic girls. Ellie was diagnosed with autism. The diagnosis helped her understand why life had been so hard. This case shows why autism is missed in girls and why diagnosis matters.</w:t>
      </w:r>
    </w:p>
    <w:p w14:paraId="78A172AC" w14:textId="605B573E" w:rsidR="00DE4212" w:rsidRPr="00DE4212" w:rsidRDefault="00DE4212" w:rsidP="00AB3FA6">
      <w:pPr>
        <w:spacing w:after="0" w:line="360" w:lineRule="auto"/>
        <w:jc w:val="both"/>
        <w:rPr>
          <w:rFonts w:ascii="Arial" w:eastAsia="Times New Roman" w:hAnsi="Arial" w:cs="Arial"/>
          <w:color w:val="0F1115"/>
          <w:kern w:val="0"/>
          <w:sz w:val="22"/>
          <w:szCs w:val="22"/>
          <w:lang w:eastAsia="en-GB"/>
          <w14:ligatures w14:val="none"/>
        </w:rPr>
      </w:pPr>
      <w:r w:rsidRPr="00DE4212">
        <w:rPr>
          <w:rFonts w:ascii="Arial" w:eastAsia="Times New Roman" w:hAnsi="Arial" w:cs="Arial"/>
          <w:color w:val="0F1115"/>
          <w:kern w:val="0"/>
          <w:sz w:val="22"/>
          <w:szCs w:val="22"/>
          <w:lang w:eastAsia="en-GB"/>
          <w14:ligatures w14:val="none"/>
        </w:rPr>
        <w:t>This case study is based on common experiences reported in research (Evans et al., 2024; Baron-Cohen et al., 2015).</w:t>
      </w:r>
    </w:p>
    <w:p w14:paraId="5C35CC2A" w14:textId="5BBC7D2A"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ICD-11 classifies ASD (6A02) under Neurodevelopmental Disorders (World Health Organization, 2022). Unlike ICD-10's separate categories, ICD-11 uses one spectrum. Old subtypes were unreliable (Green, 2023). The term disorder reflects a medical model, though neurodiversity advocates prefer condition (</w:t>
      </w:r>
      <w:proofErr w:type="spellStart"/>
      <w:r w:rsidRPr="00D05146">
        <w:rPr>
          <w:rFonts w:ascii="Arial" w:hAnsi="Arial" w:cs="Arial"/>
          <w:color w:val="0F1115"/>
          <w:sz w:val="22"/>
          <w:szCs w:val="22"/>
        </w:rPr>
        <w:t>Sonuga</w:t>
      </w:r>
      <w:proofErr w:type="spellEnd"/>
      <w:r w:rsidRPr="00D05146">
        <w:rPr>
          <w:rFonts w:ascii="Arial" w:hAnsi="Arial" w:cs="Arial"/>
          <w:color w:val="0F1115"/>
          <w:sz w:val="22"/>
          <w:szCs w:val="22"/>
        </w:rPr>
        <w:t>-Barke and Thapar, 2025).</w:t>
      </w:r>
    </w:p>
    <w:p w14:paraId="16E65076" w14:textId="77777777"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ICD-11 requires deficits in two areas: social communication and restricted, repetitive behaviours (WHO, 2022). Two qualifiers must be recorded: intellectual development and functional language. These capture differences like Ellie's. UK practice follows NICE guidance, using multidisciplinary teams and tools like ADOS-2 (NICE, 2021; Bishop and Lord, 2023).</w:t>
      </w:r>
    </w:p>
    <w:p w14:paraId="1CA9733F" w14:textId="77777777"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ICD-10 subtypes caused diagnostic inconsistency. A child might get different diagnoses in different clinics, affecting support access. ICD-11's single spectrum improves reliability. However, diagnostic expansion has occurred. Autism diagnoses have risen sharply over 20-30 years. This reflects broader criteria and recognition of girls and high-ability individuals like Ellie (Haslam, 2024).</w:t>
      </w:r>
    </w:p>
    <w:p w14:paraId="2BB6EA17" w14:textId="77777777"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Caution is needed: some research uses parent-report screening tools as diagnostic proxies. These measure traits, not clinical impairment, and can overestimate prevalence (Bishop and Lord, 2023).</w:t>
      </w:r>
    </w:p>
    <w:p w14:paraId="233F42A8" w14:textId="77777777"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Both ICD-11 and DSM-5 now use one spectrum. DSM-5 is published by the American Psychiatric Association (2022). ICD-11 uses qualifiers; DSM-5 uses three severity levels based on support needs.</w:t>
      </w:r>
    </w:p>
    <w:p w14:paraId="4CECF9C0" w14:textId="3306AECA"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Autism has no biological markers. It is behaviourally defined</w:t>
      </w:r>
      <w:r w:rsidR="00092172" w:rsidRPr="00D05146">
        <w:rPr>
          <w:rFonts w:ascii="Arial" w:hAnsi="Arial" w:cs="Arial"/>
          <w:color w:val="0F1115"/>
          <w:sz w:val="22"/>
          <w:szCs w:val="22"/>
        </w:rPr>
        <w:t xml:space="preserve"> </w:t>
      </w:r>
      <w:r w:rsidRPr="00D05146">
        <w:rPr>
          <w:rFonts w:ascii="Arial" w:hAnsi="Arial" w:cs="Arial"/>
          <w:color w:val="0F1115"/>
          <w:sz w:val="22"/>
          <w:szCs w:val="22"/>
        </w:rPr>
        <w:t>(Bishop and Lord, 2023). Szasz (1961) argued mental illness lacks biological basis. Diagnosis relies on clinical judgement, which can be flawed, as Ellie's case shows.</w:t>
      </w:r>
    </w:p>
    <w:p w14:paraId="3A3628F8" w14:textId="77777777" w:rsidR="00332FB0" w:rsidRPr="00D05146" w:rsidRDefault="00332FB0"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Most research has focused on boys. Stereotypes of autism are based on male behaviour (Baron-Cohen et al., 2015; Evans et al., 2024). Girls often mask by copying social behaviour, which is exhausting. Autistic females are diagnosed later because they do not match the male </w:t>
      </w:r>
      <w:r w:rsidRPr="00D05146">
        <w:rPr>
          <w:rFonts w:ascii="Arial" w:hAnsi="Arial" w:cs="Arial"/>
          <w:color w:val="0F1115"/>
          <w:sz w:val="22"/>
          <w:szCs w:val="22"/>
        </w:rPr>
        <w:lastRenderedPageBreak/>
        <w:t>stereotype. Evans et al. (2024) found mothers of autistic daughters face dismissed concerns, exactly what happened to Ellie's mother.</w:t>
      </w:r>
    </w:p>
    <w:p w14:paraId="64B153E7" w14:textId="5375D392" w:rsidR="00877F15" w:rsidRPr="00D05146" w:rsidRDefault="00877F15" w:rsidP="00AB3FA6">
      <w:pPr>
        <w:spacing w:before="480" w:after="240" w:line="360" w:lineRule="auto"/>
        <w:jc w:val="both"/>
        <w:outlineLvl w:val="2"/>
        <w:rPr>
          <w:rFonts w:ascii="Arial" w:eastAsia="Times New Roman" w:hAnsi="Arial" w:cs="Arial"/>
          <w:b/>
          <w:bCs/>
          <w:color w:val="0F1115"/>
          <w:kern w:val="0"/>
          <w:sz w:val="32"/>
          <w:szCs w:val="32"/>
          <w:lang w:eastAsia="en-GB"/>
          <w14:ligatures w14:val="none"/>
        </w:rPr>
      </w:pPr>
      <w:r w:rsidRPr="00877F15">
        <w:rPr>
          <w:rFonts w:ascii="Arial" w:eastAsia="Times New Roman" w:hAnsi="Arial" w:cs="Arial"/>
          <w:b/>
          <w:bCs/>
          <w:color w:val="0F1115"/>
          <w:kern w:val="0"/>
          <w:sz w:val="32"/>
          <w:szCs w:val="32"/>
          <w:lang w:eastAsia="en-GB"/>
          <w14:ligatures w14:val="none"/>
        </w:rPr>
        <w:t>Treatment Approaches</w:t>
      </w:r>
    </w:p>
    <w:p w14:paraId="40711B71"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NICE recommends psychosocial interventions, not medication for core features. Medication is only for co-occurring conditions like anxiety or ADHD (NICE, 2021). No medication can change core autism </w:t>
      </w:r>
      <w:proofErr w:type="gramStart"/>
      <w:r w:rsidRPr="00D05146">
        <w:rPr>
          <w:rFonts w:ascii="Arial" w:hAnsi="Arial" w:cs="Arial"/>
          <w:color w:val="0F1115"/>
          <w:sz w:val="22"/>
          <w:szCs w:val="22"/>
        </w:rPr>
        <w:t>characteristics, but</w:t>
      </w:r>
      <w:proofErr w:type="gramEnd"/>
      <w:r w:rsidRPr="00D05146">
        <w:rPr>
          <w:rFonts w:ascii="Arial" w:hAnsi="Arial" w:cs="Arial"/>
          <w:color w:val="0F1115"/>
          <w:sz w:val="22"/>
          <w:szCs w:val="22"/>
        </w:rPr>
        <w:t xml:space="preserve"> can help with associated conditions.</w:t>
      </w:r>
    </w:p>
    <w:p w14:paraId="4E368BD3" w14:textId="605E6E11"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Early Intensive </w:t>
      </w:r>
      <w:proofErr w:type="spellStart"/>
      <w:r w:rsidRPr="00D05146">
        <w:rPr>
          <w:rFonts w:ascii="Arial" w:hAnsi="Arial" w:cs="Arial"/>
          <w:color w:val="0F1115"/>
          <w:sz w:val="22"/>
          <w:szCs w:val="22"/>
        </w:rPr>
        <w:t>Behavioral</w:t>
      </w:r>
      <w:proofErr w:type="spellEnd"/>
      <w:r w:rsidRPr="00D05146">
        <w:rPr>
          <w:rFonts w:ascii="Arial" w:hAnsi="Arial" w:cs="Arial"/>
          <w:color w:val="0F1115"/>
          <w:sz w:val="22"/>
          <w:szCs w:val="22"/>
        </w:rPr>
        <w:t xml:space="preserve"> Intervention (EIBI) involves 20-40 hours weekly of ABA-based therapy. A Cochrane Review found low-quality evidence: EIBI improves IQ and adaptive behaviour but not core autism symptoms (Reichow et al., 2018). The review included only one randomised controlled trial and four non-randomised studies. Ethical concerns exist about normalisation. Some autistic adults report that ABA tried to make them hide their autistic traits. Leaf et al. (2022), ABA practitioners themselves, now recommend focusing on meaningful skills, not making autistic people indistinguishable from </w:t>
      </w:r>
      <w:proofErr w:type="spellStart"/>
      <w:proofErr w:type="gramStart"/>
      <w:r w:rsidRPr="00D05146">
        <w:rPr>
          <w:rFonts w:ascii="Arial" w:hAnsi="Arial" w:cs="Arial"/>
          <w:color w:val="0F1115"/>
          <w:sz w:val="22"/>
          <w:szCs w:val="22"/>
        </w:rPr>
        <w:t>peers.They</w:t>
      </w:r>
      <w:proofErr w:type="spellEnd"/>
      <w:proofErr w:type="gramEnd"/>
      <w:r w:rsidRPr="00D05146">
        <w:rPr>
          <w:rFonts w:ascii="Arial" w:hAnsi="Arial" w:cs="Arial"/>
          <w:color w:val="0F1115"/>
          <w:sz w:val="22"/>
          <w:szCs w:val="22"/>
        </w:rPr>
        <w:t xml:space="preserve"> acknowledge past practices included punishment and lack of autonomy, which are no longer acceptable.</w:t>
      </w:r>
    </w:p>
    <w:p w14:paraId="1D9F0C53"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Family therapy is widely used, but a Cochrane Review found no RCTs evaluating it for autism (Spain et al., 2017). Its effectiveness is unknown. Given how often it is offered, this is a significant gap.</w:t>
      </w:r>
    </w:p>
    <w:p w14:paraId="79A88A7D"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Despite NICE guidance, autistic people are 7 times more likely to be prescribed antipsychotics (NHS England, 2024). Side effects include weight gain, diabetes, and sedation. The STOMP programme aims to reduce overmedication, but progress is slow.</w:t>
      </w:r>
    </w:p>
    <w:p w14:paraId="51D5E268"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The Pre-school Autism Communication Therapy (PACT), developed in the UK, has stronger evidence. PACT focuses on adapting parent-child interaction. Therapists video parents playing with their child and provide feedback. Research shows PACT improves outcomes, with effects lasting for years (Green, 2023).</w:t>
      </w:r>
    </w:p>
    <w:p w14:paraId="155B9982" w14:textId="448E4BA0"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Access to evidence-based treatments is inconsistent.</w:t>
      </w:r>
      <w:r w:rsidR="003B2A49">
        <w:rPr>
          <w:rFonts w:ascii="Arial" w:hAnsi="Arial" w:cs="Arial"/>
          <w:color w:val="0F1115"/>
          <w:sz w:val="22"/>
          <w:szCs w:val="22"/>
        </w:rPr>
        <w:t xml:space="preserve"> </w:t>
      </w:r>
      <w:r w:rsidRPr="00D05146">
        <w:rPr>
          <w:rFonts w:ascii="Arial" w:hAnsi="Arial" w:cs="Arial"/>
          <w:color w:val="0F1115"/>
          <w:sz w:val="22"/>
          <w:szCs w:val="22"/>
        </w:rPr>
        <w:t>Post-diagnostic support is geographically inequitable and inadequate (Crowson et al., 2024). Some areas have specialist teams; others have nothing. Many families turn to unproven interventions.</w:t>
      </w:r>
    </w:p>
    <w:p w14:paraId="761CCF03"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Cognitive behavioural therapy (CBT) can help with co-occurring anxiety and </w:t>
      </w:r>
      <w:proofErr w:type="gramStart"/>
      <w:r w:rsidRPr="00D05146">
        <w:rPr>
          <w:rFonts w:ascii="Arial" w:hAnsi="Arial" w:cs="Arial"/>
          <w:color w:val="0F1115"/>
          <w:sz w:val="22"/>
          <w:szCs w:val="22"/>
        </w:rPr>
        <w:t>depression, but</w:t>
      </w:r>
      <w:proofErr w:type="gramEnd"/>
      <w:r w:rsidRPr="00D05146">
        <w:rPr>
          <w:rFonts w:ascii="Arial" w:hAnsi="Arial" w:cs="Arial"/>
          <w:color w:val="0F1115"/>
          <w:sz w:val="22"/>
          <w:szCs w:val="22"/>
        </w:rPr>
        <w:t xml:space="preserve"> must be adapted using visual materials and concrete examples (NICE, 2021).</w:t>
      </w:r>
    </w:p>
    <w:p w14:paraId="4A3EAE89" w14:textId="77777777" w:rsidR="008E33FD" w:rsidRPr="00D05146"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lastRenderedPageBreak/>
        <w:t>Speech and language therapy and occupational therapy are core components of UK support, but access depends on local commissioning and long waiting lists.</w:t>
      </w:r>
    </w:p>
    <w:p w14:paraId="26424E37" w14:textId="77777777" w:rsidR="00E45E05" w:rsidRDefault="008E33FD"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Treatment should be individualised. Leaf et al. (2022) emphasise that goals should be meaningful to the individual, not focused on normalisation.</w:t>
      </w:r>
    </w:p>
    <w:p w14:paraId="0782EC04" w14:textId="4120E6C8" w:rsidR="00F106A6" w:rsidRPr="00F106A6" w:rsidRDefault="00F106A6" w:rsidP="00AB3FA6">
      <w:pPr>
        <w:pStyle w:val="ds-markdown-paragraph"/>
        <w:spacing w:before="240" w:beforeAutospacing="0" w:after="240" w:afterAutospacing="0" w:line="360" w:lineRule="auto"/>
        <w:jc w:val="both"/>
        <w:rPr>
          <w:rFonts w:ascii="Arial" w:hAnsi="Arial" w:cs="Arial"/>
          <w:color w:val="0F1115"/>
          <w:sz w:val="22"/>
          <w:szCs w:val="22"/>
        </w:rPr>
      </w:pPr>
      <w:r w:rsidRPr="00F106A6">
        <w:rPr>
          <w:rFonts w:ascii="Arial" w:hAnsi="Arial" w:cs="Arial"/>
          <w:b/>
          <w:bCs/>
          <w:color w:val="0F1115"/>
          <w:sz w:val="32"/>
          <w:szCs w:val="32"/>
        </w:rPr>
        <w:t>Rehabilitation &amp; Long-Term Management</w:t>
      </w:r>
    </w:p>
    <w:p w14:paraId="44A5003D" w14:textId="06D582D8"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Crowson et al. (2024) asked autistic adults what they wanted after diagnosis. Using co-produced research, they found five top priorities: access to local support, training for professionals, support to process late diagnosis, choice of contact method, and individualised support plans. The Care Act 2014 requires such planning, but implementation is inconsistent. Support remains</w:t>
      </w:r>
      <w:r w:rsidR="00811A04"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geographically inequitable and, in general, considered inadequate</w:t>
      </w:r>
      <w:r w:rsidR="00811A04"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 xml:space="preserve">(Crowson et al., 2024). Many autistic adults report that after the </w:t>
      </w:r>
      <w:proofErr w:type="gramStart"/>
      <w:r w:rsidRPr="00F106A6">
        <w:rPr>
          <w:rFonts w:ascii="Arial" w:eastAsia="Times New Roman" w:hAnsi="Arial" w:cs="Arial"/>
          <w:color w:val="0F1115"/>
          <w:kern w:val="0"/>
          <w:sz w:val="22"/>
          <w:szCs w:val="22"/>
          <w:lang w:eastAsia="en-GB"/>
          <w14:ligatures w14:val="none"/>
        </w:rPr>
        <w:t>diagnosis,</w:t>
      </w:r>
      <w:proofErr w:type="gramEnd"/>
      <w:r w:rsidRPr="00F106A6">
        <w:rPr>
          <w:rFonts w:ascii="Arial" w:eastAsia="Times New Roman" w:hAnsi="Arial" w:cs="Arial"/>
          <w:color w:val="0F1115"/>
          <w:kern w:val="0"/>
          <w:sz w:val="22"/>
          <w:szCs w:val="22"/>
          <w:lang w:eastAsia="en-GB"/>
          <w14:ligatures w14:val="none"/>
        </w:rPr>
        <w:t xml:space="preserve"> they are given a piece of paper and sent away with no further help.</w:t>
      </w:r>
    </w:p>
    <w:p w14:paraId="0906FEA4" w14:textId="77777777"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 xml:space="preserve">Employment outcomes are poor despite the Equality Act 2010. The Stedman v Haven Leisure Ltd (2025) case confirmed that a clinical diagnosis proves disability, and employers must </w:t>
      </w:r>
      <w:proofErr w:type="gramStart"/>
      <w:r w:rsidRPr="00F106A6">
        <w:rPr>
          <w:rFonts w:ascii="Arial" w:eastAsia="Times New Roman" w:hAnsi="Arial" w:cs="Arial"/>
          <w:color w:val="0F1115"/>
          <w:kern w:val="0"/>
          <w:sz w:val="22"/>
          <w:szCs w:val="22"/>
          <w:lang w:eastAsia="en-GB"/>
          <w14:ligatures w14:val="none"/>
        </w:rPr>
        <w:t>make adjustments</w:t>
      </w:r>
      <w:proofErr w:type="gramEnd"/>
      <w:r w:rsidRPr="00F106A6">
        <w:rPr>
          <w:rFonts w:ascii="Arial" w:eastAsia="Times New Roman" w:hAnsi="Arial" w:cs="Arial"/>
          <w:color w:val="0F1115"/>
          <w:kern w:val="0"/>
          <w:sz w:val="22"/>
          <w:szCs w:val="22"/>
          <w:lang w:eastAsia="en-GB"/>
          <w14:ligatures w14:val="none"/>
        </w:rPr>
        <w:t xml:space="preserve"> from recruitment. Adjustments might include flexible working hours, written instructions rather than verbal, quiet workspaces, or support with social aspects of work. However, discrimination and lack of understanding persist. Many autistic adults are unemployed or underemployed despite having skills and qualifications.</w:t>
      </w:r>
    </w:p>
    <w:p w14:paraId="6C63869C" w14:textId="594A80A6"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The inpatient crisis is severe. In February 2025, 2,055 autistic people and people with learning disabilities were in mental health hospitals</w:t>
      </w:r>
      <w:r w:rsidR="00811A04" w:rsidRPr="00D05146">
        <w:rPr>
          <w:rFonts w:ascii="Arial" w:eastAsia="Times New Roman" w:hAnsi="Arial" w:cs="Arial"/>
          <w:color w:val="0F1115"/>
          <w:kern w:val="0"/>
          <w:sz w:val="22"/>
          <w:szCs w:val="22"/>
          <w:lang w:eastAsia="en-GB"/>
          <w14:ligatures w14:val="none"/>
        </w:rPr>
        <w:t xml:space="preserve">, </w:t>
      </w:r>
      <w:r w:rsidRPr="00F106A6">
        <w:rPr>
          <w:rFonts w:ascii="Arial" w:eastAsia="Times New Roman" w:hAnsi="Arial" w:cs="Arial"/>
          <w:color w:val="0F1115"/>
          <w:kern w:val="0"/>
          <w:sz w:val="22"/>
          <w:szCs w:val="22"/>
          <w:lang w:eastAsia="en-GB"/>
          <w14:ligatures w14:val="none"/>
        </w:rPr>
        <w:t>71% autistic, 96% of children under 18 (National Autistic Society, 2025). Average stay is 4.9 years; 90% are detained under the Mental Health Act. Many are far from home, making it difficult for families to visit. The Government missed its target to reduce these numbers by 50% by March 2024. Campaigners say the target will not be met until 2029 at the current rate of progress.</w:t>
      </w:r>
    </w:p>
    <w:p w14:paraId="412FEEE1" w14:textId="77777777" w:rsidR="00F106A6" w:rsidRPr="00F106A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The Mental Health Bill would stop autistic people being detained solely for being autistic. But campaigners warn this requires adequate community services. Without them, people will still be detained because there is nowhere else to go. Community services needed include crisis houses, intensive home support, specialist autism residential placements, and well-trained community teams. Currently, these are in short supply.</w:t>
      </w:r>
    </w:p>
    <w:p w14:paraId="47850536" w14:textId="77777777" w:rsidR="00B221C6" w:rsidRPr="00D05146" w:rsidRDefault="00F106A6" w:rsidP="00AB3FA6">
      <w:pPr>
        <w:spacing w:before="240" w:after="240" w:line="360" w:lineRule="auto"/>
        <w:jc w:val="both"/>
        <w:rPr>
          <w:rFonts w:ascii="Arial" w:eastAsia="Times New Roman" w:hAnsi="Arial" w:cs="Arial"/>
          <w:color w:val="0F1115"/>
          <w:kern w:val="0"/>
          <w:sz w:val="22"/>
          <w:szCs w:val="22"/>
          <w:lang w:eastAsia="en-GB"/>
          <w14:ligatures w14:val="none"/>
        </w:rPr>
      </w:pPr>
      <w:r w:rsidRPr="00F106A6">
        <w:rPr>
          <w:rFonts w:ascii="Arial" w:eastAsia="Times New Roman" w:hAnsi="Arial" w:cs="Arial"/>
          <w:color w:val="0F1115"/>
          <w:kern w:val="0"/>
          <w:sz w:val="22"/>
          <w:szCs w:val="22"/>
          <w:lang w:eastAsia="en-GB"/>
          <w14:ligatures w14:val="none"/>
        </w:rPr>
        <w:t xml:space="preserve">Annual health checks are offered to people with learning disabilities but not to all autistic people. Given the health inequalities documented by Ward et al. (2023), this should change. Autistic people have higher rates of physical health problems including epilepsy, </w:t>
      </w:r>
      <w:r w:rsidRPr="00F106A6">
        <w:rPr>
          <w:rFonts w:ascii="Arial" w:eastAsia="Times New Roman" w:hAnsi="Arial" w:cs="Arial"/>
          <w:color w:val="0F1115"/>
          <w:kern w:val="0"/>
          <w:sz w:val="22"/>
          <w:szCs w:val="22"/>
          <w:lang w:eastAsia="en-GB"/>
          <w14:ligatures w14:val="none"/>
        </w:rPr>
        <w:lastRenderedPageBreak/>
        <w:t>gastrointestinal disorders, and sleep problems. They also face barriers accessing healthcare, including communication difficulties and sensory sensitivities in clinical environments.</w:t>
      </w:r>
    </w:p>
    <w:p w14:paraId="6A12BF64" w14:textId="55520B36" w:rsidR="00F106A6" w:rsidRPr="00D05146" w:rsidRDefault="00F106A6" w:rsidP="00AB3FA6">
      <w:pPr>
        <w:spacing w:before="240" w:after="240" w:line="360" w:lineRule="auto"/>
        <w:jc w:val="both"/>
        <w:rPr>
          <w:rFonts w:ascii="Arial" w:eastAsia="Times New Roman" w:hAnsi="Arial" w:cs="Arial"/>
          <w:b/>
          <w:bCs/>
          <w:color w:val="0F1115"/>
          <w:kern w:val="0"/>
          <w:sz w:val="32"/>
          <w:szCs w:val="32"/>
          <w:lang w:eastAsia="en-GB"/>
          <w14:ligatures w14:val="none"/>
        </w:rPr>
      </w:pPr>
      <w:r w:rsidRPr="00F106A6">
        <w:rPr>
          <w:rFonts w:ascii="Arial" w:eastAsia="Times New Roman" w:hAnsi="Arial" w:cs="Arial"/>
          <w:b/>
          <w:bCs/>
          <w:color w:val="0F1115"/>
          <w:kern w:val="0"/>
          <w:sz w:val="32"/>
          <w:szCs w:val="32"/>
          <w:lang w:eastAsia="en-GB"/>
          <w14:ligatures w14:val="none"/>
        </w:rPr>
        <w:t>Current Debates &amp; Emerging Issues</w:t>
      </w:r>
    </w:p>
    <w:p w14:paraId="25306685" w14:textId="00E10322" w:rsidR="0088261B" w:rsidRPr="0088261B" w:rsidRDefault="00813C7E" w:rsidP="00AB3FA6">
      <w:pPr>
        <w:spacing w:before="240" w:after="240" w:line="360" w:lineRule="auto"/>
        <w:jc w:val="both"/>
        <w:rPr>
          <w:rFonts w:ascii="Arial" w:eastAsia="Times New Roman" w:hAnsi="Arial" w:cs="Arial"/>
          <w:color w:val="0F1115"/>
          <w:kern w:val="0"/>
          <w:sz w:val="22"/>
          <w:szCs w:val="22"/>
          <w:lang w:eastAsia="en-GB"/>
          <w14:ligatures w14:val="none"/>
        </w:rPr>
      </w:pPr>
      <w:r w:rsidRPr="00D05146">
        <w:rPr>
          <w:rFonts w:ascii="Arial" w:eastAsia="Times New Roman" w:hAnsi="Arial" w:cs="Arial"/>
          <w:color w:val="0F1115"/>
          <w:kern w:val="0"/>
          <w:sz w:val="22"/>
          <w:szCs w:val="22"/>
          <w:lang w:eastAsia="en-GB"/>
          <w14:ligatures w14:val="none"/>
        </w:rPr>
        <w:t>T</w:t>
      </w:r>
      <w:r w:rsidR="0088261B" w:rsidRPr="0088261B">
        <w:rPr>
          <w:rFonts w:ascii="Arial" w:eastAsia="Times New Roman" w:hAnsi="Arial" w:cs="Arial"/>
          <w:color w:val="0F1115"/>
          <w:kern w:val="0"/>
          <w:sz w:val="22"/>
          <w:szCs w:val="22"/>
          <w:lang w:eastAsia="en-GB"/>
          <w14:ligatures w14:val="none"/>
        </w:rPr>
        <w:t>he neurodiversity movement views autism as natural variation, not disease. Dr Monique Botha states it gives autistic people a way of conceptualising ourselves as fundamentally worthy</w:t>
      </w:r>
      <w:r w:rsidR="009D3239" w:rsidRPr="00D05146">
        <w:rPr>
          <w:rFonts w:ascii="Arial" w:eastAsia="Times New Roman" w:hAnsi="Arial" w:cs="Arial"/>
          <w:color w:val="0F1115"/>
          <w:kern w:val="0"/>
          <w:sz w:val="22"/>
          <w:szCs w:val="22"/>
          <w:lang w:eastAsia="en-GB"/>
          <w14:ligatures w14:val="none"/>
        </w:rPr>
        <w:t xml:space="preserve"> </w:t>
      </w:r>
      <w:r w:rsidR="0088261B" w:rsidRPr="0088261B">
        <w:rPr>
          <w:rFonts w:ascii="Arial" w:eastAsia="Times New Roman" w:hAnsi="Arial" w:cs="Arial"/>
          <w:color w:val="0F1115"/>
          <w:kern w:val="0"/>
          <w:sz w:val="22"/>
          <w:szCs w:val="22"/>
          <w:lang w:eastAsia="en-GB"/>
          <w14:ligatures w14:val="none"/>
        </w:rPr>
        <w:t xml:space="preserve">(Sample, 2024). Professor Francesca </w:t>
      </w:r>
      <w:proofErr w:type="spellStart"/>
      <w:r w:rsidR="0088261B" w:rsidRPr="0088261B">
        <w:rPr>
          <w:rFonts w:ascii="Arial" w:eastAsia="Times New Roman" w:hAnsi="Arial" w:cs="Arial"/>
          <w:color w:val="0F1115"/>
          <w:kern w:val="0"/>
          <w:sz w:val="22"/>
          <w:szCs w:val="22"/>
          <w:lang w:eastAsia="en-GB"/>
          <w14:ligatures w14:val="none"/>
        </w:rPr>
        <w:t>Happé</w:t>
      </w:r>
      <w:proofErr w:type="spellEnd"/>
      <w:r w:rsidR="0088261B" w:rsidRPr="0088261B">
        <w:rPr>
          <w:rFonts w:ascii="Arial" w:eastAsia="Times New Roman" w:hAnsi="Arial" w:cs="Arial"/>
          <w:color w:val="0F1115"/>
          <w:kern w:val="0"/>
          <w:sz w:val="22"/>
          <w:szCs w:val="22"/>
          <w:lang w:eastAsia="en-GB"/>
          <w14:ligatures w14:val="none"/>
        </w:rPr>
        <w:t xml:space="preserve"> explains: We no longer talk about curing or treating autism... but we do try and improve the things that go along with it</w:t>
      </w:r>
      <w:r w:rsidR="009D3239" w:rsidRPr="00D05146">
        <w:rPr>
          <w:rFonts w:ascii="Arial" w:eastAsia="Times New Roman" w:hAnsi="Arial" w:cs="Arial"/>
          <w:color w:val="0F1115"/>
          <w:kern w:val="0"/>
          <w:sz w:val="22"/>
          <w:szCs w:val="22"/>
          <w:lang w:eastAsia="en-GB"/>
          <w14:ligatures w14:val="none"/>
        </w:rPr>
        <w:t xml:space="preserve"> </w:t>
      </w:r>
      <w:r w:rsidR="0088261B" w:rsidRPr="0088261B">
        <w:rPr>
          <w:rFonts w:ascii="Arial" w:eastAsia="Times New Roman" w:hAnsi="Arial" w:cs="Arial"/>
          <w:color w:val="0F1115"/>
          <w:kern w:val="0"/>
          <w:sz w:val="22"/>
          <w:szCs w:val="22"/>
          <w:lang w:eastAsia="en-GB"/>
          <w14:ligatures w14:val="none"/>
        </w:rPr>
        <w:t>(Sample, 2024). Research now focuses on quality of life rather than eliminating autistic traits.</w:t>
      </w:r>
    </w:p>
    <w:p w14:paraId="4CD9C85E" w14:textId="46761827" w:rsidR="0088261B" w:rsidRP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proofErr w:type="spellStart"/>
      <w:r w:rsidRPr="0088261B">
        <w:rPr>
          <w:rFonts w:ascii="Arial" w:eastAsia="Times New Roman" w:hAnsi="Arial" w:cs="Arial"/>
          <w:color w:val="0F1115"/>
          <w:kern w:val="0"/>
          <w:sz w:val="22"/>
          <w:szCs w:val="22"/>
          <w:lang w:eastAsia="en-GB"/>
          <w14:ligatures w14:val="none"/>
        </w:rPr>
        <w:t>Sonuga</w:t>
      </w:r>
      <w:proofErr w:type="spellEnd"/>
      <w:r w:rsidRPr="0088261B">
        <w:rPr>
          <w:rFonts w:ascii="Arial" w:eastAsia="Times New Roman" w:hAnsi="Arial" w:cs="Arial"/>
          <w:color w:val="0F1115"/>
          <w:kern w:val="0"/>
          <w:sz w:val="22"/>
          <w:szCs w:val="22"/>
          <w:lang w:eastAsia="en-GB"/>
          <w14:ligatures w14:val="none"/>
        </w:rPr>
        <w:t>-Barke and Thapar (2025) propose moving neurodevelopmental conditions out of the mental health chapter. They argue autism is not a mental illness but a different way of processing the world. Green (2023) offers an emergent and transactional</w:t>
      </w:r>
      <w:r w:rsidR="00E665B6" w:rsidRPr="00D05146">
        <w:rPr>
          <w:rFonts w:ascii="Arial" w:eastAsia="Times New Roman" w:hAnsi="Arial" w:cs="Arial"/>
          <w:color w:val="0F1115"/>
          <w:kern w:val="0"/>
          <w:sz w:val="22"/>
          <w:szCs w:val="22"/>
          <w:lang w:eastAsia="en-GB"/>
          <w14:ligatures w14:val="none"/>
        </w:rPr>
        <w:t xml:space="preserve"> </w:t>
      </w:r>
      <w:r w:rsidRPr="0088261B">
        <w:rPr>
          <w:rFonts w:ascii="Arial" w:eastAsia="Times New Roman" w:hAnsi="Arial" w:cs="Arial"/>
          <w:color w:val="0F1115"/>
          <w:kern w:val="0"/>
          <w:sz w:val="22"/>
          <w:szCs w:val="22"/>
          <w:lang w:eastAsia="en-GB"/>
          <w14:ligatures w14:val="none"/>
        </w:rPr>
        <w:t>model bridging medical and neurodiversity views. This suggests difficulties emerge from interaction with environment, not just the person.</w:t>
      </w:r>
    </w:p>
    <w:p w14:paraId="59E8A5FF" w14:textId="77777777" w:rsidR="0088261B" w:rsidRP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r w:rsidRPr="0088261B">
        <w:rPr>
          <w:rFonts w:ascii="Arial" w:eastAsia="Times New Roman" w:hAnsi="Arial" w:cs="Arial"/>
          <w:color w:val="0F1115"/>
          <w:kern w:val="0"/>
          <w:sz w:val="22"/>
          <w:szCs w:val="22"/>
          <w:lang w:eastAsia="en-GB"/>
          <w14:ligatures w14:val="none"/>
        </w:rPr>
        <w:t>Some parents of severely autistic children feel excluded from neurodiversity advocacy. Professor Patricia Howlin notes the spectrum includes those needing 24/7 care (Sample, 2024). Their children may have epilepsy, self-injury, or no speech. They need intensive support, not just acceptance.</w:t>
      </w:r>
    </w:p>
    <w:p w14:paraId="4D351E66" w14:textId="1A5CA6B7" w:rsidR="0088261B" w:rsidRP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r w:rsidRPr="0088261B">
        <w:rPr>
          <w:rFonts w:ascii="Arial" w:eastAsia="Times New Roman" w:hAnsi="Arial" w:cs="Arial"/>
          <w:color w:val="0F1115"/>
          <w:kern w:val="0"/>
          <w:sz w:val="22"/>
          <w:szCs w:val="22"/>
          <w:lang w:eastAsia="en-GB"/>
          <w14:ligatures w14:val="none"/>
        </w:rPr>
        <w:t>The profound autism category is debated. Supporters say it ensures this group is not forgotten. Critics say it divides the community. Green (2023) calls it conceptually muddling</w:t>
      </w:r>
      <w:r w:rsidR="00E665B6" w:rsidRPr="00D05146">
        <w:rPr>
          <w:rFonts w:ascii="Arial" w:eastAsia="Times New Roman" w:hAnsi="Arial" w:cs="Arial"/>
          <w:color w:val="0F1115"/>
          <w:kern w:val="0"/>
          <w:sz w:val="22"/>
          <w:szCs w:val="22"/>
          <w:lang w:eastAsia="en-GB"/>
          <w14:ligatures w14:val="none"/>
        </w:rPr>
        <w:t xml:space="preserve"> </w:t>
      </w:r>
      <w:r w:rsidRPr="0088261B">
        <w:rPr>
          <w:rFonts w:ascii="Arial" w:eastAsia="Times New Roman" w:hAnsi="Arial" w:cs="Arial"/>
          <w:color w:val="0F1115"/>
          <w:kern w:val="0"/>
          <w:sz w:val="22"/>
          <w:szCs w:val="22"/>
          <w:lang w:eastAsia="en-GB"/>
          <w14:ligatures w14:val="none"/>
        </w:rPr>
        <w:t>as difficulties relate to intellectual disability, not autism itself.</w:t>
      </w:r>
    </w:p>
    <w:p w14:paraId="09DC0513" w14:textId="38F91405" w:rsidR="0088261B" w:rsidRP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r w:rsidRPr="0088261B">
        <w:rPr>
          <w:rFonts w:ascii="Arial" w:eastAsia="Times New Roman" w:hAnsi="Arial" w:cs="Arial"/>
          <w:color w:val="0F1115"/>
          <w:kern w:val="0"/>
          <w:sz w:val="22"/>
          <w:szCs w:val="22"/>
          <w:lang w:eastAsia="en-GB"/>
          <w14:ligatures w14:val="none"/>
        </w:rPr>
        <w:t>Autistic people die younger: 3 times higher mortality in Canada (</w:t>
      </w:r>
      <w:proofErr w:type="spellStart"/>
      <w:r w:rsidRPr="0088261B">
        <w:rPr>
          <w:rFonts w:ascii="Arial" w:eastAsia="Times New Roman" w:hAnsi="Arial" w:cs="Arial"/>
          <w:color w:val="0F1115"/>
          <w:kern w:val="0"/>
          <w:sz w:val="22"/>
          <w:szCs w:val="22"/>
          <w:lang w:eastAsia="en-GB"/>
          <w14:ligatures w14:val="none"/>
        </w:rPr>
        <w:t>Lunsky</w:t>
      </w:r>
      <w:proofErr w:type="spellEnd"/>
      <w:r w:rsidRPr="0088261B">
        <w:rPr>
          <w:rFonts w:ascii="Arial" w:eastAsia="Times New Roman" w:hAnsi="Arial" w:cs="Arial"/>
          <w:color w:val="0F1115"/>
          <w:kern w:val="0"/>
          <w:sz w:val="22"/>
          <w:szCs w:val="22"/>
          <w:lang w:eastAsia="en-GB"/>
          <w14:ligatures w14:val="none"/>
        </w:rPr>
        <w:t xml:space="preserve"> et al., 2022), 2 times in Australia (Hwang et al., 2019). </w:t>
      </w:r>
      <w:proofErr w:type="spellStart"/>
      <w:r w:rsidRPr="0088261B">
        <w:rPr>
          <w:rFonts w:ascii="Arial" w:eastAsia="Times New Roman" w:hAnsi="Arial" w:cs="Arial"/>
          <w:color w:val="0F1115"/>
          <w:kern w:val="0"/>
          <w:sz w:val="22"/>
          <w:szCs w:val="22"/>
          <w:lang w:eastAsia="en-GB"/>
          <w14:ligatures w14:val="none"/>
        </w:rPr>
        <w:t>Hirvikoski</w:t>
      </w:r>
      <w:proofErr w:type="spellEnd"/>
      <w:r w:rsidRPr="0088261B">
        <w:rPr>
          <w:rFonts w:ascii="Arial" w:eastAsia="Times New Roman" w:hAnsi="Arial" w:cs="Arial"/>
          <w:color w:val="0F1115"/>
          <w:kern w:val="0"/>
          <w:sz w:val="22"/>
          <w:szCs w:val="22"/>
          <w:lang w:eastAsia="en-GB"/>
          <w14:ligatures w14:val="none"/>
        </w:rPr>
        <w:t xml:space="preserve"> et al. (2016) found females with low functioning at highest risk, but higher functioning</w:t>
      </w:r>
      <w:r w:rsidR="00E108C3" w:rsidRPr="00D05146">
        <w:rPr>
          <w:rFonts w:ascii="Arial" w:eastAsia="Times New Roman" w:hAnsi="Arial" w:cs="Arial"/>
          <w:color w:val="0F1115"/>
          <w:kern w:val="0"/>
          <w:sz w:val="22"/>
          <w:szCs w:val="22"/>
          <w:lang w:eastAsia="en-GB"/>
          <w14:ligatures w14:val="none"/>
        </w:rPr>
        <w:t xml:space="preserve"> </w:t>
      </w:r>
      <w:r w:rsidRPr="0088261B">
        <w:rPr>
          <w:rFonts w:ascii="Arial" w:eastAsia="Times New Roman" w:hAnsi="Arial" w:cs="Arial"/>
          <w:color w:val="0F1115"/>
          <w:kern w:val="0"/>
          <w:sz w:val="22"/>
          <w:szCs w:val="22"/>
          <w:lang w:eastAsia="en-GB"/>
          <w14:ligatures w14:val="none"/>
        </w:rPr>
        <w:t>individuals have higher suicide risk. Those who mask may experience intense internal distress without others realising.</w:t>
      </w:r>
    </w:p>
    <w:p w14:paraId="58BB7175" w14:textId="77777777" w:rsidR="0088261B" w:rsidRP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r w:rsidRPr="0088261B">
        <w:rPr>
          <w:rFonts w:ascii="Arial" w:eastAsia="Times New Roman" w:hAnsi="Arial" w:cs="Arial"/>
          <w:color w:val="0F1115"/>
          <w:kern w:val="0"/>
          <w:sz w:val="22"/>
          <w:szCs w:val="22"/>
          <w:lang w:eastAsia="en-GB"/>
          <w14:ligatures w14:val="none"/>
        </w:rPr>
        <w:t>UK research shows poorer physical health and healthcare quality (Ward et al., 2023). Autistic people feel misunderstood by doctors. Socioeconomic and ethnic disparities exist: Roman-</w:t>
      </w:r>
      <w:proofErr w:type="spellStart"/>
      <w:r w:rsidRPr="0088261B">
        <w:rPr>
          <w:rFonts w:ascii="Arial" w:eastAsia="Times New Roman" w:hAnsi="Arial" w:cs="Arial"/>
          <w:color w:val="0F1115"/>
          <w:kern w:val="0"/>
          <w:sz w:val="22"/>
          <w:szCs w:val="22"/>
          <w:lang w:eastAsia="en-GB"/>
          <w14:ligatures w14:val="none"/>
        </w:rPr>
        <w:t>Urrestarazu</w:t>
      </w:r>
      <w:proofErr w:type="spellEnd"/>
      <w:r w:rsidRPr="0088261B">
        <w:rPr>
          <w:rFonts w:ascii="Arial" w:eastAsia="Times New Roman" w:hAnsi="Arial" w:cs="Arial"/>
          <w:color w:val="0F1115"/>
          <w:kern w:val="0"/>
          <w:sz w:val="22"/>
          <w:szCs w:val="22"/>
          <w:lang w:eastAsia="en-GB"/>
          <w14:ligatures w14:val="none"/>
        </w:rPr>
        <w:t xml:space="preserve"> et al. (2021) found higher autism prevalence in black and Chinese boys linked to deprivation.</w:t>
      </w:r>
    </w:p>
    <w:p w14:paraId="29FC8141" w14:textId="464E24E4" w:rsidR="0088261B" w:rsidRDefault="0088261B" w:rsidP="00AB3FA6">
      <w:pPr>
        <w:spacing w:before="240" w:after="240" w:line="360" w:lineRule="auto"/>
        <w:jc w:val="both"/>
        <w:rPr>
          <w:rFonts w:ascii="Arial" w:eastAsia="Times New Roman" w:hAnsi="Arial" w:cs="Arial"/>
          <w:color w:val="0F1115"/>
          <w:kern w:val="0"/>
          <w:sz w:val="22"/>
          <w:szCs w:val="22"/>
          <w:lang w:eastAsia="en-GB"/>
          <w14:ligatures w14:val="none"/>
        </w:rPr>
      </w:pPr>
      <w:r w:rsidRPr="0088261B">
        <w:rPr>
          <w:rFonts w:ascii="Arial" w:eastAsia="Times New Roman" w:hAnsi="Arial" w:cs="Arial"/>
          <w:color w:val="0F1115"/>
          <w:kern w:val="0"/>
          <w:sz w:val="22"/>
          <w:szCs w:val="22"/>
          <w:lang w:eastAsia="en-GB"/>
          <w14:ligatures w14:val="none"/>
        </w:rPr>
        <w:t>France remains an outlier, using psychoanalysis for autism despite no evidence. Psychoanalysts blame mothers (</w:t>
      </w:r>
      <w:r w:rsidR="00BA19E0" w:rsidRPr="00D05146">
        <w:rPr>
          <w:rFonts w:ascii="Arial" w:eastAsia="Times New Roman" w:hAnsi="Arial" w:cs="Arial"/>
          <w:color w:val="0F1115"/>
          <w:kern w:val="0"/>
          <w:sz w:val="22"/>
          <w:szCs w:val="22"/>
          <w:lang w:eastAsia="en-GB"/>
          <w14:ligatures w14:val="none"/>
        </w:rPr>
        <w:t>r</w:t>
      </w:r>
      <w:r w:rsidRPr="0088261B">
        <w:rPr>
          <w:rFonts w:ascii="Arial" w:eastAsia="Times New Roman" w:hAnsi="Arial" w:cs="Arial"/>
          <w:color w:val="0F1115"/>
          <w:kern w:val="0"/>
          <w:sz w:val="22"/>
          <w:szCs w:val="22"/>
          <w:lang w:eastAsia="en-GB"/>
          <w14:ligatures w14:val="none"/>
        </w:rPr>
        <w:t>efrigerator mothers), a theory rejected elsewhere. This persists due to powerful professional networks (Bishop and Swendsen, 2021).</w:t>
      </w:r>
    </w:p>
    <w:p w14:paraId="701140B2" w14:textId="77777777" w:rsidR="00F106A6" w:rsidRPr="00D05146" w:rsidRDefault="00F106A6" w:rsidP="00AB3FA6">
      <w:pPr>
        <w:spacing w:before="480" w:after="240" w:line="360" w:lineRule="auto"/>
        <w:jc w:val="both"/>
        <w:outlineLvl w:val="1"/>
        <w:rPr>
          <w:rFonts w:ascii="Arial" w:eastAsia="Times New Roman" w:hAnsi="Arial" w:cs="Arial"/>
          <w:b/>
          <w:bCs/>
          <w:color w:val="0F1115"/>
          <w:kern w:val="0"/>
          <w:sz w:val="32"/>
          <w:szCs w:val="32"/>
          <w:lang w:eastAsia="en-GB"/>
          <w14:ligatures w14:val="none"/>
        </w:rPr>
      </w:pPr>
      <w:r w:rsidRPr="00F106A6">
        <w:rPr>
          <w:rFonts w:ascii="Arial" w:eastAsia="Times New Roman" w:hAnsi="Arial" w:cs="Arial"/>
          <w:b/>
          <w:bCs/>
          <w:color w:val="0F1115"/>
          <w:kern w:val="0"/>
          <w:sz w:val="32"/>
          <w:szCs w:val="32"/>
          <w:lang w:eastAsia="en-GB"/>
          <w14:ligatures w14:val="none"/>
        </w:rPr>
        <w:lastRenderedPageBreak/>
        <w:t>Recommendations</w:t>
      </w:r>
    </w:p>
    <w:p w14:paraId="475106D5"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Style w:val="Strong"/>
          <w:rFonts w:ascii="Arial" w:eastAsiaTheme="majorEastAsia" w:hAnsi="Arial" w:cs="Arial"/>
          <w:color w:val="0F1115"/>
          <w:sz w:val="22"/>
          <w:szCs w:val="22"/>
        </w:rPr>
        <w:t>Diagnosis</w:t>
      </w:r>
      <w:r w:rsidRPr="00D05146">
        <w:rPr>
          <w:rFonts w:ascii="Arial" w:hAnsi="Arial" w:cs="Arial"/>
          <w:color w:val="0F1115"/>
          <w:sz w:val="22"/>
          <w:szCs w:val="22"/>
        </w:rPr>
        <w:t>: Enforce the 13-week NICE standard. Waiting lists of over 236,000 must be treated as a clinical emergency. Train clinicians to recognise female presentations and masking, as girls like Ellie are currently missed. Ensure multidisciplinary teams are fully staffed with trained professionals (Parr et al., 2021). Increase the number of trained ADOS-2 assessors.</w:t>
      </w:r>
    </w:p>
    <w:p w14:paraId="0A7FFDDD"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Style w:val="Strong"/>
          <w:rFonts w:ascii="Arial" w:eastAsiaTheme="majorEastAsia" w:hAnsi="Arial" w:cs="Arial"/>
          <w:color w:val="0F1115"/>
          <w:sz w:val="22"/>
          <w:szCs w:val="22"/>
        </w:rPr>
        <w:t>Treatment</w:t>
      </w:r>
      <w:r w:rsidRPr="00D05146">
        <w:rPr>
          <w:rFonts w:ascii="Arial" w:hAnsi="Arial" w:cs="Arial"/>
          <w:color w:val="0F1115"/>
          <w:sz w:val="22"/>
          <w:szCs w:val="22"/>
        </w:rPr>
        <w:t>: Scale up STOMP nationally to reduce overmedication. Every autistic person should have an annual medication review. Use evidence-based interventions like PACT. When ABA is used, follow Leaf et al. (2022): focus on meaningful skills chosen by the individual, not making them "indistinguishable from peers." Commissioners should only fund interventions with evidence of effectiveness.</w:t>
      </w:r>
    </w:p>
    <w:p w14:paraId="6B3AAAA6"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Style w:val="Strong"/>
          <w:rFonts w:ascii="Arial" w:eastAsiaTheme="majorEastAsia" w:hAnsi="Arial" w:cs="Arial"/>
          <w:color w:val="0F1115"/>
          <w:sz w:val="22"/>
          <w:szCs w:val="22"/>
        </w:rPr>
        <w:t>Rehabilitation</w:t>
      </w:r>
      <w:r w:rsidRPr="00D05146">
        <w:rPr>
          <w:rFonts w:ascii="Arial" w:hAnsi="Arial" w:cs="Arial"/>
          <w:color w:val="0F1115"/>
          <w:sz w:val="22"/>
          <w:szCs w:val="22"/>
        </w:rPr>
        <w:t>: Fund post-diagnostic support based on Crowson et al. (2024) priorities: local support, trained professionals, help processing late diagnosis, and individualised plans. Implement Care Act 2014 duties consistently. Offer annual health checks to all autistic people to address health inequalities. Employment support should start early, with trained job coaches.</w:t>
      </w:r>
    </w:p>
    <w:p w14:paraId="44B19851"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Style w:val="Strong"/>
          <w:rFonts w:ascii="Arial" w:eastAsiaTheme="majorEastAsia" w:hAnsi="Arial" w:cs="Arial"/>
          <w:color w:val="0F1115"/>
          <w:sz w:val="22"/>
          <w:szCs w:val="22"/>
        </w:rPr>
        <w:t>Policy</w:t>
      </w:r>
      <w:r w:rsidRPr="00D05146">
        <w:rPr>
          <w:rFonts w:ascii="Arial" w:hAnsi="Arial" w:cs="Arial"/>
          <w:color w:val="0F1115"/>
          <w:sz w:val="22"/>
          <w:szCs w:val="22"/>
        </w:rPr>
        <w:t>: Pass the Mental Health Bill with guaranteed funding for community services. Without alternatives, people will still be detained. Enforce Equality Act 2010 duties with penalties for non-compliance. End the inpatient scandal by investing in crisis houses and specialist autism placements.</w:t>
      </w:r>
    </w:p>
    <w:p w14:paraId="6C2D388F"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Style w:val="Strong"/>
          <w:rFonts w:ascii="Arial" w:eastAsiaTheme="majorEastAsia" w:hAnsi="Arial" w:cs="Arial"/>
          <w:color w:val="0F1115"/>
          <w:sz w:val="22"/>
          <w:szCs w:val="22"/>
        </w:rPr>
        <w:t>Research</w:t>
      </w:r>
      <w:r w:rsidRPr="00D05146">
        <w:rPr>
          <w:rFonts w:ascii="Arial" w:hAnsi="Arial" w:cs="Arial"/>
          <w:color w:val="0F1115"/>
          <w:sz w:val="22"/>
          <w:szCs w:val="22"/>
        </w:rPr>
        <w:t>: Include profoundly autistic people in studies (Mathieu, 2026). Research intellectual disability separately from autism (Green, 2023). Involve autistic people in designing research at every stage.</w:t>
      </w:r>
    </w:p>
    <w:p w14:paraId="1DDFBDB0" w14:textId="77777777" w:rsidR="00407448" w:rsidRPr="00D05146" w:rsidRDefault="00407448"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NICE guidance must be mandatory. Services failing to meet the 13-week standard should face financial consequences. Investment in workforce training is essential.</w:t>
      </w:r>
    </w:p>
    <w:p w14:paraId="42E85EDF" w14:textId="77777777" w:rsidR="00F106A6" w:rsidRPr="00D05146" w:rsidRDefault="00F106A6" w:rsidP="00AB3FA6">
      <w:pPr>
        <w:spacing w:before="480" w:after="240" w:line="360" w:lineRule="auto"/>
        <w:jc w:val="both"/>
        <w:outlineLvl w:val="1"/>
        <w:rPr>
          <w:rFonts w:ascii="Arial" w:eastAsia="Times New Roman" w:hAnsi="Arial" w:cs="Arial"/>
          <w:b/>
          <w:bCs/>
          <w:color w:val="0F1115"/>
          <w:kern w:val="0"/>
          <w:sz w:val="32"/>
          <w:szCs w:val="32"/>
          <w:lang w:eastAsia="en-GB"/>
          <w14:ligatures w14:val="none"/>
        </w:rPr>
      </w:pPr>
      <w:r w:rsidRPr="00F106A6">
        <w:rPr>
          <w:rFonts w:ascii="Arial" w:eastAsia="Times New Roman" w:hAnsi="Arial" w:cs="Arial"/>
          <w:b/>
          <w:bCs/>
          <w:color w:val="0F1115"/>
          <w:kern w:val="0"/>
          <w:sz w:val="32"/>
          <w:szCs w:val="32"/>
          <w:lang w:eastAsia="en-GB"/>
          <w14:ligatures w14:val="none"/>
        </w:rPr>
        <w:t>Conclusion</w:t>
      </w:r>
    </w:p>
    <w:p w14:paraId="49838A12" w14:textId="77777777" w:rsidR="00230757" w:rsidRPr="00D05146" w:rsidRDefault="00230757"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 xml:space="preserve">CD-11's single spectrum with qualifiers is a clear improvement on ICD-10. It removes unreliable subtypes and allows for better description of individual differences through intellectual and language qualifiers. However, significant challenges remain. There are no biological markers for autism, so diagnosis relies on clinical judgement, which can be flawed. Gender bias means girls like Ellie are diagnosed late or missed entirely. Waiting lists exceed </w:t>
      </w:r>
      <w:r w:rsidRPr="00D05146">
        <w:rPr>
          <w:rFonts w:ascii="Arial" w:hAnsi="Arial" w:cs="Arial"/>
          <w:color w:val="0F1115"/>
          <w:sz w:val="22"/>
          <w:szCs w:val="22"/>
        </w:rPr>
        <w:lastRenderedPageBreak/>
        <w:t>236,000, leaving families in limbo for years. Evidence for many interventions is weak, yet overmedication with antipsychotics continues. The inpatient crisis sees 2,055 autistic people detained, 96% of them children, often far from home for years.</w:t>
      </w:r>
    </w:p>
    <w:p w14:paraId="56549FD7" w14:textId="77777777" w:rsidR="00230757" w:rsidRPr="00D05146" w:rsidRDefault="00230757"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The neurodiversity movement has usefully shifted thinking away from curing autism towards acceptance and quality of life. But profoundly autistic individuals with high support needs must not be forgotten in this narrative. The French example, where psychoanalysis persists despite no evidence, shows what happens when professional power overrides science.</w:t>
      </w:r>
    </w:p>
    <w:p w14:paraId="419D65EC" w14:textId="36BF5511" w:rsidR="00C276D3" w:rsidRPr="001C05D0" w:rsidRDefault="00230757" w:rsidP="00AB3FA6">
      <w:pPr>
        <w:pStyle w:val="ds-markdown-paragraph"/>
        <w:spacing w:before="240" w:beforeAutospacing="0" w:after="240" w:afterAutospacing="0" w:line="360" w:lineRule="auto"/>
        <w:jc w:val="both"/>
        <w:rPr>
          <w:rFonts w:ascii="Arial" w:hAnsi="Arial" w:cs="Arial"/>
          <w:color w:val="0F1115"/>
          <w:sz w:val="22"/>
          <w:szCs w:val="22"/>
        </w:rPr>
      </w:pPr>
      <w:r w:rsidRPr="00D05146">
        <w:rPr>
          <w:rFonts w:ascii="Arial" w:hAnsi="Arial" w:cs="Arial"/>
          <w:color w:val="0F1115"/>
          <w:sz w:val="22"/>
          <w:szCs w:val="22"/>
        </w:rPr>
        <w:t>Improving services requires both political will and sustained funding. Key recommendations include enforcing NICE standards, scaling up STOMP to reduce overmedication, funding post-diagnostic support based on what autistic adults say they need, passing the Mental Health Bill with guaranteed community services, and including profoundly autistic people in research. Autistic people and their families have been failed for too long. Evidence-based, adequately funded, and truly person-centred services are urgently needed across the UK</w:t>
      </w:r>
      <w:r w:rsidRPr="001C05D0">
        <w:rPr>
          <w:rFonts w:ascii="Arial" w:hAnsi="Arial" w:cs="Arial"/>
          <w:color w:val="0F1115"/>
          <w:sz w:val="22"/>
          <w:szCs w:val="22"/>
        </w:rPr>
        <w:t>.</w:t>
      </w:r>
    </w:p>
    <w:p w14:paraId="387F9358" w14:textId="77777777" w:rsidR="00C276D3" w:rsidRPr="001C05D0" w:rsidRDefault="00C276D3" w:rsidP="00AB3FA6">
      <w:pPr>
        <w:spacing w:line="360" w:lineRule="auto"/>
        <w:jc w:val="both"/>
        <w:rPr>
          <w:rFonts w:ascii="Arial" w:hAnsi="Arial" w:cs="Arial"/>
          <w:sz w:val="22"/>
          <w:szCs w:val="22"/>
          <w:lang w:eastAsia="en-GB"/>
        </w:rPr>
      </w:pPr>
    </w:p>
    <w:p w14:paraId="7C7597D3" w14:textId="77777777" w:rsidR="006555F0" w:rsidRDefault="006555F0" w:rsidP="00AB3FA6">
      <w:pPr>
        <w:spacing w:line="360" w:lineRule="auto"/>
        <w:jc w:val="both"/>
        <w:rPr>
          <w:rFonts w:ascii="Arial" w:hAnsi="Arial" w:cs="Arial"/>
          <w:sz w:val="22"/>
          <w:szCs w:val="22"/>
          <w:lang w:eastAsia="en-GB"/>
        </w:rPr>
      </w:pPr>
    </w:p>
    <w:p w14:paraId="495B32B0" w14:textId="77777777" w:rsidR="006555F0" w:rsidRDefault="006555F0" w:rsidP="00F44FEA">
      <w:pPr>
        <w:spacing w:line="360" w:lineRule="auto"/>
        <w:jc w:val="both"/>
        <w:rPr>
          <w:rFonts w:ascii="Arial" w:hAnsi="Arial" w:cs="Arial"/>
          <w:sz w:val="22"/>
          <w:szCs w:val="22"/>
          <w:lang w:eastAsia="en-GB"/>
        </w:rPr>
      </w:pPr>
    </w:p>
    <w:p w14:paraId="05E03568" w14:textId="77777777" w:rsidR="006555F0" w:rsidRDefault="006555F0" w:rsidP="00F44FEA">
      <w:pPr>
        <w:spacing w:line="360" w:lineRule="auto"/>
        <w:jc w:val="both"/>
        <w:rPr>
          <w:rFonts w:ascii="Arial" w:hAnsi="Arial" w:cs="Arial"/>
          <w:sz w:val="22"/>
          <w:szCs w:val="22"/>
          <w:lang w:eastAsia="en-GB"/>
        </w:rPr>
      </w:pPr>
    </w:p>
    <w:p w14:paraId="70099553" w14:textId="77777777" w:rsidR="008F49BA" w:rsidRDefault="008F49BA" w:rsidP="00F44FEA">
      <w:pPr>
        <w:spacing w:line="360" w:lineRule="auto"/>
        <w:jc w:val="both"/>
        <w:rPr>
          <w:rFonts w:ascii="Arial" w:hAnsi="Arial" w:cs="Arial"/>
          <w:sz w:val="22"/>
          <w:szCs w:val="22"/>
          <w:lang w:eastAsia="en-GB"/>
        </w:rPr>
      </w:pPr>
    </w:p>
    <w:p w14:paraId="6FDDFD76" w14:textId="77777777" w:rsidR="008F49BA" w:rsidRDefault="008F49BA" w:rsidP="00F44FEA">
      <w:pPr>
        <w:spacing w:line="360" w:lineRule="auto"/>
        <w:jc w:val="both"/>
        <w:rPr>
          <w:rFonts w:ascii="Arial" w:hAnsi="Arial" w:cs="Arial"/>
          <w:sz w:val="22"/>
          <w:szCs w:val="22"/>
          <w:lang w:eastAsia="en-GB"/>
        </w:rPr>
      </w:pPr>
    </w:p>
    <w:p w14:paraId="7C108111" w14:textId="77777777" w:rsidR="008F49BA" w:rsidRDefault="008F49BA" w:rsidP="00F44FEA">
      <w:pPr>
        <w:spacing w:line="360" w:lineRule="auto"/>
        <w:jc w:val="both"/>
        <w:rPr>
          <w:rFonts w:ascii="Arial" w:hAnsi="Arial" w:cs="Arial"/>
          <w:sz w:val="22"/>
          <w:szCs w:val="22"/>
          <w:lang w:eastAsia="en-GB"/>
        </w:rPr>
      </w:pPr>
    </w:p>
    <w:p w14:paraId="1373FA2B" w14:textId="77777777" w:rsidR="008F49BA" w:rsidRDefault="008F49BA" w:rsidP="00F44FEA">
      <w:pPr>
        <w:spacing w:line="360" w:lineRule="auto"/>
        <w:jc w:val="both"/>
        <w:rPr>
          <w:rFonts w:ascii="Arial" w:hAnsi="Arial" w:cs="Arial"/>
          <w:sz w:val="22"/>
          <w:szCs w:val="22"/>
          <w:lang w:eastAsia="en-GB"/>
        </w:rPr>
      </w:pPr>
    </w:p>
    <w:p w14:paraId="32F67956" w14:textId="77777777" w:rsidR="008F49BA" w:rsidRDefault="008F49BA" w:rsidP="00F44FEA">
      <w:pPr>
        <w:spacing w:line="360" w:lineRule="auto"/>
        <w:jc w:val="both"/>
        <w:rPr>
          <w:rFonts w:ascii="Arial" w:hAnsi="Arial" w:cs="Arial"/>
          <w:sz w:val="22"/>
          <w:szCs w:val="22"/>
          <w:lang w:eastAsia="en-GB"/>
        </w:rPr>
      </w:pPr>
    </w:p>
    <w:p w14:paraId="031BB1CD" w14:textId="77777777" w:rsidR="008F49BA" w:rsidRDefault="008F49BA" w:rsidP="00F44FEA">
      <w:pPr>
        <w:spacing w:line="360" w:lineRule="auto"/>
        <w:jc w:val="both"/>
        <w:rPr>
          <w:rFonts w:ascii="Arial" w:hAnsi="Arial" w:cs="Arial"/>
          <w:sz w:val="22"/>
          <w:szCs w:val="22"/>
          <w:lang w:eastAsia="en-GB"/>
        </w:rPr>
      </w:pPr>
    </w:p>
    <w:p w14:paraId="5ED3A1F9" w14:textId="77777777" w:rsidR="008F49BA" w:rsidRDefault="008F49BA" w:rsidP="00F44FEA">
      <w:pPr>
        <w:spacing w:line="360" w:lineRule="auto"/>
        <w:jc w:val="both"/>
        <w:rPr>
          <w:rFonts w:ascii="Arial" w:hAnsi="Arial" w:cs="Arial"/>
          <w:sz w:val="22"/>
          <w:szCs w:val="22"/>
          <w:lang w:eastAsia="en-GB"/>
        </w:rPr>
      </w:pPr>
    </w:p>
    <w:p w14:paraId="4359B4D4" w14:textId="77777777" w:rsidR="008F49BA" w:rsidRDefault="008F49BA" w:rsidP="00F44FEA">
      <w:pPr>
        <w:spacing w:line="360" w:lineRule="auto"/>
        <w:jc w:val="both"/>
        <w:rPr>
          <w:rFonts w:ascii="Arial" w:hAnsi="Arial" w:cs="Arial"/>
          <w:sz w:val="22"/>
          <w:szCs w:val="22"/>
          <w:lang w:eastAsia="en-GB"/>
        </w:rPr>
      </w:pPr>
    </w:p>
    <w:p w14:paraId="587D1F34" w14:textId="77777777" w:rsidR="006555F0" w:rsidRDefault="006555F0" w:rsidP="00F44FEA">
      <w:pPr>
        <w:spacing w:line="360" w:lineRule="auto"/>
        <w:jc w:val="both"/>
        <w:rPr>
          <w:rFonts w:ascii="Arial" w:hAnsi="Arial" w:cs="Arial"/>
          <w:sz w:val="22"/>
          <w:szCs w:val="22"/>
          <w:lang w:eastAsia="en-GB"/>
        </w:rPr>
      </w:pPr>
    </w:p>
    <w:p w14:paraId="0111B537" w14:textId="77777777" w:rsidR="006555F0" w:rsidRDefault="006555F0" w:rsidP="00F44FEA">
      <w:pPr>
        <w:spacing w:line="360" w:lineRule="auto"/>
        <w:jc w:val="both"/>
        <w:rPr>
          <w:rFonts w:ascii="Arial" w:hAnsi="Arial" w:cs="Arial"/>
          <w:sz w:val="22"/>
          <w:szCs w:val="22"/>
          <w:lang w:eastAsia="en-GB"/>
        </w:rPr>
      </w:pPr>
    </w:p>
    <w:p w14:paraId="744C5AFF" w14:textId="77777777" w:rsidR="00E857D5" w:rsidRPr="00E31490" w:rsidRDefault="00E857D5" w:rsidP="00F44FEA">
      <w:pPr>
        <w:spacing w:line="360" w:lineRule="auto"/>
        <w:jc w:val="both"/>
        <w:rPr>
          <w:rFonts w:ascii="Arial" w:hAnsi="Arial" w:cs="Arial"/>
          <w:sz w:val="22"/>
          <w:szCs w:val="22"/>
          <w:lang w:eastAsia="en-GB"/>
        </w:rPr>
      </w:pPr>
    </w:p>
    <w:p w14:paraId="2C560C3C" w14:textId="77777777" w:rsidR="00E31490" w:rsidRPr="00E31490" w:rsidRDefault="00E31490" w:rsidP="00786107">
      <w:pPr>
        <w:spacing w:line="360" w:lineRule="auto"/>
        <w:rPr>
          <w:rFonts w:ascii="Arial" w:hAnsi="Arial" w:cs="Arial"/>
          <w:b/>
          <w:bCs/>
          <w:sz w:val="32"/>
          <w:szCs w:val="32"/>
          <w:lang w:eastAsia="en-GB"/>
        </w:rPr>
      </w:pPr>
      <w:r w:rsidRPr="00E31490">
        <w:rPr>
          <w:rFonts w:ascii="Arial" w:hAnsi="Arial" w:cs="Arial"/>
          <w:b/>
          <w:bCs/>
          <w:sz w:val="32"/>
          <w:szCs w:val="32"/>
          <w:lang w:eastAsia="en-GB"/>
        </w:rPr>
        <w:lastRenderedPageBreak/>
        <w:t>References</w:t>
      </w:r>
    </w:p>
    <w:p w14:paraId="7C20343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American Psychiatric Association (2022) Diagnostic and Statistical Manual of Mental Disorders. 5th </w:t>
      </w:r>
      <w:proofErr w:type="spellStart"/>
      <w:r w:rsidRPr="00E31490">
        <w:rPr>
          <w:rFonts w:ascii="Arial" w:hAnsi="Arial" w:cs="Arial"/>
          <w:sz w:val="22"/>
          <w:szCs w:val="22"/>
          <w:lang w:eastAsia="en-GB"/>
        </w:rPr>
        <w:t>edn</w:t>
      </w:r>
      <w:proofErr w:type="spellEnd"/>
      <w:r w:rsidRPr="00E31490">
        <w:rPr>
          <w:rFonts w:ascii="Arial" w:hAnsi="Arial" w:cs="Arial"/>
          <w:sz w:val="22"/>
          <w:szCs w:val="22"/>
          <w:lang w:eastAsia="en-GB"/>
        </w:rPr>
        <w:t>, text revision. Arlington, VA: American Psychiatric Publishing.</w:t>
      </w:r>
    </w:p>
    <w:p w14:paraId="7A80C4D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Baron-Cohen, S., Bowen, D.C., Holt, R.J., Allison, C., Auyeung, B., Lombardo, M.V., Smith, P. and Lai, M.C. (2015) 'The "Reading the Mind in the Eyes" test: complete absence of typical sex difference in ~400 men and women with autism', PLOS ONE, 10(8), e0136521. Available at: </w:t>
      </w:r>
      <w:hyperlink r:id="rId9" w:tgtFrame="_blank" w:history="1">
        <w:r w:rsidRPr="00E31490">
          <w:rPr>
            <w:rStyle w:val="Hyperlink"/>
            <w:rFonts w:ascii="Arial" w:hAnsi="Arial" w:cs="Arial"/>
            <w:sz w:val="22"/>
            <w:szCs w:val="22"/>
            <w:lang w:eastAsia="en-GB"/>
          </w:rPr>
          <w:t>https://doi.org/10.1371/journal.pone.0136521</w:t>
        </w:r>
      </w:hyperlink>
    </w:p>
    <w:p w14:paraId="390CBDF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Bishop, D.V.M. and Swendsen, J. (2021) 'Psychoanalysis in the treatment of autism: why is France a cultural outlier?', </w:t>
      </w:r>
      <w:proofErr w:type="spellStart"/>
      <w:r w:rsidRPr="00E31490">
        <w:rPr>
          <w:rFonts w:ascii="Arial" w:hAnsi="Arial" w:cs="Arial"/>
          <w:sz w:val="22"/>
          <w:szCs w:val="22"/>
          <w:lang w:eastAsia="en-GB"/>
        </w:rPr>
        <w:t>BJPsych</w:t>
      </w:r>
      <w:proofErr w:type="spellEnd"/>
      <w:r w:rsidRPr="00E31490">
        <w:rPr>
          <w:rFonts w:ascii="Arial" w:hAnsi="Arial" w:cs="Arial"/>
          <w:sz w:val="22"/>
          <w:szCs w:val="22"/>
          <w:lang w:eastAsia="en-GB"/>
        </w:rPr>
        <w:t xml:space="preserve"> Bulletin, 45(2), pp. 89-93. Available at: </w:t>
      </w:r>
      <w:hyperlink r:id="rId10" w:tgtFrame="_blank" w:history="1">
        <w:r w:rsidRPr="00E31490">
          <w:rPr>
            <w:rStyle w:val="Hyperlink"/>
            <w:rFonts w:ascii="Arial" w:hAnsi="Arial" w:cs="Arial"/>
            <w:sz w:val="22"/>
            <w:szCs w:val="22"/>
            <w:lang w:eastAsia="en-GB"/>
          </w:rPr>
          <w:t>https://doi.org/10.1192/bjb.2020.138</w:t>
        </w:r>
      </w:hyperlink>
    </w:p>
    <w:p w14:paraId="38E1177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Bishop, S.L. and Lord, C. (2023) 'Commentary: Best practices and processes for assessment of autism spectrum disorder– the intended role of standardized diagnostic instruments', Journal of Child Psychology and Psychiatry, 64(5), pp. 834-838. Available at: </w:t>
      </w:r>
      <w:hyperlink r:id="rId11" w:tgtFrame="_blank" w:history="1">
        <w:r w:rsidRPr="00E31490">
          <w:rPr>
            <w:rStyle w:val="Hyperlink"/>
            <w:rFonts w:ascii="Arial" w:hAnsi="Arial" w:cs="Arial"/>
            <w:sz w:val="22"/>
            <w:szCs w:val="22"/>
            <w:lang w:eastAsia="en-GB"/>
          </w:rPr>
          <w:t>https://doi.org/10.1111/jcpp.13702</w:t>
        </w:r>
      </w:hyperlink>
    </w:p>
    <w:p w14:paraId="2E4EA69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Crowson, S., Poole, D., Scargill, K. and Freeth, M. (2024) 'Understanding the post-diagnostic support priorities of autistic adults in the United Kingdom: A co-produced modified Delphi study', Autism, 28(4), pp. 854-865. Available at: </w:t>
      </w:r>
      <w:hyperlink r:id="rId12" w:tgtFrame="_blank" w:history="1">
        <w:r w:rsidRPr="00E31490">
          <w:rPr>
            <w:rStyle w:val="Hyperlink"/>
            <w:rFonts w:ascii="Arial" w:hAnsi="Arial" w:cs="Arial"/>
            <w:sz w:val="22"/>
            <w:szCs w:val="22"/>
            <w:lang w:eastAsia="en-GB"/>
          </w:rPr>
          <w:t>https://doi.org/10.1177/13623613231196805</w:t>
        </w:r>
      </w:hyperlink>
    </w:p>
    <w:p w14:paraId="1A59F80D"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Evans, M., Papadopoulos, C. and Burnham, J. (2024) 'Perceptions and experiences of UK-based mothers of autistic daughters in relation to the potential affordances and constraints of an autism diagnosis', Journal of Policy and Practice in Intellectual Disabilities, 21(2), e12509. Available at: </w:t>
      </w:r>
      <w:hyperlink r:id="rId13" w:tgtFrame="_blank" w:history="1">
        <w:r w:rsidRPr="00E31490">
          <w:rPr>
            <w:rStyle w:val="Hyperlink"/>
            <w:rFonts w:ascii="Arial" w:hAnsi="Arial" w:cs="Arial"/>
            <w:sz w:val="22"/>
            <w:szCs w:val="22"/>
            <w:lang w:eastAsia="en-GB"/>
          </w:rPr>
          <w:t>https://doi.org/10.1111/jppi.12509</w:t>
        </w:r>
      </w:hyperlink>
    </w:p>
    <w:p w14:paraId="088DD49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Green, J. (2023) 'Debate: Neurodiversity, autism and healthcare', Child and Adolescent Mental Health, 28(3), pp. 438-441. Available at: </w:t>
      </w:r>
      <w:hyperlink r:id="rId14" w:tgtFrame="_blank" w:history="1">
        <w:r w:rsidRPr="00E31490">
          <w:rPr>
            <w:rStyle w:val="Hyperlink"/>
            <w:rFonts w:ascii="Arial" w:hAnsi="Arial" w:cs="Arial"/>
            <w:sz w:val="22"/>
            <w:szCs w:val="22"/>
            <w:lang w:eastAsia="en-GB"/>
          </w:rPr>
          <w:t>https://doi.org/10.1111/camh.12663</w:t>
        </w:r>
      </w:hyperlink>
    </w:p>
    <w:p w14:paraId="4421F588"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Haslam, N. (2024) 'Concept creep: How our concepts of harm are expanding', Nature Reviews Psychology, 3, pp. 289-301. Available at: </w:t>
      </w:r>
      <w:hyperlink r:id="rId15" w:tgtFrame="_blank" w:history="1">
        <w:r w:rsidRPr="00E31490">
          <w:rPr>
            <w:rStyle w:val="Hyperlink"/>
            <w:rFonts w:ascii="Arial" w:hAnsi="Arial" w:cs="Arial"/>
            <w:sz w:val="22"/>
            <w:szCs w:val="22"/>
            <w:lang w:eastAsia="en-GB"/>
          </w:rPr>
          <w:t>https://doi.org/10.1038/s44159-024-00293-z</w:t>
        </w:r>
      </w:hyperlink>
    </w:p>
    <w:p w14:paraId="65D5373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Hirvikoski, T., </w:t>
      </w:r>
      <w:proofErr w:type="spellStart"/>
      <w:r w:rsidRPr="00E31490">
        <w:rPr>
          <w:rFonts w:ascii="Arial" w:hAnsi="Arial" w:cs="Arial"/>
          <w:sz w:val="22"/>
          <w:szCs w:val="22"/>
          <w:lang w:eastAsia="en-GB"/>
        </w:rPr>
        <w:t>Mittendorfer</w:t>
      </w:r>
      <w:proofErr w:type="spellEnd"/>
      <w:r w:rsidRPr="00E31490">
        <w:rPr>
          <w:rFonts w:ascii="Arial" w:hAnsi="Arial" w:cs="Arial"/>
          <w:sz w:val="22"/>
          <w:szCs w:val="22"/>
          <w:lang w:eastAsia="en-GB"/>
        </w:rPr>
        <w:t xml:space="preserve">-Rutz, E., Boman, M., Larsson, H., Lichtenstein, P. and </w:t>
      </w:r>
      <w:proofErr w:type="spellStart"/>
      <w:r w:rsidRPr="00E31490">
        <w:rPr>
          <w:rFonts w:ascii="Arial" w:hAnsi="Arial" w:cs="Arial"/>
          <w:sz w:val="22"/>
          <w:szCs w:val="22"/>
          <w:lang w:eastAsia="en-GB"/>
        </w:rPr>
        <w:t>Bölte</w:t>
      </w:r>
      <w:proofErr w:type="spellEnd"/>
      <w:r w:rsidRPr="00E31490">
        <w:rPr>
          <w:rFonts w:ascii="Arial" w:hAnsi="Arial" w:cs="Arial"/>
          <w:sz w:val="22"/>
          <w:szCs w:val="22"/>
          <w:lang w:eastAsia="en-GB"/>
        </w:rPr>
        <w:t>, S. (2016) 'Premature mortality in autism spectrum disorder', British Journal of Psychiatry, 208(3), pp. 232-238. Available at: </w:t>
      </w:r>
      <w:hyperlink r:id="rId16" w:tgtFrame="_blank" w:history="1">
        <w:r w:rsidRPr="00E31490">
          <w:rPr>
            <w:rStyle w:val="Hyperlink"/>
            <w:rFonts w:ascii="Arial" w:hAnsi="Arial" w:cs="Arial"/>
            <w:sz w:val="22"/>
            <w:szCs w:val="22"/>
            <w:lang w:eastAsia="en-GB"/>
          </w:rPr>
          <w:t>https://doi.org/10.1192/bjp.bp.114.160192</w:t>
        </w:r>
      </w:hyperlink>
    </w:p>
    <w:p w14:paraId="3FB4773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lastRenderedPageBreak/>
        <w:t xml:space="preserve">Hwang, Y.I., </w:t>
      </w:r>
      <w:proofErr w:type="spellStart"/>
      <w:r w:rsidRPr="00E31490">
        <w:rPr>
          <w:rFonts w:ascii="Arial" w:hAnsi="Arial" w:cs="Arial"/>
          <w:sz w:val="22"/>
          <w:szCs w:val="22"/>
          <w:lang w:eastAsia="en-GB"/>
        </w:rPr>
        <w:t>Srasuebkul</w:t>
      </w:r>
      <w:proofErr w:type="spellEnd"/>
      <w:r w:rsidRPr="00E31490">
        <w:rPr>
          <w:rFonts w:ascii="Arial" w:hAnsi="Arial" w:cs="Arial"/>
          <w:sz w:val="22"/>
          <w:szCs w:val="22"/>
          <w:lang w:eastAsia="en-GB"/>
        </w:rPr>
        <w:t xml:space="preserve">, P., Foley, K.R., Arnold, S. and </w:t>
      </w:r>
      <w:proofErr w:type="spellStart"/>
      <w:r w:rsidRPr="00E31490">
        <w:rPr>
          <w:rFonts w:ascii="Arial" w:hAnsi="Arial" w:cs="Arial"/>
          <w:sz w:val="22"/>
          <w:szCs w:val="22"/>
          <w:lang w:eastAsia="en-GB"/>
        </w:rPr>
        <w:t>Trollor</w:t>
      </w:r>
      <w:proofErr w:type="spellEnd"/>
      <w:r w:rsidRPr="00E31490">
        <w:rPr>
          <w:rFonts w:ascii="Arial" w:hAnsi="Arial" w:cs="Arial"/>
          <w:sz w:val="22"/>
          <w:szCs w:val="22"/>
          <w:lang w:eastAsia="en-GB"/>
        </w:rPr>
        <w:t>, J.N. (2019) 'Mortality and cause of death of Australians on the autism spectrum', Autism Research, 12(5), pp. 806-815. Available at: </w:t>
      </w:r>
      <w:hyperlink r:id="rId17" w:tgtFrame="_blank" w:history="1">
        <w:r w:rsidRPr="00E31490">
          <w:rPr>
            <w:rStyle w:val="Hyperlink"/>
            <w:rFonts w:ascii="Arial" w:hAnsi="Arial" w:cs="Arial"/>
            <w:sz w:val="22"/>
            <w:szCs w:val="22"/>
            <w:lang w:eastAsia="en-GB"/>
          </w:rPr>
          <w:t>https://doi.org/10.1002/aur.2086</w:t>
        </w:r>
      </w:hyperlink>
    </w:p>
    <w:p w14:paraId="094EA6A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Leaf, J.B., Cihon, J.H., Leaf, R., McEachin, J., Liu, N., Russell, N., </w:t>
      </w:r>
      <w:proofErr w:type="spellStart"/>
      <w:r w:rsidRPr="00E31490">
        <w:rPr>
          <w:rFonts w:ascii="Arial" w:hAnsi="Arial" w:cs="Arial"/>
          <w:sz w:val="22"/>
          <w:szCs w:val="22"/>
          <w:lang w:eastAsia="en-GB"/>
        </w:rPr>
        <w:t>Unumb</w:t>
      </w:r>
      <w:proofErr w:type="spellEnd"/>
      <w:r w:rsidRPr="00E31490">
        <w:rPr>
          <w:rFonts w:ascii="Arial" w:hAnsi="Arial" w:cs="Arial"/>
          <w:sz w:val="22"/>
          <w:szCs w:val="22"/>
          <w:lang w:eastAsia="en-GB"/>
        </w:rPr>
        <w:t>, L., Shapiro, S. and Khosrowshahi, D. (2022) 'Concerns About ABA-Based Intervention: An Evaluation and Recommendations', Journal of Autism and Developmental Disorders, 52(6), pp. 2838-2853. Available at: </w:t>
      </w:r>
      <w:hyperlink r:id="rId18" w:tgtFrame="_blank" w:history="1">
        <w:r w:rsidRPr="00E31490">
          <w:rPr>
            <w:rStyle w:val="Hyperlink"/>
            <w:rFonts w:ascii="Arial" w:hAnsi="Arial" w:cs="Arial"/>
            <w:sz w:val="22"/>
            <w:szCs w:val="22"/>
            <w:lang w:eastAsia="en-GB"/>
          </w:rPr>
          <w:t>https://doi.org/10.1007/s10803-021-05137-y</w:t>
        </w:r>
      </w:hyperlink>
    </w:p>
    <w:p w14:paraId="295CA33F"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Lunsky, Y., Lai, M.C., Balogh, R., Chung, H., Durbin, A., </w:t>
      </w:r>
      <w:proofErr w:type="spellStart"/>
      <w:r w:rsidRPr="00E31490">
        <w:rPr>
          <w:rFonts w:ascii="Arial" w:hAnsi="Arial" w:cs="Arial"/>
          <w:sz w:val="22"/>
          <w:szCs w:val="22"/>
          <w:lang w:eastAsia="en-GB"/>
        </w:rPr>
        <w:t>Jachyra</w:t>
      </w:r>
      <w:proofErr w:type="spellEnd"/>
      <w:r w:rsidRPr="00E31490">
        <w:rPr>
          <w:rFonts w:ascii="Arial" w:hAnsi="Arial" w:cs="Arial"/>
          <w:sz w:val="22"/>
          <w:szCs w:val="22"/>
          <w:lang w:eastAsia="en-GB"/>
        </w:rPr>
        <w:t>, P., Tint, A., Weiss, J. and Lin, E. (2022) 'Premature mortality in a population-based cohort of autistic adults in Canada', Autism Research, 15(8), pp. 1550-1559. Available at: </w:t>
      </w:r>
      <w:hyperlink r:id="rId19" w:tgtFrame="_blank" w:history="1">
        <w:r w:rsidRPr="00E31490">
          <w:rPr>
            <w:rStyle w:val="Hyperlink"/>
            <w:rFonts w:ascii="Arial" w:hAnsi="Arial" w:cs="Arial"/>
            <w:sz w:val="22"/>
            <w:szCs w:val="22"/>
            <w:lang w:eastAsia="en-GB"/>
          </w:rPr>
          <w:t>https://doi.org/10.1002/aur.2741</w:t>
        </w:r>
      </w:hyperlink>
    </w:p>
    <w:p w14:paraId="61EF7968"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Mathieu, R. (2026) 'A Review and Discussion of The New York Times Article: Should the Autism Spectrum Be Split Apart?', Science in Autism Treatment, 23(3).</w:t>
      </w:r>
    </w:p>
    <w:p w14:paraId="3B117C9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National Autistic Society (2025) Autism inpatient data: February 2025. London: National Autistic Society. Available at: </w:t>
      </w:r>
      <w:hyperlink r:id="rId20" w:tgtFrame="_blank" w:history="1">
        <w:r w:rsidRPr="00E31490">
          <w:rPr>
            <w:rStyle w:val="Hyperlink"/>
            <w:rFonts w:ascii="Arial" w:hAnsi="Arial" w:cs="Arial"/>
            <w:sz w:val="22"/>
            <w:szCs w:val="22"/>
            <w:lang w:eastAsia="en-GB"/>
          </w:rPr>
          <w:t>https://www.autism.org.uk</w:t>
        </w:r>
      </w:hyperlink>
    </w:p>
    <w:p w14:paraId="28E5D00D"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NHS England (2024) STOMP: Stopping over-medication of people with a learning disability and autistic people. London: NHS England. Available at: </w:t>
      </w:r>
      <w:hyperlink r:id="rId21" w:tgtFrame="_blank" w:history="1">
        <w:r w:rsidRPr="00E31490">
          <w:rPr>
            <w:rStyle w:val="Hyperlink"/>
            <w:rFonts w:ascii="Arial" w:hAnsi="Arial" w:cs="Arial"/>
            <w:sz w:val="22"/>
            <w:szCs w:val="22"/>
            <w:lang w:eastAsia="en-GB"/>
          </w:rPr>
          <w:t>https://www.england.nhs.uk</w:t>
        </w:r>
      </w:hyperlink>
    </w:p>
    <w:p w14:paraId="136B4DBB"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NICE (2021) </w:t>
      </w:r>
      <w:proofErr w:type="gramStart"/>
      <w:r w:rsidRPr="00E31490">
        <w:rPr>
          <w:rFonts w:ascii="Arial" w:hAnsi="Arial" w:cs="Arial"/>
          <w:sz w:val="22"/>
          <w:szCs w:val="22"/>
          <w:lang w:eastAsia="en-GB"/>
        </w:rPr>
        <w:t>Autism spectrum disorder</w:t>
      </w:r>
      <w:proofErr w:type="gramEnd"/>
      <w:r w:rsidRPr="00E31490">
        <w:rPr>
          <w:rFonts w:ascii="Arial" w:hAnsi="Arial" w:cs="Arial"/>
          <w:sz w:val="22"/>
          <w:szCs w:val="22"/>
          <w:lang w:eastAsia="en-GB"/>
        </w:rPr>
        <w:t xml:space="preserve"> in adults: diagnosis and management (Clinical Guideline CG142). London: National Institute for Health and Care Excellence. Available at: </w:t>
      </w:r>
      <w:hyperlink r:id="rId22" w:tgtFrame="_blank" w:history="1">
        <w:r w:rsidRPr="00E31490">
          <w:rPr>
            <w:rStyle w:val="Hyperlink"/>
            <w:rFonts w:ascii="Arial" w:hAnsi="Arial" w:cs="Arial"/>
            <w:sz w:val="22"/>
            <w:szCs w:val="22"/>
            <w:lang w:eastAsia="en-GB"/>
          </w:rPr>
          <w:t>https://www.nice.org.uk/guidance/cg142</w:t>
        </w:r>
      </w:hyperlink>
    </w:p>
    <w:p w14:paraId="1691AB98"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Parr, J., Wigham, S., Farr, W., Male, I., Isard, L., Lees, R., Reddy, V., Saunders, G. and Grahame, V. (2021) 'A national research survey of childhood autism assessment services in the UK: empirical evidence of diagnostic practice, challenges and improvement opportunities', BMJ Open, 11(12), e054655. Available at: </w:t>
      </w:r>
      <w:hyperlink r:id="rId23" w:tgtFrame="_blank" w:history="1">
        <w:r w:rsidRPr="00E31490">
          <w:rPr>
            <w:rStyle w:val="Hyperlink"/>
            <w:rFonts w:ascii="Arial" w:hAnsi="Arial" w:cs="Arial"/>
            <w:sz w:val="22"/>
            <w:szCs w:val="22"/>
            <w:lang w:eastAsia="en-GB"/>
          </w:rPr>
          <w:t>https://doi.org/10.1136/bmjopen-2021-054655</w:t>
        </w:r>
      </w:hyperlink>
    </w:p>
    <w:p w14:paraId="6D70A395"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Reichow, B., Hume, K., Barton, E.E. and Boyd, B.A. (2018) 'Early intensive </w:t>
      </w:r>
      <w:proofErr w:type="spellStart"/>
      <w:r w:rsidRPr="00E31490">
        <w:rPr>
          <w:rFonts w:ascii="Arial" w:hAnsi="Arial" w:cs="Arial"/>
          <w:sz w:val="22"/>
          <w:szCs w:val="22"/>
          <w:lang w:eastAsia="en-GB"/>
        </w:rPr>
        <w:t>behavioral</w:t>
      </w:r>
      <w:proofErr w:type="spellEnd"/>
      <w:r w:rsidRPr="00E31490">
        <w:rPr>
          <w:rFonts w:ascii="Arial" w:hAnsi="Arial" w:cs="Arial"/>
          <w:sz w:val="22"/>
          <w:szCs w:val="22"/>
          <w:lang w:eastAsia="en-GB"/>
        </w:rPr>
        <w:t xml:space="preserve"> intervention (EIBI) for young children with autism spectrum disorders (ASD)', Cochrane Database of Systematic Reviews, Issue 5, Art. No.: CD009260. Available at: </w:t>
      </w:r>
      <w:hyperlink r:id="rId24" w:tgtFrame="_blank" w:history="1">
        <w:r w:rsidRPr="00E31490">
          <w:rPr>
            <w:rStyle w:val="Hyperlink"/>
            <w:rFonts w:ascii="Arial" w:hAnsi="Arial" w:cs="Arial"/>
            <w:sz w:val="22"/>
            <w:szCs w:val="22"/>
            <w:lang w:eastAsia="en-GB"/>
          </w:rPr>
          <w:t>https://doi.org/10.1002/14651858.CD009260.pub3</w:t>
        </w:r>
      </w:hyperlink>
    </w:p>
    <w:p w14:paraId="15408245"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Roman-</w:t>
      </w:r>
      <w:proofErr w:type="spellStart"/>
      <w:r w:rsidRPr="00E31490">
        <w:rPr>
          <w:rFonts w:ascii="Arial" w:hAnsi="Arial" w:cs="Arial"/>
          <w:sz w:val="22"/>
          <w:szCs w:val="22"/>
          <w:lang w:eastAsia="en-GB"/>
        </w:rPr>
        <w:t>Urrestarazu</w:t>
      </w:r>
      <w:proofErr w:type="spellEnd"/>
      <w:r w:rsidRPr="00E31490">
        <w:rPr>
          <w:rFonts w:ascii="Arial" w:hAnsi="Arial" w:cs="Arial"/>
          <w:sz w:val="22"/>
          <w:szCs w:val="22"/>
          <w:lang w:eastAsia="en-GB"/>
        </w:rPr>
        <w:t xml:space="preserve">, A., van Kessel, R., Allison, C., Matthews, F.E., Brayne, C. and Baron-Cohen, S. (2021) 'Association of race/ethnicity and social disadvantage with autism prevalence in 7 million school children in England', JAMA </w:t>
      </w:r>
      <w:proofErr w:type="spellStart"/>
      <w:r w:rsidRPr="00E31490">
        <w:rPr>
          <w:rFonts w:ascii="Arial" w:hAnsi="Arial" w:cs="Arial"/>
          <w:sz w:val="22"/>
          <w:szCs w:val="22"/>
          <w:lang w:eastAsia="en-GB"/>
        </w:rPr>
        <w:t>Pediatrics</w:t>
      </w:r>
      <w:proofErr w:type="spellEnd"/>
      <w:r w:rsidRPr="00E31490">
        <w:rPr>
          <w:rFonts w:ascii="Arial" w:hAnsi="Arial" w:cs="Arial"/>
          <w:sz w:val="22"/>
          <w:szCs w:val="22"/>
          <w:lang w:eastAsia="en-GB"/>
        </w:rPr>
        <w:t>, 175(6), e210054. Available at: </w:t>
      </w:r>
      <w:hyperlink r:id="rId25" w:tgtFrame="_blank" w:history="1">
        <w:r w:rsidRPr="00E31490">
          <w:rPr>
            <w:rStyle w:val="Hyperlink"/>
            <w:rFonts w:ascii="Arial" w:hAnsi="Arial" w:cs="Arial"/>
            <w:sz w:val="22"/>
            <w:szCs w:val="22"/>
            <w:lang w:eastAsia="en-GB"/>
          </w:rPr>
          <w:t>https://doi.org/10.1001/jamapediatrics.2021.0054</w:t>
        </w:r>
      </w:hyperlink>
    </w:p>
    <w:p w14:paraId="66D23D32"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lastRenderedPageBreak/>
        <w:t>Sample, I. (2024) 'The truth about ADHD and autism: how many people have it, what causes it, and why are diagnoses soaring?', The Guardian, 1 June. Available at: </w:t>
      </w:r>
      <w:hyperlink r:id="rId26" w:tgtFrame="_blank" w:history="1">
        <w:r w:rsidRPr="00E31490">
          <w:rPr>
            <w:rStyle w:val="Hyperlink"/>
            <w:rFonts w:ascii="Arial" w:hAnsi="Arial" w:cs="Arial"/>
            <w:sz w:val="22"/>
            <w:szCs w:val="22"/>
            <w:lang w:eastAsia="en-GB"/>
          </w:rPr>
          <w:t>https://www.theguardian.com</w:t>
        </w:r>
      </w:hyperlink>
    </w:p>
    <w:p w14:paraId="2A82A6D8" w14:textId="77777777" w:rsidR="00E31490" w:rsidRPr="00E31490" w:rsidRDefault="00E31490" w:rsidP="00786107">
      <w:pPr>
        <w:spacing w:line="360" w:lineRule="auto"/>
        <w:rPr>
          <w:rFonts w:ascii="Arial" w:hAnsi="Arial" w:cs="Arial"/>
          <w:sz w:val="22"/>
          <w:szCs w:val="22"/>
          <w:lang w:eastAsia="en-GB"/>
        </w:rPr>
      </w:pPr>
      <w:proofErr w:type="spellStart"/>
      <w:r w:rsidRPr="00E31490">
        <w:rPr>
          <w:rFonts w:ascii="Arial" w:hAnsi="Arial" w:cs="Arial"/>
          <w:sz w:val="22"/>
          <w:szCs w:val="22"/>
          <w:lang w:eastAsia="en-GB"/>
        </w:rPr>
        <w:t>Sonuga</w:t>
      </w:r>
      <w:proofErr w:type="spellEnd"/>
      <w:r w:rsidRPr="00E31490">
        <w:rPr>
          <w:rFonts w:ascii="Arial" w:hAnsi="Arial" w:cs="Arial"/>
          <w:sz w:val="22"/>
          <w:szCs w:val="22"/>
          <w:lang w:eastAsia="en-GB"/>
        </w:rPr>
        <w:t>-Barke, E. and Thapar, A. (2025) 'Moving toward transdiagnostic dimensional models of neurodiversity and mental health (and away from models of psychopathology)', Journal of Psychopathology and Clinical Science, 134(5), pp. 483-485. Available at: </w:t>
      </w:r>
      <w:hyperlink r:id="rId27" w:tgtFrame="_blank" w:history="1">
        <w:r w:rsidRPr="00E31490">
          <w:rPr>
            <w:rStyle w:val="Hyperlink"/>
            <w:rFonts w:ascii="Arial" w:hAnsi="Arial" w:cs="Arial"/>
            <w:sz w:val="22"/>
            <w:szCs w:val="22"/>
            <w:lang w:eastAsia="en-GB"/>
          </w:rPr>
          <w:t>https://doi.org/10.1037/abn0000987</w:t>
        </w:r>
      </w:hyperlink>
    </w:p>
    <w:p w14:paraId="714773B9"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 xml:space="preserve">Spain, D., Sin, J., Paliokosta, E., Furuta, M., Prunty, J.E., Chalder, T., Murphy, D.G. and </w:t>
      </w:r>
      <w:proofErr w:type="spellStart"/>
      <w:r w:rsidRPr="00E31490">
        <w:rPr>
          <w:rFonts w:ascii="Arial" w:hAnsi="Arial" w:cs="Arial"/>
          <w:sz w:val="22"/>
          <w:szCs w:val="22"/>
          <w:lang w:eastAsia="en-GB"/>
        </w:rPr>
        <w:t>Happé</w:t>
      </w:r>
      <w:proofErr w:type="spellEnd"/>
      <w:r w:rsidRPr="00E31490">
        <w:rPr>
          <w:rFonts w:ascii="Arial" w:hAnsi="Arial" w:cs="Arial"/>
          <w:sz w:val="22"/>
          <w:szCs w:val="22"/>
          <w:lang w:eastAsia="en-GB"/>
        </w:rPr>
        <w:t>, F.G. (2017) 'Family therapy for autism spectrum disorders', Cochrane Database of Systematic Reviews, Issue 5, Art. No.: CD011894. Available at: </w:t>
      </w:r>
      <w:hyperlink r:id="rId28" w:tgtFrame="_blank" w:history="1">
        <w:r w:rsidRPr="00E31490">
          <w:rPr>
            <w:rStyle w:val="Hyperlink"/>
            <w:rFonts w:ascii="Arial" w:hAnsi="Arial" w:cs="Arial"/>
            <w:sz w:val="22"/>
            <w:szCs w:val="22"/>
            <w:lang w:eastAsia="en-GB"/>
          </w:rPr>
          <w:t>https://doi.org/10.1002/14651858.CD011894.pub2</w:t>
        </w:r>
      </w:hyperlink>
    </w:p>
    <w:p w14:paraId="5D2F7671"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Szasz, T. (1961) The Myth of Mental Illness: Foundations of a Theory of Personal Conduct. New York: Harper &amp; Row.</w:t>
      </w:r>
    </w:p>
    <w:p w14:paraId="00DFBF05"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Ward, J.H., Weir, E., Allison, C. and Baron-Cohen, S. (2023) 'The health of autistic people in the UK', The Lancet Psychiatry, 10(6), pp. 438-447. Available at: </w:t>
      </w:r>
      <w:hyperlink r:id="rId29" w:tgtFrame="_blank" w:history="1">
        <w:r w:rsidRPr="00E31490">
          <w:rPr>
            <w:rStyle w:val="Hyperlink"/>
            <w:rFonts w:ascii="Arial" w:hAnsi="Arial" w:cs="Arial"/>
            <w:sz w:val="22"/>
            <w:szCs w:val="22"/>
            <w:lang w:eastAsia="en-GB"/>
          </w:rPr>
          <w:t>https://doi.org/10.1016/S2215-0366(23)00092-3</w:t>
        </w:r>
      </w:hyperlink>
    </w:p>
    <w:p w14:paraId="22AFE0DC" w14:textId="77777777" w:rsidR="00E31490" w:rsidRPr="00E31490" w:rsidRDefault="00E31490" w:rsidP="00786107">
      <w:pPr>
        <w:spacing w:line="360" w:lineRule="auto"/>
        <w:rPr>
          <w:rFonts w:ascii="Arial" w:hAnsi="Arial" w:cs="Arial"/>
          <w:sz w:val="22"/>
          <w:szCs w:val="22"/>
          <w:lang w:eastAsia="en-GB"/>
        </w:rPr>
      </w:pPr>
      <w:r w:rsidRPr="00E31490">
        <w:rPr>
          <w:rFonts w:ascii="Arial" w:hAnsi="Arial" w:cs="Arial"/>
          <w:sz w:val="22"/>
          <w:szCs w:val="22"/>
          <w:lang w:eastAsia="en-GB"/>
        </w:rPr>
        <w:t>World Health Organization (2022) *ICD-11: International Classification of Diseases 11th Revision*. Geneva: WHO. Available at: </w:t>
      </w:r>
      <w:hyperlink r:id="rId30" w:tgtFrame="_blank" w:history="1">
        <w:r w:rsidRPr="00E31490">
          <w:rPr>
            <w:rStyle w:val="Hyperlink"/>
            <w:rFonts w:ascii="Arial" w:hAnsi="Arial" w:cs="Arial"/>
            <w:sz w:val="22"/>
            <w:szCs w:val="22"/>
            <w:lang w:eastAsia="en-GB"/>
          </w:rPr>
          <w:t>https://icd.who.int</w:t>
        </w:r>
      </w:hyperlink>
    </w:p>
    <w:p w14:paraId="50521AAF" w14:textId="58AAD33B" w:rsidR="00E31490" w:rsidRPr="00E31490" w:rsidRDefault="00E31490" w:rsidP="00786107">
      <w:pPr>
        <w:shd w:val="clear" w:color="auto" w:fill="FFFFFF"/>
        <w:spacing w:before="480" w:after="480" w:line="360" w:lineRule="auto"/>
        <w:rPr>
          <w:rFonts w:ascii="Arial" w:eastAsia="Times New Roman" w:hAnsi="Arial" w:cs="Arial"/>
          <w:color w:val="800080"/>
          <w:kern w:val="0"/>
          <w:sz w:val="22"/>
          <w:szCs w:val="22"/>
          <w:lang w:eastAsia="en-GB"/>
          <w14:ligatures w14:val="none"/>
        </w:rPr>
      </w:pPr>
    </w:p>
    <w:sectPr w:rsidR="00E31490" w:rsidRPr="00E31490">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24F54" w14:textId="77777777" w:rsidR="00C0090A" w:rsidRDefault="00C0090A" w:rsidP="00786107">
      <w:pPr>
        <w:spacing w:after="0" w:line="240" w:lineRule="auto"/>
      </w:pPr>
      <w:r>
        <w:separator/>
      </w:r>
    </w:p>
  </w:endnote>
  <w:endnote w:type="continuationSeparator" w:id="0">
    <w:p w14:paraId="3A264BB1" w14:textId="77777777" w:rsidR="00C0090A" w:rsidRDefault="00C0090A" w:rsidP="00786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2168105"/>
      <w:docPartObj>
        <w:docPartGallery w:val="Page Numbers (Bottom of Page)"/>
        <w:docPartUnique/>
      </w:docPartObj>
    </w:sdtPr>
    <w:sdtEndPr>
      <w:rPr>
        <w:rStyle w:val="PageNumber"/>
      </w:rPr>
    </w:sdtEndPr>
    <w:sdtContent>
      <w:p w14:paraId="42A9F805" w14:textId="4C810C6C" w:rsidR="00786107" w:rsidRDefault="00786107" w:rsidP="00410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421199" w14:textId="77777777" w:rsidR="00786107" w:rsidRDefault="00786107" w:rsidP="007861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1991703"/>
      <w:docPartObj>
        <w:docPartGallery w:val="Page Numbers (Bottom of Page)"/>
        <w:docPartUnique/>
      </w:docPartObj>
    </w:sdtPr>
    <w:sdtEndPr>
      <w:rPr>
        <w:rStyle w:val="PageNumber"/>
      </w:rPr>
    </w:sdtEndPr>
    <w:sdtContent>
      <w:p w14:paraId="593EFA93" w14:textId="7D0CDB5C" w:rsidR="00786107" w:rsidRDefault="00786107" w:rsidP="00410E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503AE34" w14:textId="77777777" w:rsidR="00786107" w:rsidRDefault="00786107" w:rsidP="007861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9F3FE" w14:textId="77777777" w:rsidR="00C0090A" w:rsidRDefault="00C0090A" w:rsidP="00786107">
      <w:pPr>
        <w:spacing w:after="0" w:line="240" w:lineRule="auto"/>
      </w:pPr>
      <w:r>
        <w:separator/>
      </w:r>
    </w:p>
  </w:footnote>
  <w:footnote w:type="continuationSeparator" w:id="0">
    <w:p w14:paraId="21C67AB8" w14:textId="77777777" w:rsidR="00C0090A" w:rsidRDefault="00C0090A" w:rsidP="00786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BDD"/>
    <w:rsid w:val="00001835"/>
    <w:rsid w:val="00092172"/>
    <w:rsid w:val="001B0C0F"/>
    <w:rsid w:val="001C05D0"/>
    <w:rsid w:val="00215B8C"/>
    <w:rsid w:val="00230757"/>
    <w:rsid w:val="002672A0"/>
    <w:rsid w:val="00272060"/>
    <w:rsid w:val="002E29B1"/>
    <w:rsid w:val="00332FB0"/>
    <w:rsid w:val="0037010C"/>
    <w:rsid w:val="00380A0A"/>
    <w:rsid w:val="003856A8"/>
    <w:rsid w:val="003B2A49"/>
    <w:rsid w:val="003E1918"/>
    <w:rsid w:val="003E3D51"/>
    <w:rsid w:val="00407448"/>
    <w:rsid w:val="004660CB"/>
    <w:rsid w:val="005059B1"/>
    <w:rsid w:val="00561138"/>
    <w:rsid w:val="005B50BF"/>
    <w:rsid w:val="005B671B"/>
    <w:rsid w:val="00631B6F"/>
    <w:rsid w:val="006555F0"/>
    <w:rsid w:val="006C7303"/>
    <w:rsid w:val="006E5922"/>
    <w:rsid w:val="006F0354"/>
    <w:rsid w:val="006F67F1"/>
    <w:rsid w:val="0071295B"/>
    <w:rsid w:val="00740399"/>
    <w:rsid w:val="007608C5"/>
    <w:rsid w:val="00786107"/>
    <w:rsid w:val="007974EE"/>
    <w:rsid w:val="00811A04"/>
    <w:rsid w:val="00813C7E"/>
    <w:rsid w:val="00873349"/>
    <w:rsid w:val="00877F15"/>
    <w:rsid w:val="0088261B"/>
    <w:rsid w:val="0089667B"/>
    <w:rsid w:val="008E33FD"/>
    <w:rsid w:val="008F49BA"/>
    <w:rsid w:val="009429F8"/>
    <w:rsid w:val="009704D3"/>
    <w:rsid w:val="009A19E3"/>
    <w:rsid w:val="009D1B96"/>
    <w:rsid w:val="009D3239"/>
    <w:rsid w:val="00A50B5D"/>
    <w:rsid w:val="00A52775"/>
    <w:rsid w:val="00A638A1"/>
    <w:rsid w:val="00A76519"/>
    <w:rsid w:val="00A77ED8"/>
    <w:rsid w:val="00A8436B"/>
    <w:rsid w:val="00A97BDD"/>
    <w:rsid w:val="00AB3FA6"/>
    <w:rsid w:val="00AC03D4"/>
    <w:rsid w:val="00AF220F"/>
    <w:rsid w:val="00AF23BD"/>
    <w:rsid w:val="00AF614E"/>
    <w:rsid w:val="00B05CDA"/>
    <w:rsid w:val="00B221C6"/>
    <w:rsid w:val="00B42F7A"/>
    <w:rsid w:val="00B61AB1"/>
    <w:rsid w:val="00B70898"/>
    <w:rsid w:val="00BA0814"/>
    <w:rsid w:val="00BA19E0"/>
    <w:rsid w:val="00BD720D"/>
    <w:rsid w:val="00C0090A"/>
    <w:rsid w:val="00C1748C"/>
    <w:rsid w:val="00C20C5B"/>
    <w:rsid w:val="00C276D3"/>
    <w:rsid w:val="00C85F35"/>
    <w:rsid w:val="00D033D5"/>
    <w:rsid w:val="00D05146"/>
    <w:rsid w:val="00D27973"/>
    <w:rsid w:val="00DB7C37"/>
    <w:rsid w:val="00DE4212"/>
    <w:rsid w:val="00E108C3"/>
    <w:rsid w:val="00E31490"/>
    <w:rsid w:val="00E31A1A"/>
    <w:rsid w:val="00E45E05"/>
    <w:rsid w:val="00E61B9D"/>
    <w:rsid w:val="00E665B6"/>
    <w:rsid w:val="00E857D5"/>
    <w:rsid w:val="00EA07FD"/>
    <w:rsid w:val="00EF07E8"/>
    <w:rsid w:val="00F0776B"/>
    <w:rsid w:val="00F106A6"/>
    <w:rsid w:val="00F27B23"/>
    <w:rsid w:val="00F44FEA"/>
    <w:rsid w:val="00F90ABA"/>
    <w:rsid w:val="00FD4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F6EAB"/>
  <w15:chartTrackingRefBased/>
  <w15:docId w15:val="{7AD947F4-D352-B446-8563-6609C98EF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BDD"/>
  </w:style>
  <w:style w:type="paragraph" w:styleId="Heading1">
    <w:name w:val="heading 1"/>
    <w:basedOn w:val="Normal"/>
    <w:next w:val="Normal"/>
    <w:link w:val="Heading1Char"/>
    <w:uiPriority w:val="9"/>
    <w:qFormat/>
    <w:rsid w:val="00A97B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7B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7B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B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B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B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7B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7B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B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B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BDD"/>
    <w:rPr>
      <w:rFonts w:eastAsiaTheme="majorEastAsia" w:cstheme="majorBidi"/>
      <w:color w:val="272727" w:themeColor="text1" w:themeTint="D8"/>
    </w:rPr>
  </w:style>
  <w:style w:type="paragraph" w:styleId="Title">
    <w:name w:val="Title"/>
    <w:basedOn w:val="Normal"/>
    <w:next w:val="Normal"/>
    <w:link w:val="TitleChar"/>
    <w:uiPriority w:val="10"/>
    <w:qFormat/>
    <w:rsid w:val="00A97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BDD"/>
    <w:pPr>
      <w:spacing w:before="160"/>
      <w:jc w:val="center"/>
    </w:pPr>
    <w:rPr>
      <w:i/>
      <w:iCs/>
      <w:color w:val="404040" w:themeColor="text1" w:themeTint="BF"/>
    </w:rPr>
  </w:style>
  <w:style w:type="character" w:customStyle="1" w:styleId="QuoteChar">
    <w:name w:val="Quote Char"/>
    <w:basedOn w:val="DefaultParagraphFont"/>
    <w:link w:val="Quote"/>
    <w:uiPriority w:val="29"/>
    <w:rsid w:val="00A97BDD"/>
    <w:rPr>
      <w:i/>
      <w:iCs/>
      <w:color w:val="404040" w:themeColor="text1" w:themeTint="BF"/>
    </w:rPr>
  </w:style>
  <w:style w:type="paragraph" w:styleId="ListParagraph">
    <w:name w:val="List Paragraph"/>
    <w:basedOn w:val="Normal"/>
    <w:uiPriority w:val="34"/>
    <w:qFormat/>
    <w:rsid w:val="00A97BDD"/>
    <w:pPr>
      <w:ind w:left="720"/>
      <w:contextualSpacing/>
    </w:pPr>
  </w:style>
  <w:style w:type="character" w:styleId="IntenseEmphasis">
    <w:name w:val="Intense Emphasis"/>
    <w:basedOn w:val="DefaultParagraphFont"/>
    <w:uiPriority w:val="21"/>
    <w:qFormat/>
    <w:rsid w:val="00A97BDD"/>
    <w:rPr>
      <w:i/>
      <w:iCs/>
      <w:color w:val="0F4761" w:themeColor="accent1" w:themeShade="BF"/>
    </w:rPr>
  </w:style>
  <w:style w:type="paragraph" w:styleId="IntenseQuote">
    <w:name w:val="Intense Quote"/>
    <w:basedOn w:val="Normal"/>
    <w:next w:val="Normal"/>
    <w:link w:val="IntenseQuoteChar"/>
    <w:uiPriority w:val="30"/>
    <w:qFormat/>
    <w:rsid w:val="00A97B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BDD"/>
    <w:rPr>
      <w:i/>
      <w:iCs/>
      <w:color w:val="0F4761" w:themeColor="accent1" w:themeShade="BF"/>
    </w:rPr>
  </w:style>
  <w:style w:type="character" w:styleId="IntenseReference">
    <w:name w:val="Intense Reference"/>
    <w:basedOn w:val="DefaultParagraphFont"/>
    <w:uiPriority w:val="32"/>
    <w:qFormat/>
    <w:rsid w:val="00A97BDD"/>
    <w:rPr>
      <w:b/>
      <w:bCs/>
      <w:smallCaps/>
      <w:color w:val="0F4761" w:themeColor="accent1" w:themeShade="BF"/>
      <w:spacing w:val="5"/>
    </w:rPr>
  </w:style>
  <w:style w:type="paragraph" w:customStyle="1" w:styleId="ds-markdown-paragraph">
    <w:name w:val="ds-markdown-paragraph"/>
    <w:basedOn w:val="Normal"/>
    <w:rsid w:val="00E314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31490"/>
    <w:rPr>
      <w:b/>
      <w:bCs/>
    </w:rPr>
  </w:style>
  <w:style w:type="character" w:customStyle="1" w:styleId="apple-converted-space">
    <w:name w:val="apple-converted-space"/>
    <w:basedOn w:val="DefaultParagraphFont"/>
    <w:rsid w:val="00E31490"/>
  </w:style>
  <w:style w:type="character" w:styleId="Emphasis">
    <w:name w:val="Emphasis"/>
    <w:basedOn w:val="DefaultParagraphFont"/>
    <w:uiPriority w:val="20"/>
    <w:qFormat/>
    <w:rsid w:val="00E31490"/>
    <w:rPr>
      <w:i/>
      <w:iCs/>
    </w:rPr>
  </w:style>
  <w:style w:type="character" w:styleId="Hyperlink">
    <w:name w:val="Hyperlink"/>
    <w:basedOn w:val="DefaultParagraphFont"/>
    <w:uiPriority w:val="99"/>
    <w:unhideWhenUsed/>
    <w:rsid w:val="00E31490"/>
    <w:rPr>
      <w:color w:val="0000FF"/>
      <w:u w:val="single"/>
    </w:rPr>
  </w:style>
  <w:style w:type="paragraph" w:styleId="Footer">
    <w:name w:val="footer"/>
    <w:basedOn w:val="Normal"/>
    <w:link w:val="FooterChar"/>
    <w:uiPriority w:val="99"/>
    <w:unhideWhenUsed/>
    <w:rsid w:val="00786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107"/>
  </w:style>
  <w:style w:type="character" w:styleId="PageNumber">
    <w:name w:val="page number"/>
    <w:basedOn w:val="DefaultParagraphFont"/>
    <w:uiPriority w:val="99"/>
    <w:semiHidden/>
    <w:unhideWhenUsed/>
    <w:rsid w:val="00786107"/>
  </w:style>
  <w:style w:type="paragraph" w:styleId="Header">
    <w:name w:val="header"/>
    <w:basedOn w:val="Normal"/>
    <w:link w:val="HeaderChar"/>
    <w:uiPriority w:val="99"/>
    <w:semiHidden/>
    <w:unhideWhenUsed/>
    <w:rsid w:val="00FD4BC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D4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ppi.12509" TargetMode="External"/><Relationship Id="rId18" Type="http://schemas.openxmlformats.org/officeDocument/2006/relationships/hyperlink" Target="https://doi.org/10.1007/s10803-021-05137-y" TargetMode="External"/><Relationship Id="rId26" Type="http://schemas.openxmlformats.org/officeDocument/2006/relationships/hyperlink" Target="https://www.theguardian.com" TargetMode="External"/><Relationship Id="rId3" Type="http://schemas.openxmlformats.org/officeDocument/2006/relationships/settings" Target="settings.xml"/><Relationship Id="rId21" Type="http://schemas.openxmlformats.org/officeDocument/2006/relationships/hyperlink" Target="https://www.england.nhs.uk"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177/13623613231196805" TargetMode="External"/><Relationship Id="rId17" Type="http://schemas.openxmlformats.org/officeDocument/2006/relationships/hyperlink" Target="https://doi.org/10.1002/aur.2086" TargetMode="External"/><Relationship Id="rId25" Type="http://schemas.openxmlformats.org/officeDocument/2006/relationships/hyperlink" Target="https://doi.org/10.1001/jamapediatrics.2021.0054"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92/bjp.bp.114.160192" TargetMode="External"/><Relationship Id="rId20" Type="http://schemas.openxmlformats.org/officeDocument/2006/relationships/hyperlink" Target="https://www.autism.org.uk" TargetMode="External"/><Relationship Id="rId29" Type="http://schemas.openxmlformats.org/officeDocument/2006/relationships/hyperlink" Target="https://doi.org/10.1016/S2215-0366(23)0009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cpp.13702" TargetMode="External"/><Relationship Id="rId24" Type="http://schemas.openxmlformats.org/officeDocument/2006/relationships/hyperlink" Target="https://doi.org/10.1002/14651858.CD009260.pub3"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038/s44159-024-00293-z" TargetMode="External"/><Relationship Id="rId23" Type="http://schemas.openxmlformats.org/officeDocument/2006/relationships/hyperlink" Target="https://doi.org/10.1136/bmjopen-2021-054655" TargetMode="External"/><Relationship Id="rId28" Type="http://schemas.openxmlformats.org/officeDocument/2006/relationships/hyperlink" Target="https://doi.org/10.1002/14651858.CD011894.pub2" TargetMode="External"/><Relationship Id="rId10" Type="http://schemas.openxmlformats.org/officeDocument/2006/relationships/hyperlink" Target="https://doi.org/10.1192/bjb.2020.138" TargetMode="External"/><Relationship Id="rId19" Type="http://schemas.openxmlformats.org/officeDocument/2006/relationships/hyperlink" Target="https://doi.org/10.1002/aur.2741"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371/journal.pone.0136521" TargetMode="External"/><Relationship Id="rId14" Type="http://schemas.openxmlformats.org/officeDocument/2006/relationships/hyperlink" Target="https://doi.org/10.1111/camh.12663" TargetMode="External"/><Relationship Id="rId22" Type="http://schemas.openxmlformats.org/officeDocument/2006/relationships/hyperlink" Target="https://www.nice.org.uk/guidance/cg142" TargetMode="External"/><Relationship Id="rId27" Type="http://schemas.openxmlformats.org/officeDocument/2006/relationships/hyperlink" Target="https://doi.org/10.1037/abn0000987" TargetMode="External"/><Relationship Id="rId30" Type="http://schemas.openxmlformats.org/officeDocument/2006/relationships/hyperlink" Target="https://icd.who.int"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3444</Words>
  <Characters>20768</Characters>
  <Application>Microsoft Office Word</Application>
  <DocSecurity>0</DocSecurity>
  <Lines>1093</Lines>
  <Paragraphs>235</Paragraphs>
  <ScaleCrop>false</ScaleCrop>
  <Company/>
  <LinksUpToDate>false</LinksUpToDate>
  <CharactersWithSpaces>23977</CharactersWithSpaces>
  <SharedDoc>false</SharedDoc>
  <HLinks>
    <vt:vector size="132" baseType="variant">
      <vt:variant>
        <vt:i4>5963848</vt:i4>
      </vt:variant>
      <vt:variant>
        <vt:i4>63</vt:i4>
      </vt:variant>
      <vt:variant>
        <vt:i4>0</vt:i4>
      </vt:variant>
      <vt:variant>
        <vt:i4>5</vt:i4>
      </vt:variant>
      <vt:variant>
        <vt:lpwstr>https://icd.who.int/</vt:lpwstr>
      </vt:variant>
      <vt:variant>
        <vt:lpwstr/>
      </vt:variant>
      <vt:variant>
        <vt:i4>393223</vt:i4>
      </vt:variant>
      <vt:variant>
        <vt:i4>60</vt:i4>
      </vt:variant>
      <vt:variant>
        <vt:i4>0</vt:i4>
      </vt:variant>
      <vt:variant>
        <vt:i4>5</vt:i4>
      </vt:variant>
      <vt:variant>
        <vt:lpwstr>https://doi.org/10.1016/S2215-0366(23)00092-3</vt:lpwstr>
      </vt:variant>
      <vt:variant>
        <vt:lpwstr/>
      </vt:variant>
      <vt:variant>
        <vt:i4>2097214</vt:i4>
      </vt:variant>
      <vt:variant>
        <vt:i4>57</vt:i4>
      </vt:variant>
      <vt:variant>
        <vt:i4>0</vt:i4>
      </vt:variant>
      <vt:variant>
        <vt:i4>5</vt:i4>
      </vt:variant>
      <vt:variant>
        <vt:lpwstr>https://doi.org/10.1002/14651858.CD011894.pub2</vt:lpwstr>
      </vt:variant>
      <vt:variant>
        <vt:lpwstr/>
      </vt:variant>
      <vt:variant>
        <vt:i4>8126570</vt:i4>
      </vt:variant>
      <vt:variant>
        <vt:i4>54</vt:i4>
      </vt:variant>
      <vt:variant>
        <vt:i4>0</vt:i4>
      </vt:variant>
      <vt:variant>
        <vt:i4>5</vt:i4>
      </vt:variant>
      <vt:variant>
        <vt:lpwstr>https://doi.org/10.1037/abn0000987</vt:lpwstr>
      </vt:variant>
      <vt:variant>
        <vt:lpwstr/>
      </vt:variant>
      <vt:variant>
        <vt:i4>5046367</vt:i4>
      </vt:variant>
      <vt:variant>
        <vt:i4>51</vt:i4>
      </vt:variant>
      <vt:variant>
        <vt:i4>0</vt:i4>
      </vt:variant>
      <vt:variant>
        <vt:i4>5</vt:i4>
      </vt:variant>
      <vt:variant>
        <vt:lpwstr>https://www.theguardian.com/</vt:lpwstr>
      </vt:variant>
      <vt:variant>
        <vt:lpwstr/>
      </vt:variant>
      <vt:variant>
        <vt:i4>5963794</vt:i4>
      </vt:variant>
      <vt:variant>
        <vt:i4>48</vt:i4>
      </vt:variant>
      <vt:variant>
        <vt:i4>0</vt:i4>
      </vt:variant>
      <vt:variant>
        <vt:i4>5</vt:i4>
      </vt:variant>
      <vt:variant>
        <vt:lpwstr>https://doi.org/10.1001/jamapediatrics.2021.0054</vt:lpwstr>
      </vt:variant>
      <vt:variant>
        <vt:lpwstr/>
      </vt:variant>
      <vt:variant>
        <vt:i4>2490417</vt:i4>
      </vt:variant>
      <vt:variant>
        <vt:i4>45</vt:i4>
      </vt:variant>
      <vt:variant>
        <vt:i4>0</vt:i4>
      </vt:variant>
      <vt:variant>
        <vt:i4>5</vt:i4>
      </vt:variant>
      <vt:variant>
        <vt:lpwstr>https://doi.org/10.1002/14651858.CD009260.pub3</vt:lpwstr>
      </vt:variant>
      <vt:variant>
        <vt:lpwstr/>
      </vt:variant>
      <vt:variant>
        <vt:i4>6946917</vt:i4>
      </vt:variant>
      <vt:variant>
        <vt:i4>42</vt:i4>
      </vt:variant>
      <vt:variant>
        <vt:i4>0</vt:i4>
      </vt:variant>
      <vt:variant>
        <vt:i4>5</vt:i4>
      </vt:variant>
      <vt:variant>
        <vt:lpwstr>https://doi.org/10.1136/bmjopen-2021-054655</vt:lpwstr>
      </vt:variant>
      <vt:variant>
        <vt:lpwstr/>
      </vt:variant>
      <vt:variant>
        <vt:i4>7077924</vt:i4>
      </vt:variant>
      <vt:variant>
        <vt:i4>39</vt:i4>
      </vt:variant>
      <vt:variant>
        <vt:i4>0</vt:i4>
      </vt:variant>
      <vt:variant>
        <vt:i4>5</vt:i4>
      </vt:variant>
      <vt:variant>
        <vt:lpwstr>https://www.nice.org.uk/guidance/cg142</vt:lpwstr>
      </vt:variant>
      <vt:variant>
        <vt:lpwstr/>
      </vt:variant>
      <vt:variant>
        <vt:i4>2555951</vt:i4>
      </vt:variant>
      <vt:variant>
        <vt:i4>36</vt:i4>
      </vt:variant>
      <vt:variant>
        <vt:i4>0</vt:i4>
      </vt:variant>
      <vt:variant>
        <vt:i4>5</vt:i4>
      </vt:variant>
      <vt:variant>
        <vt:lpwstr>https://www.england.nhs.uk/</vt:lpwstr>
      </vt:variant>
      <vt:variant>
        <vt:lpwstr/>
      </vt:variant>
      <vt:variant>
        <vt:i4>7012415</vt:i4>
      </vt:variant>
      <vt:variant>
        <vt:i4>33</vt:i4>
      </vt:variant>
      <vt:variant>
        <vt:i4>0</vt:i4>
      </vt:variant>
      <vt:variant>
        <vt:i4>5</vt:i4>
      </vt:variant>
      <vt:variant>
        <vt:lpwstr>https://www.autism.org.uk/</vt:lpwstr>
      </vt:variant>
      <vt:variant>
        <vt:lpwstr/>
      </vt:variant>
      <vt:variant>
        <vt:i4>5111885</vt:i4>
      </vt:variant>
      <vt:variant>
        <vt:i4>30</vt:i4>
      </vt:variant>
      <vt:variant>
        <vt:i4>0</vt:i4>
      </vt:variant>
      <vt:variant>
        <vt:i4>5</vt:i4>
      </vt:variant>
      <vt:variant>
        <vt:lpwstr>https://doi.org/10.1002/aur.2741</vt:lpwstr>
      </vt:variant>
      <vt:variant>
        <vt:lpwstr/>
      </vt:variant>
      <vt:variant>
        <vt:i4>6750263</vt:i4>
      </vt:variant>
      <vt:variant>
        <vt:i4>27</vt:i4>
      </vt:variant>
      <vt:variant>
        <vt:i4>0</vt:i4>
      </vt:variant>
      <vt:variant>
        <vt:i4>5</vt:i4>
      </vt:variant>
      <vt:variant>
        <vt:lpwstr>https://doi.org/10.1007/s10803-021-05137-y</vt:lpwstr>
      </vt:variant>
      <vt:variant>
        <vt:lpwstr/>
      </vt:variant>
      <vt:variant>
        <vt:i4>5111873</vt:i4>
      </vt:variant>
      <vt:variant>
        <vt:i4>24</vt:i4>
      </vt:variant>
      <vt:variant>
        <vt:i4>0</vt:i4>
      </vt:variant>
      <vt:variant>
        <vt:i4>5</vt:i4>
      </vt:variant>
      <vt:variant>
        <vt:lpwstr>https://doi.org/10.1002/aur.2086</vt:lpwstr>
      </vt:variant>
      <vt:variant>
        <vt:lpwstr/>
      </vt:variant>
      <vt:variant>
        <vt:i4>1245215</vt:i4>
      </vt:variant>
      <vt:variant>
        <vt:i4>21</vt:i4>
      </vt:variant>
      <vt:variant>
        <vt:i4>0</vt:i4>
      </vt:variant>
      <vt:variant>
        <vt:i4>5</vt:i4>
      </vt:variant>
      <vt:variant>
        <vt:lpwstr>https://doi.org/10.1192/bjp.bp.114.160192</vt:lpwstr>
      </vt:variant>
      <vt:variant>
        <vt:lpwstr/>
      </vt:variant>
      <vt:variant>
        <vt:i4>6488118</vt:i4>
      </vt:variant>
      <vt:variant>
        <vt:i4>18</vt:i4>
      </vt:variant>
      <vt:variant>
        <vt:i4>0</vt:i4>
      </vt:variant>
      <vt:variant>
        <vt:i4>5</vt:i4>
      </vt:variant>
      <vt:variant>
        <vt:lpwstr>https://doi.org/10.1038/s44159-024-00293-z</vt:lpwstr>
      </vt:variant>
      <vt:variant>
        <vt:lpwstr/>
      </vt:variant>
      <vt:variant>
        <vt:i4>3080318</vt:i4>
      </vt:variant>
      <vt:variant>
        <vt:i4>15</vt:i4>
      </vt:variant>
      <vt:variant>
        <vt:i4>0</vt:i4>
      </vt:variant>
      <vt:variant>
        <vt:i4>5</vt:i4>
      </vt:variant>
      <vt:variant>
        <vt:lpwstr>https://doi.org/10.1111/camh.12663</vt:lpwstr>
      </vt:variant>
      <vt:variant>
        <vt:lpwstr/>
      </vt:variant>
      <vt:variant>
        <vt:i4>3539052</vt:i4>
      </vt:variant>
      <vt:variant>
        <vt:i4>12</vt:i4>
      </vt:variant>
      <vt:variant>
        <vt:i4>0</vt:i4>
      </vt:variant>
      <vt:variant>
        <vt:i4>5</vt:i4>
      </vt:variant>
      <vt:variant>
        <vt:lpwstr>https://doi.org/10.1111/jppi.12509</vt:lpwstr>
      </vt:variant>
      <vt:variant>
        <vt:lpwstr/>
      </vt:variant>
      <vt:variant>
        <vt:i4>1310811</vt:i4>
      </vt:variant>
      <vt:variant>
        <vt:i4>9</vt:i4>
      </vt:variant>
      <vt:variant>
        <vt:i4>0</vt:i4>
      </vt:variant>
      <vt:variant>
        <vt:i4>5</vt:i4>
      </vt:variant>
      <vt:variant>
        <vt:lpwstr>https://doi.org/10.1177/13623613231196805</vt:lpwstr>
      </vt:variant>
      <vt:variant>
        <vt:lpwstr/>
      </vt:variant>
      <vt:variant>
        <vt:i4>3473517</vt:i4>
      </vt:variant>
      <vt:variant>
        <vt:i4>6</vt:i4>
      </vt:variant>
      <vt:variant>
        <vt:i4>0</vt:i4>
      </vt:variant>
      <vt:variant>
        <vt:i4>5</vt:i4>
      </vt:variant>
      <vt:variant>
        <vt:lpwstr>https://doi.org/10.1111/jcpp.13702</vt:lpwstr>
      </vt:variant>
      <vt:variant>
        <vt:lpwstr/>
      </vt:variant>
      <vt:variant>
        <vt:i4>5701700</vt:i4>
      </vt:variant>
      <vt:variant>
        <vt:i4>3</vt:i4>
      </vt:variant>
      <vt:variant>
        <vt:i4>0</vt:i4>
      </vt:variant>
      <vt:variant>
        <vt:i4>5</vt:i4>
      </vt:variant>
      <vt:variant>
        <vt:lpwstr>https://doi.org/10.1192/bjb.2020.138</vt:lpwstr>
      </vt:variant>
      <vt:variant>
        <vt:lpwstr/>
      </vt:variant>
      <vt:variant>
        <vt:i4>4915264</vt:i4>
      </vt:variant>
      <vt:variant>
        <vt:i4>0</vt:i4>
      </vt:variant>
      <vt:variant>
        <vt:i4>0</vt:i4>
      </vt:variant>
      <vt:variant>
        <vt:i4>5</vt:i4>
      </vt:variant>
      <vt:variant>
        <vt:lpwstr>https://doi.org/10.1371/journal.pone.0136521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2</cp:revision>
  <dcterms:created xsi:type="dcterms:W3CDTF">2026-03-17T14:40:00Z</dcterms:created>
  <dcterms:modified xsi:type="dcterms:W3CDTF">2026-03-17T14:40:00Z</dcterms:modified>
</cp:coreProperties>
</file>