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7E108A" w14:textId="1A0C14A2" w:rsidR="00450AA7" w:rsidRDefault="00EF3D49" w:rsidP="00EF3D49">
      <w:pPr>
        <w:jc w:val="center"/>
        <w:rPr>
          <w:sz w:val="32"/>
          <w:szCs w:val="32"/>
        </w:rPr>
      </w:pPr>
      <w:r>
        <w:rPr>
          <w:sz w:val="32"/>
          <w:szCs w:val="32"/>
        </w:rPr>
        <w:t>Aeneid IV  413-30  Translation;   682-705  Commentary</w:t>
      </w:r>
    </w:p>
    <w:p w14:paraId="5C8045F8" w14:textId="32302040" w:rsidR="00EF3D49" w:rsidRDefault="00EF3D49" w:rsidP="00EF3D49">
      <w:pPr>
        <w:rPr>
          <w:sz w:val="32"/>
          <w:szCs w:val="32"/>
        </w:rPr>
      </w:pPr>
      <w:r>
        <w:rPr>
          <w:sz w:val="32"/>
          <w:szCs w:val="32"/>
        </w:rPr>
        <w:t>Translation:</w:t>
      </w:r>
    </w:p>
    <w:p w14:paraId="7B51F98F" w14:textId="664E5016" w:rsidR="00EF3D49" w:rsidRDefault="00EF3D49" w:rsidP="00EF3D49">
      <w:pPr>
        <w:rPr>
          <w:sz w:val="24"/>
          <w:szCs w:val="24"/>
        </w:rPr>
      </w:pPr>
      <w:r>
        <w:rPr>
          <w:sz w:val="24"/>
          <w:szCs w:val="24"/>
        </w:rPr>
        <w:t>Once again, she compels to break into tears/to test him with tears; once more to subdue him with praying and humbly subdue her pride to love, lest she leaves anything untried and go to death in vain.</w:t>
      </w:r>
    </w:p>
    <w:p w14:paraId="65633BD3" w14:textId="312E3F3C" w:rsidR="00EF3D49" w:rsidRDefault="00EF3D49" w:rsidP="00EF3D49">
      <w:pPr>
        <w:rPr>
          <w:sz w:val="24"/>
          <w:szCs w:val="24"/>
        </w:rPr>
      </w:pPr>
      <w:r>
        <w:rPr>
          <w:sz w:val="24"/>
          <w:szCs w:val="24"/>
        </w:rPr>
        <w:t xml:space="preserve">  Anna, you see that there is a hurry all along the shore and around it; </w:t>
      </w:r>
      <w:r w:rsidR="00D20DEF">
        <w:rPr>
          <w:sz w:val="24"/>
          <w:szCs w:val="24"/>
        </w:rPr>
        <w:t xml:space="preserve">they have </w:t>
      </w:r>
      <w:r w:rsidR="00B41808">
        <w:rPr>
          <w:sz w:val="24"/>
          <w:szCs w:val="24"/>
        </w:rPr>
        <w:t>gathered</w:t>
      </w:r>
      <w:r w:rsidR="00D20DEF">
        <w:rPr>
          <w:sz w:val="24"/>
          <w:szCs w:val="24"/>
        </w:rPr>
        <w:t xml:space="preserve"> on all sides; already the canvas invites the breeze, and the joyous sailors have crowned the sterns with garlands. If I was able to foresee that this pain was so great, I shall, sister, be able to endure it. Yet, this one service Anna do for me in my misery: For that traitor cultivated you alone, for to you he entrusted his secret thoughts; you alone </w:t>
      </w:r>
      <w:r w:rsidR="00B41808">
        <w:rPr>
          <w:sz w:val="24"/>
          <w:szCs w:val="24"/>
        </w:rPr>
        <w:t>will know</w:t>
      </w:r>
      <w:r w:rsidR="00D20DEF">
        <w:rPr>
          <w:sz w:val="24"/>
          <w:szCs w:val="24"/>
        </w:rPr>
        <w:t xml:space="preserve"> the time for easy access to him</w:t>
      </w:r>
      <w:r w:rsidR="00B41808">
        <w:rPr>
          <w:sz w:val="24"/>
          <w:szCs w:val="24"/>
        </w:rPr>
        <w:t>.  Go sister, and humbly address our haughty foe.  I never swore with the Dardans at Aulis to root out the Trojan race; I never sent a fleet to Pergamus, nor tore up the ashes of his father Anchises; Why does he refuse to admit my words to his stubborn ears?  To where does he hasten? This, the last gift let him give to his poor lover: Let him await an easy flight and favourable winds.</w:t>
      </w:r>
      <w:r w:rsidR="00D20DEF">
        <w:rPr>
          <w:sz w:val="24"/>
          <w:szCs w:val="24"/>
        </w:rPr>
        <w:t xml:space="preserve"> </w:t>
      </w:r>
    </w:p>
    <w:p w14:paraId="563CAE0C" w14:textId="382A570A" w:rsidR="00F55475" w:rsidRDefault="00F55475" w:rsidP="00EF3D49">
      <w:pPr>
        <w:rPr>
          <w:sz w:val="32"/>
          <w:szCs w:val="32"/>
        </w:rPr>
      </w:pPr>
      <w:r>
        <w:rPr>
          <w:sz w:val="32"/>
          <w:szCs w:val="32"/>
        </w:rPr>
        <w:t>Commentary:</w:t>
      </w:r>
    </w:p>
    <w:p w14:paraId="4B59FA51" w14:textId="61ECE20B" w:rsidR="00F55475" w:rsidRDefault="00F55475" w:rsidP="00EF3D49">
      <w:pPr>
        <w:rPr>
          <w:sz w:val="24"/>
          <w:szCs w:val="24"/>
        </w:rPr>
      </w:pPr>
      <w:r>
        <w:rPr>
          <w:sz w:val="24"/>
          <w:szCs w:val="24"/>
        </w:rPr>
        <w:t>This section begins with news that Dido has inflicted on herself a mortal wound, which fills Carthage with lamentation. Anna proceeds to reproach her dying sister and attempts to ease her last moments</w:t>
      </w:r>
      <w:r w:rsidR="002A0586">
        <w:rPr>
          <w:sz w:val="24"/>
          <w:szCs w:val="24"/>
        </w:rPr>
        <w:t>, as eventually does Juno, who sends her messenger, the rainbow goddess, Iris, to end her sufferings.</w:t>
      </w:r>
    </w:p>
    <w:p w14:paraId="57A89B1C" w14:textId="7A2FAA84" w:rsidR="002A0586" w:rsidRDefault="002A0586" w:rsidP="00EF3D49">
      <w:pPr>
        <w:rPr>
          <w:sz w:val="24"/>
          <w:szCs w:val="24"/>
        </w:rPr>
      </w:pPr>
      <w:r>
        <w:rPr>
          <w:i/>
          <w:iCs/>
          <w:sz w:val="24"/>
          <w:szCs w:val="24"/>
        </w:rPr>
        <w:t xml:space="preserve">Exstinxti…tuam </w:t>
      </w:r>
      <w:r>
        <w:rPr>
          <w:sz w:val="24"/>
          <w:szCs w:val="24"/>
        </w:rPr>
        <w:t>(line 682) Anna deplores the fact that her sister has ‘blotted out your life and mine too.’</w:t>
      </w:r>
      <w:r w:rsidR="009973F3">
        <w:rPr>
          <w:sz w:val="24"/>
          <w:szCs w:val="24"/>
        </w:rPr>
        <w:t xml:space="preserve"> </w:t>
      </w:r>
      <w:r>
        <w:rPr>
          <w:sz w:val="24"/>
          <w:szCs w:val="24"/>
        </w:rPr>
        <w:t xml:space="preserve">Although Anna did not hear Dido’s words in line 655, </w:t>
      </w:r>
      <w:r>
        <w:rPr>
          <w:i/>
          <w:iCs/>
          <w:sz w:val="24"/>
          <w:szCs w:val="24"/>
        </w:rPr>
        <w:t xml:space="preserve">urbem praeclaram statui </w:t>
      </w:r>
      <w:r>
        <w:rPr>
          <w:sz w:val="24"/>
          <w:szCs w:val="24"/>
        </w:rPr>
        <w:t>she knew how much Carthage meant to her.</w:t>
      </w:r>
      <w:r>
        <w:rPr>
          <w:rStyle w:val="FootnoteReference"/>
          <w:sz w:val="24"/>
          <w:szCs w:val="24"/>
        </w:rPr>
        <w:footnoteReference w:id="1"/>
      </w:r>
      <w:r>
        <w:rPr>
          <w:sz w:val="24"/>
          <w:szCs w:val="24"/>
        </w:rPr>
        <w:t xml:space="preserve"> </w:t>
      </w:r>
      <w:r>
        <w:rPr>
          <w:i/>
          <w:iCs/>
          <w:sz w:val="24"/>
          <w:szCs w:val="24"/>
        </w:rPr>
        <w:t xml:space="preserve">populumque…Sidonios </w:t>
      </w:r>
      <w:r>
        <w:rPr>
          <w:sz w:val="24"/>
          <w:szCs w:val="24"/>
        </w:rPr>
        <w:t xml:space="preserve">(lines 682-30) </w:t>
      </w:r>
      <w:r w:rsidR="009973F3">
        <w:rPr>
          <w:sz w:val="24"/>
          <w:szCs w:val="24"/>
        </w:rPr>
        <w:t>Anna believed conclusively that Dido had</w:t>
      </w:r>
      <w:r>
        <w:rPr>
          <w:sz w:val="24"/>
          <w:szCs w:val="24"/>
        </w:rPr>
        <w:t xml:space="preserve"> destroyed the whole nation that she had brought from Sidon and </w:t>
      </w:r>
      <w:r w:rsidR="009973F3">
        <w:rPr>
          <w:sz w:val="24"/>
          <w:szCs w:val="24"/>
        </w:rPr>
        <w:t xml:space="preserve">had </w:t>
      </w:r>
      <w:r>
        <w:rPr>
          <w:sz w:val="24"/>
          <w:szCs w:val="24"/>
        </w:rPr>
        <w:t xml:space="preserve">created herself, with the emphasis on </w:t>
      </w:r>
      <w:r>
        <w:rPr>
          <w:i/>
          <w:iCs/>
          <w:sz w:val="24"/>
          <w:szCs w:val="24"/>
        </w:rPr>
        <w:t>te.</w:t>
      </w:r>
      <w:r>
        <w:rPr>
          <w:rStyle w:val="FootnoteReference"/>
          <w:i/>
          <w:iCs/>
          <w:sz w:val="24"/>
          <w:szCs w:val="24"/>
        </w:rPr>
        <w:footnoteReference w:id="2"/>
      </w:r>
      <w:r>
        <w:rPr>
          <w:sz w:val="24"/>
          <w:szCs w:val="24"/>
        </w:rPr>
        <w:t xml:space="preserve"> </w:t>
      </w:r>
      <w:r w:rsidR="009973F3">
        <w:rPr>
          <w:sz w:val="24"/>
          <w:szCs w:val="24"/>
        </w:rPr>
        <w:t xml:space="preserve">She does not identify with the pain of rejection which Dido experienced. </w:t>
      </w:r>
    </w:p>
    <w:p w14:paraId="3752F681" w14:textId="0E04EF56" w:rsidR="0063656B" w:rsidRDefault="0063656B" w:rsidP="00EF3D49">
      <w:pPr>
        <w:rPr>
          <w:sz w:val="24"/>
          <w:szCs w:val="24"/>
        </w:rPr>
      </w:pPr>
      <w:r>
        <w:rPr>
          <w:sz w:val="24"/>
          <w:szCs w:val="24"/>
        </w:rPr>
        <w:t xml:space="preserve">  </w:t>
      </w:r>
      <w:r>
        <w:rPr>
          <w:i/>
          <w:iCs/>
          <w:sz w:val="24"/>
          <w:szCs w:val="24"/>
        </w:rPr>
        <w:t>Date…legam</w:t>
      </w:r>
      <w:r>
        <w:rPr>
          <w:sz w:val="24"/>
          <w:szCs w:val="24"/>
        </w:rPr>
        <w:t xml:space="preserve"> (lines 683-5) Reproach is </w:t>
      </w:r>
      <w:r w:rsidR="005E5223">
        <w:rPr>
          <w:sz w:val="24"/>
          <w:szCs w:val="24"/>
        </w:rPr>
        <w:t xml:space="preserve">quickly </w:t>
      </w:r>
      <w:r>
        <w:rPr>
          <w:sz w:val="24"/>
          <w:szCs w:val="24"/>
        </w:rPr>
        <w:t xml:space="preserve">replaced by prayer, ‘Grant that I may </w:t>
      </w:r>
      <w:r>
        <w:rPr>
          <w:i/>
          <w:iCs/>
          <w:sz w:val="24"/>
          <w:szCs w:val="24"/>
        </w:rPr>
        <w:t xml:space="preserve">extremus </w:t>
      </w:r>
      <w:r>
        <w:rPr>
          <w:sz w:val="24"/>
          <w:szCs w:val="24"/>
        </w:rPr>
        <w:t xml:space="preserve">if any last breath strays remaining, I may gather it with my mouth’. </w:t>
      </w:r>
      <w:r>
        <w:rPr>
          <w:i/>
          <w:iCs/>
          <w:sz w:val="24"/>
          <w:szCs w:val="24"/>
        </w:rPr>
        <w:t xml:space="preserve">Ore legam </w:t>
      </w:r>
      <w:r>
        <w:rPr>
          <w:sz w:val="24"/>
          <w:szCs w:val="24"/>
        </w:rPr>
        <w:t xml:space="preserve">The last breath of a dying person is gathered by his or her successor. Pope, </w:t>
      </w:r>
      <w:r>
        <w:rPr>
          <w:i/>
          <w:iCs/>
          <w:sz w:val="24"/>
          <w:szCs w:val="24"/>
        </w:rPr>
        <w:t xml:space="preserve">Eloisa to Abelard </w:t>
      </w:r>
      <w:r>
        <w:rPr>
          <w:sz w:val="24"/>
          <w:szCs w:val="24"/>
        </w:rPr>
        <w:t>324: ‘Suck my last breath, and catch my dying soul’;</w:t>
      </w:r>
      <w:r>
        <w:rPr>
          <w:rStyle w:val="FootnoteReference"/>
          <w:sz w:val="24"/>
          <w:szCs w:val="24"/>
        </w:rPr>
        <w:footnoteReference w:id="3"/>
      </w:r>
      <w:r>
        <w:rPr>
          <w:sz w:val="24"/>
          <w:szCs w:val="24"/>
        </w:rPr>
        <w:t xml:space="preserve"> furthermore, Shelley, </w:t>
      </w:r>
      <w:r>
        <w:rPr>
          <w:i/>
          <w:iCs/>
          <w:sz w:val="24"/>
          <w:szCs w:val="24"/>
        </w:rPr>
        <w:t xml:space="preserve">Adonais </w:t>
      </w:r>
      <w:r>
        <w:rPr>
          <w:sz w:val="24"/>
          <w:szCs w:val="24"/>
        </w:rPr>
        <w:t>44f. ‘O let thy breath flow from thy dying soul/Even to my mouth and heart, that I may suck</w:t>
      </w:r>
      <w:r w:rsidR="00597B65">
        <w:rPr>
          <w:sz w:val="24"/>
          <w:szCs w:val="24"/>
        </w:rPr>
        <w:t>’.</w:t>
      </w:r>
      <w:r w:rsidR="00597B65">
        <w:rPr>
          <w:rStyle w:val="FootnoteReference"/>
          <w:sz w:val="24"/>
          <w:szCs w:val="24"/>
        </w:rPr>
        <w:footnoteReference w:id="4"/>
      </w:r>
    </w:p>
    <w:p w14:paraId="49F30E58" w14:textId="77777777" w:rsidR="0043542D" w:rsidRDefault="00597B65" w:rsidP="00EF3D49">
      <w:pPr>
        <w:rPr>
          <w:sz w:val="24"/>
          <w:szCs w:val="24"/>
        </w:rPr>
      </w:pPr>
      <w:r>
        <w:rPr>
          <w:sz w:val="24"/>
          <w:szCs w:val="24"/>
        </w:rPr>
        <w:t xml:space="preserve"> </w:t>
      </w:r>
      <w:r>
        <w:rPr>
          <w:i/>
          <w:iCs/>
          <w:sz w:val="24"/>
          <w:szCs w:val="24"/>
        </w:rPr>
        <w:t xml:space="preserve">Gradus…altos </w:t>
      </w:r>
      <w:r>
        <w:rPr>
          <w:sz w:val="24"/>
          <w:szCs w:val="24"/>
        </w:rPr>
        <w:t xml:space="preserve">(line 685) All this time, Anna had been climbing the stairway to the tower or keep where the pyre was. </w:t>
      </w:r>
      <w:r>
        <w:rPr>
          <w:i/>
          <w:iCs/>
          <w:sz w:val="24"/>
          <w:szCs w:val="24"/>
        </w:rPr>
        <w:t xml:space="preserve">Altos </w:t>
      </w:r>
      <w:r>
        <w:rPr>
          <w:sz w:val="24"/>
          <w:szCs w:val="24"/>
        </w:rPr>
        <w:t>suggests an endless climb</w:t>
      </w:r>
      <w:r w:rsidR="009973F3">
        <w:rPr>
          <w:sz w:val="24"/>
          <w:szCs w:val="24"/>
        </w:rPr>
        <w:t xml:space="preserve">, indicative of the prolonged torment of Dido. </w:t>
      </w:r>
      <w:r w:rsidR="00FA7B45">
        <w:rPr>
          <w:sz w:val="24"/>
          <w:szCs w:val="24"/>
        </w:rPr>
        <w:t xml:space="preserve"> </w:t>
      </w:r>
      <w:r w:rsidR="00FA7B45">
        <w:rPr>
          <w:i/>
          <w:iCs/>
          <w:sz w:val="24"/>
          <w:szCs w:val="24"/>
        </w:rPr>
        <w:t xml:space="preserve">Evaserat </w:t>
      </w:r>
      <w:r w:rsidR="00FA7B45">
        <w:rPr>
          <w:sz w:val="24"/>
          <w:szCs w:val="24"/>
        </w:rPr>
        <w:t xml:space="preserve">marks the moment when Anna first caught sight of Dido and when her tone changed from reproach to pity but, Williams notes the use of the pluperfect, </w:t>
      </w:r>
      <w:r w:rsidR="00FA7B45">
        <w:rPr>
          <w:sz w:val="24"/>
          <w:szCs w:val="24"/>
        </w:rPr>
        <w:lastRenderedPageBreak/>
        <w:t>which suggests that it was too late.</w:t>
      </w:r>
      <w:r w:rsidR="00FA7B45">
        <w:rPr>
          <w:rStyle w:val="FootnoteReference"/>
          <w:sz w:val="24"/>
          <w:szCs w:val="24"/>
        </w:rPr>
        <w:footnoteReference w:id="5"/>
      </w:r>
      <w:r w:rsidR="00FA7B45">
        <w:rPr>
          <w:sz w:val="24"/>
          <w:szCs w:val="24"/>
        </w:rPr>
        <w:t xml:space="preserve"> By the time she had finished speaking, Dido was already on the pyre.</w:t>
      </w:r>
    </w:p>
    <w:p w14:paraId="5D1548AC" w14:textId="49D9E4CF" w:rsidR="00597B65" w:rsidRDefault="0043542D" w:rsidP="00EF3D49">
      <w:pPr>
        <w:rPr>
          <w:sz w:val="24"/>
          <w:szCs w:val="24"/>
        </w:rPr>
      </w:pPr>
      <w:r>
        <w:rPr>
          <w:sz w:val="24"/>
          <w:szCs w:val="24"/>
        </w:rPr>
        <w:t xml:space="preserve"> </w:t>
      </w:r>
      <w:r w:rsidR="00FA7B45">
        <w:rPr>
          <w:sz w:val="24"/>
          <w:szCs w:val="24"/>
        </w:rPr>
        <w:t xml:space="preserve"> </w:t>
      </w:r>
      <w:r w:rsidR="00FA7B45">
        <w:rPr>
          <w:i/>
          <w:iCs/>
          <w:sz w:val="24"/>
          <w:szCs w:val="24"/>
        </w:rPr>
        <w:t xml:space="preserve">Fovebat </w:t>
      </w:r>
      <w:r w:rsidR="00FA7B45">
        <w:rPr>
          <w:sz w:val="24"/>
          <w:szCs w:val="24"/>
        </w:rPr>
        <w:t>(line 686) is a word replete with emotion: Anna gives her sister the warmth of her body and the comfort and blessing of her heart, to ease her last moments on earth.</w:t>
      </w:r>
      <w:r w:rsidR="00FA7B45">
        <w:rPr>
          <w:rStyle w:val="FootnoteReference"/>
          <w:sz w:val="24"/>
          <w:szCs w:val="24"/>
        </w:rPr>
        <w:footnoteReference w:id="6"/>
      </w:r>
      <w:r w:rsidR="00FA7B45">
        <w:rPr>
          <w:sz w:val="24"/>
          <w:szCs w:val="24"/>
        </w:rPr>
        <w:t xml:space="preserve">  </w:t>
      </w:r>
      <w:r w:rsidR="00FA7B45">
        <w:rPr>
          <w:i/>
          <w:iCs/>
          <w:sz w:val="24"/>
          <w:szCs w:val="24"/>
        </w:rPr>
        <w:t xml:space="preserve">Cruores </w:t>
      </w:r>
      <w:r w:rsidR="00FA7B45">
        <w:rPr>
          <w:sz w:val="24"/>
          <w:szCs w:val="24"/>
        </w:rPr>
        <w:t>(line 687) the plural use suggests drops of blood</w:t>
      </w:r>
      <w:r w:rsidR="00087ECA">
        <w:rPr>
          <w:sz w:val="24"/>
          <w:szCs w:val="24"/>
        </w:rPr>
        <w:t>/flow of blood</w:t>
      </w:r>
      <w:r w:rsidR="00FA7B45">
        <w:rPr>
          <w:sz w:val="24"/>
          <w:szCs w:val="24"/>
        </w:rPr>
        <w:t xml:space="preserve">. Virgil probably had the Greek use of </w:t>
      </w:r>
      <w:r w:rsidR="00FA7B45">
        <w:rPr>
          <w:sz w:val="24"/>
          <w:szCs w:val="24"/>
          <w:lang w:val="el-GR"/>
        </w:rPr>
        <w:t>αἳματα</w:t>
      </w:r>
      <w:r w:rsidR="00FA7B45" w:rsidRPr="00FA7B45">
        <w:rPr>
          <w:sz w:val="24"/>
          <w:szCs w:val="24"/>
        </w:rPr>
        <w:t xml:space="preserve"> </w:t>
      </w:r>
      <w:r w:rsidR="00FA7B45">
        <w:rPr>
          <w:sz w:val="24"/>
          <w:szCs w:val="24"/>
        </w:rPr>
        <w:t xml:space="preserve">in mind here, as opposed to Ovid’s </w:t>
      </w:r>
      <w:r w:rsidR="00FA7B45">
        <w:rPr>
          <w:i/>
          <w:iCs/>
          <w:sz w:val="24"/>
          <w:szCs w:val="24"/>
        </w:rPr>
        <w:t xml:space="preserve">cruores </w:t>
      </w:r>
      <w:r w:rsidR="00FA7B45">
        <w:rPr>
          <w:sz w:val="24"/>
          <w:szCs w:val="24"/>
        </w:rPr>
        <w:t>(bloodshed).</w:t>
      </w:r>
      <w:r w:rsidR="00FA7B45">
        <w:rPr>
          <w:rStyle w:val="FootnoteReference"/>
          <w:sz w:val="24"/>
          <w:szCs w:val="24"/>
        </w:rPr>
        <w:footnoteReference w:id="7"/>
      </w:r>
      <w:r w:rsidR="00087ECA">
        <w:rPr>
          <w:sz w:val="24"/>
          <w:szCs w:val="24"/>
        </w:rPr>
        <w:t xml:space="preserve"> </w:t>
      </w:r>
      <w:r w:rsidR="00087ECA">
        <w:rPr>
          <w:i/>
          <w:iCs/>
          <w:sz w:val="24"/>
          <w:szCs w:val="24"/>
        </w:rPr>
        <w:t xml:space="preserve">Rursus </w:t>
      </w:r>
      <w:r w:rsidR="00087ECA">
        <w:rPr>
          <w:sz w:val="24"/>
          <w:szCs w:val="24"/>
        </w:rPr>
        <w:t xml:space="preserve">with </w:t>
      </w:r>
      <w:r w:rsidR="00087ECA">
        <w:rPr>
          <w:i/>
          <w:iCs/>
          <w:sz w:val="24"/>
          <w:szCs w:val="24"/>
        </w:rPr>
        <w:t xml:space="preserve">attollere, </w:t>
      </w:r>
      <w:r w:rsidR="00087ECA">
        <w:rPr>
          <w:sz w:val="24"/>
          <w:szCs w:val="24"/>
        </w:rPr>
        <w:t>as Anna looks down upon Dido, so Dido in response to Anna’s efforts, tries to look up at her.</w:t>
      </w:r>
      <w:r w:rsidR="00957111">
        <w:rPr>
          <w:sz w:val="24"/>
          <w:szCs w:val="24"/>
        </w:rPr>
        <w:t xml:space="preserve"> There is a real sense of </w:t>
      </w:r>
      <w:r>
        <w:rPr>
          <w:sz w:val="24"/>
          <w:szCs w:val="24"/>
        </w:rPr>
        <w:t>anguish</w:t>
      </w:r>
      <w:r w:rsidR="00957111">
        <w:rPr>
          <w:sz w:val="24"/>
          <w:szCs w:val="24"/>
        </w:rPr>
        <w:t>.</w:t>
      </w:r>
      <w:r w:rsidR="00087ECA">
        <w:rPr>
          <w:sz w:val="24"/>
          <w:szCs w:val="24"/>
        </w:rPr>
        <w:t xml:space="preserve"> </w:t>
      </w:r>
    </w:p>
    <w:p w14:paraId="2130894F" w14:textId="6DC5D9FE" w:rsidR="00087ECA" w:rsidRDefault="00087ECA" w:rsidP="00EF3D49">
      <w:pPr>
        <w:rPr>
          <w:i/>
          <w:iCs/>
          <w:sz w:val="24"/>
          <w:szCs w:val="24"/>
        </w:rPr>
      </w:pPr>
      <w:r>
        <w:rPr>
          <w:sz w:val="24"/>
          <w:szCs w:val="24"/>
        </w:rPr>
        <w:t xml:space="preserve">  </w:t>
      </w:r>
      <w:r>
        <w:rPr>
          <w:i/>
          <w:iCs/>
          <w:sz w:val="24"/>
          <w:szCs w:val="24"/>
        </w:rPr>
        <w:t xml:space="preserve">Infixum </w:t>
      </w:r>
      <w:r>
        <w:rPr>
          <w:sz w:val="24"/>
          <w:szCs w:val="24"/>
        </w:rPr>
        <w:t>(line 689) This is said of the wound, not the weapon, which is not mentioned</w:t>
      </w:r>
      <w:r w:rsidR="0043542D">
        <w:rPr>
          <w:sz w:val="24"/>
          <w:szCs w:val="24"/>
        </w:rPr>
        <w:t>. It</w:t>
      </w:r>
      <w:r>
        <w:rPr>
          <w:sz w:val="24"/>
          <w:szCs w:val="24"/>
        </w:rPr>
        <w:t xml:space="preserve"> is the wound which cries aloud</w:t>
      </w:r>
      <w:r w:rsidR="00957111">
        <w:rPr>
          <w:sz w:val="24"/>
          <w:szCs w:val="24"/>
        </w:rPr>
        <w:t>, suggesting that inner torment as opposed to the actual sword itself is responsible for Dido’s demise.</w:t>
      </w:r>
      <w:r>
        <w:rPr>
          <w:sz w:val="24"/>
          <w:szCs w:val="24"/>
        </w:rPr>
        <w:t xml:space="preserve"> </w:t>
      </w:r>
      <w:r>
        <w:rPr>
          <w:i/>
          <w:iCs/>
          <w:sz w:val="24"/>
          <w:szCs w:val="24"/>
        </w:rPr>
        <w:t xml:space="preserve">Stridit </w:t>
      </w:r>
      <w:r>
        <w:rPr>
          <w:sz w:val="24"/>
          <w:szCs w:val="24"/>
        </w:rPr>
        <w:t>(line 689) The word conveys the whistling sound, with which breath escapes from a pierced lung.</w:t>
      </w:r>
      <w:r>
        <w:rPr>
          <w:rStyle w:val="FootnoteReference"/>
          <w:sz w:val="24"/>
          <w:szCs w:val="24"/>
        </w:rPr>
        <w:footnoteReference w:id="8"/>
      </w:r>
      <w:r>
        <w:rPr>
          <w:i/>
          <w:iCs/>
          <w:sz w:val="24"/>
          <w:szCs w:val="24"/>
        </w:rPr>
        <w:t xml:space="preserve"> </w:t>
      </w:r>
      <w:r>
        <w:rPr>
          <w:sz w:val="24"/>
          <w:szCs w:val="24"/>
        </w:rPr>
        <w:t xml:space="preserve">Williams notes its ‘hissing’ and is reminiscent of the metaphorical wound of line 67 </w:t>
      </w:r>
      <w:r>
        <w:rPr>
          <w:i/>
          <w:iCs/>
          <w:sz w:val="24"/>
          <w:szCs w:val="24"/>
        </w:rPr>
        <w:t>tacitum</w:t>
      </w:r>
      <w:r w:rsidR="00FA2D40">
        <w:rPr>
          <w:i/>
          <w:iCs/>
          <w:sz w:val="24"/>
          <w:szCs w:val="24"/>
        </w:rPr>
        <w:t xml:space="preserve"> vivit sub pectore vulnus.</w:t>
      </w:r>
      <w:r w:rsidR="00FA2D40">
        <w:rPr>
          <w:rStyle w:val="FootnoteReference"/>
          <w:i/>
          <w:iCs/>
          <w:sz w:val="24"/>
          <w:szCs w:val="24"/>
        </w:rPr>
        <w:footnoteReference w:id="9"/>
      </w:r>
      <w:r w:rsidR="00FA2D40">
        <w:rPr>
          <w:i/>
          <w:iCs/>
          <w:sz w:val="24"/>
          <w:szCs w:val="24"/>
        </w:rPr>
        <w:t xml:space="preserve">  </w:t>
      </w:r>
    </w:p>
    <w:p w14:paraId="7F698E0D" w14:textId="6A0A7276" w:rsidR="00FA2D40" w:rsidRDefault="00FA2D40" w:rsidP="00EF3D49">
      <w:pPr>
        <w:rPr>
          <w:sz w:val="24"/>
          <w:szCs w:val="24"/>
        </w:rPr>
      </w:pPr>
      <w:r>
        <w:rPr>
          <w:i/>
          <w:iCs/>
          <w:sz w:val="24"/>
          <w:szCs w:val="24"/>
        </w:rPr>
        <w:t xml:space="preserve">Ter…reperta </w:t>
      </w:r>
      <w:r>
        <w:rPr>
          <w:sz w:val="24"/>
          <w:szCs w:val="24"/>
        </w:rPr>
        <w:t>(line 690ff) Dryden has, ‘Thrice Dido try’d to raise her drooping head, and fainting thrice, fell grov’ling on the bed. Thrice op’d her heavy eyes, and sought the light, But having found it, sicken’d at the sight: And clos’d her lids at last in endless night;</w:t>
      </w:r>
      <w:r>
        <w:rPr>
          <w:rStyle w:val="FootnoteReference"/>
          <w:sz w:val="24"/>
          <w:szCs w:val="24"/>
        </w:rPr>
        <w:footnoteReference w:id="10"/>
      </w:r>
      <w:r>
        <w:rPr>
          <w:sz w:val="24"/>
          <w:szCs w:val="24"/>
        </w:rPr>
        <w:t xml:space="preserve"> Dido’s effort </w:t>
      </w:r>
      <w:r w:rsidR="0033108B">
        <w:rPr>
          <w:sz w:val="24"/>
          <w:szCs w:val="24"/>
        </w:rPr>
        <w:t>is suggested by the enjamement;</w:t>
      </w:r>
      <w:r w:rsidR="0033108B">
        <w:rPr>
          <w:rStyle w:val="FootnoteReference"/>
          <w:sz w:val="24"/>
          <w:szCs w:val="24"/>
        </w:rPr>
        <w:footnoteReference w:id="11"/>
      </w:r>
      <w:r w:rsidR="0033108B">
        <w:rPr>
          <w:sz w:val="24"/>
          <w:szCs w:val="24"/>
        </w:rPr>
        <w:t xml:space="preserve"> Austin notes the spondees for her effort (line 692) and the dactyls, as Dido falls back writhing.</w:t>
      </w:r>
      <w:r w:rsidR="0033108B">
        <w:rPr>
          <w:rStyle w:val="FootnoteReference"/>
          <w:sz w:val="24"/>
          <w:szCs w:val="24"/>
        </w:rPr>
        <w:footnoteReference w:id="12"/>
      </w:r>
      <w:r w:rsidR="0033108B">
        <w:rPr>
          <w:sz w:val="24"/>
          <w:szCs w:val="24"/>
        </w:rPr>
        <w:t xml:space="preserve"> </w:t>
      </w:r>
      <w:r w:rsidR="00957111">
        <w:rPr>
          <w:sz w:val="24"/>
          <w:szCs w:val="24"/>
        </w:rPr>
        <w:t>One gets a sense of Atlas</w:t>
      </w:r>
      <w:r w:rsidR="00987D21">
        <w:rPr>
          <w:sz w:val="24"/>
          <w:szCs w:val="24"/>
        </w:rPr>
        <w:t>-like toils</w:t>
      </w:r>
      <w:r w:rsidR="00957111">
        <w:rPr>
          <w:sz w:val="24"/>
          <w:szCs w:val="24"/>
        </w:rPr>
        <w:t>.</w:t>
      </w:r>
    </w:p>
    <w:p w14:paraId="377F3883" w14:textId="75C01CBC" w:rsidR="00894362" w:rsidRDefault="00325189" w:rsidP="00EF3D49">
      <w:pPr>
        <w:rPr>
          <w:sz w:val="24"/>
          <w:szCs w:val="24"/>
        </w:rPr>
      </w:pPr>
      <w:r>
        <w:rPr>
          <w:sz w:val="24"/>
          <w:szCs w:val="24"/>
        </w:rPr>
        <w:t xml:space="preserve">  The </w:t>
      </w:r>
      <w:r w:rsidR="0032077F">
        <w:rPr>
          <w:sz w:val="24"/>
          <w:szCs w:val="24"/>
        </w:rPr>
        <w:t>book ends with what Quinn describes as a ‘little sad, fantastic tailpiece,’</w:t>
      </w:r>
      <w:r w:rsidR="0032077F">
        <w:rPr>
          <w:rStyle w:val="FootnoteReference"/>
          <w:sz w:val="24"/>
          <w:szCs w:val="24"/>
        </w:rPr>
        <w:footnoteReference w:id="13"/>
      </w:r>
      <w:r w:rsidR="0032077F">
        <w:rPr>
          <w:sz w:val="24"/>
          <w:szCs w:val="24"/>
        </w:rPr>
        <w:t xml:space="preserve"> where</w:t>
      </w:r>
      <w:r>
        <w:rPr>
          <w:sz w:val="24"/>
          <w:szCs w:val="24"/>
        </w:rPr>
        <w:t xml:space="preserve"> Iris, the Rainbow, the </w:t>
      </w:r>
      <w:r w:rsidR="00894362">
        <w:rPr>
          <w:sz w:val="24"/>
          <w:szCs w:val="24"/>
        </w:rPr>
        <w:t xml:space="preserve">special </w:t>
      </w:r>
      <w:r>
        <w:rPr>
          <w:sz w:val="24"/>
          <w:szCs w:val="24"/>
        </w:rPr>
        <w:t xml:space="preserve">messenger goddess </w:t>
      </w:r>
      <w:r w:rsidR="0032077F">
        <w:rPr>
          <w:sz w:val="24"/>
          <w:szCs w:val="24"/>
        </w:rPr>
        <w:t xml:space="preserve">is </w:t>
      </w:r>
      <w:r>
        <w:rPr>
          <w:sz w:val="24"/>
          <w:szCs w:val="24"/>
        </w:rPr>
        <w:t>sent by Juno to end Dido’s suffering</w:t>
      </w:r>
      <w:r w:rsidR="00894362">
        <w:rPr>
          <w:sz w:val="24"/>
          <w:szCs w:val="24"/>
        </w:rPr>
        <w:t xml:space="preserve">, </w:t>
      </w:r>
      <w:r w:rsidR="00894362">
        <w:rPr>
          <w:i/>
          <w:iCs/>
          <w:sz w:val="24"/>
          <w:szCs w:val="24"/>
        </w:rPr>
        <w:t>Ir</w:t>
      </w:r>
      <w:r w:rsidR="006109BE">
        <w:rPr>
          <w:i/>
          <w:iCs/>
          <w:sz w:val="24"/>
          <w:szCs w:val="24"/>
        </w:rPr>
        <w:t xml:space="preserve">im de caelo misit Saturnia Iuno </w:t>
      </w:r>
      <w:r w:rsidR="006109BE">
        <w:rPr>
          <w:sz w:val="24"/>
          <w:szCs w:val="24"/>
        </w:rPr>
        <w:t>(Juno, daughter of Saturn, sends Iris down from heaven)</w:t>
      </w:r>
      <w:r w:rsidR="0032077F">
        <w:rPr>
          <w:sz w:val="24"/>
          <w:szCs w:val="24"/>
        </w:rPr>
        <w:t>.</w:t>
      </w:r>
      <w:r w:rsidR="00894362">
        <w:rPr>
          <w:rStyle w:val="FootnoteReference"/>
          <w:sz w:val="24"/>
          <w:szCs w:val="24"/>
        </w:rPr>
        <w:footnoteReference w:id="14"/>
      </w:r>
      <w:r>
        <w:rPr>
          <w:sz w:val="24"/>
          <w:szCs w:val="24"/>
        </w:rPr>
        <w:t xml:space="preserve"> </w:t>
      </w:r>
      <w:r w:rsidR="00957111">
        <w:rPr>
          <w:sz w:val="24"/>
          <w:szCs w:val="24"/>
        </w:rPr>
        <w:t>On account of</w:t>
      </w:r>
      <w:r>
        <w:rPr>
          <w:sz w:val="24"/>
          <w:szCs w:val="24"/>
        </w:rPr>
        <w:t xml:space="preserve"> Dido’s death </w:t>
      </w:r>
      <w:r w:rsidR="00957111">
        <w:rPr>
          <w:sz w:val="24"/>
          <w:szCs w:val="24"/>
        </w:rPr>
        <w:t>being</w:t>
      </w:r>
      <w:r>
        <w:rPr>
          <w:sz w:val="24"/>
          <w:szCs w:val="24"/>
        </w:rPr>
        <w:t xml:space="preserve"> neither fated nor deserved, Proserpina did not </w:t>
      </w:r>
      <w:r w:rsidR="00987D21">
        <w:rPr>
          <w:sz w:val="24"/>
          <w:szCs w:val="24"/>
        </w:rPr>
        <w:t>possess</w:t>
      </w:r>
      <w:r>
        <w:rPr>
          <w:sz w:val="24"/>
          <w:szCs w:val="24"/>
        </w:rPr>
        <w:t xml:space="preserve"> a lock of her </w:t>
      </w:r>
      <w:r w:rsidR="00EF5B32">
        <w:rPr>
          <w:sz w:val="24"/>
          <w:szCs w:val="24"/>
        </w:rPr>
        <w:t xml:space="preserve">golden </w:t>
      </w:r>
      <w:r>
        <w:rPr>
          <w:sz w:val="24"/>
          <w:szCs w:val="24"/>
        </w:rPr>
        <w:t>hair to release her soul</w:t>
      </w:r>
      <w:r w:rsidR="00957111">
        <w:rPr>
          <w:sz w:val="24"/>
          <w:szCs w:val="24"/>
        </w:rPr>
        <w:t>. Iris thus</w:t>
      </w:r>
      <w:r>
        <w:rPr>
          <w:sz w:val="24"/>
          <w:szCs w:val="24"/>
        </w:rPr>
        <w:t xml:space="preserve"> </w:t>
      </w:r>
      <w:r w:rsidR="00957111">
        <w:rPr>
          <w:sz w:val="24"/>
          <w:szCs w:val="24"/>
        </w:rPr>
        <w:t>cuts</w:t>
      </w:r>
      <w:r>
        <w:rPr>
          <w:sz w:val="24"/>
          <w:szCs w:val="24"/>
        </w:rPr>
        <w:t xml:space="preserve"> off a lock for Dis</w:t>
      </w:r>
      <w:r w:rsidR="00B00ECC">
        <w:rPr>
          <w:sz w:val="24"/>
          <w:szCs w:val="24"/>
        </w:rPr>
        <w:t>,</w:t>
      </w:r>
      <w:r>
        <w:rPr>
          <w:sz w:val="24"/>
          <w:szCs w:val="24"/>
        </w:rPr>
        <w:t xml:space="preserve"> whereupon Dido’s spirit </w:t>
      </w:r>
      <w:r w:rsidR="00987D21">
        <w:rPr>
          <w:sz w:val="24"/>
          <w:szCs w:val="24"/>
        </w:rPr>
        <w:t>was</w:t>
      </w:r>
      <w:r>
        <w:rPr>
          <w:sz w:val="24"/>
          <w:szCs w:val="24"/>
        </w:rPr>
        <w:t xml:space="preserve"> released </w:t>
      </w:r>
      <w:r w:rsidR="00EF5B32">
        <w:rPr>
          <w:sz w:val="24"/>
          <w:szCs w:val="24"/>
        </w:rPr>
        <w:t>before it sought</w:t>
      </w:r>
      <w:r>
        <w:rPr>
          <w:sz w:val="24"/>
          <w:szCs w:val="24"/>
        </w:rPr>
        <w:t xml:space="preserve"> the shelter of the winds. </w:t>
      </w:r>
      <w:r w:rsidR="00B00ECC">
        <w:rPr>
          <w:sz w:val="24"/>
          <w:szCs w:val="24"/>
        </w:rPr>
        <w:t xml:space="preserve">The idea that Proserpina would carry out such a ritual at the moment of death was unfamiliar enough to readers in late antiquity for some to think </w:t>
      </w:r>
      <w:r w:rsidR="00EF5B32">
        <w:rPr>
          <w:sz w:val="24"/>
          <w:szCs w:val="24"/>
        </w:rPr>
        <w:t xml:space="preserve">that </w:t>
      </w:r>
      <w:r w:rsidR="00B00ECC">
        <w:rPr>
          <w:sz w:val="24"/>
          <w:szCs w:val="24"/>
        </w:rPr>
        <w:t>Virgil had invented it</w:t>
      </w:r>
      <w:r w:rsidR="00957111">
        <w:rPr>
          <w:sz w:val="24"/>
          <w:szCs w:val="24"/>
        </w:rPr>
        <w:t>. However,</w:t>
      </w:r>
      <w:r w:rsidR="00B00ECC">
        <w:rPr>
          <w:sz w:val="24"/>
          <w:szCs w:val="24"/>
        </w:rPr>
        <w:t xml:space="preserve"> Euripides’ </w:t>
      </w:r>
      <w:r w:rsidR="00B00ECC">
        <w:rPr>
          <w:i/>
          <w:iCs/>
          <w:sz w:val="24"/>
          <w:szCs w:val="24"/>
        </w:rPr>
        <w:t xml:space="preserve">Alcestis </w:t>
      </w:r>
      <w:r w:rsidR="00B00ECC">
        <w:rPr>
          <w:sz w:val="24"/>
          <w:szCs w:val="24"/>
        </w:rPr>
        <w:t>(line 74f) does refer to it.</w:t>
      </w:r>
      <w:r w:rsidR="00B00ECC">
        <w:rPr>
          <w:rStyle w:val="FootnoteReference"/>
          <w:sz w:val="24"/>
          <w:szCs w:val="24"/>
        </w:rPr>
        <w:footnoteReference w:id="15"/>
      </w:r>
      <w:r w:rsidR="00B00ECC">
        <w:rPr>
          <w:sz w:val="24"/>
          <w:szCs w:val="24"/>
        </w:rPr>
        <w:t xml:space="preserve"> </w:t>
      </w:r>
      <w:r w:rsidR="00203694">
        <w:rPr>
          <w:sz w:val="24"/>
          <w:szCs w:val="24"/>
        </w:rPr>
        <w:t>Here, Death himself cuts off a lock of Alcestis’ hair, thus rendering her sacred to the powers of Hades.</w:t>
      </w:r>
      <w:r w:rsidR="00203694">
        <w:rPr>
          <w:rStyle w:val="FootnoteReference"/>
          <w:sz w:val="24"/>
          <w:szCs w:val="24"/>
        </w:rPr>
        <w:footnoteReference w:id="16"/>
      </w:r>
      <w:r w:rsidR="00203694">
        <w:rPr>
          <w:sz w:val="24"/>
          <w:szCs w:val="24"/>
        </w:rPr>
        <w:t xml:space="preserve"> Virgil also has in mind Medea’s cutting of a lock of hair before leaving home.</w:t>
      </w:r>
      <w:r w:rsidR="00203694">
        <w:rPr>
          <w:rStyle w:val="FootnoteReference"/>
          <w:sz w:val="24"/>
          <w:szCs w:val="24"/>
        </w:rPr>
        <w:footnoteReference w:id="17"/>
      </w:r>
      <w:r w:rsidR="00B00ECC">
        <w:rPr>
          <w:sz w:val="24"/>
          <w:szCs w:val="24"/>
        </w:rPr>
        <w:t xml:space="preserve"> </w:t>
      </w:r>
      <w:r w:rsidR="000A79B8">
        <w:rPr>
          <w:sz w:val="24"/>
          <w:szCs w:val="24"/>
        </w:rPr>
        <w:t>He thus takes</w:t>
      </w:r>
      <w:r w:rsidR="00B00ECC">
        <w:rPr>
          <w:sz w:val="24"/>
          <w:szCs w:val="24"/>
        </w:rPr>
        <w:t xml:space="preserve"> advantage of this obscure</w:t>
      </w:r>
      <w:r w:rsidR="00957111">
        <w:rPr>
          <w:sz w:val="24"/>
          <w:szCs w:val="24"/>
        </w:rPr>
        <w:t>,</w:t>
      </w:r>
      <w:r w:rsidR="00B00ECC">
        <w:rPr>
          <w:sz w:val="24"/>
          <w:szCs w:val="24"/>
        </w:rPr>
        <w:t xml:space="preserve"> </w:t>
      </w:r>
      <w:r w:rsidR="001A31E2">
        <w:rPr>
          <w:sz w:val="24"/>
          <w:szCs w:val="24"/>
        </w:rPr>
        <w:t>rarely held</w:t>
      </w:r>
      <w:r w:rsidR="00B00ECC">
        <w:rPr>
          <w:sz w:val="24"/>
          <w:szCs w:val="24"/>
        </w:rPr>
        <w:t xml:space="preserve"> belief to mark with delicacy </w:t>
      </w:r>
      <w:r w:rsidR="001A31E2">
        <w:rPr>
          <w:sz w:val="24"/>
          <w:szCs w:val="24"/>
        </w:rPr>
        <w:t>a cogent point in his narrative.</w:t>
      </w:r>
      <w:r w:rsidR="001A31E2">
        <w:rPr>
          <w:rStyle w:val="FootnoteReference"/>
          <w:sz w:val="24"/>
          <w:szCs w:val="24"/>
        </w:rPr>
        <w:footnoteReference w:id="18"/>
      </w:r>
      <w:r w:rsidR="00F05D80">
        <w:rPr>
          <w:sz w:val="24"/>
          <w:szCs w:val="24"/>
        </w:rPr>
        <w:t xml:space="preserve"> </w:t>
      </w:r>
      <w:r>
        <w:rPr>
          <w:sz w:val="24"/>
          <w:szCs w:val="24"/>
        </w:rPr>
        <w:t xml:space="preserve">After the unbearable climax, the final scene is </w:t>
      </w:r>
      <w:r>
        <w:rPr>
          <w:sz w:val="24"/>
          <w:szCs w:val="24"/>
        </w:rPr>
        <w:lastRenderedPageBreak/>
        <w:t xml:space="preserve">quiet and tranquil, </w:t>
      </w:r>
      <w:r w:rsidR="00987D21">
        <w:rPr>
          <w:sz w:val="24"/>
          <w:szCs w:val="24"/>
        </w:rPr>
        <w:t>like</w:t>
      </w:r>
      <w:r>
        <w:rPr>
          <w:sz w:val="24"/>
          <w:szCs w:val="24"/>
        </w:rPr>
        <w:t xml:space="preserve"> that of a choral ode which concludes a Greek tragedy on a calm note.</w:t>
      </w:r>
      <w:r>
        <w:rPr>
          <w:rStyle w:val="FootnoteReference"/>
          <w:sz w:val="24"/>
          <w:szCs w:val="24"/>
        </w:rPr>
        <w:footnoteReference w:id="19"/>
      </w:r>
      <w:r>
        <w:rPr>
          <w:sz w:val="24"/>
          <w:szCs w:val="24"/>
        </w:rPr>
        <w:t xml:space="preserve"> The action moves from </w:t>
      </w:r>
      <w:r w:rsidR="00894362">
        <w:rPr>
          <w:sz w:val="24"/>
          <w:szCs w:val="24"/>
        </w:rPr>
        <w:t>the turmoil of human suffering to the inevitability and serenity of divine dispositions</w:t>
      </w:r>
      <w:r w:rsidR="00F05D80">
        <w:rPr>
          <w:sz w:val="24"/>
          <w:szCs w:val="24"/>
        </w:rPr>
        <w:t>.</w:t>
      </w:r>
      <w:r w:rsidR="00894362">
        <w:rPr>
          <w:rStyle w:val="FootnoteReference"/>
          <w:sz w:val="24"/>
          <w:szCs w:val="24"/>
        </w:rPr>
        <w:footnoteReference w:id="20"/>
      </w:r>
    </w:p>
    <w:p w14:paraId="5A88E30E" w14:textId="29FCF6F8" w:rsidR="00325189" w:rsidRDefault="00894362" w:rsidP="00EF3D49">
      <w:pPr>
        <w:rPr>
          <w:sz w:val="24"/>
          <w:szCs w:val="24"/>
        </w:rPr>
      </w:pPr>
      <w:r>
        <w:rPr>
          <w:sz w:val="24"/>
          <w:szCs w:val="24"/>
        </w:rPr>
        <w:t xml:space="preserve">  </w:t>
      </w:r>
      <w:r>
        <w:rPr>
          <w:i/>
          <w:iCs/>
          <w:sz w:val="24"/>
          <w:szCs w:val="24"/>
        </w:rPr>
        <w:t xml:space="preserve">Omnipotens </w:t>
      </w:r>
      <w:r>
        <w:rPr>
          <w:sz w:val="24"/>
          <w:szCs w:val="24"/>
        </w:rPr>
        <w:t xml:space="preserve">(line 693) </w:t>
      </w:r>
      <w:r w:rsidR="00957111">
        <w:rPr>
          <w:sz w:val="24"/>
          <w:szCs w:val="24"/>
        </w:rPr>
        <w:t>ironic, as</w:t>
      </w:r>
      <w:r>
        <w:rPr>
          <w:sz w:val="24"/>
          <w:szCs w:val="24"/>
        </w:rPr>
        <w:t xml:space="preserve"> Juno, the protectress of Carthage had neither power nor wish to prevent the pity and terror of Dido’s tragic course.</w:t>
      </w:r>
      <w:r>
        <w:rPr>
          <w:rStyle w:val="FootnoteReference"/>
          <w:sz w:val="24"/>
          <w:szCs w:val="24"/>
        </w:rPr>
        <w:footnoteReference w:id="21"/>
      </w:r>
      <w:r>
        <w:rPr>
          <w:sz w:val="24"/>
          <w:szCs w:val="24"/>
        </w:rPr>
        <w:t xml:space="preserve"> </w:t>
      </w:r>
      <w:r w:rsidR="006109BE">
        <w:rPr>
          <w:i/>
          <w:iCs/>
          <w:sz w:val="24"/>
          <w:szCs w:val="24"/>
        </w:rPr>
        <w:t xml:space="preserve">Difficilisque obitus </w:t>
      </w:r>
      <w:r w:rsidR="006109BE">
        <w:rPr>
          <w:sz w:val="24"/>
          <w:szCs w:val="24"/>
        </w:rPr>
        <w:t xml:space="preserve">(and the hard travail of her death). </w:t>
      </w:r>
      <w:r w:rsidR="006109BE">
        <w:rPr>
          <w:i/>
          <w:iCs/>
          <w:sz w:val="24"/>
          <w:szCs w:val="24"/>
        </w:rPr>
        <w:t xml:space="preserve">Obitus </w:t>
      </w:r>
      <w:r w:rsidR="006109BE">
        <w:rPr>
          <w:sz w:val="24"/>
          <w:szCs w:val="24"/>
        </w:rPr>
        <w:t xml:space="preserve">is rare in poetry, especially when used in the plural for a single death. Ovid avoids the plural in </w:t>
      </w:r>
      <w:r w:rsidR="006109BE">
        <w:rPr>
          <w:i/>
          <w:iCs/>
          <w:sz w:val="24"/>
          <w:szCs w:val="24"/>
        </w:rPr>
        <w:t xml:space="preserve">Metamorphoses </w:t>
      </w:r>
      <w:r w:rsidR="006109BE">
        <w:rPr>
          <w:sz w:val="24"/>
          <w:szCs w:val="24"/>
        </w:rPr>
        <w:t xml:space="preserve">III. 136f </w:t>
      </w:r>
      <w:r w:rsidR="006109BE">
        <w:rPr>
          <w:i/>
          <w:iCs/>
          <w:sz w:val="24"/>
          <w:szCs w:val="24"/>
        </w:rPr>
        <w:t xml:space="preserve">dicique beatus/ante obitum nemo supremaque funera debet’, </w:t>
      </w:r>
      <w:r w:rsidR="006109BE">
        <w:rPr>
          <w:sz w:val="24"/>
          <w:szCs w:val="24"/>
        </w:rPr>
        <w:t xml:space="preserve">where the use of </w:t>
      </w:r>
      <w:r w:rsidR="006109BE">
        <w:rPr>
          <w:i/>
          <w:iCs/>
          <w:sz w:val="24"/>
          <w:szCs w:val="24"/>
        </w:rPr>
        <w:t xml:space="preserve">funera </w:t>
      </w:r>
      <w:r w:rsidR="006109BE">
        <w:rPr>
          <w:sz w:val="24"/>
          <w:szCs w:val="24"/>
        </w:rPr>
        <w:t xml:space="preserve">might have suggested </w:t>
      </w:r>
      <w:r w:rsidR="006109BE">
        <w:rPr>
          <w:i/>
          <w:iCs/>
          <w:sz w:val="24"/>
          <w:szCs w:val="24"/>
        </w:rPr>
        <w:t>obitus.</w:t>
      </w:r>
      <w:r w:rsidR="006109BE">
        <w:rPr>
          <w:rStyle w:val="FootnoteReference"/>
          <w:i/>
          <w:iCs/>
          <w:sz w:val="24"/>
          <w:szCs w:val="24"/>
        </w:rPr>
        <w:footnoteReference w:id="22"/>
      </w:r>
      <w:r w:rsidR="006109BE">
        <w:rPr>
          <w:sz w:val="24"/>
          <w:szCs w:val="24"/>
        </w:rPr>
        <w:t xml:space="preserve"> Possible translation is ‘moments of her passing’.</w:t>
      </w:r>
      <w:r w:rsidR="006109BE">
        <w:rPr>
          <w:rStyle w:val="FootnoteReference"/>
          <w:sz w:val="24"/>
          <w:szCs w:val="24"/>
        </w:rPr>
        <w:footnoteReference w:id="23"/>
      </w:r>
      <w:r>
        <w:rPr>
          <w:sz w:val="24"/>
          <w:szCs w:val="24"/>
        </w:rPr>
        <w:t xml:space="preserve"> </w:t>
      </w:r>
    </w:p>
    <w:p w14:paraId="12BECFD5" w14:textId="258CBC5F" w:rsidR="006109BE" w:rsidRDefault="006109BE" w:rsidP="00EF3D49">
      <w:pPr>
        <w:rPr>
          <w:sz w:val="24"/>
          <w:szCs w:val="24"/>
        </w:rPr>
      </w:pPr>
      <w:r>
        <w:rPr>
          <w:i/>
          <w:iCs/>
          <w:sz w:val="24"/>
          <w:szCs w:val="24"/>
        </w:rPr>
        <w:t xml:space="preserve">Quae…artus </w:t>
      </w:r>
      <w:r>
        <w:rPr>
          <w:sz w:val="24"/>
          <w:szCs w:val="24"/>
        </w:rPr>
        <w:t xml:space="preserve">(to loose her struggling soul and close locked limbs..line 696) </w:t>
      </w:r>
      <w:r w:rsidR="00710BB7">
        <w:rPr>
          <w:sz w:val="24"/>
          <w:szCs w:val="24"/>
        </w:rPr>
        <w:t xml:space="preserve">The soul is imprisoned in the body and struggles to extricate itself.  </w:t>
      </w:r>
      <w:r w:rsidR="00710BB7">
        <w:rPr>
          <w:i/>
          <w:iCs/>
          <w:sz w:val="24"/>
          <w:szCs w:val="24"/>
        </w:rPr>
        <w:t xml:space="preserve">Aeneid </w:t>
      </w:r>
      <w:r w:rsidR="00710BB7">
        <w:rPr>
          <w:sz w:val="24"/>
          <w:szCs w:val="24"/>
        </w:rPr>
        <w:t>VI, refers</w:t>
      </w:r>
      <w:r>
        <w:rPr>
          <w:sz w:val="24"/>
          <w:szCs w:val="24"/>
        </w:rPr>
        <w:t xml:space="preserve"> </w:t>
      </w:r>
      <w:r w:rsidR="00710BB7">
        <w:rPr>
          <w:sz w:val="24"/>
          <w:szCs w:val="24"/>
        </w:rPr>
        <w:t xml:space="preserve">to </w:t>
      </w:r>
      <w:r w:rsidR="00710BB7">
        <w:rPr>
          <w:i/>
          <w:iCs/>
          <w:sz w:val="24"/>
          <w:szCs w:val="24"/>
        </w:rPr>
        <w:t xml:space="preserve">supremo cum lumine </w:t>
      </w:r>
      <w:r w:rsidR="00710BB7">
        <w:rPr>
          <w:sz w:val="24"/>
          <w:szCs w:val="24"/>
        </w:rPr>
        <w:t>(the gloom of the gloom of their dark dungeon).</w:t>
      </w:r>
      <w:r w:rsidR="00710BB7">
        <w:rPr>
          <w:rStyle w:val="FootnoteReference"/>
          <w:sz w:val="24"/>
          <w:szCs w:val="24"/>
        </w:rPr>
        <w:footnoteReference w:id="24"/>
      </w:r>
      <w:r w:rsidR="00710BB7">
        <w:rPr>
          <w:sz w:val="24"/>
          <w:szCs w:val="24"/>
        </w:rPr>
        <w:t xml:space="preserve"> Nexos (line 695) suggests ‘close knit’, suggesting that when the spirit and the body are separated in death, the limbs ‘fall so slack as to seem not connected at all.</w:t>
      </w:r>
      <w:r w:rsidR="00710BB7">
        <w:rPr>
          <w:rStyle w:val="FootnoteReference"/>
          <w:sz w:val="24"/>
          <w:szCs w:val="24"/>
        </w:rPr>
        <w:footnoteReference w:id="25"/>
      </w:r>
      <w:r w:rsidR="00710BB7">
        <w:rPr>
          <w:sz w:val="24"/>
          <w:szCs w:val="24"/>
        </w:rPr>
        <w:t xml:space="preserve"> </w:t>
      </w:r>
      <w:r w:rsidR="00710BB7">
        <w:rPr>
          <w:i/>
          <w:iCs/>
          <w:sz w:val="24"/>
          <w:szCs w:val="24"/>
        </w:rPr>
        <w:t xml:space="preserve">Nec fato </w:t>
      </w:r>
      <w:r w:rsidR="00710BB7">
        <w:rPr>
          <w:sz w:val="24"/>
          <w:szCs w:val="24"/>
        </w:rPr>
        <w:t>(line 696) not in the fulness of time/ not by destiny</w:t>
      </w:r>
      <w:r w:rsidR="00FA5BE7">
        <w:rPr>
          <w:sz w:val="24"/>
          <w:szCs w:val="24"/>
        </w:rPr>
        <w:t>/ before her appointed day. Here we have a sense of the soul wrestling with the body that holds it back.</w:t>
      </w:r>
      <w:r w:rsidR="00FA5BE7">
        <w:rPr>
          <w:rStyle w:val="FootnoteReference"/>
          <w:sz w:val="24"/>
          <w:szCs w:val="24"/>
        </w:rPr>
        <w:footnoteReference w:id="26"/>
      </w:r>
      <w:r w:rsidR="000A79B8">
        <w:rPr>
          <w:sz w:val="24"/>
          <w:szCs w:val="24"/>
        </w:rPr>
        <w:t xml:space="preserve"> Dido is determined on suicide</w:t>
      </w:r>
      <w:r w:rsidR="00787C61">
        <w:rPr>
          <w:sz w:val="24"/>
          <w:szCs w:val="24"/>
        </w:rPr>
        <w:t xml:space="preserve">; </w:t>
      </w:r>
      <w:r w:rsidR="00F05D80">
        <w:rPr>
          <w:sz w:val="24"/>
          <w:szCs w:val="24"/>
        </w:rPr>
        <w:t>her death</w:t>
      </w:r>
      <w:r w:rsidR="00787C61">
        <w:rPr>
          <w:sz w:val="24"/>
          <w:szCs w:val="24"/>
        </w:rPr>
        <w:t xml:space="preserve"> is self-chosen</w:t>
      </w:r>
      <w:r w:rsidR="00F05D80">
        <w:rPr>
          <w:sz w:val="24"/>
          <w:szCs w:val="24"/>
        </w:rPr>
        <w:t>,</w:t>
      </w:r>
      <w:r w:rsidR="00787C61">
        <w:rPr>
          <w:rStyle w:val="FootnoteReference"/>
          <w:sz w:val="24"/>
          <w:szCs w:val="24"/>
        </w:rPr>
        <w:footnoteReference w:id="27"/>
      </w:r>
      <w:r w:rsidR="00787C61">
        <w:rPr>
          <w:sz w:val="24"/>
          <w:szCs w:val="24"/>
        </w:rPr>
        <w:t>and she</w:t>
      </w:r>
      <w:r w:rsidR="00F05D80">
        <w:rPr>
          <w:sz w:val="24"/>
          <w:szCs w:val="24"/>
        </w:rPr>
        <w:t xml:space="preserve"> believes,</w:t>
      </w:r>
      <w:r w:rsidR="00787C61">
        <w:rPr>
          <w:sz w:val="24"/>
          <w:szCs w:val="24"/>
        </w:rPr>
        <w:t xml:space="preserve"> the only option. </w:t>
      </w:r>
      <w:r w:rsidR="00987D21">
        <w:rPr>
          <w:sz w:val="24"/>
          <w:szCs w:val="24"/>
        </w:rPr>
        <w:t xml:space="preserve">No </w:t>
      </w:r>
      <w:r w:rsidR="00787C61">
        <w:rPr>
          <w:sz w:val="24"/>
          <w:szCs w:val="24"/>
        </w:rPr>
        <w:t>goddess</w:t>
      </w:r>
      <w:r w:rsidR="00987D21">
        <w:rPr>
          <w:sz w:val="24"/>
          <w:szCs w:val="24"/>
        </w:rPr>
        <w:t xml:space="preserve"> however </w:t>
      </w:r>
      <w:r w:rsidR="00787C61">
        <w:rPr>
          <w:sz w:val="24"/>
          <w:szCs w:val="24"/>
        </w:rPr>
        <w:t>intervenes to change her mind</w:t>
      </w:r>
      <w:r w:rsidR="00987D21">
        <w:rPr>
          <w:sz w:val="24"/>
          <w:szCs w:val="24"/>
        </w:rPr>
        <w:t xml:space="preserve">. </w:t>
      </w:r>
      <w:r w:rsidR="00D477A2">
        <w:rPr>
          <w:sz w:val="24"/>
          <w:szCs w:val="24"/>
        </w:rPr>
        <w:t>Her</w:t>
      </w:r>
      <w:r w:rsidR="00987D21">
        <w:rPr>
          <w:sz w:val="24"/>
          <w:szCs w:val="24"/>
        </w:rPr>
        <w:t xml:space="preserve"> death isn’t </w:t>
      </w:r>
      <w:r w:rsidR="00D477A2">
        <w:rPr>
          <w:sz w:val="24"/>
          <w:szCs w:val="24"/>
        </w:rPr>
        <w:t>fated,</w:t>
      </w:r>
      <w:r w:rsidR="00987D21">
        <w:rPr>
          <w:sz w:val="24"/>
          <w:szCs w:val="24"/>
        </w:rPr>
        <w:t xml:space="preserve"> but such is Dido’s determination</w:t>
      </w:r>
      <w:r w:rsidR="00D477A2">
        <w:rPr>
          <w:sz w:val="24"/>
          <w:szCs w:val="24"/>
        </w:rPr>
        <w:t xml:space="preserve"> to end her life that the gods do not intervene.</w:t>
      </w:r>
      <w:r w:rsidR="00787C61">
        <w:rPr>
          <w:sz w:val="24"/>
          <w:szCs w:val="24"/>
        </w:rPr>
        <w:t xml:space="preserve"> </w:t>
      </w:r>
      <w:r w:rsidR="00D477A2">
        <w:rPr>
          <w:sz w:val="24"/>
          <w:szCs w:val="24"/>
        </w:rPr>
        <w:t>In</w:t>
      </w:r>
      <w:r w:rsidR="00787C61">
        <w:rPr>
          <w:sz w:val="24"/>
          <w:szCs w:val="24"/>
        </w:rPr>
        <w:t xml:space="preserve"> contrast to Medea, flight is replaced by death.</w:t>
      </w:r>
      <w:r w:rsidR="00787C61">
        <w:rPr>
          <w:rStyle w:val="FootnoteReference"/>
          <w:sz w:val="24"/>
          <w:szCs w:val="24"/>
        </w:rPr>
        <w:footnoteReference w:id="28"/>
      </w:r>
      <w:r w:rsidR="00890FEB">
        <w:rPr>
          <w:sz w:val="24"/>
          <w:szCs w:val="24"/>
        </w:rPr>
        <w:t xml:space="preserve"> </w:t>
      </w:r>
    </w:p>
    <w:p w14:paraId="65DDE18C" w14:textId="08A4187E" w:rsidR="0061791A" w:rsidRPr="00787C61" w:rsidRDefault="00FA5BE7" w:rsidP="00EF3D49">
      <w:pPr>
        <w:rPr>
          <w:sz w:val="24"/>
          <w:szCs w:val="24"/>
        </w:rPr>
      </w:pPr>
      <w:r>
        <w:rPr>
          <w:i/>
          <w:iCs/>
          <w:sz w:val="24"/>
          <w:szCs w:val="24"/>
        </w:rPr>
        <w:t xml:space="preserve">Merita nec morte </w:t>
      </w:r>
      <w:r>
        <w:rPr>
          <w:sz w:val="24"/>
          <w:szCs w:val="24"/>
        </w:rPr>
        <w:t xml:space="preserve">(and by a death she had not deserved,  </w:t>
      </w:r>
      <w:r w:rsidR="00787C61">
        <w:rPr>
          <w:sz w:val="24"/>
          <w:szCs w:val="24"/>
        </w:rPr>
        <w:t>l</w:t>
      </w:r>
      <w:r>
        <w:rPr>
          <w:sz w:val="24"/>
          <w:szCs w:val="24"/>
        </w:rPr>
        <w:t xml:space="preserve">ine 696) Not only had Dido perished on account of her wishing it, but she had not deserved death by some criminal act leading to divine intervention. </w:t>
      </w:r>
      <w:r w:rsidR="00787C61">
        <w:rPr>
          <w:sz w:val="24"/>
          <w:szCs w:val="24"/>
        </w:rPr>
        <w:t xml:space="preserve"> </w:t>
      </w:r>
      <w:r w:rsidR="0061791A">
        <w:rPr>
          <w:sz w:val="24"/>
          <w:szCs w:val="24"/>
        </w:rPr>
        <w:t>It was Dido’s meeting with Aeneas which put an end to her happiness; she had acted wrongly in this situation, which was judged by Virgil to be an accountable guilt and recognised by Dido as such. She took the atonement voluntarily upon herself, executed the penalty and carried out her own death as a ritual sacrifice.</w:t>
      </w:r>
      <w:r w:rsidR="0061791A">
        <w:rPr>
          <w:rStyle w:val="FootnoteReference"/>
          <w:sz w:val="24"/>
          <w:szCs w:val="24"/>
        </w:rPr>
        <w:footnoteReference w:id="29"/>
      </w:r>
      <w:r w:rsidR="00787C61">
        <w:rPr>
          <w:sz w:val="24"/>
          <w:szCs w:val="24"/>
        </w:rPr>
        <w:t xml:space="preserve"> </w:t>
      </w:r>
      <w:r>
        <w:rPr>
          <w:sz w:val="24"/>
          <w:szCs w:val="24"/>
        </w:rPr>
        <w:t xml:space="preserve"> </w:t>
      </w:r>
      <w:r w:rsidR="0061791A">
        <w:rPr>
          <w:sz w:val="24"/>
          <w:szCs w:val="24"/>
        </w:rPr>
        <w:t>Yet, as Hardie maintains, there is a disproportion between her misfortune and her tragic mistake; her sufferings far exceed the measure of her guilt</w:t>
      </w:r>
      <w:r w:rsidR="00890FEB">
        <w:rPr>
          <w:sz w:val="24"/>
          <w:szCs w:val="24"/>
        </w:rPr>
        <w:t>.</w:t>
      </w:r>
      <w:r w:rsidR="0061791A">
        <w:rPr>
          <w:rStyle w:val="FootnoteReference"/>
          <w:sz w:val="24"/>
          <w:szCs w:val="24"/>
        </w:rPr>
        <w:footnoteReference w:id="30"/>
      </w:r>
      <w:r w:rsidR="00787C61">
        <w:rPr>
          <w:sz w:val="24"/>
          <w:szCs w:val="24"/>
        </w:rPr>
        <w:t xml:space="preserve"> Medea, in contrast to Dido, merely contemplates suicide at </w:t>
      </w:r>
      <w:r w:rsidR="00787C61">
        <w:rPr>
          <w:i/>
          <w:iCs/>
          <w:sz w:val="24"/>
          <w:szCs w:val="24"/>
        </w:rPr>
        <w:t xml:space="preserve">Argonautica </w:t>
      </w:r>
      <w:r w:rsidR="00787C61">
        <w:rPr>
          <w:sz w:val="24"/>
          <w:szCs w:val="24"/>
        </w:rPr>
        <w:t>3.798-809, and again at the start of the fourth book (</w:t>
      </w:r>
      <w:r w:rsidR="00787C61">
        <w:rPr>
          <w:i/>
          <w:iCs/>
          <w:sz w:val="24"/>
          <w:szCs w:val="24"/>
        </w:rPr>
        <w:t xml:space="preserve">Arg </w:t>
      </w:r>
      <w:r w:rsidR="00787C61">
        <w:rPr>
          <w:sz w:val="24"/>
          <w:szCs w:val="24"/>
        </w:rPr>
        <w:t>4.20-23) but on each occasion Hera provokes a change of mind and the young girl flees with the departing Jason.</w:t>
      </w:r>
      <w:r w:rsidR="00787C61">
        <w:rPr>
          <w:rStyle w:val="FootnoteReference"/>
          <w:sz w:val="24"/>
          <w:szCs w:val="24"/>
        </w:rPr>
        <w:footnoteReference w:id="31"/>
      </w:r>
    </w:p>
    <w:p w14:paraId="241CEB42" w14:textId="4F22FC3A" w:rsidR="00890FEB" w:rsidRDefault="00077546" w:rsidP="00EF3D49">
      <w:pPr>
        <w:rPr>
          <w:sz w:val="24"/>
          <w:szCs w:val="24"/>
        </w:rPr>
      </w:pPr>
      <w:r>
        <w:rPr>
          <w:sz w:val="24"/>
          <w:szCs w:val="24"/>
        </w:rPr>
        <w:lastRenderedPageBreak/>
        <w:t>Virgil comments</w:t>
      </w:r>
      <w:r w:rsidR="00B00ECC">
        <w:rPr>
          <w:sz w:val="24"/>
          <w:szCs w:val="24"/>
        </w:rPr>
        <w:t xml:space="preserve"> somewhat critically</w:t>
      </w:r>
      <w:r>
        <w:rPr>
          <w:sz w:val="24"/>
          <w:szCs w:val="24"/>
        </w:rPr>
        <w:t xml:space="preserve"> on the fate of those sad souls </w:t>
      </w:r>
      <w:r w:rsidR="00EF5B32">
        <w:rPr>
          <w:sz w:val="24"/>
          <w:szCs w:val="24"/>
        </w:rPr>
        <w:t xml:space="preserve">that </w:t>
      </w:r>
      <w:r>
        <w:rPr>
          <w:sz w:val="24"/>
          <w:szCs w:val="24"/>
        </w:rPr>
        <w:t xml:space="preserve">chose suicide in </w:t>
      </w:r>
      <w:r>
        <w:rPr>
          <w:i/>
          <w:iCs/>
          <w:sz w:val="24"/>
          <w:szCs w:val="24"/>
        </w:rPr>
        <w:t xml:space="preserve">Aeneid </w:t>
      </w:r>
      <w:r>
        <w:rPr>
          <w:sz w:val="24"/>
          <w:szCs w:val="24"/>
        </w:rPr>
        <w:t xml:space="preserve">VI, </w:t>
      </w:r>
      <w:r>
        <w:rPr>
          <w:i/>
          <w:iCs/>
          <w:sz w:val="24"/>
          <w:szCs w:val="24"/>
        </w:rPr>
        <w:t xml:space="preserve">quam vellent aethere in alto/nunc et pauperiem et duros perferre labores </w:t>
      </w:r>
      <w:r>
        <w:rPr>
          <w:sz w:val="24"/>
          <w:szCs w:val="24"/>
        </w:rPr>
        <w:t>(who wrought their own death</w:t>
      </w:r>
      <w:r w:rsidR="00787C61">
        <w:rPr>
          <w:sz w:val="24"/>
          <w:szCs w:val="24"/>
        </w:rPr>
        <w:t xml:space="preserve"> </w:t>
      </w:r>
      <w:r w:rsidR="00B00ECC">
        <w:rPr>
          <w:sz w:val="24"/>
          <w:szCs w:val="24"/>
        </w:rPr>
        <w:t>and, loathing the light, flung away their lives).</w:t>
      </w:r>
      <w:r w:rsidR="00B00ECC">
        <w:rPr>
          <w:rStyle w:val="FootnoteReference"/>
          <w:sz w:val="24"/>
          <w:szCs w:val="24"/>
        </w:rPr>
        <w:footnoteReference w:id="32"/>
      </w:r>
      <w:r w:rsidR="00B00ECC">
        <w:rPr>
          <w:sz w:val="24"/>
          <w:szCs w:val="24"/>
        </w:rPr>
        <w:t xml:space="preserve"> Yet, when Aeneas meets Dido’s ghost in the </w:t>
      </w:r>
      <w:r w:rsidR="00B00ECC">
        <w:rPr>
          <w:i/>
          <w:iCs/>
          <w:sz w:val="24"/>
          <w:szCs w:val="24"/>
        </w:rPr>
        <w:t xml:space="preserve">lugentes campi, </w:t>
      </w:r>
      <w:r w:rsidR="00B00ECC">
        <w:rPr>
          <w:sz w:val="24"/>
          <w:szCs w:val="24"/>
        </w:rPr>
        <w:t>she is considered among those who died for love, not among those who killed themselves.</w:t>
      </w:r>
      <w:r w:rsidR="00B00ECC">
        <w:rPr>
          <w:rStyle w:val="FootnoteReference"/>
          <w:sz w:val="24"/>
          <w:szCs w:val="24"/>
        </w:rPr>
        <w:footnoteReference w:id="33"/>
      </w:r>
      <w:r w:rsidR="00DB711D">
        <w:rPr>
          <w:sz w:val="24"/>
          <w:szCs w:val="24"/>
        </w:rPr>
        <w:t xml:space="preserve"> </w:t>
      </w:r>
      <w:r w:rsidR="00EF5B32">
        <w:rPr>
          <w:sz w:val="24"/>
          <w:szCs w:val="24"/>
        </w:rPr>
        <w:t>On</w:t>
      </w:r>
      <w:r w:rsidR="00890FEB">
        <w:rPr>
          <w:sz w:val="24"/>
          <w:szCs w:val="24"/>
        </w:rPr>
        <w:t xml:space="preserve"> account of the depth of Dido’s love, her death was justifiable. </w:t>
      </w:r>
    </w:p>
    <w:p w14:paraId="7177FB1D" w14:textId="44A815BD" w:rsidR="00AF4B37" w:rsidRDefault="00890FEB" w:rsidP="00EF3D49">
      <w:pPr>
        <w:rPr>
          <w:sz w:val="24"/>
          <w:szCs w:val="24"/>
        </w:rPr>
      </w:pPr>
      <w:r>
        <w:rPr>
          <w:sz w:val="24"/>
          <w:szCs w:val="24"/>
        </w:rPr>
        <w:t xml:space="preserve">  </w:t>
      </w:r>
      <w:r w:rsidR="00DB711D">
        <w:rPr>
          <w:sz w:val="24"/>
          <w:szCs w:val="24"/>
        </w:rPr>
        <w:t>We do not hear of Dido’s soul fleeing resentfully to the Shades, despite making a great point of her immortality</w:t>
      </w:r>
      <w:r w:rsidR="00EF5B32">
        <w:rPr>
          <w:sz w:val="24"/>
          <w:szCs w:val="24"/>
        </w:rPr>
        <w:t>,</w:t>
      </w:r>
      <w:r w:rsidR="00DB711D">
        <w:rPr>
          <w:sz w:val="24"/>
          <w:szCs w:val="24"/>
        </w:rPr>
        <w:t xml:space="preserve"> with her memorable threat to Aeneas in </w:t>
      </w:r>
      <w:r w:rsidR="00DB711D">
        <w:rPr>
          <w:i/>
          <w:iCs/>
          <w:sz w:val="24"/>
          <w:szCs w:val="24"/>
        </w:rPr>
        <w:t xml:space="preserve">Aeneid </w:t>
      </w:r>
      <w:r w:rsidR="00DB711D">
        <w:rPr>
          <w:sz w:val="24"/>
          <w:szCs w:val="24"/>
        </w:rPr>
        <w:t>IV 386-87</w:t>
      </w:r>
      <w:r w:rsidR="00EF5B32">
        <w:rPr>
          <w:sz w:val="24"/>
          <w:szCs w:val="24"/>
        </w:rPr>
        <w:t>.</w:t>
      </w:r>
      <w:r w:rsidR="00DB711D">
        <w:rPr>
          <w:rStyle w:val="FootnoteReference"/>
          <w:sz w:val="24"/>
          <w:szCs w:val="24"/>
        </w:rPr>
        <w:footnoteReference w:id="34"/>
      </w:r>
      <w:r w:rsidR="00DB711D">
        <w:rPr>
          <w:sz w:val="24"/>
          <w:szCs w:val="24"/>
        </w:rPr>
        <w:t xml:space="preserve"> </w:t>
      </w:r>
      <w:r w:rsidR="00EF5B32">
        <w:rPr>
          <w:sz w:val="24"/>
          <w:szCs w:val="24"/>
        </w:rPr>
        <w:t>It is here that</w:t>
      </w:r>
      <w:r w:rsidR="00C17024">
        <w:rPr>
          <w:sz w:val="24"/>
          <w:szCs w:val="24"/>
        </w:rPr>
        <w:t xml:space="preserve"> Dido bears her greatest resemblance to Medea:</w:t>
      </w:r>
      <w:r w:rsidR="00C17024">
        <w:rPr>
          <w:rStyle w:val="FootnoteReference"/>
          <w:sz w:val="24"/>
          <w:szCs w:val="24"/>
        </w:rPr>
        <w:footnoteReference w:id="35"/>
      </w:r>
      <w:r w:rsidR="00DB711D">
        <w:rPr>
          <w:i/>
          <w:iCs/>
          <w:sz w:val="24"/>
          <w:szCs w:val="24"/>
        </w:rPr>
        <w:t xml:space="preserve">dabis, improbe, poenas. Audiam et haec Manis veniet mihi fama sub imos </w:t>
      </w:r>
      <w:r w:rsidR="00DB711D">
        <w:rPr>
          <w:sz w:val="24"/>
          <w:szCs w:val="24"/>
        </w:rPr>
        <w:t>(relentless one, you will repay! I shall hear, and the tale will reach me in the depths of the world below).</w:t>
      </w:r>
      <w:r w:rsidR="00DB711D">
        <w:rPr>
          <w:rStyle w:val="FootnoteReference"/>
          <w:sz w:val="24"/>
          <w:szCs w:val="24"/>
        </w:rPr>
        <w:footnoteReference w:id="36"/>
      </w:r>
    </w:p>
    <w:p w14:paraId="0543DA07" w14:textId="506521D1" w:rsidR="00AF4B37" w:rsidRDefault="00AF4B37" w:rsidP="00EF3D49">
      <w:pPr>
        <w:rPr>
          <w:sz w:val="24"/>
          <w:szCs w:val="24"/>
        </w:rPr>
      </w:pPr>
      <w:r>
        <w:rPr>
          <w:i/>
          <w:iCs/>
          <w:sz w:val="24"/>
          <w:szCs w:val="24"/>
        </w:rPr>
        <w:t xml:space="preserve">Ergo…recessit </w:t>
      </w:r>
      <w:r>
        <w:rPr>
          <w:sz w:val="24"/>
          <w:szCs w:val="24"/>
        </w:rPr>
        <w:t xml:space="preserve">(lines 700-05) </w:t>
      </w:r>
      <w:r w:rsidR="00842A52">
        <w:rPr>
          <w:sz w:val="24"/>
          <w:szCs w:val="24"/>
        </w:rPr>
        <w:t>Iris is dewy on account of the rain, which is associated with the rainbow, whereas her wings are saffron coloured, perhaps on account of the new morning.</w:t>
      </w:r>
      <w:r w:rsidR="00842A52">
        <w:rPr>
          <w:rStyle w:val="FootnoteReference"/>
          <w:sz w:val="24"/>
          <w:szCs w:val="24"/>
        </w:rPr>
        <w:footnoteReference w:id="37"/>
      </w:r>
      <w:r w:rsidR="00842A52">
        <w:rPr>
          <w:sz w:val="24"/>
          <w:szCs w:val="24"/>
        </w:rPr>
        <w:t xml:space="preserve"> The beautiful picture of the rainbow goes back to Hesiod, not to Homer, and heightens the bitter contrast between the light that Dido had sought and the darkness which she found.</w:t>
      </w:r>
      <w:r w:rsidR="00842A52">
        <w:rPr>
          <w:rStyle w:val="FootnoteReference"/>
          <w:sz w:val="24"/>
          <w:szCs w:val="24"/>
        </w:rPr>
        <w:footnoteReference w:id="38"/>
      </w:r>
      <w:r w:rsidR="00842A52">
        <w:rPr>
          <w:sz w:val="24"/>
          <w:szCs w:val="24"/>
        </w:rPr>
        <w:t xml:space="preserve"> Williams draws attention to the rainbow’s supernatural beauty which brings a calm serenity to the closing scenes;</w:t>
      </w:r>
      <w:r w:rsidR="00842A52">
        <w:rPr>
          <w:rStyle w:val="FootnoteReference"/>
          <w:sz w:val="24"/>
          <w:szCs w:val="24"/>
        </w:rPr>
        <w:footnoteReference w:id="39"/>
      </w:r>
      <w:r w:rsidR="00842A52">
        <w:rPr>
          <w:sz w:val="24"/>
          <w:szCs w:val="24"/>
        </w:rPr>
        <w:t xml:space="preserve"> indeed he draws comparison with the words of Shakespeare’s </w:t>
      </w:r>
      <w:r w:rsidR="00842A52">
        <w:rPr>
          <w:i/>
          <w:iCs/>
          <w:sz w:val="24"/>
          <w:szCs w:val="24"/>
        </w:rPr>
        <w:t xml:space="preserve">The Tempest, </w:t>
      </w:r>
      <w:r w:rsidR="00842A52">
        <w:rPr>
          <w:sz w:val="24"/>
          <w:szCs w:val="24"/>
        </w:rPr>
        <w:t xml:space="preserve">4.I.76f. ‘Who with thy saffron wings upon my flowers, Diffusest honey-drops, refreshing </w:t>
      </w:r>
      <w:r w:rsidR="00F05D80">
        <w:rPr>
          <w:sz w:val="24"/>
          <w:szCs w:val="24"/>
        </w:rPr>
        <w:t>showers.</w:t>
      </w:r>
      <w:r w:rsidR="00842A52">
        <w:rPr>
          <w:sz w:val="24"/>
          <w:szCs w:val="24"/>
        </w:rPr>
        <w:t>’</w:t>
      </w:r>
      <w:r w:rsidR="00842A52">
        <w:rPr>
          <w:rStyle w:val="FootnoteReference"/>
          <w:sz w:val="24"/>
          <w:szCs w:val="24"/>
        </w:rPr>
        <w:footnoteReference w:id="40"/>
      </w:r>
      <w:r w:rsidR="00842A52">
        <w:rPr>
          <w:sz w:val="24"/>
          <w:szCs w:val="24"/>
        </w:rPr>
        <w:t xml:space="preserve"> </w:t>
      </w:r>
      <w:r w:rsidR="00842A52">
        <w:rPr>
          <w:i/>
          <w:iCs/>
          <w:sz w:val="24"/>
          <w:szCs w:val="24"/>
        </w:rPr>
        <w:t xml:space="preserve">varios </w:t>
      </w:r>
      <w:r w:rsidR="00842A52">
        <w:rPr>
          <w:sz w:val="24"/>
          <w:szCs w:val="24"/>
        </w:rPr>
        <w:t xml:space="preserve">(line 701) Virgil’s </w:t>
      </w:r>
      <w:r w:rsidR="00842A52">
        <w:rPr>
          <w:i/>
          <w:iCs/>
          <w:sz w:val="24"/>
          <w:szCs w:val="24"/>
        </w:rPr>
        <w:t xml:space="preserve">varius </w:t>
      </w:r>
      <w:r w:rsidR="00B60824">
        <w:rPr>
          <w:sz w:val="24"/>
          <w:szCs w:val="24"/>
        </w:rPr>
        <w:t xml:space="preserve">suggests an array of different colours, their brightness, and their iridescence </w:t>
      </w:r>
      <w:r w:rsidR="00B60824">
        <w:rPr>
          <w:i/>
          <w:iCs/>
          <w:sz w:val="24"/>
          <w:szCs w:val="24"/>
        </w:rPr>
        <w:t xml:space="preserve">adverso sole </w:t>
      </w:r>
      <w:r w:rsidR="00B60824">
        <w:rPr>
          <w:sz w:val="24"/>
          <w:szCs w:val="24"/>
        </w:rPr>
        <w:t>(with the sun facing her,  line 701). This glorious image of light, lightness and colour contrast wholly with Dido’s drooping body, and her spirit about to enter the dark.</w:t>
      </w:r>
      <w:r w:rsidR="00B60824">
        <w:rPr>
          <w:rStyle w:val="FootnoteReference"/>
          <w:sz w:val="24"/>
          <w:szCs w:val="24"/>
        </w:rPr>
        <w:footnoteReference w:id="41"/>
      </w:r>
      <w:r w:rsidR="00B60824">
        <w:rPr>
          <w:sz w:val="24"/>
          <w:szCs w:val="24"/>
        </w:rPr>
        <w:t xml:space="preserve"> The fact that Iris pauses so lightly </w:t>
      </w:r>
      <w:r w:rsidR="00B60824">
        <w:rPr>
          <w:i/>
          <w:iCs/>
          <w:sz w:val="24"/>
          <w:szCs w:val="24"/>
        </w:rPr>
        <w:t xml:space="preserve">astitit </w:t>
      </w:r>
      <w:r w:rsidR="00B60824">
        <w:rPr>
          <w:sz w:val="24"/>
          <w:szCs w:val="24"/>
        </w:rPr>
        <w:t>(line 702) results in our not being fully aware of it,</w:t>
      </w:r>
      <w:r w:rsidR="00B60824">
        <w:rPr>
          <w:rStyle w:val="FootnoteReference"/>
          <w:sz w:val="24"/>
          <w:szCs w:val="24"/>
        </w:rPr>
        <w:footnoteReference w:id="42"/>
      </w:r>
      <w:r w:rsidR="00F53AE4">
        <w:rPr>
          <w:sz w:val="24"/>
          <w:szCs w:val="24"/>
        </w:rPr>
        <w:t xml:space="preserve">while the pause after </w:t>
      </w:r>
      <w:r w:rsidR="00F53AE4">
        <w:rPr>
          <w:i/>
          <w:iCs/>
          <w:sz w:val="24"/>
          <w:szCs w:val="24"/>
        </w:rPr>
        <w:t xml:space="preserve">astitit, </w:t>
      </w:r>
      <w:r w:rsidR="00F53AE4">
        <w:rPr>
          <w:sz w:val="24"/>
          <w:szCs w:val="24"/>
        </w:rPr>
        <w:t>so late in the line is both unusual and effective.</w:t>
      </w:r>
      <w:r w:rsidR="00F53AE4">
        <w:rPr>
          <w:rStyle w:val="FootnoteReference"/>
          <w:sz w:val="24"/>
          <w:szCs w:val="24"/>
        </w:rPr>
        <w:footnoteReference w:id="43"/>
      </w:r>
      <w:r w:rsidR="00F53AE4">
        <w:rPr>
          <w:sz w:val="24"/>
          <w:szCs w:val="24"/>
        </w:rPr>
        <w:t xml:space="preserve"> </w:t>
      </w:r>
      <w:r w:rsidR="00F53AE4">
        <w:rPr>
          <w:i/>
          <w:iCs/>
          <w:sz w:val="24"/>
          <w:szCs w:val="24"/>
        </w:rPr>
        <w:t xml:space="preserve">Hunc </w:t>
      </w:r>
      <w:r w:rsidR="00F53AE4">
        <w:rPr>
          <w:sz w:val="24"/>
          <w:szCs w:val="24"/>
        </w:rPr>
        <w:t xml:space="preserve">(which refers to </w:t>
      </w:r>
      <w:r w:rsidR="00F53AE4">
        <w:rPr>
          <w:i/>
          <w:iCs/>
          <w:sz w:val="24"/>
          <w:szCs w:val="24"/>
        </w:rPr>
        <w:t>crinem</w:t>
      </w:r>
      <w:r w:rsidR="00F53AE4">
        <w:rPr>
          <w:sz w:val="24"/>
          <w:szCs w:val="24"/>
        </w:rPr>
        <w:t xml:space="preserve">) </w:t>
      </w:r>
      <w:r w:rsidR="00F53AE4">
        <w:rPr>
          <w:i/>
          <w:iCs/>
          <w:sz w:val="24"/>
          <w:szCs w:val="24"/>
        </w:rPr>
        <w:t xml:space="preserve">ego Diti </w:t>
      </w:r>
      <w:r w:rsidR="00F53AE4">
        <w:rPr>
          <w:sz w:val="24"/>
          <w:szCs w:val="24"/>
        </w:rPr>
        <w:t>(line 702) indicates that Iris puts her hand to Dido’s head with due gentleness and care.</w:t>
      </w:r>
      <w:r w:rsidR="00F53AE4">
        <w:rPr>
          <w:rStyle w:val="FootnoteReference"/>
          <w:sz w:val="24"/>
          <w:szCs w:val="24"/>
        </w:rPr>
        <w:footnoteReference w:id="44"/>
      </w:r>
      <w:r w:rsidR="00F53AE4">
        <w:rPr>
          <w:i/>
          <w:iCs/>
          <w:sz w:val="24"/>
          <w:szCs w:val="24"/>
        </w:rPr>
        <w:t xml:space="preserve">iussa </w:t>
      </w:r>
      <w:r w:rsidR="00F53AE4">
        <w:rPr>
          <w:sz w:val="24"/>
          <w:szCs w:val="24"/>
        </w:rPr>
        <w:t>(as instructed,  line703) by Juno, emphasizes that Iris does not perform this function on her own authority.</w:t>
      </w:r>
      <w:r w:rsidR="00F53AE4">
        <w:rPr>
          <w:rStyle w:val="FootnoteReference"/>
          <w:sz w:val="24"/>
          <w:szCs w:val="24"/>
        </w:rPr>
        <w:footnoteReference w:id="45"/>
      </w:r>
      <w:r w:rsidR="00F53AE4">
        <w:rPr>
          <w:sz w:val="24"/>
          <w:szCs w:val="24"/>
        </w:rPr>
        <w:t xml:space="preserve"> </w:t>
      </w:r>
      <w:r w:rsidR="00F53AE4">
        <w:rPr>
          <w:i/>
          <w:iCs/>
          <w:sz w:val="24"/>
          <w:szCs w:val="24"/>
        </w:rPr>
        <w:t xml:space="preserve">Isto </w:t>
      </w:r>
      <w:r w:rsidR="00F53AE4">
        <w:rPr>
          <w:sz w:val="24"/>
          <w:szCs w:val="24"/>
        </w:rPr>
        <w:t>is said pityingly by goddess to mortal.</w:t>
      </w:r>
      <w:r w:rsidR="00F53AE4">
        <w:rPr>
          <w:rStyle w:val="FootnoteReference"/>
          <w:sz w:val="24"/>
          <w:szCs w:val="24"/>
        </w:rPr>
        <w:footnoteReference w:id="46"/>
      </w:r>
    </w:p>
    <w:p w14:paraId="02E2FCFE" w14:textId="3020EE6F" w:rsidR="00E335AC" w:rsidRDefault="00FB1E91" w:rsidP="00EF3D49">
      <w:pPr>
        <w:rPr>
          <w:sz w:val="24"/>
          <w:szCs w:val="24"/>
        </w:rPr>
      </w:pPr>
      <w:r>
        <w:rPr>
          <w:i/>
          <w:iCs/>
          <w:sz w:val="24"/>
          <w:szCs w:val="24"/>
        </w:rPr>
        <w:t xml:space="preserve">Omnis et una dilapsus calor atque in ventos vita recessit </w:t>
      </w:r>
      <w:r>
        <w:rPr>
          <w:sz w:val="24"/>
          <w:szCs w:val="24"/>
        </w:rPr>
        <w:t>(and with it, all warmth left her, and her life departed into the winds,  lines 704-5). Dido’s ‘bright day is done</w:t>
      </w:r>
      <w:r w:rsidR="005C137A">
        <w:rPr>
          <w:sz w:val="24"/>
          <w:szCs w:val="24"/>
        </w:rPr>
        <w:t xml:space="preserve">; and all the heat and fury of her tragedy is fallen to nothing, ending quietly and almost imperceptibly at the </w:t>
      </w:r>
      <w:r w:rsidR="005C137A">
        <w:rPr>
          <w:sz w:val="24"/>
          <w:szCs w:val="24"/>
        </w:rPr>
        <w:lastRenderedPageBreak/>
        <w:t xml:space="preserve">last. It is what Austin terms, the end of the ‘first act’ of the </w:t>
      </w:r>
      <w:r w:rsidR="005C137A">
        <w:rPr>
          <w:i/>
          <w:iCs/>
          <w:sz w:val="24"/>
          <w:szCs w:val="24"/>
        </w:rPr>
        <w:t xml:space="preserve">Aeneid. </w:t>
      </w:r>
      <w:r w:rsidR="00890FEB">
        <w:rPr>
          <w:i/>
          <w:iCs/>
          <w:sz w:val="24"/>
          <w:szCs w:val="24"/>
        </w:rPr>
        <w:t xml:space="preserve"> </w:t>
      </w:r>
      <w:r w:rsidR="00B945D0">
        <w:rPr>
          <w:sz w:val="24"/>
          <w:szCs w:val="24"/>
        </w:rPr>
        <w:t>The main reason for Dido’s death was the fury of love, the passion which, Hardie states was demonized. Love appears as a destructive power which seizes hold of mortals; a god-sent madness or mental illness which invariably ends in disaster. It is an ancient concept of love which has played a role in the realm of tragedy.</w:t>
      </w:r>
      <w:r w:rsidR="00B945D0">
        <w:rPr>
          <w:rStyle w:val="FootnoteReference"/>
          <w:sz w:val="24"/>
          <w:szCs w:val="24"/>
        </w:rPr>
        <w:footnoteReference w:id="47"/>
      </w:r>
      <w:r w:rsidR="00B945D0">
        <w:rPr>
          <w:sz w:val="24"/>
          <w:szCs w:val="24"/>
        </w:rPr>
        <w:t xml:space="preserve"> </w:t>
      </w:r>
      <w:r w:rsidR="00E335AC">
        <w:rPr>
          <w:sz w:val="24"/>
          <w:szCs w:val="24"/>
        </w:rPr>
        <w:t xml:space="preserve"> Virgil makes use of this concept</w:t>
      </w:r>
      <w:r w:rsidR="00890FEB">
        <w:rPr>
          <w:sz w:val="24"/>
          <w:szCs w:val="24"/>
        </w:rPr>
        <w:t xml:space="preserve"> -</w:t>
      </w:r>
      <w:r w:rsidR="00E335AC">
        <w:rPr>
          <w:sz w:val="24"/>
          <w:szCs w:val="24"/>
        </w:rPr>
        <w:t xml:space="preserve"> borne out</w:t>
      </w:r>
      <w:r w:rsidR="00890FEB">
        <w:rPr>
          <w:sz w:val="24"/>
          <w:szCs w:val="24"/>
        </w:rPr>
        <w:t xml:space="preserve"> for example by</w:t>
      </w:r>
      <w:r w:rsidR="00E335AC">
        <w:rPr>
          <w:sz w:val="24"/>
          <w:szCs w:val="24"/>
        </w:rPr>
        <w:t xml:space="preserve"> </w:t>
      </w:r>
      <w:r w:rsidR="00890FEB">
        <w:rPr>
          <w:sz w:val="24"/>
          <w:szCs w:val="24"/>
        </w:rPr>
        <w:t>Euripides</w:t>
      </w:r>
      <w:r w:rsidR="00E335AC">
        <w:rPr>
          <w:sz w:val="24"/>
          <w:szCs w:val="24"/>
        </w:rPr>
        <w:t xml:space="preserve">’ </w:t>
      </w:r>
      <w:r w:rsidR="00E335AC">
        <w:rPr>
          <w:i/>
          <w:iCs/>
          <w:sz w:val="24"/>
          <w:szCs w:val="24"/>
        </w:rPr>
        <w:t xml:space="preserve">Hippolytos </w:t>
      </w:r>
      <w:r w:rsidR="00E335AC">
        <w:rPr>
          <w:sz w:val="24"/>
          <w:szCs w:val="24"/>
        </w:rPr>
        <w:t>in the figure of Phaedra being overcome by Aphrodite</w:t>
      </w:r>
      <w:r w:rsidR="00890FEB">
        <w:rPr>
          <w:sz w:val="24"/>
          <w:szCs w:val="24"/>
        </w:rPr>
        <w:t xml:space="preserve"> -</w:t>
      </w:r>
      <w:r w:rsidR="00E335AC">
        <w:rPr>
          <w:sz w:val="24"/>
          <w:szCs w:val="24"/>
        </w:rPr>
        <w:t xml:space="preserve"> in the Dido tragedy. He sees Dido’s blindness as deriving from passion and makes it appear as a tragic ensnarement.</w:t>
      </w:r>
      <w:r w:rsidR="00E335AC">
        <w:rPr>
          <w:rStyle w:val="FootnoteReference"/>
          <w:sz w:val="24"/>
          <w:szCs w:val="24"/>
        </w:rPr>
        <w:footnoteReference w:id="48"/>
      </w:r>
    </w:p>
    <w:p w14:paraId="628CE5E2" w14:textId="57A050B0" w:rsidR="00F53AE4" w:rsidRDefault="00E335AC" w:rsidP="00EF3D49">
      <w:pPr>
        <w:rPr>
          <w:sz w:val="24"/>
          <w:szCs w:val="24"/>
        </w:rPr>
      </w:pPr>
      <w:r>
        <w:rPr>
          <w:sz w:val="24"/>
          <w:szCs w:val="24"/>
        </w:rPr>
        <w:t>Austin</w:t>
      </w:r>
      <w:r w:rsidR="005C137A">
        <w:rPr>
          <w:sz w:val="24"/>
          <w:szCs w:val="24"/>
        </w:rPr>
        <w:t xml:space="preserve"> </w:t>
      </w:r>
      <w:r>
        <w:rPr>
          <w:sz w:val="24"/>
          <w:szCs w:val="24"/>
        </w:rPr>
        <w:t>suggests</w:t>
      </w:r>
      <w:r w:rsidR="005C137A">
        <w:rPr>
          <w:sz w:val="24"/>
          <w:szCs w:val="24"/>
        </w:rPr>
        <w:t xml:space="preserve"> that James Henry’s epilogue should be read by all who (in his words) ‘dare to feel that the exercise of their intellectual faculties in the ennobling, exalting, purifying contemplation of the grand, the beautiful and the pathetic, whether in the poetical, philosophical, or manuplastic creations of the master spirits of mankind, is not, cannot be, of the nature of sin.’</w:t>
      </w:r>
      <w:r w:rsidR="005C137A">
        <w:rPr>
          <w:rStyle w:val="FootnoteReference"/>
          <w:sz w:val="24"/>
          <w:szCs w:val="24"/>
        </w:rPr>
        <w:footnoteReference w:id="49"/>
      </w:r>
    </w:p>
    <w:p w14:paraId="3C446354" w14:textId="26A35CDE" w:rsidR="00847E2B" w:rsidRDefault="00847E2B" w:rsidP="00EF3D49">
      <w:pPr>
        <w:rPr>
          <w:sz w:val="24"/>
          <w:szCs w:val="24"/>
        </w:rPr>
      </w:pPr>
    </w:p>
    <w:p w14:paraId="642E71D6" w14:textId="0F34FC4E" w:rsidR="00847E2B" w:rsidRDefault="00847E2B" w:rsidP="00847E2B">
      <w:pPr>
        <w:jc w:val="center"/>
        <w:rPr>
          <w:sz w:val="32"/>
          <w:szCs w:val="32"/>
        </w:rPr>
      </w:pPr>
      <w:r>
        <w:rPr>
          <w:sz w:val="32"/>
          <w:szCs w:val="32"/>
        </w:rPr>
        <w:t>Bibliography</w:t>
      </w:r>
    </w:p>
    <w:p w14:paraId="7EBFE8EA" w14:textId="06D5F244" w:rsidR="0043542D" w:rsidRDefault="0043542D" w:rsidP="0043542D">
      <w:pPr>
        <w:rPr>
          <w:i/>
          <w:iCs/>
          <w:sz w:val="28"/>
          <w:szCs w:val="28"/>
        </w:rPr>
      </w:pPr>
      <w:r>
        <w:rPr>
          <w:sz w:val="28"/>
          <w:szCs w:val="28"/>
        </w:rPr>
        <w:t xml:space="preserve">Shakespeare, </w:t>
      </w:r>
      <w:r>
        <w:rPr>
          <w:i/>
          <w:iCs/>
          <w:sz w:val="28"/>
          <w:szCs w:val="28"/>
        </w:rPr>
        <w:t>The Tempest</w:t>
      </w:r>
    </w:p>
    <w:p w14:paraId="58BBDC6A" w14:textId="25414A49" w:rsidR="0043542D" w:rsidRDefault="0043542D" w:rsidP="0043542D">
      <w:pPr>
        <w:rPr>
          <w:i/>
          <w:iCs/>
          <w:sz w:val="28"/>
          <w:szCs w:val="28"/>
        </w:rPr>
      </w:pPr>
      <w:r>
        <w:rPr>
          <w:sz w:val="28"/>
          <w:szCs w:val="28"/>
        </w:rPr>
        <w:t xml:space="preserve">Virgil,  </w:t>
      </w:r>
      <w:r>
        <w:rPr>
          <w:i/>
          <w:iCs/>
          <w:sz w:val="28"/>
          <w:szCs w:val="28"/>
        </w:rPr>
        <w:t>The Aeneid IV, V, VI</w:t>
      </w:r>
    </w:p>
    <w:p w14:paraId="54CB9248" w14:textId="77777777" w:rsidR="0043542D" w:rsidRPr="0043542D" w:rsidRDefault="0043542D" w:rsidP="0043542D">
      <w:pPr>
        <w:rPr>
          <w:i/>
          <w:iCs/>
          <w:sz w:val="28"/>
          <w:szCs w:val="28"/>
        </w:rPr>
      </w:pPr>
    </w:p>
    <w:p w14:paraId="3C022252" w14:textId="01F234D6" w:rsidR="00847E2B" w:rsidRDefault="00847E2B" w:rsidP="00847E2B">
      <w:pPr>
        <w:rPr>
          <w:sz w:val="28"/>
          <w:szCs w:val="28"/>
        </w:rPr>
      </w:pPr>
      <w:r>
        <w:rPr>
          <w:sz w:val="28"/>
          <w:szCs w:val="28"/>
        </w:rPr>
        <w:t xml:space="preserve">R. G. Austin, (ed.).  (1954)  </w:t>
      </w:r>
      <w:r>
        <w:rPr>
          <w:i/>
          <w:iCs/>
          <w:sz w:val="28"/>
          <w:szCs w:val="28"/>
        </w:rPr>
        <w:t xml:space="preserve">P. Vergili Maronis  Aeneidos  Liber Quartus  </w:t>
      </w:r>
      <w:r>
        <w:rPr>
          <w:sz w:val="28"/>
          <w:szCs w:val="28"/>
        </w:rPr>
        <w:t>Oxford at the Clarendon Press</w:t>
      </w:r>
    </w:p>
    <w:p w14:paraId="43E1AFF6" w14:textId="31A7D8CD" w:rsidR="0043542D" w:rsidRPr="0043542D" w:rsidRDefault="0043542D" w:rsidP="00847E2B">
      <w:pPr>
        <w:rPr>
          <w:sz w:val="28"/>
          <w:szCs w:val="28"/>
        </w:rPr>
      </w:pPr>
      <w:r>
        <w:rPr>
          <w:sz w:val="28"/>
          <w:szCs w:val="28"/>
        </w:rPr>
        <w:t xml:space="preserve">Julia. T. Dyson, (1996)  </w:t>
      </w:r>
      <w:r>
        <w:rPr>
          <w:i/>
          <w:iCs/>
          <w:sz w:val="28"/>
          <w:szCs w:val="28"/>
        </w:rPr>
        <w:t xml:space="preserve">Dido the Epicurean  </w:t>
      </w:r>
      <w:r>
        <w:rPr>
          <w:sz w:val="28"/>
          <w:szCs w:val="28"/>
        </w:rPr>
        <w:t>Classical Antiquity, 15.2, 203-221</w:t>
      </w:r>
    </w:p>
    <w:p w14:paraId="1A4B785E" w14:textId="21E5A4DB" w:rsidR="00847E2B" w:rsidRPr="0043542D" w:rsidRDefault="00847E2B" w:rsidP="00847E2B">
      <w:pPr>
        <w:rPr>
          <w:sz w:val="28"/>
          <w:szCs w:val="28"/>
        </w:rPr>
      </w:pPr>
      <w:r>
        <w:rPr>
          <w:sz w:val="28"/>
          <w:szCs w:val="28"/>
        </w:rPr>
        <w:t xml:space="preserve">Philp Hardie, (ed.).  (1999)  </w:t>
      </w:r>
      <w:r>
        <w:rPr>
          <w:i/>
          <w:iCs/>
          <w:sz w:val="28"/>
          <w:szCs w:val="28"/>
        </w:rPr>
        <w:t>Virgil  Critical Assessments</w:t>
      </w:r>
      <w:r w:rsidR="0043542D">
        <w:rPr>
          <w:i/>
          <w:iCs/>
          <w:sz w:val="28"/>
          <w:szCs w:val="28"/>
        </w:rPr>
        <w:t xml:space="preserve"> of Classical Authors  </w:t>
      </w:r>
      <w:r w:rsidR="0043542D">
        <w:rPr>
          <w:sz w:val="28"/>
          <w:szCs w:val="28"/>
        </w:rPr>
        <w:t>Routledge  London and New York</w:t>
      </w:r>
    </w:p>
    <w:p w14:paraId="54084B85" w14:textId="77777777" w:rsidR="00847E2B" w:rsidRDefault="00847E2B" w:rsidP="00847E2B">
      <w:pPr>
        <w:rPr>
          <w:sz w:val="28"/>
          <w:szCs w:val="28"/>
        </w:rPr>
      </w:pPr>
      <w:r>
        <w:rPr>
          <w:sz w:val="28"/>
          <w:szCs w:val="28"/>
        </w:rPr>
        <w:t xml:space="preserve">Keith Maclennan, (ed.).  (2007)  </w:t>
      </w:r>
      <w:r>
        <w:rPr>
          <w:i/>
          <w:iCs/>
          <w:sz w:val="28"/>
          <w:szCs w:val="28"/>
        </w:rPr>
        <w:t xml:space="preserve">Virgil  Aeneid IV  </w:t>
      </w:r>
      <w:r>
        <w:rPr>
          <w:sz w:val="28"/>
          <w:szCs w:val="28"/>
        </w:rPr>
        <w:t xml:space="preserve">Bloomsbury  London </w:t>
      </w:r>
    </w:p>
    <w:p w14:paraId="37900EE2" w14:textId="66E468C3" w:rsidR="00847E2B" w:rsidRPr="00847E2B" w:rsidRDefault="00847E2B" w:rsidP="00847E2B">
      <w:pPr>
        <w:rPr>
          <w:sz w:val="28"/>
          <w:szCs w:val="28"/>
        </w:rPr>
      </w:pPr>
      <w:r>
        <w:rPr>
          <w:sz w:val="28"/>
          <w:szCs w:val="28"/>
        </w:rPr>
        <w:t xml:space="preserve">Damien Nelis,  (2001)  </w:t>
      </w:r>
      <w:r>
        <w:rPr>
          <w:i/>
          <w:iCs/>
          <w:sz w:val="28"/>
          <w:szCs w:val="28"/>
        </w:rPr>
        <w:t xml:space="preserve">Vergil’s Aeneid and the Argonautica of Apollonius Rhodius   </w:t>
      </w:r>
      <w:r>
        <w:rPr>
          <w:sz w:val="28"/>
          <w:szCs w:val="28"/>
        </w:rPr>
        <w:t xml:space="preserve">Francis Cairns   Leeds </w:t>
      </w:r>
    </w:p>
    <w:p w14:paraId="394708BC" w14:textId="40BD0768" w:rsidR="00847E2B" w:rsidRDefault="00847E2B" w:rsidP="00847E2B">
      <w:pPr>
        <w:rPr>
          <w:sz w:val="28"/>
          <w:szCs w:val="28"/>
        </w:rPr>
      </w:pPr>
      <w:r>
        <w:rPr>
          <w:sz w:val="28"/>
          <w:szCs w:val="28"/>
        </w:rPr>
        <w:t xml:space="preserve">Kenneth Quinn, (1968)  </w:t>
      </w:r>
      <w:r>
        <w:rPr>
          <w:i/>
          <w:iCs/>
          <w:sz w:val="28"/>
          <w:szCs w:val="28"/>
        </w:rPr>
        <w:t xml:space="preserve">Virgil’s Aeneid  A Critical Description  </w:t>
      </w:r>
      <w:r>
        <w:rPr>
          <w:sz w:val="28"/>
          <w:szCs w:val="28"/>
        </w:rPr>
        <w:t>Routledge &amp; Kegan Paul   London</w:t>
      </w:r>
    </w:p>
    <w:p w14:paraId="2ED1F920" w14:textId="017E3ECF" w:rsidR="00847E2B" w:rsidRPr="00847E2B" w:rsidRDefault="00847E2B" w:rsidP="00847E2B">
      <w:pPr>
        <w:rPr>
          <w:sz w:val="28"/>
          <w:szCs w:val="28"/>
        </w:rPr>
      </w:pPr>
      <w:r>
        <w:rPr>
          <w:sz w:val="28"/>
          <w:szCs w:val="28"/>
        </w:rPr>
        <w:t xml:space="preserve">R. D. Williams,  (ed.).  (1972)  </w:t>
      </w:r>
      <w:r>
        <w:rPr>
          <w:i/>
          <w:iCs/>
          <w:sz w:val="28"/>
          <w:szCs w:val="28"/>
        </w:rPr>
        <w:t xml:space="preserve">The Aeneid of Virgil  Books 1-6  </w:t>
      </w:r>
      <w:r>
        <w:rPr>
          <w:sz w:val="28"/>
          <w:szCs w:val="28"/>
        </w:rPr>
        <w:t>Macmillan  St Martin’s Press</w:t>
      </w:r>
    </w:p>
    <w:p w14:paraId="21842BF3" w14:textId="28F3E718" w:rsidR="00FA5BE7" w:rsidRPr="00B00ECC" w:rsidRDefault="00AF4B37" w:rsidP="00EF3D49">
      <w:pPr>
        <w:rPr>
          <w:sz w:val="24"/>
          <w:szCs w:val="24"/>
        </w:rPr>
      </w:pPr>
      <w:r>
        <w:rPr>
          <w:sz w:val="24"/>
          <w:szCs w:val="24"/>
        </w:rPr>
        <w:lastRenderedPageBreak/>
        <w:t xml:space="preserve">  </w:t>
      </w:r>
      <w:r w:rsidR="00B00ECC">
        <w:rPr>
          <w:sz w:val="24"/>
          <w:szCs w:val="24"/>
        </w:rPr>
        <w:t xml:space="preserve"> </w:t>
      </w:r>
    </w:p>
    <w:p w14:paraId="690ECB86" w14:textId="77777777" w:rsidR="0033108B" w:rsidRPr="0033108B" w:rsidRDefault="0033108B" w:rsidP="00EF3D49">
      <w:pPr>
        <w:rPr>
          <w:sz w:val="24"/>
          <w:szCs w:val="24"/>
        </w:rPr>
      </w:pPr>
    </w:p>
    <w:p w14:paraId="4064C21A" w14:textId="77777777" w:rsidR="00FA2D40" w:rsidRPr="00FA2D40" w:rsidRDefault="00FA2D40" w:rsidP="00EF3D49">
      <w:pPr>
        <w:rPr>
          <w:sz w:val="24"/>
          <w:szCs w:val="24"/>
        </w:rPr>
      </w:pPr>
    </w:p>
    <w:p w14:paraId="5AA2C526" w14:textId="77777777" w:rsidR="00F55475" w:rsidRPr="00F55475" w:rsidRDefault="00F55475" w:rsidP="00EF3D49">
      <w:pPr>
        <w:rPr>
          <w:sz w:val="24"/>
          <w:szCs w:val="24"/>
        </w:rPr>
      </w:pPr>
    </w:p>
    <w:sectPr w:rsidR="00F55475" w:rsidRPr="00F554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C82E3B" w14:textId="77777777" w:rsidR="00F121C0" w:rsidRDefault="00F121C0" w:rsidP="002A0586">
      <w:pPr>
        <w:spacing w:after="0" w:line="240" w:lineRule="auto"/>
      </w:pPr>
      <w:r>
        <w:separator/>
      </w:r>
    </w:p>
  </w:endnote>
  <w:endnote w:type="continuationSeparator" w:id="0">
    <w:p w14:paraId="7D5845FF" w14:textId="77777777" w:rsidR="00F121C0" w:rsidRDefault="00F121C0" w:rsidP="002A05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8478AF" w14:textId="77777777" w:rsidR="00F121C0" w:rsidRDefault="00F121C0" w:rsidP="002A0586">
      <w:pPr>
        <w:spacing w:after="0" w:line="240" w:lineRule="auto"/>
      </w:pPr>
      <w:r>
        <w:separator/>
      </w:r>
    </w:p>
  </w:footnote>
  <w:footnote w:type="continuationSeparator" w:id="0">
    <w:p w14:paraId="19416AA6" w14:textId="77777777" w:rsidR="00F121C0" w:rsidRDefault="00F121C0" w:rsidP="002A0586">
      <w:pPr>
        <w:spacing w:after="0" w:line="240" w:lineRule="auto"/>
      </w:pPr>
      <w:r>
        <w:continuationSeparator/>
      </w:r>
    </w:p>
  </w:footnote>
  <w:footnote w:id="1">
    <w:p w14:paraId="5D0E4B09" w14:textId="7E6C3AE3" w:rsidR="002A0586" w:rsidRDefault="002A0586">
      <w:pPr>
        <w:pStyle w:val="FootnoteText"/>
      </w:pPr>
      <w:r>
        <w:rPr>
          <w:rStyle w:val="FootnoteReference"/>
        </w:rPr>
        <w:footnoteRef/>
      </w:r>
      <w:r>
        <w:t xml:space="preserve"> Austin  </w:t>
      </w:r>
      <w:r w:rsidR="00E335AC">
        <w:t xml:space="preserve">1954  </w:t>
      </w:r>
      <w:r>
        <w:t>195</w:t>
      </w:r>
    </w:p>
  </w:footnote>
  <w:footnote w:id="2">
    <w:p w14:paraId="1AB0F84B" w14:textId="6BC43A45" w:rsidR="002A0586" w:rsidRDefault="002A0586">
      <w:pPr>
        <w:pStyle w:val="FootnoteText"/>
      </w:pPr>
      <w:r>
        <w:rPr>
          <w:rStyle w:val="FootnoteReference"/>
        </w:rPr>
        <w:footnoteRef/>
      </w:r>
      <w:r>
        <w:t xml:space="preserve"> Maclennan  </w:t>
      </w:r>
      <w:r w:rsidR="00E335AC">
        <w:t xml:space="preserve">2007  </w:t>
      </w:r>
      <w:r>
        <w:t>166</w:t>
      </w:r>
    </w:p>
  </w:footnote>
  <w:footnote w:id="3">
    <w:p w14:paraId="7DFBADDA" w14:textId="5B726B29" w:rsidR="0063656B" w:rsidRDefault="0063656B">
      <w:pPr>
        <w:pStyle w:val="FootnoteText"/>
      </w:pPr>
      <w:r>
        <w:rPr>
          <w:rStyle w:val="FootnoteReference"/>
        </w:rPr>
        <w:footnoteRef/>
      </w:r>
      <w:r>
        <w:t xml:space="preserve"> Maclennan  </w:t>
      </w:r>
      <w:r w:rsidR="00E335AC">
        <w:t xml:space="preserve">2007  </w:t>
      </w:r>
      <w:r>
        <w:t>166</w:t>
      </w:r>
    </w:p>
  </w:footnote>
  <w:footnote w:id="4">
    <w:p w14:paraId="2B2BA77A" w14:textId="144A93B9" w:rsidR="00597B65" w:rsidRDefault="00597B65">
      <w:pPr>
        <w:pStyle w:val="FootnoteText"/>
      </w:pPr>
      <w:r>
        <w:rPr>
          <w:rStyle w:val="FootnoteReference"/>
        </w:rPr>
        <w:footnoteRef/>
      </w:r>
      <w:r>
        <w:t xml:space="preserve"> Austin  </w:t>
      </w:r>
      <w:r w:rsidR="00E335AC">
        <w:t xml:space="preserve">1954  </w:t>
      </w:r>
      <w:r>
        <w:t>197</w:t>
      </w:r>
    </w:p>
  </w:footnote>
  <w:footnote w:id="5">
    <w:p w14:paraId="6D61219B" w14:textId="29E0D405" w:rsidR="00FA7B45" w:rsidRDefault="00FA7B45">
      <w:pPr>
        <w:pStyle w:val="FootnoteText"/>
      </w:pPr>
      <w:r>
        <w:rPr>
          <w:rStyle w:val="FootnoteReference"/>
        </w:rPr>
        <w:footnoteRef/>
      </w:r>
      <w:r>
        <w:t xml:space="preserve"> Williams  </w:t>
      </w:r>
      <w:r w:rsidR="00E335AC">
        <w:t xml:space="preserve">1972  </w:t>
      </w:r>
      <w:r>
        <w:t>392</w:t>
      </w:r>
    </w:p>
  </w:footnote>
  <w:footnote w:id="6">
    <w:p w14:paraId="74553223" w14:textId="199DC261" w:rsidR="00FA7B45" w:rsidRDefault="00FA7B45">
      <w:pPr>
        <w:pStyle w:val="FootnoteText"/>
      </w:pPr>
      <w:r>
        <w:rPr>
          <w:rStyle w:val="FootnoteReference"/>
        </w:rPr>
        <w:footnoteRef/>
      </w:r>
      <w:r>
        <w:t xml:space="preserve"> Austin  </w:t>
      </w:r>
      <w:r w:rsidR="00E335AC">
        <w:t xml:space="preserve">1954  </w:t>
      </w:r>
      <w:r w:rsidR="00AB2032">
        <w:t>p</w:t>
      </w:r>
      <w:r>
        <w:t>197</w:t>
      </w:r>
    </w:p>
  </w:footnote>
  <w:footnote w:id="7">
    <w:p w14:paraId="7C296B4F" w14:textId="5436D1FD" w:rsidR="00FA7B45" w:rsidRDefault="00FA7B45">
      <w:pPr>
        <w:pStyle w:val="FootnoteText"/>
      </w:pPr>
      <w:r>
        <w:rPr>
          <w:rStyle w:val="FootnoteReference"/>
        </w:rPr>
        <w:footnoteRef/>
      </w:r>
      <w:r>
        <w:t xml:space="preserve"> Austin  </w:t>
      </w:r>
      <w:r w:rsidR="00E335AC">
        <w:t xml:space="preserve">1954  </w:t>
      </w:r>
      <w:r w:rsidR="00AB2032">
        <w:t>p</w:t>
      </w:r>
      <w:r>
        <w:t>197</w:t>
      </w:r>
    </w:p>
  </w:footnote>
  <w:footnote w:id="8">
    <w:p w14:paraId="45D5FEA1" w14:textId="5622AD14" w:rsidR="00087ECA" w:rsidRDefault="00087ECA">
      <w:pPr>
        <w:pStyle w:val="FootnoteText"/>
      </w:pPr>
      <w:r>
        <w:rPr>
          <w:rStyle w:val="FootnoteReference"/>
        </w:rPr>
        <w:footnoteRef/>
      </w:r>
      <w:r>
        <w:t xml:space="preserve"> Austin  </w:t>
      </w:r>
      <w:r w:rsidR="00E335AC">
        <w:t xml:space="preserve">1954  </w:t>
      </w:r>
      <w:r w:rsidR="00AB2032">
        <w:t>p</w:t>
      </w:r>
      <w:r>
        <w:t>198</w:t>
      </w:r>
    </w:p>
  </w:footnote>
  <w:footnote w:id="9">
    <w:p w14:paraId="2341D517" w14:textId="0B56ADC3" w:rsidR="00FA2D40" w:rsidRDefault="00FA2D40">
      <w:pPr>
        <w:pStyle w:val="FootnoteText"/>
      </w:pPr>
      <w:r>
        <w:rPr>
          <w:rStyle w:val="FootnoteReference"/>
        </w:rPr>
        <w:footnoteRef/>
      </w:r>
      <w:r>
        <w:t xml:space="preserve"> Williams  </w:t>
      </w:r>
      <w:r w:rsidR="00E335AC">
        <w:t xml:space="preserve">1972  </w:t>
      </w:r>
      <w:r w:rsidR="00AB2032">
        <w:t>p</w:t>
      </w:r>
      <w:r>
        <w:t>392</w:t>
      </w:r>
    </w:p>
  </w:footnote>
  <w:footnote w:id="10">
    <w:p w14:paraId="5D297B5E" w14:textId="1754CEFC" w:rsidR="00FA2D40" w:rsidRDefault="00FA2D40">
      <w:pPr>
        <w:pStyle w:val="FootnoteText"/>
      </w:pPr>
      <w:r>
        <w:rPr>
          <w:rStyle w:val="FootnoteReference"/>
        </w:rPr>
        <w:footnoteRef/>
      </w:r>
      <w:r>
        <w:t xml:space="preserve"> Austin  </w:t>
      </w:r>
      <w:r w:rsidR="00E335AC">
        <w:t xml:space="preserve">1954  </w:t>
      </w:r>
      <w:r w:rsidR="00AB2032">
        <w:t>p</w:t>
      </w:r>
      <w:r>
        <w:t>198</w:t>
      </w:r>
    </w:p>
  </w:footnote>
  <w:footnote w:id="11">
    <w:p w14:paraId="78E28EF4" w14:textId="2B95556B" w:rsidR="0033108B" w:rsidRDefault="0033108B">
      <w:pPr>
        <w:pStyle w:val="FootnoteText"/>
      </w:pPr>
      <w:r>
        <w:rPr>
          <w:rStyle w:val="FootnoteReference"/>
        </w:rPr>
        <w:footnoteRef/>
      </w:r>
      <w:r>
        <w:t xml:space="preserve"> Maclennan  </w:t>
      </w:r>
      <w:r w:rsidR="00E335AC">
        <w:t xml:space="preserve">2007  </w:t>
      </w:r>
      <w:r w:rsidR="00AB2032">
        <w:t>p</w:t>
      </w:r>
      <w:r>
        <w:t>166</w:t>
      </w:r>
    </w:p>
  </w:footnote>
  <w:footnote w:id="12">
    <w:p w14:paraId="13B31ED4" w14:textId="1AFAA25F" w:rsidR="0033108B" w:rsidRDefault="0033108B">
      <w:pPr>
        <w:pStyle w:val="FootnoteText"/>
      </w:pPr>
      <w:r>
        <w:rPr>
          <w:rStyle w:val="FootnoteReference"/>
        </w:rPr>
        <w:footnoteRef/>
      </w:r>
      <w:r>
        <w:t xml:space="preserve"> Austin  </w:t>
      </w:r>
      <w:r w:rsidR="00E335AC">
        <w:t xml:space="preserve"> 1954  </w:t>
      </w:r>
      <w:r w:rsidR="00AB2032">
        <w:t>p</w:t>
      </w:r>
      <w:r>
        <w:t>198</w:t>
      </w:r>
    </w:p>
  </w:footnote>
  <w:footnote w:id="13">
    <w:p w14:paraId="79B8159D" w14:textId="1C33C857" w:rsidR="0032077F" w:rsidRDefault="0032077F">
      <w:pPr>
        <w:pStyle w:val="FootnoteText"/>
      </w:pPr>
      <w:r>
        <w:rPr>
          <w:rStyle w:val="FootnoteReference"/>
        </w:rPr>
        <w:footnoteRef/>
      </w:r>
      <w:r>
        <w:t xml:space="preserve"> Quinn  </w:t>
      </w:r>
      <w:r w:rsidR="00E335AC">
        <w:t xml:space="preserve">1967  </w:t>
      </w:r>
      <w:r w:rsidR="00AB2032">
        <w:t>p</w:t>
      </w:r>
      <w:r>
        <w:t>149</w:t>
      </w:r>
    </w:p>
  </w:footnote>
  <w:footnote w:id="14">
    <w:p w14:paraId="449B3C3E" w14:textId="0AC11142" w:rsidR="00894362" w:rsidRDefault="00894362">
      <w:pPr>
        <w:pStyle w:val="FootnoteText"/>
      </w:pPr>
      <w:r>
        <w:rPr>
          <w:rStyle w:val="FootnoteReference"/>
        </w:rPr>
        <w:footnoteRef/>
      </w:r>
      <w:r>
        <w:t xml:space="preserve"> Aeneid V 606</w:t>
      </w:r>
    </w:p>
  </w:footnote>
  <w:footnote w:id="15">
    <w:p w14:paraId="3EF0573A" w14:textId="0999836E" w:rsidR="00B00ECC" w:rsidRDefault="00B00ECC">
      <w:pPr>
        <w:pStyle w:val="FootnoteText"/>
      </w:pPr>
      <w:r>
        <w:rPr>
          <w:rStyle w:val="FootnoteReference"/>
        </w:rPr>
        <w:footnoteRef/>
      </w:r>
      <w:r>
        <w:t xml:space="preserve"> Maclennan  </w:t>
      </w:r>
      <w:r w:rsidR="00E335AC">
        <w:t xml:space="preserve">2007  </w:t>
      </w:r>
      <w:r w:rsidR="00AB2032">
        <w:t>p</w:t>
      </w:r>
      <w:r>
        <w:t>167</w:t>
      </w:r>
    </w:p>
  </w:footnote>
  <w:footnote w:id="16">
    <w:p w14:paraId="53C81927" w14:textId="6153D3EC" w:rsidR="00203694" w:rsidRDefault="00203694">
      <w:pPr>
        <w:pStyle w:val="FootnoteText"/>
      </w:pPr>
      <w:r>
        <w:rPr>
          <w:rStyle w:val="FootnoteReference"/>
        </w:rPr>
        <w:footnoteRef/>
      </w:r>
      <w:r>
        <w:t xml:space="preserve"> Nelis  </w:t>
      </w:r>
      <w:r w:rsidR="00E335AC">
        <w:t xml:space="preserve">2001  </w:t>
      </w:r>
      <w:r w:rsidR="00AB2032">
        <w:t>p</w:t>
      </w:r>
      <w:r>
        <w:t>171</w:t>
      </w:r>
    </w:p>
  </w:footnote>
  <w:footnote w:id="17">
    <w:p w14:paraId="0A0219CC" w14:textId="67F5F114" w:rsidR="00203694" w:rsidRDefault="00203694">
      <w:pPr>
        <w:pStyle w:val="FootnoteText"/>
      </w:pPr>
      <w:r>
        <w:rPr>
          <w:rStyle w:val="FootnoteReference"/>
        </w:rPr>
        <w:footnoteRef/>
      </w:r>
      <w:r>
        <w:t xml:space="preserve"> Nelis  </w:t>
      </w:r>
      <w:r w:rsidR="00E335AC">
        <w:t xml:space="preserve">2001  </w:t>
      </w:r>
      <w:r w:rsidR="00AB2032">
        <w:t>p</w:t>
      </w:r>
      <w:r>
        <w:t>171</w:t>
      </w:r>
    </w:p>
  </w:footnote>
  <w:footnote w:id="18">
    <w:p w14:paraId="1AC21502" w14:textId="612E7F21" w:rsidR="001A31E2" w:rsidRDefault="001A31E2">
      <w:pPr>
        <w:pStyle w:val="FootnoteText"/>
      </w:pPr>
      <w:r>
        <w:rPr>
          <w:rStyle w:val="FootnoteReference"/>
        </w:rPr>
        <w:footnoteRef/>
      </w:r>
      <w:r>
        <w:t xml:space="preserve"> Maclennan  </w:t>
      </w:r>
      <w:r w:rsidR="00E335AC">
        <w:t xml:space="preserve">2007  </w:t>
      </w:r>
      <w:r w:rsidR="00AB2032">
        <w:t>p</w:t>
      </w:r>
      <w:r>
        <w:t>167</w:t>
      </w:r>
    </w:p>
  </w:footnote>
  <w:footnote w:id="19">
    <w:p w14:paraId="5724011D" w14:textId="4FD00049" w:rsidR="00325189" w:rsidRDefault="00325189">
      <w:pPr>
        <w:pStyle w:val="FootnoteText"/>
      </w:pPr>
      <w:r>
        <w:rPr>
          <w:rStyle w:val="FootnoteReference"/>
        </w:rPr>
        <w:footnoteRef/>
      </w:r>
      <w:r>
        <w:t xml:space="preserve"> Williams  </w:t>
      </w:r>
      <w:r w:rsidR="00E335AC">
        <w:t xml:space="preserve">1972  </w:t>
      </w:r>
      <w:r w:rsidR="00AB2032">
        <w:t>p</w:t>
      </w:r>
      <w:r>
        <w:t>393</w:t>
      </w:r>
    </w:p>
  </w:footnote>
  <w:footnote w:id="20">
    <w:p w14:paraId="500E3861" w14:textId="79A7CE8D" w:rsidR="00894362" w:rsidRDefault="00894362">
      <w:pPr>
        <w:pStyle w:val="FootnoteText"/>
      </w:pPr>
      <w:r>
        <w:rPr>
          <w:rStyle w:val="FootnoteReference"/>
        </w:rPr>
        <w:footnoteRef/>
      </w:r>
      <w:r>
        <w:t xml:space="preserve"> Williams  </w:t>
      </w:r>
      <w:r w:rsidR="00E335AC">
        <w:t xml:space="preserve">1972  </w:t>
      </w:r>
      <w:r w:rsidR="00AB2032">
        <w:t>p</w:t>
      </w:r>
      <w:r>
        <w:t>393</w:t>
      </w:r>
    </w:p>
  </w:footnote>
  <w:footnote w:id="21">
    <w:p w14:paraId="302A4B44" w14:textId="1F175A7F" w:rsidR="00894362" w:rsidRDefault="00894362">
      <w:pPr>
        <w:pStyle w:val="FootnoteText"/>
      </w:pPr>
      <w:r>
        <w:rPr>
          <w:rStyle w:val="FootnoteReference"/>
        </w:rPr>
        <w:footnoteRef/>
      </w:r>
      <w:r>
        <w:t xml:space="preserve"> Austin  </w:t>
      </w:r>
      <w:r w:rsidR="00E335AC">
        <w:t xml:space="preserve">1954  </w:t>
      </w:r>
      <w:r w:rsidR="00AB2032">
        <w:t>p</w:t>
      </w:r>
      <w:r>
        <w:t>199</w:t>
      </w:r>
    </w:p>
  </w:footnote>
  <w:footnote w:id="22">
    <w:p w14:paraId="17A63346" w14:textId="5DF77840" w:rsidR="006109BE" w:rsidRDefault="006109BE">
      <w:pPr>
        <w:pStyle w:val="FootnoteText"/>
      </w:pPr>
      <w:r>
        <w:rPr>
          <w:rStyle w:val="FootnoteReference"/>
        </w:rPr>
        <w:footnoteRef/>
      </w:r>
      <w:r>
        <w:t xml:space="preserve"> Austin  </w:t>
      </w:r>
      <w:r w:rsidR="00E335AC">
        <w:t xml:space="preserve">1954  </w:t>
      </w:r>
      <w:r w:rsidR="00AB2032">
        <w:t>p</w:t>
      </w:r>
      <w:r>
        <w:t>199</w:t>
      </w:r>
    </w:p>
  </w:footnote>
  <w:footnote w:id="23">
    <w:p w14:paraId="197F1697" w14:textId="79CD1F57" w:rsidR="006109BE" w:rsidRDefault="006109BE">
      <w:pPr>
        <w:pStyle w:val="FootnoteText"/>
      </w:pPr>
      <w:r>
        <w:rPr>
          <w:rStyle w:val="FootnoteReference"/>
        </w:rPr>
        <w:footnoteRef/>
      </w:r>
      <w:r>
        <w:t xml:space="preserve"> Maclennan  </w:t>
      </w:r>
      <w:r w:rsidR="00E335AC">
        <w:t xml:space="preserve">2007  </w:t>
      </w:r>
      <w:r w:rsidR="00AB2032">
        <w:t>p</w:t>
      </w:r>
      <w:r>
        <w:t>167</w:t>
      </w:r>
    </w:p>
  </w:footnote>
  <w:footnote w:id="24">
    <w:p w14:paraId="714789BB" w14:textId="56D77B1D" w:rsidR="00710BB7" w:rsidRDefault="00710BB7">
      <w:pPr>
        <w:pStyle w:val="FootnoteText"/>
      </w:pPr>
      <w:r>
        <w:rPr>
          <w:rStyle w:val="FootnoteReference"/>
        </w:rPr>
        <w:footnoteRef/>
      </w:r>
      <w:r>
        <w:t xml:space="preserve"> Aeneid VI  735</w:t>
      </w:r>
    </w:p>
  </w:footnote>
  <w:footnote w:id="25">
    <w:p w14:paraId="72A26375" w14:textId="4D38429E" w:rsidR="00710BB7" w:rsidRDefault="00710BB7">
      <w:pPr>
        <w:pStyle w:val="FootnoteText"/>
      </w:pPr>
      <w:r>
        <w:rPr>
          <w:rStyle w:val="FootnoteReference"/>
        </w:rPr>
        <w:footnoteRef/>
      </w:r>
      <w:r>
        <w:t xml:space="preserve"> Maclennan  </w:t>
      </w:r>
      <w:r w:rsidR="00E335AC">
        <w:t xml:space="preserve">2007  </w:t>
      </w:r>
      <w:r w:rsidR="00AB2032">
        <w:t>p</w:t>
      </w:r>
      <w:r>
        <w:t>167</w:t>
      </w:r>
    </w:p>
  </w:footnote>
  <w:footnote w:id="26">
    <w:p w14:paraId="69881940" w14:textId="0260848A" w:rsidR="00FA5BE7" w:rsidRDefault="00FA5BE7">
      <w:pPr>
        <w:pStyle w:val="FootnoteText"/>
      </w:pPr>
      <w:r>
        <w:rPr>
          <w:rStyle w:val="FootnoteReference"/>
        </w:rPr>
        <w:footnoteRef/>
      </w:r>
      <w:r>
        <w:t xml:space="preserve"> Austin  </w:t>
      </w:r>
      <w:r w:rsidR="00E335AC">
        <w:t xml:space="preserve">1954  </w:t>
      </w:r>
      <w:r w:rsidR="00AB2032">
        <w:t>p</w:t>
      </w:r>
      <w:r>
        <w:t>200</w:t>
      </w:r>
    </w:p>
  </w:footnote>
  <w:footnote w:id="27">
    <w:p w14:paraId="4ABE5E51" w14:textId="4BC94D24" w:rsidR="00787C61" w:rsidRDefault="00787C61">
      <w:pPr>
        <w:pStyle w:val="FootnoteText"/>
      </w:pPr>
      <w:r>
        <w:rPr>
          <w:rStyle w:val="FootnoteReference"/>
        </w:rPr>
        <w:footnoteRef/>
      </w:r>
      <w:r>
        <w:t xml:space="preserve"> Williams  </w:t>
      </w:r>
      <w:r w:rsidR="00E335AC">
        <w:t xml:space="preserve">1972  </w:t>
      </w:r>
      <w:r w:rsidR="00AB2032">
        <w:t>p</w:t>
      </w:r>
      <w:r>
        <w:t>393</w:t>
      </w:r>
    </w:p>
  </w:footnote>
  <w:footnote w:id="28">
    <w:p w14:paraId="3377FC4A" w14:textId="04A141F7" w:rsidR="00787C61" w:rsidRDefault="00787C61">
      <w:pPr>
        <w:pStyle w:val="FootnoteText"/>
      </w:pPr>
      <w:r>
        <w:rPr>
          <w:rStyle w:val="FootnoteReference"/>
        </w:rPr>
        <w:footnoteRef/>
      </w:r>
      <w:r>
        <w:t xml:space="preserve"> Hardie  </w:t>
      </w:r>
      <w:r w:rsidR="00E335AC">
        <w:t xml:space="preserve">1999  </w:t>
      </w:r>
      <w:r w:rsidR="00AB2032">
        <w:t>p</w:t>
      </w:r>
      <w:r>
        <w:t>175</w:t>
      </w:r>
    </w:p>
  </w:footnote>
  <w:footnote w:id="29">
    <w:p w14:paraId="26E41FA5" w14:textId="396C49B8" w:rsidR="0061791A" w:rsidRDefault="0061791A">
      <w:pPr>
        <w:pStyle w:val="FootnoteText"/>
      </w:pPr>
      <w:r>
        <w:rPr>
          <w:rStyle w:val="FootnoteReference"/>
        </w:rPr>
        <w:footnoteRef/>
      </w:r>
      <w:r>
        <w:t xml:space="preserve"> Hardie  </w:t>
      </w:r>
      <w:r w:rsidR="00E335AC">
        <w:t xml:space="preserve">1999  </w:t>
      </w:r>
      <w:r w:rsidR="00AB2032">
        <w:t>p</w:t>
      </w:r>
      <w:r>
        <w:t>174</w:t>
      </w:r>
    </w:p>
  </w:footnote>
  <w:footnote w:id="30">
    <w:p w14:paraId="038EC345" w14:textId="0A54D909" w:rsidR="0061791A" w:rsidRDefault="0061791A">
      <w:pPr>
        <w:pStyle w:val="FootnoteText"/>
      </w:pPr>
      <w:r>
        <w:rPr>
          <w:rStyle w:val="FootnoteReference"/>
        </w:rPr>
        <w:footnoteRef/>
      </w:r>
      <w:r>
        <w:t xml:space="preserve"> Hardie  </w:t>
      </w:r>
      <w:r w:rsidR="00E335AC">
        <w:t xml:space="preserve">1999  </w:t>
      </w:r>
      <w:r w:rsidR="00AB2032">
        <w:t>p</w:t>
      </w:r>
      <w:r>
        <w:t>175</w:t>
      </w:r>
    </w:p>
  </w:footnote>
  <w:footnote w:id="31">
    <w:p w14:paraId="17B3613A" w14:textId="7416E2CB" w:rsidR="00787C61" w:rsidRDefault="00787C61">
      <w:pPr>
        <w:pStyle w:val="FootnoteText"/>
      </w:pPr>
      <w:r>
        <w:rPr>
          <w:rStyle w:val="FootnoteReference"/>
        </w:rPr>
        <w:footnoteRef/>
      </w:r>
      <w:r>
        <w:t xml:space="preserve"> Nelis  </w:t>
      </w:r>
      <w:r w:rsidR="00E335AC">
        <w:t xml:space="preserve">2001  </w:t>
      </w:r>
      <w:r w:rsidR="00AB2032">
        <w:t>p</w:t>
      </w:r>
      <w:r>
        <w:t xml:space="preserve">169 </w:t>
      </w:r>
    </w:p>
  </w:footnote>
  <w:footnote w:id="32">
    <w:p w14:paraId="575B105D" w14:textId="6334EFD4" w:rsidR="00B00ECC" w:rsidRDefault="00B00ECC">
      <w:pPr>
        <w:pStyle w:val="FootnoteText"/>
      </w:pPr>
      <w:r>
        <w:rPr>
          <w:rStyle w:val="FootnoteReference"/>
        </w:rPr>
        <w:footnoteRef/>
      </w:r>
      <w:r>
        <w:t xml:space="preserve"> Aeneid VI  436f.</w:t>
      </w:r>
    </w:p>
  </w:footnote>
  <w:footnote w:id="33">
    <w:p w14:paraId="05D59CC2" w14:textId="2D076C40" w:rsidR="00B00ECC" w:rsidRDefault="00B00ECC">
      <w:pPr>
        <w:pStyle w:val="FootnoteText"/>
      </w:pPr>
      <w:r>
        <w:rPr>
          <w:rStyle w:val="FootnoteReference"/>
        </w:rPr>
        <w:footnoteRef/>
      </w:r>
      <w:r>
        <w:t xml:space="preserve"> Austin  </w:t>
      </w:r>
      <w:r w:rsidR="00E335AC">
        <w:t xml:space="preserve">1954  </w:t>
      </w:r>
      <w:r w:rsidR="00AB2032">
        <w:t>p</w:t>
      </w:r>
      <w:r>
        <w:t>200</w:t>
      </w:r>
    </w:p>
  </w:footnote>
  <w:footnote w:id="34">
    <w:p w14:paraId="152D5BA3" w14:textId="10D09950" w:rsidR="00DB711D" w:rsidRDefault="00DB711D">
      <w:pPr>
        <w:pStyle w:val="FootnoteText"/>
      </w:pPr>
      <w:r>
        <w:rPr>
          <w:rStyle w:val="FootnoteReference"/>
        </w:rPr>
        <w:footnoteRef/>
      </w:r>
      <w:r>
        <w:t xml:space="preserve"> Dyson  </w:t>
      </w:r>
      <w:r w:rsidR="00E335AC">
        <w:t xml:space="preserve">1996  </w:t>
      </w:r>
      <w:r w:rsidR="00AB2032">
        <w:t>p</w:t>
      </w:r>
      <w:r>
        <w:t>218</w:t>
      </w:r>
    </w:p>
  </w:footnote>
  <w:footnote w:id="35">
    <w:p w14:paraId="1E0A1F65" w14:textId="72CE2597" w:rsidR="00C17024" w:rsidRDefault="00C17024">
      <w:pPr>
        <w:pStyle w:val="FootnoteText"/>
      </w:pPr>
      <w:r>
        <w:rPr>
          <w:rStyle w:val="FootnoteReference"/>
        </w:rPr>
        <w:footnoteRef/>
      </w:r>
      <w:r>
        <w:t xml:space="preserve"> Nelis  </w:t>
      </w:r>
      <w:r w:rsidR="00AB2032">
        <w:t>2001  p</w:t>
      </w:r>
      <w:r>
        <w:t>169</w:t>
      </w:r>
    </w:p>
  </w:footnote>
  <w:footnote w:id="36">
    <w:p w14:paraId="54434EA5" w14:textId="1BBA6F2D" w:rsidR="00DB711D" w:rsidRDefault="00DB711D">
      <w:pPr>
        <w:pStyle w:val="FootnoteText"/>
      </w:pPr>
      <w:r>
        <w:rPr>
          <w:rStyle w:val="FootnoteReference"/>
        </w:rPr>
        <w:footnoteRef/>
      </w:r>
      <w:r>
        <w:t xml:space="preserve"> Aeneid IV  386-87</w:t>
      </w:r>
    </w:p>
  </w:footnote>
  <w:footnote w:id="37">
    <w:p w14:paraId="1ECCB0B7" w14:textId="3213DFA9" w:rsidR="00842A52" w:rsidRDefault="00842A52">
      <w:pPr>
        <w:pStyle w:val="FootnoteText"/>
      </w:pPr>
      <w:r>
        <w:rPr>
          <w:rStyle w:val="FootnoteReference"/>
        </w:rPr>
        <w:footnoteRef/>
      </w:r>
      <w:r>
        <w:t xml:space="preserve"> Maclennan  </w:t>
      </w:r>
      <w:r w:rsidR="00AB2032">
        <w:t>2007  p</w:t>
      </w:r>
      <w:r>
        <w:t>167</w:t>
      </w:r>
    </w:p>
  </w:footnote>
  <w:footnote w:id="38">
    <w:p w14:paraId="63F203E9" w14:textId="3F7822AC" w:rsidR="00842A52" w:rsidRDefault="00842A52">
      <w:pPr>
        <w:pStyle w:val="FootnoteText"/>
      </w:pPr>
      <w:r>
        <w:rPr>
          <w:rStyle w:val="FootnoteReference"/>
        </w:rPr>
        <w:footnoteRef/>
      </w:r>
      <w:r>
        <w:t xml:space="preserve"> Austin  </w:t>
      </w:r>
      <w:r w:rsidR="00AB2032">
        <w:t>1954  p</w:t>
      </w:r>
      <w:r>
        <w:t>201</w:t>
      </w:r>
    </w:p>
  </w:footnote>
  <w:footnote w:id="39">
    <w:p w14:paraId="286E388C" w14:textId="7ED6F6E0" w:rsidR="00842A52" w:rsidRDefault="00842A52">
      <w:pPr>
        <w:pStyle w:val="FootnoteText"/>
      </w:pPr>
      <w:r>
        <w:rPr>
          <w:rStyle w:val="FootnoteReference"/>
        </w:rPr>
        <w:footnoteRef/>
      </w:r>
      <w:r>
        <w:t xml:space="preserve"> Williams  </w:t>
      </w:r>
      <w:r w:rsidR="00AB2032">
        <w:t>1972  p</w:t>
      </w:r>
      <w:r>
        <w:t>394</w:t>
      </w:r>
    </w:p>
  </w:footnote>
  <w:footnote w:id="40">
    <w:p w14:paraId="63268F28" w14:textId="5153C71C" w:rsidR="00842A52" w:rsidRDefault="00842A52">
      <w:pPr>
        <w:pStyle w:val="FootnoteText"/>
      </w:pPr>
      <w:r>
        <w:rPr>
          <w:rStyle w:val="FootnoteReference"/>
        </w:rPr>
        <w:footnoteRef/>
      </w:r>
      <w:r>
        <w:t xml:space="preserve"> Shakespeare The Tempest 4.1.76f</w:t>
      </w:r>
    </w:p>
  </w:footnote>
  <w:footnote w:id="41">
    <w:p w14:paraId="0D7B41E5" w14:textId="17C9D9C7" w:rsidR="00B60824" w:rsidRDefault="00B60824">
      <w:pPr>
        <w:pStyle w:val="FootnoteText"/>
      </w:pPr>
      <w:r>
        <w:rPr>
          <w:rStyle w:val="FootnoteReference"/>
        </w:rPr>
        <w:footnoteRef/>
      </w:r>
      <w:r>
        <w:t xml:space="preserve"> Maclennan  </w:t>
      </w:r>
      <w:r w:rsidR="00AB2032">
        <w:t>2007  p</w:t>
      </w:r>
      <w:r>
        <w:t>167</w:t>
      </w:r>
    </w:p>
  </w:footnote>
  <w:footnote w:id="42">
    <w:p w14:paraId="7F599551" w14:textId="35B45812" w:rsidR="00B60824" w:rsidRDefault="00B60824">
      <w:pPr>
        <w:pStyle w:val="FootnoteText"/>
      </w:pPr>
      <w:r>
        <w:rPr>
          <w:rStyle w:val="FootnoteReference"/>
        </w:rPr>
        <w:footnoteRef/>
      </w:r>
      <w:r>
        <w:t xml:space="preserve"> Maclennan  </w:t>
      </w:r>
      <w:r w:rsidR="00AB2032">
        <w:t>2007  p</w:t>
      </w:r>
      <w:r>
        <w:t>168</w:t>
      </w:r>
    </w:p>
  </w:footnote>
  <w:footnote w:id="43">
    <w:p w14:paraId="25C3444D" w14:textId="62A38DE4" w:rsidR="00F53AE4" w:rsidRDefault="00F53AE4">
      <w:pPr>
        <w:pStyle w:val="FootnoteText"/>
      </w:pPr>
      <w:r>
        <w:rPr>
          <w:rStyle w:val="FootnoteReference"/>
        </w:rPr>
        <w:footnoteRef/>
      </w:r>
      <w:r>
        <w:t xml:space="preserve"> Austin  </w:t>
      </w:r>
      <w:r w:rsidR="00AB2032">
        <w:t>1954  p</w:t>
      </w:r>
      <w:r>
        <w:t>202</w:t>
      </w:r>
    </w:p>
  </w:footnote>
  <w:footnote w:id="44">
    <w:p w14:paraId="66597210" w14:textId="37875E7D" w:rsidR="00F53AE4" w:rsidRDefault="00F53AE4">
      <w:pPr>
        <w:pStyle w:val="FootnoteText"/>
      </w:pPr>
      <w:r>
        <w:rPr>
          <w:rStyle w:val="FootnoteReference"/>
        </w:rPr>
        <w:footnoteRef/>
      </w:r>
      <w:r>
        <w:t xml:space="preserve"> Maclennan  </w:t>
      </w:r>
      <w:r w:rsidR="00AB2032">
        <w:t>2007  p</w:t>
      </w:r>
      <w:r>
        <w:t>168</w:t>
      </w:r>
    </w:p>
  </w:footnote>
  <w:footnote w:id="45">
    <w:p w14:paraId="1B1D0509" w14:textId="5F40A226" w:rsidR="00F53AE4" w:rsidRDefault="00F53AE4">
      <w:pPr>
        <w:pStyle w:val="FootnoteText"/>
      </w:pPr>
      <w:r>
        <w:rPr>
          <w:rStyle w:val="FootnoteReference"/>
        </w:rPr>
        <w:footnoteRef/>
      </w:r>
      <w:r>
        <w:t xml:space="preserve"> Williams  </w:t>
      </w:r>
      <w:r w:rsidR="00AB2032">
        <w:t>1972  p</w:t>
      </w:r>
      <w:r>
        <w:t>394</w:t>
      </w:r>
    </w:p>
  </w:footnote>
  <w:footnote w:id="46">
    <w:p w14:paraId="240E556B" w14:textId="4D99633F" w:rsidR="00F53AE4" w:rsidRDefault="00F53AE4">
      <w:pPr>
        <w:pStyle w:val="FootnoteText"/>
      </w:pPr>
      <w:r>
        <w:rPr>
          <w:rStyle w:val="FootnoteReference"/>
        </w:rPr>
        <w:footnoteRef/>
      </w:r>
      <w:r>
        <w:t xml:space="preserve"> Austin  </w:t>
      </w:r>
      <w:r w:rsidR="00AB2032">
        <w:t>2007  p</w:t>
      </w:r>
      <w:r>
        <w:t>202</w:t>
      </w:r>
    </w:p>
  </w:footnote>
  <w:footnote w:id="47">
    <w:p w14:paraId="081A2D01" w14:textId="108140C1" w:rsidR="00B945D0" w:rsidRDefault="00B945D0">
      <w:pPr>
        <w:pStyle w:val="FootnoteText"/>
      </w:pPr>
      <w:r>
        <w:rPr>
          <w:rStyle w:val="FootnoteReference"/>
        </w:rPr>
        <w:footnoteRef/>
      </w:r>
      <w:r>
        <w:t xml:space="preserve"> Hardie  </w:t>
      </w:r>
      <w:r w:rsidR="00AB2032">
        <w:t>1999  p</w:t>
      </w:r>
      <w:r>
        <w:t>175</w:t>
      </w:r>
    </w:p>
  </w:footnote>
  <w:footnote w:id="48">
    <w:p w14:paraId="51FE80A3" w14:textId="499DEFEC" w:rsidR="00E335AC" w:rsidRDefault="00E335AC">
      <w:pPr>
        <w:pStyle w:val="FootnoteText"/>
      </w:pPr>
      <w:r>
        <w:rPr>
          <w:rStyle w:val="FootnoteReference"/>
        </w:rPr>
        <w:footnoteRef/>
      </w:r>
      <w:r>
        <w:t xml:space="preserve"> Hardie  </w:t>
      </w:r>
      <w:r w:rsidR="00AB2032">
        <w:t>1999  p</w:t>
      </w:r>
      <w:r>
        <w:t>175</w:t>
      </w:r>
    </w:p>
  </w:footnote>
  <w:footnote w:id="49">
    <w:p w14:paraId="590C116F" w14:textId="4B0A1955" w:rsidR="005C137A" w:rsidRDefault="005C137A">
      <w:pPr>
        <w:pStyle w:val="FootnoteText"/>
      </w:pPr>
      <w:r>
        <w:rPr>
          <w:rStyle w:val="FootnoteReference"/>
        </w:rPr>
        <w:footnoteRef/>
      </w:r>
      <w:r>
        <w:t xml:space="preserve"> Austin  </w:t>
      </w:r>
      <w:r w:rsidR="00AB2032">
        <w:t>1954  p</w:t>
      </w:r>
      <w:r>
        <w:t>202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3D49"/>
    <w:rsid w:val="00010EF2"/>
    <w:rsid w:val="00077546"/>
    <w:rsid w:val="00087ECA"/>
    <w:rsid w:val="000979F7"/>
    <w:rsid w:val="000A79B8"/>
    <w:rsid w:val="001278D2"/>
    <w:rsid w:val="001A31E2"/>
    <w:rsid w:val="00203694"/>
    <w:rsid w:val="002A0586"/>
    <w:rsid w:val="0032077F"/>
    <w:rsid w:val="00325189"/>
    <w:rsid w:val="0033108B"/>
    <w:rsid w:val="0043542D"/>
    <w:rsid w:val="00450AA7"/>
    <w:rsid w:val="005143F1"/>
    <w:rsid w:val="00597B65"/>
    <w:rsid w:val="005C137A"/>
    <w:rsid w:val="005E5223"/>
    <w:rsid w:val="006109BE"/>
    <w:rsid w:val="0061791A"/>
    <w:rsid w:val="0063656B"/>
    <w:rsid w:val="00710BB7"/>
    <w:rsid w:val="00787C61"/>
    <w:rsid w:val="00842A52"/>
    <w:rsid w:val="00847E2B"/>
    <w:rsid w:val="00890FEB"/>
    <w:rsid w:val="00894362"/>
    <w:rsid w:val="00957111"/>
    <w:rsid w:val="00987D21"/>
    <w:rsid w:val="009973F3"/>
    <w:rsid w:val="00A67E52"/>
    <w:rsid w:val="00AB2032"/>
    <w:rsid w:val="00AF4B37"/>
    <w:rsid w:val="00B00ECC"/>
    <w:rsid w:val="00B41808"/>
    <w:rsid w:val="00B60824"/>
    <w:rsid w:val="00B945D0"/>
    <w:rsid w:val="00C17024"/>
    <w:rsid w:val="00D20DEF"/>
    <w:rsid w:val="00D477A2"/>
    <w:rsid w:val="00D64C0C"/>
    <w:rsid w:val="00DB711D"/>
    <w:rsid w:val="00E335AC"/>
    <w:rsid w:val="00EF3D49"/>
    <w:rsid w:val="00EF5B32"/>
    <w:rsid w:val="00F05D80"/>
    <w:rsid w:val="00F121C0"/>
    <w:rsid w:val="00F53AE4"/>
    <w:rsid w:val="00F55475"/>
    <w:rsid w:val="00FA2D40"/>
    <w:rsid w:val="00FA5BE7"/>
    <w:rsid w:val="00FA7B45"/>
    <w:rsid w:val="00FB1E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D6D4C"/>
  <w15:chartTrackingRefBased/>
  <w15:docId w15:val="{22FFDD61-B030-4019-A833-AD109031E5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A058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A0586"/>
    <w:rPr>
      <w:sz w:val="20"/>
      <w:szCs w:val="20"/>
    </w:rPr>
  </w:style>
  <w:style w:type="character" w:styleId="FootnoteReference">
    <w:name w:val="footnote reference"/>
    <w:basedOn w:val="DefaultParagraphFont"/>
    <w:uiPriority w:val="99"/>
    <w:semiHidden/>
    <w:unhideWhenUsed/>
    <w:rsid w:val="002A058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ECAEA0-57D6-45CC-A22A-B839A7C626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427</TotalTime>
  <Pages>1</Pages>
  <Words>1828</Words>
  <Characters>10426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dc:creator>
  <cp:keywords/>
  <dc:description/>
  <cp:lastModifiedBy>Nicholas</cp:lastModifiedBy>
  <cp:revision>15</cp:revision>
  <dcterms:created xsi:type="dcterms:W3CDTF">2022-11-16T19:07:00Z</dcterms:created>
  <dcterms:modified xsi:type="dcterms:W3CDTF">2022-11-21T17:36:00Z</dcterms:modified>
</cp:coreProperties>
</file>