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B277E0" w14:textId="51BB65BB" w:rsidR="00903294" w:rsidRDefault="00356AC3">
      <w:pPr>
        <w:rPr>
          <w:rFonts w:ascii="Arial" w:hAnsi="Arial" w:cs="Arial"/>
        </w:rPr>
      </w:pP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b/>
          <w:bCs/>
        </w:rPr>
        <w:br/>
        <w:t xml:space="preserve">Introduction to Health </w:t>
      </w:r>
      <w:r w:rsidR="00115B2D">
        <w:rPr>
          <w:rFonts w:ascii="Arial" w:hAnsi="Arial" w:cs="Arial"/>
          <w:b/>
          <w:bCs/>
        </w:rPr>
        <w:t>&amp;</w:t>
      </w:r>
      <w:r w:rsidRPr="009B7613">
        <w:rPr>
          <w:rFonts w:ascii="Arial" w:hAnsi="Arial" w:cs="Arial"/>
          <w:b/>
          <w:bCs/>
        </w:rPr>
        <w:t xml:space="preserve"> Social Care</w:t>
      </w:r>
      <w:r w:rsidRPr="009B7613">
        <w:rPr>
          <w:rFonts w:ascii="Arial" w:hAnsi="Arial" w:cs="Arial"/>
          <w:b/>
          <w:bCs/>
        </w:rPr>
        <w:br/>
        <w:t>Rajwinder Kaur -</w:t>
      </w:r>
      <w:r w:rsidR="00C21AB2">
        <w:rPr>
          <w:rFonts w:ascii="Arial" w:hAnsi="Arial" w:cs="Arial"/>
          <w:b/>
          <w:bCs/>
        </w:rPr>
        <w:t xml:space="preserve"> </w:t>
      </w:r>
      <w:r w:rsidR="001D37AC" w:rsidRPr="009B7613">
        <w:rPr>
          <w:rFonts w:ascii="Arial" w:hAnsi="Arial" w:cs="Arial"/>
          <w:b/>
          <w:bCs/>
        </w:rPr>
        <w:t>2432689</w:t>
      </w:r>
      <w:r w:rsidRPr="009B7613">
        <w:rPr>
          <w:rFonts w:ascii="Arial" w:hAnsi="Arial" w:cs="Arial"/>
          <w:b/>
          <w:bCs/>
        </w:rPr>
        <w:br/>
        <w:t>Module Code LCHS4003-</w:t>
      </w:r>
      <w:r w:rsidR="001D37AC" w:rsidRPr="009B7613">
        <w:rPr>
          <w:rFonts w:ascii="Arial" w:hAnsi="Arial" w:cs="Arial"/>
          <w:b/>
          <w:bCs/>
        </w:rPr>
        <w:t>Debra Odeh</w:t>
      </w:r>
      <w:r w:rsidRPr="009B7613">
        <w:rPr>
          <w:rFonts w:ascii="Arial" w:hAnsi="Arial" w:cs="Arial"/>
          <w:b/>
          <w:bCs/>
        </w:rPr>
        <w:br/>
      </w:r>
      <w:r w:rsidR="001D37AC" w:rsidRPr="009B7613">
        <w:rPr>
          <w:rFonts w:ascii="Arial" w:hAnsi="Arial" w:cs="Arial"/>
          <w:b/>
          <w:bCs/>
        </w:rPr>
        <w:t>16-10-2025</w:t>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p>
    <w:p w14:paraId="43777391" w14:textId="5E42C030" w:rsidR="00903294" w:rsidRDefault="00115B2D">
      <w:pPr>
        <w:rPr>
          <w:rFonts w:ascii="Arial" w:hAnsi="Arial" w:cs="Arial"/>
        </w:rPr>
      </w:pPr>
      <w:r>
        <w:rPr>
          <w:rFonts w:ascii="Arial" w:hAnsi="Arial" w:cs="Arial"/>
          <w:noProof/>
        </w:rPr>
        <w:lastRenderedPageBreak/>
        <mc:AlternateContent>
          <mc:Choice Requires="wps">
            <w:drawing>
              <wp:anchor distT="0" distB="0" distL="114300" distR="114300" simplePos="0" relativeHeight="251755520" behindDoc="0" locked="0" layoutInCell="1" allowOverlap="1" wp14:anchorId="0C4268E2" wp14:editId="0DA9D58E">
                <wp:simplePos x="0" y="0"/>
                <wp:positionH relativeFrom="column">
                  <wp:posOffset>1627909</wp:posOffset>
                </wp:positionH>
                <wp:positionV relativeFrom="paragraph">
                  <wp:posOffset>48491</wp:posOffset>
                </wp:positionV>
                <wp:extent cx="4360430" cy="948690"/>
                <wp:effectExtent l="0" t="0" r="2540" b="3810"/>
                <wp:wrapNone/>
                <wp:docPr id="1770849998" name="Rectangle 14"/>
                <wp:cNvGraphicFramePr/>
                <a:graphic xmlns:a="http://schemas.openxmlformats.org/drawingml/2006/main">
                  <a:graphicData uri="http://schemas.microsoft.com/office/word/2010/wordprocessingShape">
                    <wps:wsp>
                      <wps:cNvSpPr/>
                      <wps:spPr>
                        <a:xfrm>
                          <a:off x="0" y="0"/>
                          <a:ext cx="4360430" cy="948690"/>
                        </a:xfrm>
                        <a:prstGeom prst="rect">
                          <a:avLst/>
                        </a:prstGeom>
                        <a:ln w="3175">
                          <a:noFill/>
                        </a:ln>
                      </wps:spPr>
                      <wps:style>
                        <a:lnRef idx="2">
                          <a:schemeClr val="accent1"/>
                        </a:lnRef>
                        <a:fillRef idx="1">
                          <a:schemeClr val="lt1"/>
                        </a:fillRef>
                        <a:effectRef idx="0">
                          <a:schemeClr val="accent1"/>
                        </a:effectRef>
                        <a:fontRef idx="minor">
                          <a:schemeClr val="dk1"/>
                        </a:fontRef>
                      </wps:style>
                      <wps:txbx>
                        <w:txbxContent>
                          <w:p w14:paraId="55641ACF" w14:textId="7942EEE4" w:rsidR="004240C9" w:rsidRPr="00A05D4E" w:rsidRDefault="004240C9" w:rsidP="0063682C">
                            <w:pPr>
                              <w:pStyle w:val="Heading4"/>
                            </w:pPr>
                            <w:bookmarkStart w:id="0" w:name="_Hlk211531232"/>
                            <w:bookmarkEnd w:id="0"/>
                            <w:r w:rsidRPr="00A05D4E">
                              <w:t>Pharmacy Services for supporting Healthcare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4268E2" id="Rectangle 14" o:spid="_x0000_s1026" style="position:absolute;margin-left:128.2pt;margin-top:3.8pt;width:343.35pt;height:74.7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" fillcolor="white [3201]" stroked="f" strokeweight=".25pt">
                <v:textbox>
                  <w:txbxContent>
                    <w:p w14:paraId="55641ACF" w14:textId="7942EEE4" w:rsidR="004240C9" w:rsidRPr="00A05D4E" w:rsidRDefault="004240C9" w:rsidP="0063682C">
                      <w:pPr>
                        <w:pStyle w:val="Heading4"/>
                      </w:pPr>
                      <w:bookmarkStart w:id="1" w:name="_Hlk211531232"/>
                      <w:bookmarkEnd w:id="1"/>
                      <w:r w:rsidRPr="00A05D4E">
                        <w:t>Pharmacy Services for supporting Healthcare</w:t>
                      </w:r>
                    </w:p>
                  </w:txbxContent>
                </v:textbox>
              </v:rect>
            </w:pict>
          </mc:Fallback>
        </mc:AlternateContent>
      </w:r>
      <w:r w:rsidR="006C2ED0">
        <w:rPr>
          <w:rFonts w:ascii="Arial" w:hAnsi="Arial" w:cs="Arial"/>
          <w:noProof/>
        </w:rPr>
        <mc:AlternateContent>
          <mc:Choice Requires="wps">
            <w:drawing>
              <wp:anchor distT="0" distB="0" distL="114300" distR="114300" simplePos="0" relativeHeight="251727872" behindDoc="0" locked="0" layoutInCell="1" allowOverlap="1" wp14:anchorId="76573B3D" wp14:editId="5B762FC7">
                <wp:simplePos x="0" y="0"/>
                <wp:positionH relativeFrom="column">
                  <wp:posOffset>-247650</wp:posOffset>
                </wp:positionH>
                <wp:positionV relativeFrom="paragraph">
                  <wp:posOffset>6482195</wp:posOffset>
                </wp:positionV>
                <wp:extent cx="6358255" cy="2571750"/>
                <wp:effectExtent l="57150" t="19050" r="23495" b="95250"/>
                <wp:wrapNone/>
                <wp:docPr id="733218541" name="Arrow: Pentagon 13"/>
                <wp:cNvGraphicFramePr/>
                <a:graphic xmlns:a="http://schemas.openxmlformats.org/drawingml/2006/main">
                  <a:graphicData uri="http://schemas.microsoft.com/office/word/2010/wordprocessingShape">
                    <wps:wsp>
                      <wps:cNvSpPr/>
                      <wps:spPr>
                        <a:xfrm>
                          <a:off x="0" y="0"/>
                          <a:ext cx="6358255" cy="2571750"/>
                        </a:xfrm>
                        <a:prstGeom prst="homePlate">
                          <a:avLst/>
                        </a:prstGeom>
                        <a:solidFill>
                          <a:srgbClr val="00B0F0"/>
                        </a:solidFill>
                      </wps:spPr>
                      <wps:style>
                        <a:lnRef idx="1">
                          <a:schemeClr val="accent1"/>
                        </a:lnRef>
                        <a:fillRef idx="3">
                          <a:schemeClr val="accent1"/>
                        </a:fillRef>
                        <a:effectRef idx="2">
                          <a:schemeClr val="accent1"/>
                        </a:effectRef>
                        <a:fontRef idx="minor">
                          <a:schemeClr val="lt1"/>
                        </a:fontRef>
                      </wps:style>
                      <wps:txbx>
                        <w:txbxContent>
                          <w:p w14:paraId="323518D1" w14:textId="662DEFE9" w:rsidR="00C85ECD" w:rsidRPr="00C85ECD" w:rsidRDefault="006C2ED0" w:rsidP="00C85ECD">
                            <w:pPr>
                              <w:jc w:val="center"/>
                              <w:rPr>
                                <w:rFonts w:ascii="Franklin Gothic Demi" w:hAnsi="Franklin Gothic Demi"/>
                                <w:b/>
                                <w:bCs/>
                                <w:sz w:val="18"/>
                                <w:szCs w:val="18"/>
                              </w:rPr>
                            </w:pPr>
                            <w:bookmarkStart w:id="2" w:name="_Hlk211600746"/>
                            <w:bookmarkEnd w:id="2"/>
                            <w:r>
                              <w:rPr>
                                <w:rFonts w:ascii="Franklin Gothic Demi" w:hAnsi="Franklin Gothic Demi"/>
                                <w:bCs/>
                                <w:noProof/>
                                <w:color w:val="0070C0"/>
                                <w:sz w:val="18"/>
                                <w:szCs w:val="18"/>
                              </w:rPr>
                              <w:drawing>
                                <wp:inline distT="0" distB="0" distL="0" distR="0" wp14:anchorId="0B599B62" wp14:editId="07AABAFF">
                                  <wp:extent cx="1039553" cy="796228"/>
                                  <wp:effectExtent l="0" t="0" r="8255" b="4445"/>
                                  <wp:docPr id="618599094" name="Picture 25" descr="A person walking on a blue arrow over a 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599094" name="Picture 25" descr="A person walking on a blue arrow over a word&#10;&#10;AI-generated content may be incorrect."/>
                                          <pic:cNvPicPr/>
                                        </pic:nvPicPr>
                                        <pic:blipFill>
                                          <a:blip r:embed="rId9">
                                            <a:extLst>
                                              <a:ext uri="{837473B0-CC2E-450A-ABE3-18F120FF3D39}">
                                                <a1611:picAttrSrcUrl xmlns:a1611="http://schemas.microsoft.com/office/drawing/2016/11/main" r:id="rId10"/>
                                              </a:ext>
                                            </a:extLst>
                                          </a:blip>
                                          <a:stretch>
                                            <a:fillRect/>
                                          </a:stretch>
                                        </pic:blipFill>
                                        <pic:spPr>
                                          <a:xfrm>
                                            <a:off x="0" y="0"/>
                                            <a:ext cx="1052264" cy="805964"/>
                                          </a:xfrm>
                                          <a:prstGeom prst="rect">
                                            <a:avLst/>
                                          </a:prstGeom>
                                        </pic:spPr>
                                      </pic:pic>
                                    </a:graphicData>
                                  </a:graphic>
                                </wp:inline>
                              </w:drawing>
                            </w:r>
                          </w:p>
                          <w:p w14:paraId="3A05D514" w14:textId="77777777" w:rsidR="00C85ECD" w:rsidRPr="00C85ECD" w:rsidRDefault="00C85ECD" w:rsidP="00C85ECD">
                            <w:pPr>
                              <w:jc w:val="center"/>
                              <w:rPr>
                                <w:rFonts w:ascii="Franklin Gothic Demi" w:hAnsi="Franklin Gothic Demi"/>
                                <w:b/>
                                <w:bCs/>
                                <w:color w:val="EEECE1" w:themeColor="background2"/>
                              </w:rPr>
                            </w:pPr>
                            <w:r w:rsidRPr="00C85ECD">
                              <w:rPr>
                                <w:rFonts w:ascii="Franklin Gothic Demi" w:hAnsi="Franklin Gothic Demi"/>
                                <w:bCs/>
                                <w:color w:val="EEECE1" w:themeColor="background2"/>
                                <w:sz w:val="18"/>
                                <w:szCs w:val="18"/>
                              </w:rPr>
                              <w:t>Today, pharmacy practice operates across community, hospital and clinical settings. Community pharmacists provide dispensing, advice on over-the-counter medicines, chronic disease support, vaccination, and increasingly direct patient care and prescribing in some jurisdictions. Hospital pharmacists support medication safety, clinical rounds, and formulary management. Pharmacists also contribute to public health, antimicrobial stewardship, and emergency responses</w:t>
                            </w:r>
                            <w:r w:rsidRPr="00C85ECD">
                              <w:rPr>
                                <w:rFonts w:ascii="Franklin Gothic Demi" w:hAnsi="Franklin Gothic Demi"/>
                                <w:bCs/>
                                <w:color w:val="EEECE1" w:themeColor="background2"/>
                              </w:rPr>
                              <w:t xml:space="preserve"> (Toklu, 2013; Pantasri et al., 2021).</w:t>
                            </w:r>
                          </w:p>
                          <w:p w14:paraId="48214C1F" w14:textId="77777777" w:rsidR="00C0580A" w:rsidRDefault="00C0580A" w:rsidP="00C0580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573B3D"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13" o:spid="_x0000_s1027" type="#_x0000_t15" style="position:absolute;margin-left:-19.5pt;margin-top:510.4pt;width:500.65pt;height:202.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" adj="17232" fillcolor="#00b0f0" strokecolor="#4579b8 [3044]">
                <v:shadow on="t" color="black" opacity="22937f" origin=",.5" offset="0,.63889mm"/>
                <v:textbox>
                  <w:txbxContent>
                    <w:p w14:paraId="323518D1" w14:textId="662DEFE9" w:rsidR="00C85ECD" w:rsidRPr="00C85ECD" w:rsidRDefault="006C2ED0" w:rsidP="00C85ECD">
                      <w:pPr>
                        <w:jc w:val="center"/>
                        <w:rPr>
                          <w:rFonts w:ascii="Franklin Gothic Demi" w:hAnsi="Franklin Gothic Demi"/>
                          <w:b/>
                          <w:bCs/>
                          <w:sz w:val="18"/>
                          <w:szCs w:val="18"/>
                        </w:rPr>
                      </w:pPr>
                      <w:bookmarkStart w:id="3" w:name="_Hlk211600746"/>
                      <w:bookmarkEnd w:id="3"/>
                      <w:r>
                        <w:rPr>
                          <w:rFonts w:ascii="Franklin Gothic Demi" w:hAnsi="Franklin Gothic Demi"/>
                          <w:bCs/>
                          <w:noProof/>
                          <w:color w:val="0070C0"/>
                          <w:sz w:val="18"/>
                          <w:szCs w:val="18"/>
                        </w:rPr>
                        <w:drawing>
                          <wp:inline distT="0" distB="0" distL="0" distR="0" wp14:anchorId="0B599B62" wp14:editId="07AABAFF">
                            <wp:extent cx="1039553" cy="796228"/>
                            <wp:effectExtent l="0" t="0" r="8255" b="4445"/>
                            <wp:docPr id="618599094" name="Picture 25" descr="A person walking on a blue arrow over a 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599094" name="Picture 25" descr="A person walking on a blue arrow over a word&#10;&#10;AI-generated content may be incorrect."/>
                                    <pic:cNvPicPr/>
                                  </pic:nvPicPr>
                                  <pic:blipFill>
                                    <a:blip r:embed="rId9">
                                      <a:extLst>
                                        <a:ext uri="{837473B0-CC2E-450A-ABE3-18F120FF3D39}">
                                          <a1611:picAttrSrcUrl xmlns:a1611="http://schemas.microsoft.com/office/drawing/2016/11/main" r:id="rId10"/>
                                        </a:ext>
                                      </a:extLst>
                                    </a:blip>
                                    <a:stretch>
                                      <a:fillRect/>
                                    </a:stretch>
                                  </pic:blipFill>
                                  <pic:spPr>
                                    <a:xfrm>
                                      <a:off x="0" y="0"/>
                                      <a:ext cx="1052264" cy="805964"/>
                                    </a:xfrm>
                                    <a:prstGeom prst="rect">
                                      <a:avLst/>
                                    </a:prstGeom>
                                  </pic:spPr>
                                </pic:pic>
                              </a:graphicData>
                            </a:graphic>
                          </wp:inline>
                        </w:drawing>
                      </w:r>
                    </w:p>
                    <w:p w14:paraId="3A05D514" w14:textId="77777777" w:rsidR="00C85ECD" w:rsidRPr="00C85ECD" w:rsidRDefault="00C85ECD" w:rsidP="00C85ECD">
                      <w:pPr>
                        <w:jc w:val="center"/>
                        <w:rPr>
                          <w:rFonts w:ascii="Franklin Gothic Demi" w:hAnsi="Franklin Gothic Demi"/>
                          <w:b/>
                          <w:bCs/>
                          <w:color w:val="EEECE1" w:themeColor="background2"/>
                        </w:rPr>
                      </w:pPr>
                      <w:r w:rsidRPr="00C85ECD">
                        <w:rPr>
                          <w:rFonts w:ascii="Franklin Gothic Demi" w:hAnsi="Franklin Gothic Demi"/>
                          <w:bCs/>
                          <w:color w:val="EEECE1" w:themeColor="background2"/>
                          <w:sz w:val="18"/>
                          <w:szCs w:val="18"/>
                        </w:rPr>
                        <w:t>Today, pharmacy practice operates across community, hospital and clinical settings. Community pharmacists provide dispensing, advice on over-the-counter medicines, chronic disease support, vaccination, and increasingly direct patient care and prescribing in some jurisdictions. Hospital pharmacists support medication safety, clinical rounds, and formulary management. Pharmacists also contribute to public health, antimicrobial stewardship, and emergency responses</w:t>
                      </w:r>
                      <w:r w:rsidRPr="00C85ECD">
                        <w:rPr>
                          <w:rFonts w:ascii="Franklin Gothic Demi" w:hAnsi="Franklin Gothic Demi"/>
                          <w:bCs/>
                          <w:color w:val="EEECE1" w:themeColor="background2"/>
                        </w:rPr>
                        <w:t xml:space="preserve"> (Toklu, 2013; Pantasri et al., 2021).</w:t>
                      </w:r>
                    </w:p>
                    <w:p w14:paraId="48214C1F" w14:textId="77777777" w:rsidR="00C0580A" w:rsidRDefault="00C0580A" w:rsidP="00C0580A">
                      <w:pPr>
                        <w:jc w:val="center"/>
                      </w:pPr>
                    </w:p>
                  </w:txbxContent>
                </v:textbox>
              </v:shape>
            </w:pict>
          </mc:Fallback>
        </mc:AlternateContent>
      </w:r>
      <w:r w:rsidR="0090686C">
        <w:rPr>
          <w:rFonts w:ascii="Arial" w:hAnsi="Arial" w:cs="Arial"/>
          <w:noProof/>
        </w:rPr>
        <w:drawing>
          <wp:anchor distT="0" distB="0" distL="114300" distR="114300" simplePos="0" relativeHeight="251774976" behindDoc="0" locked="0" layoutInCell="1" allowOverlap="1" wp14:anchorId="56BF9199" wp14:editId="01BC46FD">
            <wp:simplePos x="0" y="0"/>
            <wp:positionH relativeFrom="column">
              <wp:posOffset>4183438</wp:posOffset>
            </wp:positionH>
            <wp:positionV relativeFrom="paragraph">
              <wp:posOffset>456854</wp:posOffset>
            </wp:positionV>
            <wp:extent cx="1530927" cy="1530927"/>
            <wp:effectExtent l="0" t="0" r="0" b="0"/>
            <wp:wrapNone/>
            <wp:docPr id="634238726" name="Graphic 22" descr="Medici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238726" name="Graphic 634238726" descr="Medicine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530927" cy="1530927"/>
                    </a:xfrm>
                    <a:prstGeom prst="rect">
                      <a:avLst/>
                    </a:prstGeom>
                  </pic:spPr>
                </pic:pic>
              </a:graphicData>
            </a:graphic>
            <wp14:sizeRelH relativeFrom="margin">
              <wp14:pctWidth>0</wp14:pctWidth>
            </wp14:sizeRelH>
            <wp14:sizeRelV relativeFrom="margin">
              <wp14:pctHeight>0</wp14:pctHeight>
            </wp14:sizeRelV>
          </wp:anchor>
        </w:drawing>
      </w:r>
      <w:r w:rsidR="0090686C">
        <w:rPr>
          <w:rFonts w:ascii="Arial" w:hAnsi="Arial" w:cs="Arial"/>
          <w:noProof/>
        </w:rPr>
        <mc:AlternateContent>
          <mc:Choice Requires="wps">
            <w:drawing>
              <wp:anchor distT="0" distB="0" distL="114300" distR="114300" simplePos="0" relativeHeight="251611136" behindDoc="0" locked="0" layoutInCell="1" allowOverlap="1" wp14:anchorId="247A01A7" wp14:editId="2230673B">
                <wp:simplePos x="0" y="0"/>
                <wp:positionH relativeFrom="column">
                  <wp:posOffset>1814772</wp:posOffset>
                </wp:positionH>
                <wp:positionV relativeFrom="paragraph">
                  <wp:posOffset>751378</wp:posOffset>
                </wp:positionV>
                <wp:extent cx="3923607" cy="2954482"/>
                <wp:effectExtent l="57150" t="38100" r="77470" b="93980"/>
                <wp:wrapNone/>
                <wp:docPr id="1965607906" name="Rectangle: Rounded Corners 10"/>
                <wp:cNvGraphicFramePr/>
                <a:graphic xmlns:a="http://schemas.openxmlformats.org/drawingml/2006/main">
                  <a:graphicData uri="http://schemas.microsoft.com/office/word/2010/wordprocessingShape">
                    <wps:wsp>
                      <wps:cNvSpPr/>
                      <wps:spPr>
                        <a:xfrm>
                          <a:off x="0" y="0"/>
                          <a:ext cx="3923607" cy="2954482"/>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06DF74F5" w14:textId="27719FB0" w:rsidR="007B681C" w:rsidRDefault="007B681C" w:rsidP="00104D65">
                            <w:pPr>
                              <w:jc w:val="center"/>
                              <w:rPr>
                                <w:rFonts w:ascii="Franklin Gothic Demi" w:hAnsi="Franklin Gothic Demi"/>
                                <w:bCs/>
                                <w:color w:val="0070C0"/>
                                <w:sz w:val="18"/>
                                <w:szCs w:val="18"/>
                              </w:rPr>
                            </w:pPr>
                          </w:p>
                          <w:p w14:paraId="042EE419" w14:textId="42E7CEDF" w:rsidR="007B681C" w:rsidRDefault="007B681C" w:rsidP="00104D65">
                            <w:pPr>
                              <w:jc w:val="center"/>
                              <w:rPr>
                                <w:rFonts w:ascii="Franklin Gothic Demi" w:hAnsi="Franklin Gothic Demi"/>
                                <w:bCs/>
                                <w:color w:val="0070C0"/>
                                <w:sz w:val="18"/>
                                <w:szCs w:val="18"/>
                              </w:rPr>
                            </w:pPr>
                          </w:p>
                          <w:p w14:paraId="6565FF86" w14:textId="77777777" w:rsidR="007B681C" w:rsidRDefault="007B681C" w:rsidP="00104D65">
                            <w:pPr>
                              <w:jc w:val="center"/>
                              <w:rPr>
                                <w:rFonts w:ascii="Franklin Gothic Demi" w:hAnsi="Franklin Gothic Demi"/>
                                <w:bCs/>
                                <w:color w:val="0070C0"/>
                                <w:sz w:val="18"/>
                                <w:szCs w:val="18"/>
                              </w:rPr>
                            </w:pPr>
                          </w:p>
                          <w:p w14:paraId="55C5FEDC" w14:textId="0F49A12E" w:rsidR="00104D65" w:rsidRPr="00104D65" w:rsidRDefault="00104D65" w:rsidP="00104D65">
                            <w:pPr>
                              <w:jc w:val="center"/>
                              <w:rPr>
                                <w:rFonts w:ascii="Franklin Gothic Demi" w:hAnsi="Franklin Gothic Demi"/>
                                <w:bCs/>
                                <w:color w:val="0070C0"/>
                                <w:sz w:val="18"/>
                                <w:szCs w:val="18"/>
                              </w:rPr>
                            </w:pPr>
                            <w:r w:rsidRPr="00104D65">
                              <w:rPr>
                                <w:rFonts w:ascii="Franklin Gothic Demi" w:hAnsi="Franklin Gothic Demi"/>
                                <w:bCs/>
                                <w:color w:val="0070C0"/>
                                <w:sz w:val="18"/>
                                <w:szCs w:val="18"/>
                              </w:rPr>
                              <w:t>Pharmacy is the health profession that links health sciences with chemical sciences to ensure the safe, effective and affordable use of medicin</w:t>
                            </w:r>
                            <w:r w:rsidR="00115B2D">
                              <w:rPr>
                                <w:rFonts w:ascii="Franklin Gothic Demi" w:hAnsi="Franklin Gothic Demi"/>
                                <w:bCs/>
                                <w:color w:val="0070C0"/>
                                <w:sz w:val="18"/>
                                <w:szCs w:val="18"/>
                              </w:rPr>
                              <w:t>es</w:t>
                            </w:r>
                            <w:r w:rsidRPr="00104D65">
                              <w:rPr>
                                <w:rFonts w:ascii="Franklin Gothic Demi" w:hAnsi="Franklin Gothic Demi"/>
                                <w:bCs/>
                                <w:color w:val="0070C0"/>
                                <w:sz w:val="18"/>
                                <w:szCs w:val="18"/>
                              </w:rPr>
                              <w:t>. Pharmacists are trained to prepare, dispense, and advise on medications, and they increasingly provide patient-centered clinical services such as vaccination, medication review, and minor ailment management (Toklu, 2013; Mohiuddin, 2020).</w:t>
                            </w:r>
                          </w:p>
                          <w:p w14:paraId="4A3C7165" w14:textId="77777777" w:rsidR="00104D65" w:rsidRDefault="00104D65" w:rsidP="00104D6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7A01A7" id="Rectangle: Rounded Corners 10" o:spid="_x0000_s1028" style="position:absolute;margin-left:142.9pt;margin-top:59.15pt;width:308.95pt;height:232.65pt;z-index:251611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" fillcolor="#a5d5e2 [1624]" strokecolor="#40a7c2 [3048]">
                <v:fill color2="#e4f2f6 [504]" rotate="t" angle="180" colors="0 #9eeaff;22938f #bbefff;1 #e4f9ff" focus="100%" type="gradient"/>
                <v:shadow on="t" color="black" opacity="24903f" origin=",.5" offset="0,.55556mm"/>
                <v:textbox>
                  <w:txbxContent>
                    <w:p w14:paraId="06DF74F5" w14:textId="27719FB0" w:rsidR="007B681C" w:rsidRDefault="007B681C" w:rsidP="00104D65">
                      <w:pPr>
                        <w:jc w:val="center"/>
                        <w:rPr>
                          <w:rFonts w:ascii="Franklin Gothic Demi" w:hAnsi="Franklin Gothic Demi"/>
                          <w:bCs/>
                          <w:color w:val="0070C0"/>
                          <w:sz w:val="18"/>
                          <w:szCs w:val="18"/>
                        </w:rPr>
                      </w:pPr>
                    </w:p>
                    <w:p w14:paraId="042EE419" w14:textId="42E7CEDF" w:rsidR="007B681C" w:rsidRDefault="007B681C" w:rsidP="00104D65">
                      <w:pPr>
                        <w:jc w:val="center"/>
                        <w:rPr>
                          <w:rFonts w:ascii="Franklin Gothic Demi" w:hAnsi="Franklin Gothic Demi"/>
                          <w:bCs/>
                          <w:color w:val="0070C0"/>
                          <w:sz w:val="18"/>
                          <w:szCs w:val="18"/>
                        </w:rPr>
                      </w:pPr>
                    </w:p>
                    <w:p w14:paraId="6565FF86" w14:textId="77777777" w:rsidR="007B681C" w:rsidRDefault="007B681C" w:rsidP="00104D65">
                      <w:pPr>
                        <w:jc w:val="center"/>
                        <w:rPr>
                          <w:rFonts w:ascii="Franklin Gothic Demi" w:hAnsi="Franklin Gothic Demi"/>
                          <w:bCs/>
                          <w:color w:val="0070C0"/>
                          <w:sz w:val="18"/>
                          <w:szCs w:val="18"/>
                        </w:rPr>
                      </w:pPr>
                    </w:p>
                    <w:p w14:paraId="55C5FEDC" w14:textId="0F49A12E" w:rsidR="00104D65" w:rsidRPr="00104D65" w:rsidRDefault="00104D65" w:rsidP="00104D65">
                      <w:pPr>
                        <w:jc w:val="center"/>
                        <w:rPr>
                          <w:rFonts w:ascii="Franklin Gothic Demi" w:hAnsi="Franklin Gothic Demi"/>
                          <w:bCs/>
                          <w:color w:val="0070C0"/>
                          <w:sz w:val="18"/>
                          <w:szCs w:val="18"/>
                        </w:rPr>
                      </w:pPr>
                      <w:r w:rsidRPr="00104D65">
                        <w:rPr>
                          <w:rFonts w:ascii="Franklin Gothic Demi" w:hAnsi="Franklin Gothic Demi"/>
                          <w:bCs/>
                          <w:color w:val="0070C0"/>
                          <w:sz w:val="18"/>
                          <w:szCs w:val="18"/>
                        </w:rPr>
                        <w:t>Pharmacy is the health profession that links health sciences with chemical sciences to ensure the safe, effective and affordable use of medicin</w:t>
                      </w:r>
                      <w:r w:rsidR="00115B2D">
                        <w:rPr>
                          <w:rFonts w:ascii="Franklin Gothic Demi" w:hAnsi="Franklin Gothic Demi"/>
                          <w:bCs/>
                          <w:color w:val="0070C0"/>
                          <w:sz w:val="18"/>
                          <w:szCs w:val="18"/>
                        </w:rPr>
                        <w:t>es</w:t>
                      </w:r>
                      <w:r w:rsidRPr="00104D65">
                        <w:rPr>
                          <w:rFonts w:ascii="Franklin Gothic Demi" w:hAnsi="Franklin Gothic Demi"/>
                          <w:bCs/>
                          <w:color w:val="0070C0"/>
                          <w:sz w:val="18"/>
                          <w:szCs w:val="18"/>
                        </w:rPr>
                        <w:t>. Pharmacists are trained to prepare, dispense, and advise on medications, and they increasingly provide patient-centered clinical services such as vaccination, medication review, and minor ailment management (Toklu, 2013; Mohiuddin, 2020).</w:t>
                      </w:r>
                    </w:p>
                    <w:p w14:paraId="4A3C7165" w14:textId="77777777" w:rsidR="00104D65" w:rsidRDefault="00104D65" w:rsidP="00104D65">
                      <w:pPr>
                        <w:jc w:val="center"/>
                      </w:pPr>
                    </w:p>
                  </w:txbxContent>
                </v:textbox>
              </v:roundrect>
            </w:pict>
          </mc:Fallback>
        </mc:AlternateContent>
      </w:r>
      <w:r w:rsidR="007B681C">
        <w:rPr>
          <w:rFonts w:ascii="Arial" w:hAnsi="Arial" w:cs="Arial"/>
          <w:noProof/>
        </w:rPr>
        <mc:AlternateContent>
          <mc:Choice Requires="wps">
            <w:drawing>
              <wp:anchor distT="0" distB="0" distL="114300" distR="114300" simplePos="0" relativeHeight="251663360" behindDoc="0" locked="0" layoutInCell="1" allowOverlap="1" wp14:anchorId="309F61F8" wp14:editId="5D294A43">
                <wp:simplePos x="0" y="0"/>
                <wp:positionH relativeFrom="margin">
                  <wp:posOffset>-27709</wp:posOffset>
                </wp:positionH>
                <wp:positionV relativeFrom="paragraph">
                  <wp:posOffset>4128655</wp:posOffset>
                </wp:positionV>
                <wp:extent cx="3891280" cy="2198774"/>
                <wp:effectExtent l="57150" t="38100" r="71120" b="87630"/>
                <wp:wrapNone/>
                <wp:docPr id="417343956" name="Rectangle 11"/>
                <wp:cNvGraphicFramePr/>
                <a:graphic xmlns:a="http://schemas.openxmlformats.org/drawingml/2006/main">
                  <a:graphicData uri="http://schemas.microsoft.com/office/word/2010/wordprocessingShape">
                    <wps:wsp>
                      <wps:cNvSpPr/>
                      <wps:spPr>
                        <a:xfrm>
                          <a:off x="0" y="0"/>
                          <a:ext cx="3891280" cy="2198774"/>
                        </a:xfrm>
                        <a:prstGeom prst="rect">
                          <a:avLst/>
                        </a:prstGeom>
                        <a:ln/>
                      </wps:spPr>
                      <wps:style>
                        <a:lnRef idx="1">
                          <a:schemeClr val="accent4"/>
                        </a:lnRef>
                        <a:fillRef idx="2">
                          <a:schemeClr val="accent4"/>
                        </a:fillRef>
                        <a:effectRef idx="1">
                          <a:schemeClr val="accent4"/>
                        </a:effectRef>
                        <a:fontRef idx="minor">
                          <a:schemeClr val="dk1"/>
                        </a:fontRef>
                      </wps:style>
                      <wps:txbx>
                        <w:txbxContent>
                          <w:p w14:paraId="7D683467" w14:textId="4FEA2F85" w:rsidR="00784C8C" w:rsidRPr="00EA4441" w:rsidRDefault="00784C8C" w:rsidP="00784C8C">
                            <w:pPr>
                              <w:jc w:val="center"/>
                              <w:rPr>
                                <w:rFonts w:ascii="Franklin Gothic Demi" w:hAnsi="Franklin Gothic Demi"/>
                                <w:sz w:val="18"/>
                                <w:szCs w:val="18"/>
                              </w:rPr>
                            </w:pPr>
                            <w:r w:rsidRPr="00EA4441">
                              <w:rPr>
                                <w:rFonts w:ascii="Franklin Gothic Demi" w:hAnsi="Franklin Gothic Demi"/>
                                <w:bCs/>
                                <w:sz w:val="18"/>
                                <w:szCs w:val="18"/>
                              </w:rPr>
                              <w:t>Pharmacy has ancient roots: early humans used plants and natural substances as remedies. Over centuries, these practices became more organized. Key milestones include the development of herbals in classical civilizations, the separation of apothecaries from physicians in the Middle Ages, the rise of modern pharmaceutical chemistry in the 18th–19th centuries, and the professionalization and regulation of pharmacy through the 20th century. Modern pharmacy practice shifted from product-focused services (compounding and dispensing) toward patient-centered clinical roles during the late 20th and early 21st centuries. (Sonnedecker; Toklu, 2013; Evolution review, 2018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9F61F8" id="Rectangle 11" o:spid="_x0000_s1029" style="position:absolute;margin-left:-2.2pt;margin-top:325.1pt;width:306.4pt;height:173.1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" fillcolor="#bfb1d0 [1623]" strokecolor="#795d9b [3047]">
                <v:fill color2="#ece7f1 [503]" rotate="t" angle="180" colors="0 #c9b5e8;22938f #d9cbee;1 #f0eaf9" focus="100%" type="gradient"/>
                <v:shadow on="t" color="black" opacity="24903f" origin=",.5" offset="0,.55556mm"/>
                <v:textbox>
                  <w:txbxContent>
                    <w:p w14:paraId="7D683467" w14:textId="4FEA2F85" w:rsidR="00784C8C" w:rsidRPr="00EA4441" w:rsidRDefault="00784C8C" w:rsidP="00784C8C">
                      <w:pPr>
                        <w:jc w:val="center"/>
                        <w:rPr>
                          <w:rFonts w:ascii="Franklin Gothic Demi" w:hAnsi="Franklin Gothic Demi"/>
                          <w:sz w:val="18"/>
                          <w:szCs w:val="18"/>
                        </w:rPr>
                      </w:pPr>
                      <w:r w:rsidRPr="00EA4441">
                        <w:rPr>
                          <w:rFonts w:ascii="Franklin Gothic Demi" w:hAnsi="Franklin Gothic Demi"/>
                          <w:bCs/>
                          <w:sz w:val="18"/>
                          <w:szCs w:val="18"/>
                        </w:rPr>
                        <w:t>Pharmacy has ancient roots: early humans used plants and natural substances as remedies. Over centuries, these practices became more organized. Key milestones include the development of herbals in classical civilizations, the separation of apothecaries from physicians in the Middle Ages, the rise of modern pharmaceutical chemistry in the 18th–19th centuries, and the professionalization and regulation of pharmacy through the 20th century. Modern pharmacy practice shifted from product-focused services (compounding and dispensing) toward patient-centered clinical roles during the late 20th and early 21st centuries. (Sonnedecker; Toklu, 2013; Evolution review, 2018</w:t>
                      </w:r>
                    </w:p>
                  </w:txbxContent>
                </v:textbox>
                <w10:wrap anchorx="margin"/>
              </v:rect>
            </w:pict>
          </mc:Fallback>
        </mc:AlternateContent>
      </w:r>
      <w:r w:rsidR="00A05D4E" w:rsidRPr="00304A5A">
        <w:rPr>
          <w:rFonts w:ascii="Arial" w:hAnsi="Arial" w:cs="Arial"/>
          <w:noProof/>
        </w:rPr>
        <mc:AlternateContent>
          <mc:Choice Requires="wps">
            <w:drawing>
              <wp:anchor distT="45720" distB="45720" distL="114300" distR="114300" simplePos="0" relativeHeight="251558912" behindDoc="0" locked="0" layoutInCell="1" allowOverlap="1" wp14:anchorId="3A51A8B4" wp14:editId="102638DF">
                <wp:simplePos x="0" y="0"/>
                <wp:positionH relativeFrom="column">
                  <wp:posOffset>-651164</wp:posOffset>
                </wp:positionH>
                <wp:positionV relativeFrom="paragraph">
                  <wp:posOffset>462</wp:posOffset>
                </wp:positionV>
                <wp:extent cx="6753341" cy="9157508"/>
                <wp:effectExtent l="0" t="0" r="28575"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341" cy="9157508"/>
                        </a:xfrm>
                        <a:prstGeom prst="rect">
                          <a:avLst/>
                        </a:prstGeom>
                        <a:solidFill>
                          <a:srgbClr val="FFFFFF"/>
                        </a:solidFill>
                        <a:ln w="9525">
                          <a:solidFill>
                            <a:srgbClr val="000000"/>
                          </a:solidFill>
                          <a:miter lim="800000"/>
                          <a:headEnd/>
                          <a:tailEnd/>
                        </a:ln>
                      </wps:spPr>
                      <wps:txbx>
                        <w:txbxContent>
                          <w:p w14:paraId="177CC875" w14:textId="0D7E9F70" w:rsidR="00304A5A" w:rsidRDefault="00001C36">
                            <w:r>
                              <w:rPr>
                                <w:rFonts w:ascii="Arial" w:hAnsi="Arial" w:cs="Arial"/>
                                <w:noProof/>
                              </w:rPr>
                              <w:drawing>
                                <wp:inline distT="0" distB="0" distL="0" distR="0" wp14:anchorId="4DB73B57" wp14:editId="096C6687">
                                  <wp:extent cx="1281545" cy="911321"/>
                                  <wp:effectExtent l="0" t="0" r="0" b="3175"/>
                                  <wp:docPr id="844073423" name="Picture 20" descr="A hand holding a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073423" name="Picture 20" descr="A hand holding a box"/>
                                          <pic:cNvPicPr/>
                                        </pic:nvPicPr>
                                        <pic:blipFill>
                                          <a:blip r:embed="rId13">
                                            <a:extLst>
                                              <a:ext uri="{837473B0-CC2E-450A-ABE3-18F120FF3D39}">
                                                <a1611:picAttrSrcUrl xmlns:a1611="http://schemas.microsoft.com/office/drawing/2016/11/main" r:id="rId14"/>
                                              </a:ext>
                                            </a:extLst>
                                          </a:blip>
                                          <a:stretch>
                                            <a:fillRect/>
                                          </a:stretch>
                                        </pic:blipFill>
                                        <pic:spPr>
                                          <a:xfrm>
                                            <a:off x="0" y="0"/>
                                            <a:ext cx="1305270" cy="928192"/>
                                          </a:xfrm>
                                          <a:prstGeom prst="rect">
                                            <a:avLst/>
                                          </a:prstGeom>
                                        </pic:spPr>
                                      </pic:pic>
                                    </a:graphicData>
                                  </a:graphic>
                                </wp:inline>
                              </w:drawing>
                            </w:r>
                            <w:r w:rsidR="004240C9">
                              <w:rPr>
                                <w:noProof/>
                              </w:rPr>
                              <w:drawing>
                                <wp:inline distT="0" distB="0" distL="0" distR="0" wp14:anchorId="77E1D4D1" wp14:editId="7B4ED086">
                                  <wp:extent cx="12489259" cy="8326582"/>
                                  <wp:effectExtent l="0" t="0" r="7620" b="0"/>
                                  <wp:docPr id="1179297077" name="Picture 18" descr="A close-up of a medical prescri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508420" name="Picture 18" descr="A close-up of a medical prescription&#10;&#10;AI-generated content may be incorrect."/>
                                          <pic:cNvPicPr/>
                                        </pic:nvPicPr>
                                        <pic:blipFill>
                                          <a:blip r:embed="rId15">
                                            <a:extLst>
                                              <a:ext uri="{837473B0-CC2E-450A-ABE3-18F120FF3D39}">
                                                <a1611:picAttrSrcUrl xmlns:a1611="http://schemas.microsoft.com/office/drawing/2016/11/main" r:id="rId16"/>
                                              </a:ext>
                                            </a:extLst>
                                          </a:blip>
                                          <a:stretch>
                                            <a:fillRect/>
                                          </a:stretch>
                                        </pic:blipFill>
                                        <pic:spPr>
                                          <a:xfrm>
                                            <a:off x="0" y="0"/>
                                            <a:ext cx="12519390" cy="834667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A51A8B4" id="_x0000_t202" coordsize="21600,21600" o:spt="202" path="m,l,21600r21600,l21600,xe">
                <v:stroke joinstyle="miter"/>
                <v:path gradientshapeok="t" o:connecttype="rect"/>
              </v:shapetype>
              <v:shape id="Text Box 2" o:spid="_x0000_s1030" type="#_x0000_t202" style="position:absolute;margin-left:-51.25pt;margin-top:.05pt;width:531.75pt;height:721.05pt;z-index:251558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">
                <v:textbox>
                  <w:txbxContent>
                    <w:p w14:paraId="177CC875" w14:textId="0D7E9F70" w:rsidR="00304A5A" w:rsidRDefault="00001C36">
                      <w:r>
                        <w:rPr>
                          <w:rFonts w:ascii="Arial" w:hAnsi="Arial" w:cs="Arial"/>
                          <w:noProof/>
                        </w:rPr>
                        <w:drawing>
                          <wp:inline distT="0" distB="0" distL="0" distR="0" wp14:anchorId="4DB73B57" wp14:editId="096C6687">
                            <wp:extent cx="1281545" cy="911321"/>
                            <wp:effectExtent l="0" t="0" r="0" b="3175"/>
                            <wp:docPr id="844073423" name="Picture 20" descr="A hand holding a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073423" name="Picture 20" descr="A hand holding a box"/>
                                    <pic:cNvPicPr/>
                                  </pic:nvPicPr>
                                  <pic:blipFill>
                                    <a:blip r:embed="rId13">
                                      <a:extLst>
                                        <a:ext uri="{837473B0-CC2E-450A-ABE3-18F120FF3D39}">
                                          <a1611:picAttrSrcUrl xmlns:a1611="http://schemas.microsoft.com/office/drawing/2016/11/main" r:id="rId14"/>
                                        </a:ext>
                                      </a:extLst>
                                    </a:blip>
                                    <a:stretch>
                                      <a:fillRect/>
                                    </a:stretch>
                                  </pic:blipFill>
                                  <pic:spPr>
                                    <a:xfrm>
                                      <a:off x="0" y="0"/>
                                      <a:ext cx="1305270" cy="928192"/>
                                    </a:xfrm>
                                    <a:prstGeom prst="rect">
                                      <a:avLst/>
                                    </a:prstGeom>
                                  </pic:spPr>
                                </pic:pic>
                              </a:graphicData>
                            </a:graphic>
                          </wp:inline>
                        </w:drawing>
                      </w:r>
                      <w:r w:rsidR="004240C9">
                        <w:rPr>
                          <w:noProof/>
                        </w:rPr>
                        <w:drawing>
                          <wp:inline distT="0" distB="0" distL="0" distR="0" wp14:anchorId="77E1D4D1" wp14:editId="7B4ED086">
                            <wp:extent cx="12489259" cy="8326582"/>
                            <wp:effectExtent l="0" t="0" r="7620" b="0"/>
                            <wp:docPr id="1179297077" name="Picture 18" descr="A close-up of a medical prescri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508420" name="Picture 18" descr="A close-up of a medical prescription&#10;&#10;AI-generated content may be incorrect."/>
                                    <pic:cNvPicPr/>
                                  </pic:nvPicPr>
                                  <pic:blipFill>
                                    <a:blip r:embed="rId15">
                                      <a:extLst>
                                        <a:ext uri="{837473B0-CC2E-450A-ABE3-18F120FF3D39}">
                                          <a1611:picAttrSrcUrl xmlns:a1611="http://schemas.microsoft.com/office/drawing/2016/11/main" r:id="rId16"/>
                                        </a:ext>
                                      </a:extLst>
                                    </a:blip>
                                    <a:stretch>
                                      <a:fillRect/>
                                    </a:stretch>
                                  </pic:blipFill>
                                  <pic:spPr>
                                    <a:xfrm>
                                      <a:off x="0" y="0"/>
                                      <a:ext cx="12519390" cy="8346670"/>
                                    </a:xfrm>
                                    <a:prstGeom prst="rect">
                                      <a:avLst/>
                                    </a:prstGeom>
                                  </pic:spPr>
                                </pic:pic>
                              </a:graphicData>
                            </a:graphic>
                          </wp:inline>
                        </w:drawing>
                      </w:r>
                    </w:p>
                  </w:txbxContent>
                </v:textbox>
                <w10:wrap type="square"/>
              </v:shape>
            </w:pict>
          </mc:Fallback>
        </mc:AlternateContent>
      </w:r>
      <w:r w:rsidR="008F72CB">
        <w:rPr>
          <w:rFonts w:ascii="Arial" w:hAnsi="Arial" w:cs="Arial"/>
          <w:noProof/>
        </w:rPr>
        <mc:AlternateContent>
          <mc:Choice Requires="wps">
            <w:drawing>
              <wp:anchor distT="0" distB="0" distL="114300" distR="114300" simplePos="0" relativeHeight="251586560" behindDoc="0" locked="0" layoutInCell="1" allowOverlap="1" wp14:anchorId="24A7BB96" wp14:editId="1594C14B">
                <wp:simplePos x="0" y="0"/>
                <wp:positionH relativeFrom="column">
                  <wp:posOffset>-325581</wp:posOffset>
                </wp:positionH>
                <wp:positionV relativeFrom="paragraph">
                  <wp:posOffset>180109</wp:posOffset>
                </wp:positionV>
                <wp:extent cx="1928380" cy="4661824"/>
                <wp:effectExtent l="57150" t="38100" r="72390" b="100965"/>
                <wp:wrapNone/>
                <wp:docPr id="2140730500" name="Rectangle 9"/>
                <wp:cNvGraphicFramePr/>
                <a:graphic xmlns:a="http://schemas.openxmlformats.org/drawingml/2006/main">
                  <a:graphicData uri="http://schemas.microsoft.com/office/word/2010/wordprocessingShape">
                    <wps:wsp>
                      <wps:cNvSpPr/>
                      <wps:spPr>
                        <a:xfrm>
                          <a:off x="0" y="0"/>
                          <a:ext cx="1928380" cy="4661824"/>
                        </a:xfrm>
                        <a:prstGeom prst="rect">
                          <a:avLst/>
                        </a:prstGeom>
                        <a:ln/>
                      </wps:spPr>
                      <wps:style>
                        <a:lnRef idx="1">
                          <a:schemeClr val="accent3"/>
                        </a:lnRef>
                        <a:fillRef idx="2">
                          <a:schemeClr val="accent3"/>
                        </a:fillRef>
                        <a:effectRef idx="1">
                          <a:schemeClr val="accent3"/>
                        </a:effectRef>
                        <a:fontRef idx="minor">
                          <a:schemeClr val="dk1"/>
                        </a:fontRef>
                      </wps:style>
                      <wps:txbx>
                        <w:txbxContent>
                          <w:p w14:paraId="75ACBB29" w14:textId="77777777" w:rsidR="00BC581B" w:rsidRDefault="00BC581B" w:rsidP="00C0580A">
                            <w:pPr>
                              <w:jc w:val="center"/>
                              <w:rPr>
                                <w:rFonts w:ascii="Franklin Gothic Demi" w:hAnsi="Franklin Gothic Demi"/>
                                <w:noProof/>
                                <w:color w:val="00B0F0"/>
                                <w:sz w:val="18"/>
                                <w:szCs w:val="18"/>
                              </w:rPr>
                            </w:pPr>
                          </w:p>
                          <w:p w14:paraId="58648A87" w14:textId="750E302B" w:rsidR="00C0580A" w:rsidRPr="00C0580A" w:rsidRDefault="00643B2A" w:rsidP="00C0580A">
                            <w:pPr>
                              <w:jc w:val="center"/>
                              <w:rPr>
                                <w:rFonts w:ascii="Franklin Gothic Demi" w:hAnsi="Franklin Gothic Demi"/>
                                <w:noProof/>
                                <w:color w:val="00B0F0"/>
                                <w:sz w:val="18"/>
                                <w:szCs w:val="18"/>
                              </w:rPr>
                            </w:pPr>
                            <w:r>
                              <w:rPr>
                                <w:rFonts w:ascii="Franklin Gothic Demi" w:hAnsi="Franklin Gothic Demi"/>
                                <w:noProof/>
                                <w:color w:val="00B0F0"/>
                                <w:sz w:val="18"/>
                                <w:szCs w:val="18"/>
                              </w:rPr>
                              <w:t xml:space="preserve">1 </w:t>
                            </w:r>
                            <w:r w:rsidR="00C0580A" w:rsidRPr="00C0580A">
                              <w:rPr>
                                <w:rFonts w:ascii="Franklin Gothic Demi" w:hAnsi="Franklin Gothic Demi"/>
                                <w:noProof/>
                                <w:color w:val="00B0F0"/>
                                <w:sz w:val="18"/>
                                <w:szCs w:val="18"/>
                              </w:rPr>
                              <w:t>Antimicrobial resistance (AMR) and inappropriate antibiotic use: Pharmacists often encounter pressure from patients to supply antibiotics for viral illnesses; misuse and hoarding of antibiotics contribute to AMR. Pharmacists play a stewardship role but face barriers including public misconception and inconsistent regulation (Darj et al., 2020; UK survey, 2025).</w:t>
                            </w:r>
                          </w:p>
                          <w:p w14:paraId="2423347C" w14:textId="009C8A7E" w:rsidR="00C0580A" w:rsidRPr="00C0580A" w:rsidRDefault="00643B2A" w:rsidP="00C0580A">
                            <w:pPr>
                              <w:jc w:val="center"/>
                              <w:rPr>
                                <w:rFonts w:ascii="Franklin Gothic Demi" w:hAnsi="Franklin Gothic Demi"/>
                                <w:noProof/>
                                <w:color w:val="00B0F0"/>
                                <w:sz w:val="18"/>
                                <w:szCs w:val="18"/>
                              </w:rPr>
                            </w:pPr>
                            <w:r>
                              <w:rPr>
                                <w:rFonts w:ascii="Franklin Gothic Demi" w:hAnsi="Franklin Gothic Demi"/>
                                <w:noProof/>
                                <w:color w:val="00B0F0"/>
                                <w:sz w:val="18"/>
                                <w:szCs w:val="18"/>
                              </w:rPr>
                              <w:t xml:space="preserve">2 </w:t>
                            </w:r>
                            <w:r w:rsidR="00C0580A" w:rsidRPr="00C0580A">
                              <w:rPr>
                                <w:rFonts w:ascii="Franklin Gothic Demi" w:hAnsi="Franklin Gothic Demi"/>
                                <w:noProof/>
                                <w:color w:val="00B0F0"/>
                                <w:sz w:val="18"/>
                                <w:szCs w:val="18"/>
                              </w:rPr>
                              <w:t xml:space="preserve"> Supply-chain and medicine availability issues: Weak or disrupted supply chains cause stock-outs, shortages, and the risk of substandard or counterfeit products. These problems affect pharmacists’ ability to provide appropriate treatment and create challenges for antimicrobial stewardship and continuity of care (Kamere et al., 2023).</w:t>
                            </w:r>
                          </w:p>
                          <w:p w14:paraId="51709C61" w14:textId="34DA6822" w:rsidR="00545FEC" w:rsidRPr="00545FEC" w:rsidRDefault="00545FEC" w:rsidP="00545FEC">
                            <w:pPr>
                              <w:jc w:val="center"/>
                              <w:rPr>
                                <w:b/>
                                <w:bCs/>
                              </w:rPr>
                            </w:pPr>
                          </w:p>
                          <w:p w14:paraId="50B0D943" w14:textId="5BE37BDB" w:rsidR="00545FEC" w:rsidRDefault="00545FEC" w:rsidP="004240C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A7BB96" id="Rectangle 9" o:spid="_x0000_s1031" style="position:absolute;margin-left:-25.65pt;margin-top:14.2pt;width:151.85pt;height:367.05pt;z-index:251586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" fillcolor="#cdddac [1622]" strokecolor="#94b64e [3046]">
                <v:fill color2="#f0f4e6 [502]" rotate="t" angle="180" colors="0 #dafda7;22938f #e4fdc2;1 #f5ffe6" focus="100%" type="gradient"/>
                <v:shadow on="t" color="black" opacity="24903f" origin=",.5" offset="0,.55556mm"/>
                <v:textbox>
                  <w:txbxContent>
                    <w:p w14:paraId="75ACBB29" w14:textId="77777777" w:rsidR="00BC581B" w:rsidRDefault="00BC581B" w:rsidP="00C0580A">
                      <w:pPr>
                        <w:jc w:val="center"/>
                        <w:rPr>
                          <w:rFonts w:ascii="Franklin Gothic Demi" w:hAnsi="Franklin Gothic Demi"/>
                          <w:noProof/>
                          <w:color w:val="00B0F0"/>
                          <w:sz w:val="18"/>
                          <w:szCs w:val="18"/>
                        </w:rPr>
                      </w:pPr>
                    </w:p>
                    <w:p w14:paraId="58648A87" w14:textId="750E302B" w:rsidR="00C0580A" w:rsidRPr="00C0580A" w:rsidRDefault="00643B2A" w:rsidP="00C0580A">
                      <w:pPr>
                        <w:jc w:val="center"/>
                        <w:rPr>
                          <w:rFonts w:ascii="Franklin Gothic Demi" w:hAnsi="Franklin Gothic Demi"/>
                          <w:noProof/>
                          <w:color w:val="00B0F0"/>
                          <w:sz w:val="18"/>
                          <w:szCs w:val="18"/>
                        </w:rPr>
                      </w:pPr>
                      <w:r>
                        <w:rPr>
                          <w:rFonts w:ascii="Franklin Gothic Demi" w:hAnsi="Franklin Gothic Demi"/>
                          <w:noProof/>
                          <w:color w:val="00B0F0"/>
                          <w:sz w:val="18"/>
                          <w:szCs w:val="18"/>
                        </w:rPr>
                        <w:t xml:space="preserve">1 </w:t>
                      </w:r>
                      <w:r w:rsidR="00C0580A" w:rsidRPr="00C0580A">
                        <w:rPr>
                          <w:rFonts w:ascii="Franklin Gothic Demi" w:hAnsi="Franklin Gothic Demi"/>
                          <w:noProof/>
                          <w:color w:val="00B0F0"/>
                          <w:sz w:val="18"/>
                          <w:szCs w:val="18"/>
                        </w:rPr>
                        <w:t>Antimicrobial resistance (AMR) and inappropriate antibiotic use: Pharmacists often encounter pressure from patients to supply antibiotics for viral illnesses; misuse and hoarding of antibiotics contribute to AMR. Pharmacists play a stewardship role but face barriers including public misconception and inconsistent regulation (Darj et al., 2020; UK survey, 2025).</w:t>
                      </w:r>
                    </w:p>
                    <w:p w14:paraId="2423347C" w14:textId="009C8A7E" w:rsidR="00C0580A" w:rsidRPr="00C0580A" w:rsidRDefault="00643B2A" w:rsidP="00C0580A">
                      <w:pPr>
                        <w:jc w:val="center"/>
                        <w:rPr>
                          <w:rFonts w:ascii="Franklin Gothic Demi" w:hAnsi="Franklin Gothic Demi"/>
                          <w:noProof/>
                          <w:color w:val="00B0F0"/>
                          <w:sz w:val="18"/>
                          <w:szCs w:val="18"/>
                        </w:rPr>
                      </w:pPr>
                      <w:r>
                        <w:rPr>
                          <w:rFonts w:ascii="Franklin Gothic Demi" w:hAnsi="Franklin Gothic Demi"/>
                          <w:noProof/>
                          <w:color w:val="00B0F0"/>
                          <w:sz w:val="18"/>
                          <w:szCs w:val="18"/>
                        </w:rPr>
                        <w:t xml:space="preserve">2 </w:t>
                      </w:r>
                      <w:r w:rsidR="00C0580A" w:rsidRPr="00C0580A">
                        <w:rPr>
                          <w:rFonts w:ascii="Franklin Gothic Demi" w:hAnsi="Franklin Gothic Demi"/>
                          <w:noProof/>
                          <w:color w:val="00B0F0"/>
                          <w:sz w:val="18"/>
                          <w:szCs w:val="18"/>
                        </w:rPr>
                        <w:t xml:space="preserve"> Supply-chain and medicine availability issues: Weak or disrupted supply chains cause stock-outs, shortages, and the risk of substandard or counterfeit products. These problems affect pharmacists’ ability to provide appropriate treatment and create challenges for antimicrobial stewardship and continuity of care (Kamere et al., 2023).</w:t>
                      </w:r>
                    </w:p>
                    <w:p w14:paraId="51709C61" w14:textId="34DA6822" w:rsidR="00545FEC" w:rsidRPr="00545FEC" w:rsidRDefault="00545FEC" w:rsidP="00545FEC">
                      <w:pPr>
                        <w:jc w:val="center"/>
                        <w:rPr>
                          <w:b/>
                          <w:bCs/>
                        </w:rPr>
                      </w:pPr>
                    </w:p>
                    <w:p w14:paraId="50B0D943" w14:textId="5BE37BDB" w:rsidR="00545FEC" w:rsidRDefault="00545FEC" w:rsidP="004240C9">
                      <w:pPr>
                        <w:jc w:val="center"/>
                      </w:pPr>
                    </w:p>
                  </w:txbxContent>
                </v:textbox>
              </v:rect>
            </w:pict>
          </mc:Fallback>
        </mc:AlternateContent>
      </w:r>
      <w:r w:rsidR="00DB25B7">
        <w:rPr>
          <w:rFonts w:ascii="Arial" w:hAnsi="Arial" w:cs="Arial"/>
          <w:noProof/>
        </w:rPr>
        <w:drawing>
          <wp:inline distT="0" distB="0" distL="0" distR="0" wp14:anchorId="40975C76" wp14:editId="545A966F">
            <wp:extent cx="5486400" cy="4036695"/>
            <wp:effectExtent l="0" t="0" r="0" b="1905"/>
            <wp:docPr id="2088469587"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469587" name="Graphic 2088469587"/>
                    <pic:cNvPicPr/>
                  </pic:nvPicPr>
                  <pic:blipFill>
                    <a:blip r:embed="rId17">
                      <a:extLst>
                        <a:ext uri="{96DAC541-7B7A-43D3-8B79-37D633B846F1}">
                          <asvg:svgBlip xmlns:asvg="http://schemas.microsoft.com/office/drawing/2016/SVG/main" r:embed="rId18"/>
                        </a:ext>
                        <a:ext uri="{837473B0-CC2E-450A-ABE3-18F120FF3D39}">
                          <a1611:picAttrSrcUrl xmlns:a1611="http://schemas.microsoft.com/office/drawing/2016/11/main" r:id="rId19"/>
                        </a:ext>
                      </a:extLst>
                    </a:blip>
                    <a:stretch>
                      <a:fillRect/>
                    </a:stretch>
                  </pic:blipFill>
                  <pic:spPr>
                    <a:xfrm>
                      <a:off x="0" y="0"/>
                      <a:ext cx="5486400" cy="4036695"/>
                    </a:xfrm>
                    <a:prstGeom prst="rect">
                      <a:avLst/>
                    </a:prstGeom>
                  </pic:spPr>
                </pic:pic>
              </a:graphicData>
            </a:graphic>
          </wp:inline>
        </w:drawing>
      </w:r>
      <w:r w:rsidR="00F71BC1">
        <w:rPr>
          <w:rFonts w:ascii="Arial" w:hAnsi="Arial" w:cs="Arial"/>
          <w:noProof/>
        </w:rPr>
        <mc:AlternateContent>
          <mc:Choice Requires="wps">
            <w:drawing>
              <wp:anchor distT="0" distB="0" distL="114300" distR="114300" simplePos="0" relativeHeight="251688960" behindDoc="0" locked="0" layoutInCell="1" allowOverlap="1" wp14:anchorId="31D05755" wp14:editId="6B6D2E0F">
                <wp:simplePos x="0" y="0"/>
                <wp:positionH relativeFrom="column">
                  <wp:posOffset>3969327</wp:posOffset>
                </wp:positionH>
                <wp:positionV relativeFrom="paragraph">
                  <wp:posOffset>3642014</wp:posOffset>
                </wp:positionV>
                <wp:extent cx="1842078" cy="2841913"/>
                <wp:effectExtent l="57150" t="38100" r="82550" b="92075"/>
                <wp:wrapNone/>
                <wp:docPr id="2131740465" name="Rectangle 12"/>
                <wp:cNvGraphicFramePr/>
                <a:graphic xmlns:a="http://schemas.openxmlformats.org/drawingml/2006/main">
                  <a:graphicData uri="http://schemas.microsoft.com/office/word/2010/wordprocessingShape">
                    <wps:wsp>
                      <wps:cNvSpPr/>
                      <wps:spPr>
                        <a:xfrm>
                          <a:off x="0" y="0"/>
                          <a:ext cx="1842078" cy="2841913"/>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0A9358AD" w14:textId="77777777" w:rsidR="00F71BC1" w:rsidRPr="00F71BC1" w:rsidRDefault="00F71BC1" w:rsidP="00F71BC1">
                            <w:pPr>
                              <w:jc w:val="center"/>
                              <w:rPr>
                                <w:rFonts w:ascii="Franklin Gothic Demi" w:hAnsi="Franklin Gothic Demi"/>
                                <w:bCs/>
                                <w:color w:val="00B0F0"/>
                                <w:sz w:val="18"/>
                                <w:szCs w:val="18"/>
                              </w:rPr>
                            </w:pPr>
                            <w:r w:rsidRPr="00F71BC1">
                              <w:rPr>
                                <w:rFonts w:ascii="Franklin Gothic Demi" w:hAnsi="Franklin Gothic Demi"/>
                                <w:bCs/>
                                <w:color w:val="00B0F0"/>
                                <w:sz w:val="18"/>
                                <w:szCs w:val="18"/>
                              </w:rPr>
                              <w:t>Pharmacy has evolved from ancient herbal practice to a regulated, science-based profession central to modern healthcare. Pharmacists’ roles continue to expand toward patient care, but they must overcome challenges such as antimicrobial resistance and supply-chain vulnerabilities to deliver safe, effective medicines and services.</w:t>
                            </w:r>
                          </w:p>
                          <w:p w14:paraId="0DD424F0" w14:textId="77777777" w:rsidR="00F71BC1" w:rsidRDefault="00F71BC1" w:rsidP="00F71BC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D05755" id="Rectangle 12" o:spid="_x0000_s1032" style="position:absolute;margin-left:312.55pt;margin-top:286.75pt;width:145.05pt;height:223.7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" fillcolor="#a5d5e2 [1624]" strokecolor="#40a7c2 [3048]">
                <v:fill color2="#e4f2f6 [504]" rotate="t" angle="180" colors="0 #9eeaff;22938f #bbefff;1 #e4f9ff" focus="100%" type="gradient"/>
                <v:shadow on="t" color="black" opacity="24903f" origin=",.5" offset="0,.55556mm"/>
                <v:textbox>
                  <w:txbxContent>
                    <w:p w14:paraId="0A9358AD" w14:textId="77777777" w:rsidR="00F71BC1" w:rsidRPr="00F71BC1" w:rsidRDefault="00F71BC1" w:rsidP="00F71BC1">
                      <w:pPr>
                        <w:jc w:val="center"/>
                        <w:rPr>
                          <w:rFonts w:ascii="Franklin Gothic Demi" w:hAnsi="Franklin Gothic Demi"/>
                          <w:bCs/>
                          <w:color w:val="00B0F0"/>
                          <w:sz w:val="18"/>
                          <w:szCs w:val="18"/>
                        </w:rPr>
                      </w:pPr>
                      <w:r w:rsidRPr="00F71BC1">
                        <w:rPr>
                          <w:rFonts w:ascii="Franklin Gothic Demi" w:hAnsi="Franklin Gothic Demi"/>
                          <w:bCs/>
                          <w:color w:val="00B0F0"/>
                          <w:sz w:val="18"/>
                          <w:szCs w:val="18"/>
                        </w:rPr>
                        <w:t>Pharmacy has evolved from ancient herbal practice to a regulated, science-based profession central to modern healthcare. Pharmacists’ roles continue to expand toward patient care, but they must overcome challenges such as antimicrobial resistance and supply-chain vulnerabilities to deliver safe, effective medicines and services.</w:t>
                      </w:r>
                    </w:p>
                    <w:p w14:paraId="0DD424F0" w14:textId="77777777" w:rsidR="00F71BC1" w:rsidRDefault="00F71BC1" w:rsidP="00F71BC1">
                      <w:pPr>
                        <w:jc w:val="center"/>
                      </w:pPr>
                    </w:p>
                  </w:txbxContent>
                </v:textbox>
              </v:rect>
            </w:pict>
          </mc:Fallback>
        </mc:AlternateContent>
      </w:r>
    </w:p>
    <w:p w14:paraId="534473F1" w14:textId="42470EEC" w:rsidR="00CF3667" w:rsidRPr="007B25FB" w:rsidRDefault="00356AC3">
      <w:pPr>
        <w:rPr>
          <w:rFonts w:ascii="Arial" w:hAnsi="Arial" w:cs="Arial"/>
        </w:rPr>
      </w:pPr>
      <w:r w:rsidRPr="007B25FB">
        <w:rPr>
          <w:rFonts w:ascii="Arial" w:hAnsi="Arial" w:cs="Arial"/>
          <w:b/>
          <w:bCs/>
        </w:rPr>
        <w:lastRenderedPageBreak/>
        <w:t>Origins and Principles of the NHS</w:t>
      </w:r>
    </w:p>
    <w:p w14:paraId="2DF17A9C" w14:textId="77777777" w:rsidR="006257E3" w:rsidRDefault="000B3134">
      <w:pPr>
        <w:rPr>
          <w:rFonts w:ascii="Arial" w:hAnsi="Arial" w:cs="Arial"/>
        </w:rPr>
      </w:pPr>
      <w:r w:rsidRPr="007B25FB">
        <w:rPr>
          <w:rFonts w:ascii="Arial" w:hAnsi="Arial" w:cs="Arial"/>
        </w:rPr>
        <w:t xml:space="preserve">Britain’s National Health Service (NHS) </w:t>
      </w:r>
      <w:r w:rsidR="00315F75" w:rsidRPr="007B25FB">
        <w:rPr>
          <w:rFonts w:ascii="Arial" w:hAnsi="Arial" w:cs="Arial"/>
        </w:rPr>
        <w:t>started</w:t>
      </w:r>
      <w:r w:rsidRPr="007B25FB">
        <w:rPr>
          <w:rFonts w:ascii="Arial" w:hAnsi="Arial" w:cs="Arial"/>
        </w:rPr>
        <w:t xml:space="preserve"> on 5</w:t>
      </w:r>
      <w:r w:rsidR="00115B2D">
        <w:rPr>
          <w:rFonts w:ascii="Arial" w:hAnsi="Arial" w:cs="Arial"/>
        </w:rPr>
        <w:t>th</w:t>
      </w:r>
      <w:r w:rsidRPr="007B25FB">
        <w:rPr>
          <w:rFonts w:ascii="Arial" w:hAnsi="Arial" w:cs="Arial"/>
        </w:rPr>
        <w:t xml:space="preserve"> July 1948 as a radical response to the social and economic dislocation of the Second World War and the moral arguments set out in the Beveridge Report (1942). The service was driven by three interlocking principles: universality, equity and being free at the point of delivery. Aneurin Bevan and the post</w:t>
      </w:r>
      <w:r w:rsidRPr="007B25FB">
        <w:rPr>
          <w:rFonts w:ascii="Cambria Math" w:hAnsi="Cambria Math" w:cs="Cambria Math"/>
        </w:rPr>
        <w:t>‑</w:t>
      </w:r>
      <w:r w:rsidRPr="007B25FB">
        <w:rPr>
          <w:rFonts w:ascii="Arial" w:hAnsi="Arial" w:cs="Arial"/>
        </w:rPr>
        <w:t xml:space="preserve">war </w:t>
      </w:r>
      <w:r w:rsidR="00C67923" w:rsidRPr="007B25FB">
        <w:rPr>
          <w:rFonts w:ascii="Arial" w:hAnsi="Arial" w:cs="Arial"/>
        </w:rPr>
        <w:t>Labor</w:t>
      </w:r>
      <w:r w:rsidRPr="007B25FB">
        <w:rPr>
          <w:rFonts w:ascii="Arial" w:hAnsi="Arial" w:cs="Arial"/>
        </w:rPr>
        <w:t xml:space="preserve"> government argued that health care should be centrally funded and available to everyone according to need rather than ability to pay. These founding principles were intended to ‘</w:t>
      </w:r>
      <w:r w:rsidR="00C67923" w:rsidRPr="007B25FB">
        <w:rPr>
          <w:rFonts w:ascii="Arial" w:hAnsi="Arial" w:cs="Arial"/>
        </w:rPr>
        <w:t>universalize</w:t>
      </w:r>
      <w:r w:rsidRPr="007B25FB">
        <w:rPr>
          <w:rFonts w:ascii="Arial" w:hAnsi="Arial" w:cs="Arial"/>
        </w:rPr>
        <w:t xml:space="preserve"> the best’—to make high standards of care available to all citizens and to remove the stigma associated with means</w:t>
      </w:r>
      <w:r w:rsidRPr="007B25FB">
        <w:rPr>
          <w:rFonts w:ascii="Cambria Math" w:hAnsi="Cambria Math" w:cs="Cambria Math"/>
        </w:rPr>
        <w:t>‑</w:t>
      </w:r>
      <w:r w:rsidRPr="007B25FB">
        <w:rPr>
          <w:rFonts w:ascii="Arial" w:hAnsi="Arial" w:cs="Arial"/>
        </w:rPr>
        <w:t>tested provision (</w:t>
      </w:r>
      <w:proofErr w:type="spellStart"/>
      <w:r w:rsidRPr="007B25FB">
        <w:rPr>
          <w:rFonts w:ascii="Arial" w:hAnsi="Arial" w:cs="Arial"/>
        </w:rPr>
        <w:t>Delamothe</w:t>
      </w:r>
      <w:proofErr w:type="spellEnd"/>
      <w:r w:rsidRPr="007B25FB">
        <w:rPr>
          <w:rFonts w:ascii="Arial" w:hAnsi="Arial" w:cs="Arial"/>
        </w:rPr>
        <w:t xml:space="preserve"> 2008; Gorsky 2008).</w:t>
      </w:r>
      <w:r w:rsidR="006257E3">
        <w:rPr>
          <w:rFonts w:ascii="Arial" w:hAnsi="Arial" w:cs="Arial"/>
        </w:rPr>
        <w:t xml:space="preserve"> </w:t>
      </w:r>
    </w:p>
    <w:p w14:paraId="78CA38C4" w14:textId="1030747C" w:rsidR="00CF3667" w:rsidRPr="007B25FB" w:rsidRDefault="000B3134">
      <w:pPr>
        <w:rPr>
          <w:rFonts w:ascii="Arial" w:hAnsi="Arial" w:cs="Arial"/>
        </w:rPr>
      </w:pPr>
      <w:r w:rsidRPr="007B25FB">
        <w:rPr>
          <w:rFonts w:ascii="Arial" w:hAnsi="Arial" w:cs="Arial"/>
        </w:rPr>
        <w:t xml:space="preserve">Historical context matters. Wartime </w:t>
      </w:r>
      <w:r w:rsidR="00C67923" w:rsidRPr="007B25FB">
        <w:rPr>
          <w:rFonts w:ascii="Arial" w:hAnsi="Arial" w:cs="Arial"/>
        </w:rPr>
        <w:t>centralization</w:t>
      </w:r>
      <w:r w:rsidRPr="007B25FB">
        <w:rPr>
          <w:rFonts w:ascii="Arial" w:hAnsi="Arial" w:cs="Arial"/>
        </w:rPr>
        <w:t xml:space="preserve"> of hospital services under the Emergency Medical Service demonstrated that national </w:t>
      </w:r>
      <w:r w:rsidR="00C67923" w:rsidRPr="007B25FB">
        <w:rPr>
          <w:rFonts w:ascii="Arial" w:hAnsi="Arial" w:cs="Arial"/>
        </w:rPr>
        <w:t>organization</w:t>
      </w:r>
      <w:r w:rsidRPr="007B25FB">
        <w:rPr>
          <w:rFonts w:ascii="Arial" w:hAnsi="Arial" w:cs="Arial"/>
        </w:rPr>
        <w:t xml:space="preserve"> was possible, while public appetite for social reform after 1945 </w:t>
      </w:r>
      <w:r w:rsidR="00C67923" w:rsidRPr="007B25FB">
        <w:rPr>
          <w:rFonts w:ascii="Arial" w:hAnsi="Arial" w:cs="Arial"/>
        </w:rPr>
        <w:t>favored</w:t>
      </w:r>
      <w:r w:rsidRPr="007B25FB">
        <w:rPr>
          <w:rFonts w:ascii="Arial" w:hAnsi="Arial" w:cs="Arial"/>
        </w:rPr>
        <w:t xml:space="preserve"> comprehensive welfare provision. Debates during the drafting of the National Health Service Act (1946) revealed tensions between </w:t>
      </w:r>
      <w:r w:rsidR="00C67923" w:rsidRPr="007B25FB">
        <w:rPr>
          <w:rFonts w:ascii="Arial" w:hAnsi="Arial" w:cs="Arial"/>
        </w:rPr>
        <w:t>nationalization</w:t>
      </w:r>
      <w:r w:rsidRPr="007B25FB">
        <w:rPr>
          <w:rFonts w:ascii="Arial" w:hAnsi="Arial" w:cs="Arial"/>
        </w:rPr>
        <w:t xml:space="preserve"> and professional autonomy: Bevan negotiated with doctors and hospitals to secure </w:t>
      </w:r>
      <w:r w:rsidR="00B4358B" w:rsidRPr="007B25FB">
        <w:rPr>
          <w:rFonts w:ascii="Arial" w:hAnsi="Arial" w:cs="Arial"/>
        </w:rPr>
        <w:t>buy</w:t>
      </w:r>
      <w:r w:rsidR="00B4358B">
        <w:rPr>
          <w:rFonts w:ascii="Cambria Math" w:hAnsi="Cambria Math" w:cs="Cambria Math"/>
        </w:rPr>
        <w:t xml:space="preserve">ing </w:t>
      </w:r>
      <w:r w:rsidRPr="007B25FB">
        <w:rPr>
          <w:rFonts w:ascii="Arial" w:hAnsi="Arial" w:cs="Arial"/>
        </w:rPr>
        <w:t xml:space="preserve">while preserving the principle of free care for patients. The result was a national, regionally </w:t>
      </w:r>
      <w:r w:rsidR="00C67923" w:rsidRPr="007B25FB">
        <w:rPr>
          <w:rFonts w:ascii="Arial" w:hAnsi="Arial" w:cs="Arial"/>
        </w:rPr>
        <w:t>organized</w:t>
      </w:r>
      <w:r w:rsidRPr="007B25FB">
        <w:rPr>
          <w:rFonts w:ascii="Arial" w:hAnsi="Arial" w:cs="Arial"/>
        </w:rPr>
        <w:t xml:space="preserve"> service with local delivery but central funding and oversight (Delamothe 2008; Gorsky 2008).</w:t>
      </w:r>
    </w:p>
    <w:p w14:paraId="1F248F2E" w14:textId="77777777" w:rsidR="00356AC3" w:rsidRPr="007B25FB" w:rsidRDefault="000B3134">
      <w:pPr>
        <w:rPr>
          <w:rFonts w:ascii="Arial" w:hAnsi="Arial" w:cs="Arial"/>
        </w:rPr>
      </w:pPr>
      <w:r w:rsidRPr="007B25FB">
        <w:rPr>
          <w:rFonts w:ascii="Arial" w:hAnsi="Arial" w:cs="Arial"/>
        </w:rPr>
        <w:t>Current structure and functioning</w:t>
      </w:r>
    </w:p>
    <w:p w14:paraId="2B743CA7" w14:textId="0B01E501" w:rsidR="00CF3667" w:rsidRPr="007B25FB" w:rsidRDefault="000B3134">
      <w:pPr>
        <w:rPr>
          <w:rFonts w:ascii="Arial" w:hAnsi="Arial" w:cs="Arial"/>
        </w:rPr>
      </w:pPr>
      <w:r w:rsidRPr="007B25FB">
        <w:rPr>
          <w:rFonts w:ascii="Arial" w:hAnsi="Arial" w:cs="Arial"/>
        </w:rPr>
        <w:t xml:space="preserve">Today the NHS is not </w:t>
      </w:r>
      <w:proofErr w:type="spellStart"/>
      <w:proofErr w:type="gramStart"/>
      <w:r w:rsidRPr="007B25FB">
        <w:rPr>
          <w:rFonts w:ascii="Arial" w:hAnsi="Arial" w:cs="Arial"/>
        </w:rPr>
        <w:t>a</w:t>
      </w:r>
      <w:proofErr w:type="spellEnd"/>
      <w:proofErr w:type="gramEnd"/>
      <w:r w:rsidRPr="007B25FB">
        <w:rPr>
          <w:rFonts w:ascii="Arial" w:hAnsi="Arial" w:cs="Arial"/>
        </w:rPr>
        <w:t xml:space="preserve"> </w:t>
      </w:r>
      <w:r w:rsidR="00315F75" w:rsidRPr="007B25FB">
        <w:rPr>
          <w:rFonts w:ascii="Arial" w:hAnsi="Arial" w:cs="Arial"/>
        </w:rPr>
        <w:t>individual</w:t>
      </w:r>
      <w:r w:rsidRPr="007B25FB">
        <w:rPr>
          <w:rFonts w:ascii="Arial" w:hAnsi="Arial" w:cs="Arial"/>
        </w:rPr>
        <w:t xml:space="preserve"> </w:t>
      </w:r>
      <w:r w:rsidR="00C67923" w:rsidRPr="007B25FB">
        <w:rPr>
          <w:rFonts w:ascii="Arial" w:hAnsi="Arial" w:cs="Arial"/>
        </w:rPr>
        <w:t>organization</w:t>
      </w:r>
      <w:r w:rsidRPr="007B25FB">
        <w:rPr>
          <w:rFonts w:ascii="Arial" w:hAnsi="Arial" w:cs="Arial"/>
        </w:rPr>
        <w:t xml:space="preserve"> but a complex system of bodies operating at national, regional and local levels. In England the Department of Health and Social Care (DHSC) sets </w:t>
      </w:r>
      <w:r w:rsidR="00315F75" w:rsidRPr="007B25FB">
        <w:rPr>
          <w:rFonts w:ascii="Arial" w:hAnsi="Arial" w:cs="Arial"/>
        </w:rPr>
        <w:t>general</w:t>
      </w:r>
      <w:r w:rsidRPr="007B25FB">
        <w:rPr>
          <w:rFonts w:ascii="Arial" w:hAnsi="Arial" w:cs="Arial"/>
        </w:rPr>
        <w:t xml:space="preserve"> policy, while NHS England provides leadership, allocates budgets and commissions some </w:t>
      </w:r>
      <w:r w:rsidR="00C67923" w:rsidRPr="007B25FB">
        <w:rPr>
          <w:rFonts w:ascii="Arial" w:hAnsi="Arial" w:cs="Arial"/>
        </w:rPr>
        <w:t>specialized</w:t>
      </w:r>
      <w:r w:rsidRPr="007B25FB">
        <w:rPr>
          <w:rFonts w:ascii="Arial" w:hAnsi="Arial" w:cs="Arial"/>
        </w:rPr>
        <w:t xml:space="preserve"> services. Providers include NHS trusts and foundation trusts running hospitals, primary care practices, and an expanding set of integrated care systems that aim to </w:t>
      </w:r>
      <w:r w:rsidR="00B4358B" w:rsidRPr="007B25FB">
        <w:rPr>
          <w:rFonts w:ascii="Arial" w:hAnsi="Arial" w:cs="Arial"/>
        </w:rPr>
        <w:t>bring</w:t>
      </w:r>
      <w:r w:rsidRPr="007B25FB">
        <w:rPr>
          <w:rFonts w:ascii="Arial" w:hAnsi="Arial" w:cs="Arial"/>
        </w:rPr>
        <w:t xml:space="preserve"> up health and social care locally. The Care Quality Commission regulates </w:t>
      </w:r>
      <w:r w:rsidR="00B4358B" w:rsidRPr="007B25FB">
        <w:rPr>
          <w:rFonts w:ascii="Arial" w:hAnsi="Arial" w:cs="Arial"/>
        </w:rPr>
        <w:t>services,</w:t>
      </w:r>
      <w:r w:rsidRPr="007B25FB">
        <w:rPr>
          <w:rFonts w:ascii="Arial" w:hAnsi="Arial" w:cs="Arial"/>
        </w:rPr>
        <w:t xml:space="preserve"> and NICE provides guidance on clinical and cost</w:t>
      </w:r>
      <w:r w:rsidRPr="007B25FB">
        <w:rPr>
          <w:rFonts w:ascii="Cambria Math" w:hAnsi="Cambria Math" w:cs="Cambria Math"/>
        </w:rPr>
        <w:t>‑</w:t>
      </w:r>
      <w:r w:rsidRPr="007B25FB">
        <w:rPr>
          <w:rFonts w:ascii="Arial" w:hAnsi="Arial" w:cs="Arial"/>
        </w:rPr>
        <w:t>effective practice (UK Parliament Commons Library 2023).</w:t>
      </w:r>
    </w:p>
    <w:p w14:paraId="1DB7D2B7" w14:textId="7FA52953" w:rsidR="009B7613" w:rsidRPr="007B25FB" w:rsidRDefault="000B3134">
      <w:pPr>
        <w:rPr>
          <w:rFonts w:ascii="Arial" w:hAnsi="Arial" w:cs="Arial"/>
        </w:rPr>
      </w:pPr>
      <w:r w:rsidRPr="007B25FB">
        <w:rPr>
          <w:rFonts w:ascii="Arial" w:hAnsi="Arial" w:cs="Arial"/>
        </w:rPr>
        <w:t xml:space="preserve">Functionally, the NHS remains </w:t>
      </w:r>
      <w:r w:rsidR="00B4358B" w:rsidRPr="007B25FB">
        <w:rPr>
          <w:rFonts w:ascii="Arial" w:hAnsi="Arial" w:cs="Arial"/>
        </w:rPr>
        <w:t>funded</w:t>
      </w:r>
      <w:r w:rsidRPr="007B25FB">
        <w:rPr>
          <w:rFonts w:ascii="Arial" w:hAnsi="Arial" w:cs="Arial"/>
        </w:rPr>
        <w:t xml:space="preserve"> </w:t>
      </w:r>
      <w:r w:rsidR="00B4358B" w:rsidRPr="007B25FB">
        <w:rPr>
          <w:rFonts w:ascii="Arial" w:hAnsi="Arial" w:cs="Arial"/>
        </w:rPr>
        <w:t>by</w:t>
      </w:r>
      <w:r w:rsidRPr="007B25FB">
        <w:rPr>
          <w:rFonts w:ascii="Arial" w:hAnsi="Arial" w:cs="Arial"/>
        </w:rPr>
        <w:t xml:space="preserve"> being free at the point of use and aiming for equitable access. However, it faces long</w:t>
      </w:r>
      <w:r w:rsidRPr="007B25FB">
        <w:rPr>
          <w:rFonts w:ascii="Cambria Math" w:hAnsi="Cambria Math" w:cs="Cambria Math"/>
        </w:rPr>
        <w:t>‑</w:t>
      </w:r>
      <w:r w:rsidRPr="007B25FB">
        <w:rPr>
          <w:rFonts w:ascii="Arial" w:hAnsi="Arial" w:cs="Arial"/>
        </w:rPr>
        <w:t xml:space="preserve">standing and now </w:t>
      </w:r>
      <w:r w:rsidR="002E78E5" w:rsidRPr="007B25FB">
        <w:rPr>
          <w:rFonts w:ascii="Arial" w:hAnsi="Arial" w:cs="Arial"/>
        </w:rPr>
        <w:t>expanding</w:t>
      </w:r>
      <w:r w:rsidRPr="007B25FB">
        <w:rPr>
          <w:rFonts w:ascii="Arial" w:hAnsi="Arial" w:cs="Arial"/>
        </w:rPr>
        <w:t xml:space="preserve"> challenges: rising demand from </w:t>
      </w:r>
      <w:r w:rsidR="00115B2D" w:rsidRPr="007B25FB">
        <w:rPr>
          <w:rFonts w:ascii="Arial" w:hAnsi="Arial" w:cs="Arial"/>
        </w:rPr>
        <w:t>a</w:t>
      </w:r>
      <w:r w:rsidRPr="007B25FB">
        <w:rPr>
          <w:rFonts w:ascii="Arial" w:hAnsi="Arial" w:cs="Arial"/>
        </w:rPr>
        <w:t xml:space="preserve"> </w:t>
      </w:r>
      <w:r w:rsidR="002365B9" w:rsidRPr="007B25FB">
        <w:rPr>
          <w:rFonts w:ascii="Arial" w:hAnsi="Arial" w:cs="Arial"/>
        </w:rPr>
        <w:t>mature</w:t>
      </w:r>
      <w:r w:rsidRPr="007B25FB">
        <w:rPr>
          <w:rFonts w:ascii="Arial" w:hAnsi="Arial" w:cs="Arial"/>
        </w:rPr>
        <w:t xml:space="preserve"> population, </w:t>
      </w:r>
      <w:r w:rsidR="002365B9" w:rsidRPr="007B25FB">
        <w:rPr>
          <w:rFonts w:ascii="Arial" w:hAnsi="Arial" w:cs="Arial"/>
        </w:rPr>
        <w:t>staff</w:t>
      </w:r>
      <w:r w:rsidRPr="007B25FB">
        <w:rPr>
          <w:rFonts w:ascii="Arial" w:hAnsi="Arial" w:cs="Arial"/>
        </w:rPr>
        <w:t xml:space="preserve"> shortages, </w:t>
      </w:r>
      <w:r w:rsidR="002365B9" w:rsidRPr="007B25FB">
        <w:rPr>
          <w:rFonts w:ascii="Arial" w:hAnsi="Arial" w:cs="Arial"/>
        </w:rPr>
        <w:t>economic</w:t>
      </w:r>
      <w:r w:rsidRPr="007B25FB">
        <w:rPr>
          <w:rFonts w:ascii="Arial" w:hAnsi="Arial" w:cs="Arial"/>
        </w:rPr>
        <w:t xml:space="preserve"> pressures and longer waiting times for elective care. Reforms since the 1990s have repeatedly changed commissioning and provider arrangements, shifting the ‘means’ while generally retaining the original ‘ends’ of universality and equity. Integrated care systems and recent legislation (Health and Care Act 2022) reflect efforts to coordinate services and control costs but have also introduced new governance layers that complicate accountability (UK Parliament Commons Library 2023).</w:t>
      </w:r>
      <w:r w:rsidR="009B7613" w:rsidRPr="007B25FB">
        <w:rPr>
          <w:rFonts w:ascii="Arial" w:hAnsi="Arial" w:cs="Arial"/>
        </w:rPr>
        <w:br/>
      </w:r>
    </w:p>
    <w:p w14:paraId="16D9AF9F" w14:textId="7E2F63F6" w:rsidR="007B25FB" w:rsidRPr="007B25FB" w:rsidRDefault="00115B2D">
      <w:pPr>
        <w:rPr>
          <w:rFonts w:ascii="Arial" w:hAnsi="Arial" w:cs="Arial"/>
        </w:rPr>
      </w:pPr>
      <w:r>
        <w:rPr>
          <w:rFonts w:ascii="Arial" w:hAnsi="Arial" w:cs="Arial"/>
        </w:rPr>
        <w:br/>
      </w:r>
    </w:p>
    <w:p w14:paraId="48F13D11" w14:textId="43B1CB86" w:rsidR="00CF3667" w:rsidRPr="007B25FB" w:rsidRDefault="000B3134">
      <w:pPr>
        <w:rPr>
          <w:rFonts w:ascii="Arial" w:hAnsi="Arial" w:cs="Arial"/>
        </w:rPr>
      </w:pPr>
      <w:r w:rsidRPr="007B25FB">
        <w:rPr>
          <w:rFonts w:ascii="Arial" w:hAnsi="Arial" w:cs="Arial"/>
        </w:rPr>
        <w:lastRenderedPageBreak/>
        <w:t xml:space="preserve">Critical </w:t>
      </w:r>
      <w:r w:rsidR="002E78E5" w:rsidRPr="007B25FB">
        <w:rPr>
          <w:rFonts w:ascii="Arial" w:hAnsi="Arial" w:cs="Arial"/>
        </w:rPr>
        <w:t>evaluation</w:t>
      </w:r>
    </w:p>
    <w:p w14:paraId="0ABBCAFE" w14:textId="6CD1F910" w:rsidR="001D37AC" w:rsidRPr="007B25FB" w:rsidRDefault="000B3134">
      <w:pPr>
        <w:rPr>
          <w:rFonts w:ascii="Arial" w:hAnsi="Arial" w:cs="Arial"/>
        </w:rPr>
      </w:pPr>
      <w:r w:rsidRPr="007B25FB">
        <w:rPr>
          <w:rFonts w:ascii="Arial" w:hAnsi="Arial" w:cs="Arial"/>
        </w:rPr>
        <w:t xml:space="preserve">The NHS’s </w:t>
      </w:r>
      <w:r w:rsidR="002365B9" w:rsidRPr="007B25FB">
        <w:rPr>
          <w:rFonts w:ascii="Arial" w:hAnsi="Arial" w:cs="Arial"/>
        </w:rPr>
        <w:t>establishment</w:t>
      </w:r>
      <w:r w:rsidRPr="007B25FB">
        <w:rPr>
          <w:rFonts w:ascii="Arial" w:hAnsi="Arial" w:cs="Arial"/>
        </w:rPr>
        <w:t xml:space="preserve"> ideals continue to enjoy broad public support and have shaped health </w:t>
      </w:r>
      <w:r w:rsidR="00B4358B" w:rsidRPr="007B25FB">
        <w:rPr>
          <w:rFonts w:ascii="Arial" w:hAnsi="Arial" w:cs="Arial"/>
        </w:rPr>
        <w:t>policies</w:t>
      </w:r>
      <w:r w:rsidRPr="007B25FB">
        <w:rPr>
          <w:rFonts w:ascii="Arial" w:hAnsi="Arial" w:cs="Arial"/>
        </w:rPr>
        <w:t xml:space="preserve"> globally. Yet the gap between ideals and operational reality has widened: constrained funding and political cycles mean policymakers routinely trade off equity and responsiveness. Central funding secures universality but cannot remove difficult priority decisions about new, expensive treatments. </w:t>
      </w:r>
      <w:r w:rsidR="00C67923" w:rsidRPr="007B25FB">
        <w:rPr>
          <w:rFonts w:ascii="Arial" w:hAnsi="Arial" w:cs="Arial"/>
        </w:rPr>
        <w:t>Organizational</w:t>
      </w:r>
      <w:r w:rsidRPr="007B25FB">
        <w:rPr>
          <w:rFonts w:ascii="Arial" w:hAnsi="Arial" w:cs="Arial"/>
        </w:rPr>
        <w:t xml:space="preserve"> change has been </w:t>
      </w:r>
      <w:r w:rsidR="00B4358B" w:rsidRPr="007B25FB">
        <w:rPr>
          <w:rFonts w:ascii="Arial" w:hAnsi="Arial" w:cs="Arial"/>
        </w:rPr>
        <w:t>constant</w:t>
      </w:r>
      <w:r w:rsidRPr="007B25FB">
        <w:rPr>
          <w:rFonts w:ascii="Arial" w:hAnsi="Arial" w:cs="Arial"/>
        </w:rPr>
        <w:t xml:space="preserve">; while intended to improve efficiency and patient care, frequent </w:t>
      </w:r>
      <w:r w:rsidR="00B4358B" w:rsidRPr="007B25FB">
        <w:rPr>
          <w:rFonts w:ascii="Arial" w:hAnsi="Arial" w:cs="Arial"/>
        </w:rPr>
        <w:t>restructuring</w:t>
      </w:r>
      <w:r w:rsidRPr="007B25FB">
        <w:rPr>
          <w:rFonts w:ascii="Arial" w:hAnsi="Arial" w:cs="Arial"/>
        </w:rPr>
        <w:t xml:space="preserve"> </w:t>
      </w:r>
      <w:r w:rsidR="00B4358B" w:rsidRPr="007B25FB">
        <w:rPr>
          <w:rFonts w:ascii="Arial" w:hAnsi="Arial" w:cs="Arial"/>
        </w:rPr>
        <w:t>creates</w:t>
      </w:r>
      <w:r w:rsidRPr="007B25FB">
        <w:rPr>
          <w:rFonts w:ascii="Arial" w:hAnsi="Arial" w:cs="Arial"/>
        </w:rPr>
        <w:t xml:space="preserve"> instability and </w:t>
      </w:r>
      <w:r w:rsidR="00B4358B" w:rsidRPr="007B25FB">
        <w:rPr>
          <w:rFonts w:ascii="Arial" w:hAnsi="Arial" w:cs="Arial"/>
        </w:rPr>
        <w:t>distracts</w:t>
      </w:r>
      <w:r w:rsidRPr="007B25FB">
        <w:rPr>
          <w:rFonts w:ascii="Arial" w:hAnsi="Arial" w:cs="Arial"/>
        </w:rPr>
        <w:t xml:space="preserve"> service delivery. If the NH</w:t>
      </w:r>
      <w:r w:rsidR="00C67923" w:rsidRPr="007B25FB">
        <w:rPr>
          <w:rFonts w:ascii="Arial" w:hAnsi="Arial" w:cs="Arial"/>
        </w:rPr>
        <w:t xml:space="preserve">S </w:t>
      </w:r>
      <w:r w:rsidRPr="007B25FB">
        <w:rPr>
          <w:rFonts w:ascii="Arial" w:hAnsi="Arial" w:cs="Arial"/>
        </w:rPr>
        <w:t xml:space="preserve">is to preserve its founding principles, policymakers must </w:t>
      </w:r>
      <w:r w:rsidR="00C67923" w:rsidRPr="007B25FB">
        <w:rPr>
          <w:rFonts w:ascii="Arial" w:hAnsi="Arial" w:cs="Arial"/>
        </w:rPr>
        <w:t>priorities</w:t>
      </w:r>
      <w:r w:rsidRPr="007B25FB">
        <w:rPr>
          <w:rFonts w:ascii="Arial" w:hAnsi="Arial" w:cs="Arial"/>
        </w:rPr>
        <w:t xml:space="preserve"> sustainable funding, workforce planning and clearer accountability within the increasingly complex institutional landscape</w:t>
      </w:r>
      <w:r w:rsidR="001D37AC" w:rsidRPr="007B25FB">
        <w:rPr>
          <w:rFonts w:ascii="Arial" w:hAnsi="Arial" w:cs="Arial"/>
        </w:rPr>
        <w:t>.</w:t>
      </w:r>
    </w:p>
    <w:p w14:paraId="4E875841" w14:textId="77777777" w:rsidR="001D37AC" w:rsidRPr="007B25FB" w:rsidRDefault="001D37AC">
      <w:pPr>
        <w:rPr>
          <w:rFonts w:ascii="Arial" w:hAnsi="Arial" w:cs="Arial"/>
        </w:rPr>
      </w:pPr>
    </w:p>
    <w:p w14:paraId="0C3221B3" w14:textId="77777777" w:rsidR="001D37AC" w:rsidRPr="007B25FB" w:rsidRDefault="001D37AC">
      <w:pPr>
        <w:rPr>
          <w:rFonts w:ascii="Arial" w:hAnsi="Arial" w:cs="Arial"/>
        </w:rPr>
      </w:pPr>
    </w:p>
    <w:p w14:paraId="0C019310" w14:textId="77777777" w:rsidR="001D37AC" w:rsidRPr="007B25FB" w:rsidRDefault="001D37AC">
      <w:pPr>
        <w:rPr>
          <w:rFonts w:ascii="Arial" w:hAnsi="Arial" w:cs="Arial"/>
        </w:rPr>
      </w:pPr>
    </w:p>
    <w:p w14:paraId="72B6D569" w14:textId="77777777" w:rsidR="001D37AC" w:rsidRPr="009B7613" w:rsidRDefault="001D37AC">
      <w:pPr>
        <w:rPr>
          <w:rFonts w:ascii="Arial" w:hAnsi="Arial" w:cs="Arial"/>
        </w:rPr>
      </w:pPr>
    </w:p>
    <w:p w14:paraId="30C4EB22" w14:textId="77777777" w:rsidR="001D37AC" w:rsidRPr="009B7613" w:rsidRDefault="001D37AC">
      <w:pPr>
        <w:rPr>
          <w:rFonts w:ascii="Arial" w:hAnsi="Arial" w:cs="Arial"/>
        </w:rPr>
      </w:pPr>
    </w:p>
    <w:p w14:paraId="1734096E" w14:textId="77777777" w:rsidR="001D37AC" w:rsidRPr="009B7613" w:rsidRDefault="001D37AC">
      <w:pPr>
        <w:rPr>
          <w:rFonts w:ascii="Arial" w:hAnsi="Arial" w:cs="Arial"/>
        </w:rPr>
      </w:pPr>
    </w:p>
    <w:p w14:paraId="1AC7903E" w14:textId="77777777" w:rsidR="007B25FB" w:rsidRDefault="007B25FB">
      <w:pPr>
        <w:rPr>
          <w:rFonts w:ascii="Arial" w:hAnsi="Arial" w:cs="Arial"/>
        </w:rPr>
      </w:pPr>
    </w:p>
    <w:p w14:paraId="0193099E" w14:textId="77777777" w:rsidR="007B25FB" w:rsidRDefault="007B25FB">
      <w:pPr>
        <w:rPr>
          <w:rFonts w:ascii="Arial" w:hAnsi="Arial" w:cs="Arial"/>
        </w:rPr>
      </w:pPr>
    </w:p>
    <w:p w14:paraId="5C71EE6E" w14:textId="77777777" w:rsidR="007B25FB" w:rsidRDefault="007B25FB">
      <w:pPr>
        <w:rPr>
          <w:rFonts w:ascii="Arial" w:hAnsi="Arial" w:cs="Arial"/>
        </w:rPr>
      </w:pPr>
    </w:p>
    <w:p w14:paraId="14C4B4CC" w14:textId="77777777" w:rsidR="007B25FB" w:rsidRDefault="007B25FB">
      <w:pPr>
        <w:rPr>
          <w:rFonts w:ascii="Arial" w:hAnsi="Arial" w:cs="Arial"/>
        </w:rPr>
      </w:pPr>
    </w:p>
    <w:p w14:paraId="3A91041A" w14:textId="77777777" w:rsidR="007B25FB" w:rsidRDefault="007B25FB">
      <w:pPr>
        <w:rPr>
          <w:rFonts w:ascii="Arial" w:hAnsi="Arial" w:cs="Arial"/>
        </w:rPr>
      </w:pPr>
    </w:p>
    <w:p w14:paraId="75236002" w14:textId="77777777" w:rsidR="007B25FB" w:rsidRDefault="007B25FB">
      <w:pPr>
        <w:rPr>
          <w:rFonts w:ascii="Arial" w:hAnsi="Arial" w:cs="Arial"/>
        </w:rPr>
      </w:pPr>
    </w:p>
    <w:p w14:paraId="1B47826D" w14:textId="77777777" w:rsidR="007B25FB" w:rsidRDefault="007B25FB">
      <w:pPr>
        <w:rPr>
          <w:rFonts w:ascii="Arial" w:hAnsi="Arial" w:cs="Arial"/>
        </w:rPr>
      </w:pPr>
    </w:p>
    <w:p w14:paraId="78BA99F1" w14:textId="77777777" w:rsidR="007B25FB" w:rsidRDefault="007B25FB">
      <w:pPr>
        <w:rPr>
          <w:rFonts w:ascii="Arial" w:hAnsi="Arial" w:cs="Arial"/>
        </w:rPr>
      </w:pPr>
    </w:p>
    <w:p w14:paraId="78C3DEEE" w14:textId="77777777" w:rsidR="007B25FB" w:rsidRDefault="007B25FB">
      <w:pPr>
        <w:rPr>
          <w:rFonts w:ascii="Arial" w:hAnsi="Arial" w:cs="Arial"/>
        </w:rPr>
      </w:pPr>
    </w:p>
    <w:p w14:paraId="44FE6D39" w14:textId="77777777" w:rsidR="007B25FB" w:rsidRDefault="007B25FB">
      <w:pPr>
        <w:rPr>
          <w:rFonts w:ascii="Arial" w:hAnsi="Arial" w:cs="Arial"/>
        </w:rPr>
      </w:pPr>
    </w:p>
    <w:p w14:paraId="76713935" w14:textId="77777777" w:rsidR="007B25FB" w:rsidRDefault="007B25FB">
      <w:pPr>
        <w:rPr>
          <w:rFonts w:ascii="Arial" w:hAnsi="Arial" w:cs="Arial"/>
        </w:rPr>
      </w:pPr>
    </w:p>
    <w:p w14:paraId="27670BB0" w14:textId="77777777" w:rsidR="007B25FB" w:rsidRDefault="007B25FB">
      <w:pPr>
        <w:rPr>
          <w:rFonts w:ascii="Arial" w:hAnsi="Arial" w:cs="Arial"/>
        </w:rPr>
      </w:pPr>
    </w:p>
    <w:p w14:paraId="00A25618" w14:textId="77777777" w:rsidR="007B25FB" w:rsidRDefault="007B25FB">
      <w:pPr>
        <w:rPr>
          <w:rFonts w:ascii="Arial" w:hAnsi="Arial" w:cs="Arial"/>
        </w:rPr>
      </w:pPr>
    </w:p>
    <w:p w14:paraId="18BEAABC" w14:textId="40003BED" w:rsidR="00CF3667" w:rsidRPr="009B7613" w:rsidRDefault="000B3134">
      <w:pPr>
        <w:rPr>
          <w:rFonts w:ascii="Arial" w:hAnsi="Arial" w:cs="Arial"/>
        </w:rPr>
      </w:pPr>
      <w:r w:rsidRPr="009B7613">
        <w:rPr>
          <w:rFonts w:ascii="Arial" w:hAnsi="Arial" w:cs="Arial"/>
        </w:rPr>
        <w:lastRenderedPageBreak/>
        <w:t>References:</w:t>
      </w:r>
    </w:p>
    <w:p w14:paraId="29AC2277" w14:textId="77777777" w:rsidR="009B7613" w:rsidRPr="009B7613" w:rsidRDefault="009B7613" w:rsidP="009B7613">
      <w:pPr>
        <w:rPr>
          <w:rFonts w:ascii="Arial" w:hAnsi="Arial" w:cs="Arial"/>
        </w:rPr>
      </w:pPr>
      <w:r w:rsidRPr="009B7613">
        <w:rPr>
          <w:rFonts w:ascii="Arial" w:hAnsi="Arial" w:cs="Arial"/>
        </w:rPr>
        <w:t xml:space="preserve">Darj, E., 2020. Pharmacists' perception of their challenges at work. </w:t>
      </w:r>
    </w:p>
    <w:p w14:paraId="19A6335A" w14:textId="5C63E4FC" w:rsidR="009B7613" w:rsidRDefault="009B7613" w:rsidP="009B7613">
      <w:pPr>
        <w:rPr>
          <w:rFonts w:ascii="Arial" w:hAnsi="Arial" w:cs="Arial"/>
        </w:rPr>
      </w:pPr>
      <w:r w:rsidRPr="009B7613">
        <w:rPr>
          <w:rFonts w:ascii="Arial" w:hAnsi="Arial" w:cs="Arial"/>
        </w:rPr>
        <w:t>Delamothe, T., 2008. Founding principles. BMJ, 336(7655), pp.1216–1218. Available at: https://pmc.ncbi.nlm.nih.gov/articles [Accessed 16 Oct 2025].</w:t>
      </w:r>
      <w:r>
        <w:rPr>
          <w:rFonts w:ascii="Arial" w:hAnsi="Arial" w:cs="Arial"/>
        </w:rPr>
        <w:br/>
      </w:r>
    </w:p>
    <w:p w14:paraId="3D0F4B4F" w14:textId="77777777" w:rsidR="009B7613" w:rsidRDefault="009B7613" w:rsidP="009B7613">
      <w:pPr>
        <w:rPr>
          <w:rFonts w:ascii="Arial" w:hAnsi="Arial" w:cs="Arial"/>
        </w:rPr>
      </w:pPr>
      <w:r w:rsidRPr="009B7613">
        <w:rPr>
          <w:rFonts w:ascii="Arial" w:hAnsi="Arial" w:cs="Arial"/>
        </w:rPr>
        <w:t>Gorsky, M., 2008. The British National Health Service 1948–2008: a review of the historiography. Social History of Medicine, 21(3), pp.437–460. doi:10.1093 [Accessed 16 Oct 2025].</w:t>
      </w:r>
      <w:r>
        <w:rPr>
          <w:rFonts w:ascii="Arial" w:hAnsi="Arial" w:cs="Arial"/>
        </w:rPr>
        <w:br/>
      </w:r>
    </w:p>
    <w:p w14:paraId="4D389734" w14:textId="77777777" w:rsidR="009B7613" w:rsidRDefault="009B7613" w:rsidP="009B7613">
      <w:pPr>
        <w:rPr>
          <w:rFonts w:ascii="Arial" w:hAnsi="Arial" w:cs="Arial"/>
        </w:rPr>
      </w:pPr>
      <w:r w:rsidRPr="009B7613">
        <w:rPr>
          <w:rFonts w:ascii="Arial" w:hAnsi="Arial" w:cs="Arial"/>
        </w:rPr>
        <w:t>Kamere, N., 2023. Supply-chain factors and antimicrobial stewardship.</w:t>
      </w:r>
      <w:r>
        <w:rPr>
          <w:rFonts w:ascii="Arial" w:hAnsi="Arial" w:cs="Arial"/>
        </w:rPr>
        <w:br/>
      </w:r>
    </w:p>
    <w:p w14:paraId="11D91268" w14:textId="77777777" w:rsidR="009B7613" w:rsidRDefault="009B7613" w:rsidP="009B7613">
      <w:pPr>
        <w:rPr>
          <w:rFonts w:ascii="Arial" w:hAnsi="Arial" w:cs="Arial"/>
        </w:rPr>
      </w:pPr>
      <w:r w:rsidRPr="009B7613">
        <w:rPr>
          <w:rFonts w:ascii="Arial" w:hAnsi="Arial" w:cs="Arial"/>
        </w:rPr>
        <w:t>Mohiuddin, A.K., 2020. The Excellence of Pharmacy Practice. Innovations in Pharmacy, 11(1).</w:t>
      </w:r>
      <w:r>
        <w:rPr>
          <w:rFonts w:ascii="Arial" w:hAnsi="Arial" w:cs="Arial"/>
        </w:rPr>
        <w:br/>
      </w:r>
    </w:p>
    <w:p w14:paraId="59822CF1" w14:textId="77777777" w:rsidR="009B7613" w:rsidRDefault="009B7613" w:rsidP="009B7613">
      <w:pPr>
        <w:rPr>
          <w:rFonts w:ascii="Arial" w:hAnsi="Arial" w:cs="Arial"/>
        </w:rPr>
      </w:pPr>
      <w:r w:rsidRPr="009B7613">
        <w:rPr>
          <w:rFonts w:ascii="Arial" w:hAnsi="Arial" w:cs="Arial"/>
        </w:rPr>
        <w:t xml:space="preserve">Pantasri, T., 2021. Expanded roles of community pharmacists in COVID-19. </w:t>
      </w:r>
    </w:p>
    <w:p w14:paraId="20157940" w14:textId="77777777" w:rsidR="0052797C" w:rsidRDefault="009B7613" w:rsidP="009B7613">
      <w:pPr>
        <w:rPr>
          <w:rFonts w:ascii="Arial" w:hAnsi="Arial" w:cs="Arial"/>
        </w:rPr>
      </w:pPr>
      <w:r w:rsidRPr="009B7613">
        <w:rPr>
          <w:rFonts w:ascii="Arial" w:hAnsi="Arial" w:cs="Arial"/>
        </w:rPr>
        <w:t xml:space="preserve">Sonnedecker, G., Kremers &amp; Urdang's History of Pharmacy </w:t>
      </w:r>
      <w:bookmarkStart w:id="4" w:name="_Hlk211511162"/>
      <w:r>
        <w:rPr>
          <w:rFonts w:ascii="Arial" w:hAnsi="Arial" w:cs="Arial"/>
        </w:rPr>
        <w:br/>
      </w:r>
    </w:p>
    <w:p w14:paraId="4FCF0391" w14:textId="77777777" w:rsidR="008D1079" w:rsidRDefault="009B7613" w:rsidP="009B7613">
      <w:pPr>
        <w:rPr>
          <w:rFonts w:ascii="Arial" w:hAnsi="Arial" w:cs="Arial"/>
        </w:rPr>
      </w:pPr>
      <w:r w:rsidRPr="009B7613">
        <w:rPr>
          <w:rFonts w:ascii="Arial" w:hAnsi="Arial" w:cs="Arial"/>
        </w:rPr>
        <w:t xml:space="preserve">UK Parliament Commons Library, 2023. The structure of the NHS in England. Research Briefing No. 7206, 10 July 2023, pp.1–83. </w:t>
      </w:r>
      <w:bookmarkEnd w:id="4"/>
      <w:r w:rsidRPr="009B7613">
        <w:rPr>
          <w:rFonts w:ascii="Arial" w:hAnsi="Arial" w:cs="Arial"/>
        </w:rPr>
        <w:t>[Accessed 16 Oct 2025].</w:t>
      </w:r>
      <w:r w:rsidRPr="009B7613">
        <w:rPr>
          <w:rFonts w:ascii="Arial" w:hAnsi="Arial" w:cs="Arial"/>
        </w:rPr>
        <w:br/>
      </w:r>
    </w:p>
    <w:p w14:paraId="5AAE00CF" w14:textId="0DD21728" w:rsidR="009B7613" w:rsidRPr="009B7613" w:rsidRDefault="009B7613" w:rsidP="009B7613">
      <w:pPr>
        <w:rPr>
          <w:rFonts w:ascii="Arial" w:hAnsi="Arial" w:cs="Arial"/>
        </w:rPr>
      </w:pPr>
      <w:r w:rsidRPr="009B7613">
        <w:rPr>
          <w:rFonts w:ascii="Arial" w:hAnsi="Arial" w:cs="Arial"/>
        </w:rPr>
        <w:t>Toklu, H.Z. and Hussain, A., 2013. The changing face of pharmacy practice and the need for a new model of pharmacy education. Journal of Young Pharmacists, 5(2), pp.38-40.</w:t>
      </w:r>
    </w:p>
    <w:p w14:paraId="34C32CA1" w14:textId="15BA02A2" w:rsidR="00CF3667" w:rsidRDefault="000B3134">
      <w:r>
        <w:br/>
      </w:r>
    </w:p>
    <w:sectPr w:rsidR="00CF3667" w:rsidSect="00F9403F">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Franklin Gothic Demi">
    <w:panose1 w:val="020B07030201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56313524">
    <w:abstractNumId w:val="8"/>
  </w:num>
  <w:num w:numId="2" w16cid:durableId="1867864192">
    <w:abstractNumId w:val="6"/>
  </w:num>
  <w:num w:numId="3" w16cid:durableId="1428765838">
    <w:abstractNumId w:val="5"/>
  </w:num>
  <w:num w:numId="4" w16cid:durableId="642732833">
    <w:abstractNumId w:val="4"/>
  </w:num>
  <w:num w:numId="5" w16cid:durableId="341590997">
    <w:abstractNumId w:val="7"/>
  </w:num>
  <w:num w:numId="6" w16cid:durableId="727918301">
    <w:abstractNumId w:val="3"/>
  </w:num>
  <w:num w:numId="7" w16cid:durableId="360206317">
    <w:abstractNumId w:val="2"/>
  </w:num>
  <w:num w:numId="8" w16cid:durableId="102266523">
    <w:abstractNumId w:val="1"/>
  </w:num>
  <w:num w:numId="9" w16cid:durableId="9710550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1C36"/>
    <w:rsid w:val="00034616"/>
    <w:rsid w:val="0006063C"/>
    <w:rsid w:val="000B3134"/>
    <w:rsid w:val="000D04B8"/>
    <w:rsid w:val="00104D65"/>
    <w:rsid w:val="00115B2D"/>
    <w:rsid w:val="0015074B"/>
    <w:rsid w:val="0017118C"/>
    <w:rsid w:val="001A1EDC"/>
    <w:rsid w:val="001D37AC"/>
    <w:rsid w:val="001F60B6"/>
    <w:rsid w:val="002365B9"/>
    <w:rsid w:val="0029639D"/>
    <w:rsid w:val="002E78E5"/>
    <w:rsid w:val="002F20EA"/>
    <w:rsid w:val="00304A5A"/>
    <w:rsid w:val="00315F75"/>
    <w:rsid w:val="00326F90"/>
    <w:rsid w:val="00356AC3"/>
    <w:rsid w:val="003D02C5"/>
    <w:rsid w:val="003F6214"/>
    <w:rsid w:val="00405FC3"/>
    <w:rsid w:val="00407420"/>
    <w:rsid w:val="004240C9"/>
    <w:rsid w:val="00441587"/>
    <w:rsid w:val="00456532"/>
    <w:rsid w:val="004974ED"/>
    <w:rsid w:val="004A0E8C"/>
    <w:rsid w:val="0052797C"/>
    <w:rsid w:val="00545FEC"/>
    <w:rsid w:val="00602008"/>
    <w:rsid w:val="00610A36"/>
    <w:rsid w:val="006257E3"/>
    <w:rsid w:val="0063682C"/>
    <w:rsid w:val="00643B2A"/>
    <w:rsid w:val="00663FE1"/>
    <w:rsid w:val="006C2ED0"/>
    <w:rsid w:val="00784C8C"/>
    <w:rsid w:val="007B25FB"/>
    <w:rsid w:val="007B681C"/>
    <w:rsid w:val="00831B40"/>
    <w:rsid w:val="0087402F"/>
    <w:rsid w:val="008D1079"/>
    <w:rsid w:val="008F2247"/>
    <w:rsid w:val="008F72CB"/>
    <w:rsid w:val="00903294"/>
    <w:rsid w:val="0090686C"/>
    <w:rsid w:val="00942CB2"/>
    <w:rsid w:val="00981E6B"/>
    <w:rsid w:val="00996791"/>
    <w:rsid w:val="009B7613"/>
    <w:rsid w:val="009E291A"/>
    <w:rsid w:val="00A05D4E"/>
    <w:rsid w:val="00A235F5"/>
    <w:rsid w:val="00A70B73"/>
    <w:rsid w:val="00AA1D8D"/>
    <w:rsid w:val="00AC4ECE"/>
    <w:rsid w:val="00AD20F2"/>
    <w:rsid w:val="00B4358B"/>
    <w:rsid w:val="00B47730"/>
    <w:rsid w:val="00BC581B"/>
    <w:rsid w:val="00BF5095"/>
    <w:rsid w:val="00C0580A"/>
    <w:rsid w:val="00C21AB2"/>
    <w:rsid w:val="00C67923"/>
    <w:rsid w:val="00C85ECD"/>
    <w:rsid w:val="00CB0664"/>
    <w:rsid w:val="00CC2024"/>
    <w:rsid w:val="00CE1481"/>
    <w:rsid w:val="00CF3667"/>
    <w:rsid w:val="00D249F8"/>
    <w:rsid w:val="00DB25B7"/>
    <w:rsid w:val="00DC79C8"/>
    <w:rsid w:val="00EA4441"/>
    <w:rsid w:val="00F71BC1"/>
    <w:rsid w:val="00F9403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34B6B43"/>
  <w14:defaultImageDpi w14:val="300"/>
  <w15:docId w15:val="{BD2F2E5A-2933-4ABF-8974-14C99861B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F9403F"/>
    <w:rPr>
      <w:color w:val="0000FF" w:themeColor="hyperlink"/>
      <w:u w:val="single"/>
    </w:rPr>
  </w:style>
  <w:style w:type="character" w:styleId="UnresolvedMention">
    <w:name w:val="Unresolved Mention"/>
    <w:basedOn w:val="DefaultParagraphFont"/>
    <w:uiPriority w:val="99"/>
    <w:semiHidden/>
    <w:unhideWhenUsed/>
    <w:rsid w:val="00F940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jpg"/><Relationship Id="rId18" Type="http://schemas.openxmlformats.org/officeDocument/2006/relationships/image" Target="media/image7.sv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3.sv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hyperlink" Target="https://www.picpedia.org/medical/p/pharmacy.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image" Target="media/image5.jpg"/><Relationship Id="rId10" Type="http://schemas.openxmlformats.org/officeDocument/2006/relationships/hyperlink" Target="https://weeblytutorials.com/web-analytic-tools/" TargetMode="External"/><Relationship Id="rId19" Type="http://schemas.openxmlformats.org/officeDocument/2006/relationships/hyperlink" Target="https://svgsilh.com/image/951505.html" TargetMode="External"/><Relationship Id="rId4" Type="http://schemas.openxmlformats.org/officeDocument/2006/relationships/customXml" Target="../customXml/item4.xml"/><Relationship Id="rId9" Type="http://schemas.openxmlformats.org/officeDocument/2006/relationships/image" Target="media/image1.jpg"/><Relationship Id="rId14" Type="http://schemas.openxmlformats.org/officeDocument/2006/relationships/hyperlink" Target="https://www.needpix.com/photo/1026881/pharmacy-drug-cure-medicine-pharma-medicinal-products-healthcare-pharmaceutical-industry-pharmaceutic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0d30c476a6fb5a4a5d2d84c926e405e5">
  <xsd:schema xmlns:xsd="http://www.w3.org/2001/XMLSchema" xmlns:xs="http://www.w3.org/2001/XMLSchema" xmlns:p="http://schemas.microsoft.com/office/2006/metadata/properties" xmlns:ns3="f799553d-1ac0-48da-9ae3-fe400ced9c3b" targetNamespace="http://schemas.microsoft.com/office/2006/metadata/properties" ma:root="true" ma:fieldsID="f989f62286d79674dc0eb47b133c0e41"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3A3820FB-E7EC-45DC-AEEF-8336DA6EE1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C9CE13F-8A51-4E5D-9895-AA50C71F297F}">
  <ds:schemaRefs>
    <ds:schemaRef ds:uri="http://schemas.microsoft.com/sharepoint/v3/contenttype/forms"/>
  </ds:schemaRefs>
</ds:datastoreItem>
</file>

<file path=customXml/itemProps3.xml><?xml version="1.0" encoding="utf-8"?>
<ds:datastoreItem xmlns:ds="http://schemas.openxmlformats.org/officeDocument/2006/customXml" ds:itemID="{461A7DD5-7B5C-4E2E-B29F-BB309189A54F}">
  <ds:schemaRefs>
    <ds:schemaRef ds:uri="http://schemas.openxmlformats.org/officeDocument/2006/bibliography"/>
  </ds:schemaRefs>
</ds:datastoreItem>
</file>

<file path=customXml/itemProps4.xml><?xml version="1.0" encoding="utf-8"?>
<ds:datastoreItem xmlns:ds="http://schemas.openxmlformats.org/officeDocument/2006/customXml" ds:itemID="{57907420-5D6C-4939-84D9-7A193F342E8C}">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5</Pages>
  <Words>679</Words>
  <Characters>4142</Characters>
  <Application>Microsoft Office Word</Application>
  <DocSecurity>0</DocSecurity>
  <Lines>142</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4798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Rajwinder Kaur (2432689)</cp:lastModifiedBy>
  <cp:revision>7</cp:revision>
  <dcterms:created xsi:type="dcterms:W3CDTF">2025-10-17T13:38:00Z</dcterms:created>
  <dcterms:modified xsi:type="dcterms:W3CDTF">2025-10-17T21:38:00Z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