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4CDABF" w14:textId="6E5F9E6F" w:rsidR="000B264A" w:rsidRDefault="000B264A" w:rsidP="00395C8D">
      <w:pPr>
        <w:pStyle w:val="NormalWeb"/>
        <w:shd w:val="clear" w:color="auto" w:fill="FFFFFF"/>
        <w:spacing w:before="0" w:beforeAutospacing="0"/>
        <w:rPr>
          <w:rFonts w:asciiTheme="minorHAnsi" w:hAnsiTheme="minorHAnsi" w:cs="Segoe UI"/>
          <w:color w:val="1D2125"/>
          <w:sz w:val="22"/>
          <w:szCs w:val="22"/>
        </w:rPr>
      </w:pPr>
      <w:r>
        <w:rPr>
          <w:rFonts w:asciiTheme="minorHAnsi" w:hAnsiTheme="minorHAnsi" w:cs="Segoe UI"/>
          <w:color w:val="1D2125"/>
          <w:sz w:val="22"/>
          <w:szCs w:val="22"/>
        </w:rPr>
        <w:t>Neve Pule 2219959</w:t>
      </w:r>
      <w:r>
        <w:rPr>
          <w:rFonts w:asciiTheme="minorHAnsi" w:hAnsiTheme="minorHAnsi" w:cs="Segoe UI"/>
          <w:color w:val="1D2125"/>
          <w:sz w:val="22"/>
          <w:szCs w:val="22"/>
        </w:rPr>
        <w:br/>
        <w:t>Word Count: 1475</w:t>
      </w:r>
      <w:r>
        <w:rPr>
          <w:rFonts w:asciiTheme="minorHAnsi" w:hAnsiTheme="minorHAnsi" w:cs="Segoe UI"/>
          <w:color w:val="1D2125"/>
          <w:sz w:val="22"/>
          <w:szCs w:val="22"/>
        </w:rPr>
        <w:br/>
      </w:r>
      <w:r w:rsidR="003644F7">
        <w:rPr>
          <w:rFonts w:asciiTheme="minorHAnsi" w:hAnsiTheme="minorHAnsi" w:cs="Segoe UI"/>
          <w:color w:val="1D2125"/>
          <w:sz w:val="22"/>
          <w:szCs w:val="22"/>
        </w:rPr>
        <w:t>Date submitted:</w:t>
      </w:r>
      <w:r w:rsidR="00E17482">
        <w:rPr>
          <w:rFonts w:asciiTheme="minorHAnsi" w:hAnsiTheme="minorHAnsi" w:cs="Segoe UI"/>
          <w:color w:val="1D2125"/>
          <w:sz w:val="22"/>
          <w:szCs w:val="22"/>
        </w:rPr>
        <w:t xml:space="preserve"> </w:t>
      </w:r>
      <w:r w:rsidR="003E472D">
        <w:rPr>
          <w:rFonts w:asciiTheme="minorHAnsi" w:hAnsiTheme="minorHAnsi" w:cs="Segoe UI"/>
          <w:color w:val="1D2125"/>
          <w:sz w:val="22"/>
          <w:szCs w:val="22"/>
        </w:rPr>
        <w:t>28/03/2024.</w:t>
      </w:r>
      <w:r w:rsidR="003644F7">
        <w:rPr>
          <w:rFonts w:asciiTheme="minorHAnsi" w:hAnsiTheme="minorHAnsi" w:cs="Segoe UI"/>
          <w:color w:val="1D2125"/>
          <w:sz w:val="22"/>
          <w:szCs w:val="22"/>
        </w:rPr>
        <w:t xml:space="preserve"> </w:t>
      </w:r>
    </w:p>
    <w:p w14:paraId="68A1417C" w14:textId="74858389" w:rsidR="00395C8D" w:rsidRDefault="00395C8D" w:rsidP="00395C8D">
      <w:pPr>
        <w:pStyle w:val="NormalWeb"/>
        <w:shd w:val="clear" w:color="auto" w:fill="FFFFFF"/>
        <w:spacing w:before="0" w:beforeAutospacing="0"/>
        <w:rPr>
          <w:rFonts w:asciiTheme="minorHAnsi" w:hAnsiTheme="minorHAnsi" w:cs="Segoe UI"/>
          <w:color w:val="1D2125"/>
          <w:sz w:val="22"/>
          <w:szCs w:val="22"/>
        </w:rPr>
      </w:pPr>
      <w:r w:rsidRPr="00647BF3">
        <w:rPr>
          <w:rFonts w:asciiTheme="minorHAnsi" w:hAnsiTheme="minorHAnsi" w:cs="Segoe UI"/>
          <w:color w:val="1D2125"/>
          <w:sz w:val="22"/>
          <w:szCs w:val="22"/>
        </w:rPr>
        <w:t xml:space="preserve">This review will address </w:t>
      </w:r>
      <w:r w:rsidR="00D64267">
        <w:rPr>
          <w:rFonts w:asciiTheme="minorHAnsi" w:hAnsiTheme="minorHAnsi" w:cs="Segoe UI"/>
          <w:color w:val="1D2125"/>
          <w:sz w:val="22"/>
          <w:szCs w:val="22"/>
        </w:rPr>
        <w:t xml:space="preserve">the </w:t>
      </w:r>
      <w:r w:rsidRPr="00647BF3">
        <w:rPr>
          <w:rFonts w:asciiTheme="minorHAnsi" w:hAnsiTheme="minorHAnsi" w:cs="Segoe UI"/>
          <w:color w:val="1D2125"/>
          <w:sz w:val="22"/>
          <w:szCs w:val="22"/>
        </w:rPr>
        <w:t xml:space="preserve">strengths and weaknesses of Malka Simkovich’s article, ‘Greek Influence on the Composition of 2 Maccabees’, as published in the Journal for the Study of Judaism in 2011. Simkovich aims to examine aspects of the book of 2 Maccabees that were influenced by its author’s location in the Hellenistic Jewish Diaspora. </w:t>
      </w:r>
      <w:r w:rsidR="00277149">
        <w:rPr>
          <w:rFonts w:asciiTheme="minorHAnsi" w:hAnsiTheme="minorHAnsi" w:cs="Segoe UI"/>
          <w:color w:val="1D2125"/>
          <w:sz w:val="22"/>
          <w:szCs w:val="22"/>
        </w:rPr>
        <w:t xml:space="preserve">The paper’s </w:t>
      </w:r>
      <w:r w:rsidR="00294FA4" w:rsidRPr="00647BF3">
        <w:rPr>
          <w:rFonts w:asciiTheme="minorHAnsi" w:hAnsiTheme="minorHAnsi" w:cs="Segoe UI"/>
          <w:color w:val="1D2125"/>
          <w:sz w:val="22"/>
          <w:szCs w:val="22"/>
        </w:rPr>
        <w:t xml:space="preserve">main arguments </w:t>
      </w:r>
      <w:r w:rsidR="00FA62A1" w:rsidRPr="00647BF3">
        <w:rPr>
          <w:rFonts w:asciiTheme="minorHAnsi" w:hAnsiTheme="minorHAnsi" w:cs="Segoe UI"/>
          <w:color w:val="1D2125"/>
          <w:sz w:val="22"/>
          <w:szCs w:val="22"/>
        </w:rPr>
        <w:t xml:space="preserve">are that </w:t>
      </w:r>
      <w:r w:rsidR="00294FA4" w:rsidRPr="00647BF3">
        <w:rPr>
          <w:rFonts w:asciiTheme="minorHAnsi" w:hAnsiTheme="minorHAnsi" w:cs="Segoe UI"/>
          <w:color w:val="1D2125"/>
          <w:sz w:val="22"/>
          <w:szCs w:val="22"/>
        </w:rPr>
        <w:t xml:space="preserve">the </w:t>
      </w:r>
      <w:r w:rsidR="00FA62A1" w:rsidRPr="00647BF3">
        <w:rPr>
          <w:rFonts w:asciiTheme="minorHAnsi" w:hAnsiTheme="minorHAnsi" w:cs="Segoe UI"/>
          <w:color w:val="1D2125"/>
          <w:sz w:val="22"/>
          <w:szCs w:val="22"/>
        </w:rPr>
        <w:t xml:space="preserve">text equates holiday observance with religious piety, prayer’s significance in the narrative </w:t>
      </w:r>
      <w:r w:rsidR="00400C12" w:rsidRPr="00647BF3">
        <w:rPr>
          <w:rFonts w:asciiTheme="minorHAnsi" w:hAnsiTheme="minorHAnsi" w:cs="Segoe UI"/>
          <w:color w:val="1D2125"/>
          <w:sz w:val="22"/>
          <w:szCs w:val="22"/>
        </w:rPr>
        <w:t>is because of it</w:t>
      </w:r>
      <w:r w:rsidR="00FA62A1" w:rsidRPr="00647BF3">
        <w:rPr>
          <w:rFonts w:asciiTheme="minorHAnsi" w:hAnsiTheme="minorHAnsi" w:cs="Segoe UI"/>
          <w:color w:val="1D2125"/>
          <w:sz w:val="22"/>
          <w:szCs w:val="22"/>
        </w:rPr>
        <w:t>s influence from Greek drama</w:t>
      </w:r>
      <w:r w:rsidR="00277149">
        <w:rPr>
          <w:rFonts w:asciiTheme="minorHAnsi" w:hAnsiTheme="minorHAnsi" w:cs="Segoe UI"/>
          <w:color w:val="1D2125"/>
          <w:sz w:val="22"/>
          <w:szCs w:val="22"/>
        </w:rPr>
        <w:t>,</w:t>
      </w:r>
      <w:r w:rsidR="00FA62A1" w:rsidRPr="00647BF3">
        <w:rPr>
          <w:rFonts w:asciiTheme="minorHAnsi" w:hAnsiTheme="minorHAnsi" w:cs="Segoe UI"/>
          <w:color w:val="1D2125"/>
          <w:sz w:val="22"/>
          <w:szCs w:val="22"/>
        </w:rPr>
        <w:t xml:space="preserve"> and </w:t>
      </w:r>
      <w:r w:rsidR="00513878" w:rsidRPr="00647BF3">
        <w:rPr>
          <w:rFonts w:asciiTheme="minorHAnsi" w:hAnsiTheme="minorHAnsi" w:cs="Segoe UI"/>
          <w:color w:val="1D2125"/>
          <w:sz w:val="22"/>
          <w:szCs w:val="22"/>
        </w:rPr>
        <w:t>the text is Temple-centred, despite not being Judea-centred.</w:t>
      </w:r>
      <w:r w:rsidR="00777257" w:rsidRPr="00647BF3">
        <w:rPr>
          <w:rStyle w:val="FootnoteReference"/>
          <w:rFonts w:asciiTheme="minorHAnsi" w:hAnsiTheme="minorHAnsi" w:cs="Segoe UI"/>
          <w:color w:val="1D2125"/>
          <w:sz w:val="22"/>
          <w:szCs w:val="22"/>
        </w:rPr>
        <w:footnoteReference w:id="1"/>
      </w:r>
      <w:r w:rsidR="00D2047E" w:rsidRPr="00647BF3">
        <w:rPr>
          <w:rFonts w:asciiTheme="minorHAnsi" w:hAnsiTheme="minorHAnsi" w:cs="Segoe UI"/>
          <w:color w:val="1D2125"/>
          <w:sz w:val="22"/>
          <w:szCs w:val="22"/>
        </w:rPr>
        <w:t xml:space="preserve"> Overall, the </w:t>
      </w:r>
      <w:r w:rsidR="00C33529" w:rsidRPr="00647BF3">
        <w:rPr>
          <w:rFonts w:asciiTheme="minorHAnsi" w:hAnsiTheme="minorHAnsi" w:cs="Segoe UI"/>
          <w:color w:val="1D2125"/>
          <w:sz w:val="22"/>
          <w:szCs w:val="22"/>
        </w:rPr>
        <w:t>author</w:t>
      </w:r>
      <w:r w:rsidR="00D2047E" w:rsidRPr="00647BF3">
        <w:rPr>
          <w:rFonts w:asciiTheme="minorHAnsi" w:hAnsiTheme="minorHAnsi" w:cs="Segoe UI"/>
          <w:color w:val="1D2125"/>
          <w:sz w:val="22"/>
          <w:szCs w:val="22"/>
        </w:rPr>
        <w:t xml:space="preserve"> </w:t>
      </w:r>
      <w:r w:rsidR="00735E73" w:rsidRPr="00647BF3">
        <w:rPr>
          <w:rFonts w:asciiTheme="minorHAnsi" w:hAnsiTheme="minorHAnsi" w:cs="Segoe UI"/>
          <w:color w:val="1D2125"/>
          <w:sz w:val="22"/>
          <w:szCs w:val="22"/>
        </w:rPr>
        <w:t xml:space="preserve">uses historical context </w:t>
      </w:r>
      <w:r w:rsidR="00C33529" w:rsidRPr="00647BF3">
        <w:rPr>
          <w:rFonts w:asciiTheme="minorHAnsi" w:hAnsiTheme="minorHAnsi" w:cs="Segoe UI"/>
          <w:color w:val="1D2125"/>
          <w:sz w:val="22"/>
          <w:szCs w:val="22"/>
        </w:rPr>
        <w:t xml:space="preserve">efficiently to support </w:t>
      </w:r>
      <w:r w:rsidR="001B36DC">
        <w:rPr>
          <w:rFonts w:asciiTheme="minorHAnsi" w:hAnsiTheme="minorHAnsi" w:cs="Segoe UI"/>
          <w:color w:val="1D2125"/>
          <w:sz w:val="22"/>
          <w:szCs w:val="22"/>
        </w:rPr>
        <w:t xml:space="preserve">her </w:t>
      </w:r>
      <w:r w:rsidR="00C33529" w:rsidRPr="00647BF3">
        <w:rPr>
          <w:rFonts w:asciiTheme="minorHAnsi" w:hAnsiTheme="minorHAnsi" w:cs="Segoe UI"/>
          <w:color w:val="1D2125"/>
          <w:sz w:val="22"/>
          <w:szCs w:val="22"/>
        </w:rPr>
        <w:t xml:space="preserve">arguments, but the article </w:t>
      </w:r>
      <w:r w:rsidR="00D2047E" w:rsidRPr="00647BF3">
        <w:rPr>
          <w:rFonts w:asciiTheme="minorHAnsi" w:hAnsiTheme="minorHAnsi" w:cs="Segoe UI"/>
          <w:color w:val="1D2125"/>
          <w:sz w:val="22"/>
          <w:szCs w:val="22"/>
        </w:rPr>
        <w:t xml:space="preserve">has issues with </w:t>
      </w:r>
      <w:r w:rsidR="0087661D" w:rsidRPr="00647BF3">
        <w:rPr>
          <w:rFonts w:asciiTheme="minorHAnsi" w:hAnsiTheme="minorHAnsi" w:cs="Segoe UI"/>
          <w:color w:val="1D2125"/>
          <w:sz w:val="22"/>
          <w:szCs w:val="22"/>
        </w:rPr>
        <w:t xml:space="preserve">its </w:t>
      </w:r>
      <w:r w:rsidR="00031AED" w:rsidRPr="00647BF3">
        <w:rPr>
          <w:rFonts w:asciiTheme="minorHAnsi" w:hAnsiTheme="minorHAnsi" w:cs="Segoe UI"/>
          <w:color w:val="1D2125"/>
          <w:sz w:val="22"/>
          <w:szCs w:val="22"/>
        </w:rPr>
        <w:t>use of data</w:t>
      </w:r>
      <w:r w:rsidR="00735E73" w:rsidRPr="00647BF3">
        <w:rPr>
          <w:rFonts w:asciiTheme="minorHAnsi" w:hAnsiTheme="minorHAnsi" w:cs="Segoe UI"/>
          <w:color w:val="1D2125"/>
          <w:sz w:val="22"/>
          <w:szCs w:val="22"/>
        </w:rPr>
        <w:t xml:space="preserve"> and </w:t>
      </w:r>
      <w:r w:rsidR="00262E95" w:rsidRPr="00647BF3">
        <w:rPr>
          <w:rFonts w:asciiTheme="minorHAnsi" w:hAnsiTheme="minorHAnsi" w:cs="Segoe UI"/>
          <w:color w:val="1D2125"/>
          <w:sz w:val="22"/>
          <w:szCs w:val="22"/>
        </w:rPr>
        <w:t>excl</w:t>
      </w:r>
      <w:r w:rsidR="00A43FA1" w:rsidRPr="00647BF3">
        <w:rPr>
          <w:rFonts w:asciiTheme="minorHAnsi" w:hAnsiTheme="minorHAnsi" w:cs="Segoe UI"/>
          <w:color w:val="1D2125"/>
          <w:sz w:val="22"/>
          <w:szCs w:val="22"/>
        </w:rPr>
        <w:t xml:space="preserve">usion of significant portions of the </w:t>
      </w:r>
      <w:r w:rsidR="00C33529" w:rsidRPr="00647BF3">
        <w:rPr>
          <w:rFonts w:asciiTheme="minorHAnsi" w:hAnsiTheme="minorHAnsi" w:cs="Segoe UI"/>
          <w:color w:val="1D2125"/>
          <w:sz w:val="22"/>
          <w:szCs w:val="22"/>
        </w:rPr>
        <w:t xml:space="preserve">biblical narrative. </w:t>
      </w:r>
    </w:p>
    <w:p w14:paraId="2ABDF5F2" w14:textId="02DC73EF" w:rsidR="008925FF" w:rsidRPr="00ED372D" w:rsidRDefault="0039638B" w:rsidP="008925FF">
      <w:pPr>
        <w:pStyle w:val="NormalWeb"/>
        <w:shd w:val="clear" w:color="auto" w:fill="FFFFFF"/>
        <w:spacing w:before="0" w:beforeAutospacing="0"/>
        <w:rPr>
          <w:rFonts w:asciiTheme="minorHAnsi" w:hAnsiTheme="minorHAnsi" w:cs="Segoe UI"/>
          <w:color w:val="1D2125"/>
          <w:sz w:val="22"/>
          <w:szCs w:val="22"/>
        </w:rPr>
      </w:pPr>
      <w:r>
        <w:rPr>
          <w:rFonts w:asciiTheme="minorHAnsi" w:hAnsiTheme="minorHAnsi" w:cs="Segoe UI"/>
          <w:color w:val="1D2125"/>
          <w:sz w:val="22"/>
          <w:szCs w:val="22"/>
        </w:rPr>
        <w:t xml:space="preserve">Simkovich begins her article by comparing literary motifs </w:t>
      </w:r>
      <w:r w:rsidR="00456CF9">
        <w:rPr>
          <w:rFonts w:asciiTheme="minorHAnsi" w:hAnsiTheme="minorHAnsi" w:cs="Segoe UI"/>
          <w:color w:val="1D2125"/>
          <w:sz w:val="22"/>
          <w:szCs w:val="22"/>
        </w:rPr>
        <w:t>in 1 and 2 Maccabees to argue that 2 Maccabees is holiday-focused</w:t>
      </w:r>
      <w:r w:rsidR="00602679">
        <w:rPr>
          <w:rFonts w:asciiTheme="minorHAnsi" w:hAnsiTheme="minorHAnsi" w:cs="Segoe UI"/>
          <w:color w:val="1D2125"/>
          <w:sz w:val="22"/>
          <w:szCs w:val="22"/>
        </w:rPr>
        <w:t xml:space="preserve">, using lists of holiday references in both books. </w:t>
      </w:r>
      <w:r w:rsidR="00AA58CC">
        <w:rPr>
          <w:rFonts w:asciiTheme="minorHAnsi" w:hAnsiTheme="minorHAnsi" w:cs="Segoe UI"/>
          <w:color w:val="1D2125"/>
          <w:sz w:val="22"/>
          <w:szCs w:val="22"/>
        </w:rPr>
        <w:t xml:space="preserve">After a brief synopsis of the Great Dionysia festival, </w:t>
      </w:r>
      <w:r w:rsidR="0070597B">
        <w:rPr>
          <w:rFonts w:asciiTheme="minorHAnsi" w:hAnsiTheme="minorHAnsi" w:cs="Segoe UI"/>
          <w:color w:val="1D2125"/>
          <w:sz w:val="22"/>
          <w:szCs w:val="22"/>
        </w:rPr>
        <w:t xml:space="preserve">Simkovich links this to the date of the new holiday instituted by </w:t>
      </w:r>
      <w:r w:rsidR="00D64267">
        <w:rPr>
          <w:rFonts w:asciiTheme="minorHAnsi" w:hAnsiTheme="minorHAnsi" w:cs="Segoe UI"/>
          <w:color w:val="1D2125"/>
          <w:sz w:val="22"/>
          <w:szCs w:val="22"/>
        </w:rPr>
        <w:t xml:space="preserve">the </w:t>
      </w:r>
      <w:r w:rsidR="0070597B">
        <w:rPr>
          <w:rFonts w:asciiTheme="minorHAnsi" w:hAnsiTheme="minorHAnsi" w:cs="Segoe UI"/>
          <w:color w:val="1D2125"/>
          <w:sz w:val="22"/>
          <w:szCs w:val="22"/>
        </w:rPr>
        <w:t xml:space="preserve">Judean population in 2 Macc. 10:15 to underline the focus on holiday replacement and observance. </w:t>
      </w:r>
      <w:r w:rsidR="00ED372D">
        <w:rPr>
          <w:rFonts w:asciiTheme="minorHAnsi" w:hAnsiTheme="minorHAnsi" w:cs="Segoe UI"/>
          <w:color w:val="1D2125"/>
          <w:sz w:val="22"/>
          <w:szCs w:val="22"/>
        </w:rPr>
        <w:t xml:space="preserve">Next, she examines the book’s emphasis on prayer as influenced by Greek drama and the genre of </w:t>
      </w:r>
      <w:r w:rsidR="00ED372D">
        <w:rPr>
          <w:rFonts w:asciiTheme="minorHAnsi" w:hAnsiTheme="minorHAnsi" w:cs="Segoe UI"/>
          <w:i/>
          <w:iCs/>
          <w:color w:val="1D2125"/>
          <w:sz w:val="22"/>
          <w:szCs w:val="22"/>
        </w:rPr>
        <w:t xml:space="preserve">mimos. </w:t>
      </w:r>
      <w:r w:rsidR="00ED372D">
        <w:rPr>
          <w:rFonts w:asciiTheme="minorHAnsi" w:hAnsiTheme="minorHAnsi" w:cs="Segoe UI"/>
          <w:color w:val="1D2125"/>
          <w:sz w:val="22"/>
          <w:szCs w:val="22"/>
        </w:rPr>
        <w:t xml:space="preserve">Further reference occurrences are documented alongside a scriptural analysis of 2 Macc. 10:25-27, to compare the Maccabees’ prayer to God before </w:t>
      </w:r>
      <w:r w:rsidR="00D64267">
        <w:rPr>
          <w:rFonts w:asciiTheme="minorHAnsi" w:hAnsiTheme="minorHAnsi" w:cs="Segoe UI"/>
          <w:color w:val="1D2125"/>
          <w:sz w:val="22"/>
          <w:szCs w:val="22"/>
        </w:rPr>
        <w:t xml:space="preserve">a </w:t>
      </w:r>
      <w:r w:rsidR="00ED372D">
        <w:rPr>
          <w:rFonts w:asciiTheme="minorHAnsi" w:hAnsiTheme="minorHAnsi" w:cs="Segoe UI"/>
          <w:color w:val="1D2125"/>
          <w:sz w:val="22"/>
          <w:szCs w:val="22"/>
        </w:rPr>
        <w:t xml:space="preserve">battle with the Greco-Roman dramatic genre. </w:t>
      </w:r>
      <w:r w:rsidR="008925FF">
        <w:rPr>
          <w:rFonts w:asciiTheme="minorHAnsi" w:hAnsiTheme="minorHAnsi" w:cs="Segoe UI"/>
          <w:color w:val="1D2125"/>
          <w:sz w:val="22"/>
          <w:szCs w:val="22"/>
        </w:rPr>
        <w:t>Continuing from this, Simkovich argues that 2 Maccabees is Temple-centred, using another data set comparing mentions of the Temple and Jerusalem in 1 and 2 Maccabees. She also presents passages from 2 Maccabees (1:20-28; 5:12-21) to argue that the ordering of the passages show</w:t>
      </w:r>
      <w:r w:rsidR="00D64267">
        <w:rPr>
          <w:rFonts w:asciiTheme="minorHAnsi" w:hAnsiTheme="minorHAnsi" w:cs="Segoe UI"/>
          <w:color w:val="1D2125"/>
          <w:sz w:val="22"/>
          <w:szCs w:val="22"/>
        </w:rPr>
        <w:t>s</w:t>
      </w:r>
      <w:r w:rsidR="008925FF">
        <w:rPr>
          <w:rFonts w:asciiTheme="minorHAnsi" w:hAnsiTheme="minorHAnsi" w:cs="Segoe UI"/>
          <w:color w:val="1D2125"/>
          <w:sz w:val="22"/>
          <w:szCs w:val="22"/>
        </w:rPr>
        <w:t xml:space="preserve"> Temple priority. Finally, Simkovich finishes the paper with a few generalisations about 1 and 2 Maccabees and concludes with the suggestion that the two letters addressed to diasporan Jews from Jerusalem in the introduction to the abridged 2 Maccabees may also show 2 Maccabees presenting an alternative to Greek culture. </w:t>
      </w:r>
    </w:p>
    <w:p w14:paraId="0A2D22A8" w14:textId="5E5844B4" w:rsidR="00296DEE" w:rsidRDefault="001A0AD1" w:rsidP="00C93E41">
      <w:pPr>
        <w:pStyle w:val="NormalWeb"/>
        <w:shd w:val="clear" w:color="auto" w:fill="FFFFFF"/>
        <w:spacing w:before="0" w:beforeAutospacing="0"/>
        <w:rPr>
          <w:rFonts w:asciiTheme="minorHAnsi" w:hAnsiTheme="minorHAnsi" w:cs="Segoe UI"/>
          <w:color w:val="1D2125"/>
          <w:sz w:val="22"/>
          <w:szCs w:val="22"/>
        </w:rPr>
      </w:pPr>
      <w:r>
        <w:rPr>
          <w:rFonts w:asciiTheme="minorHAnsi" w:hAnsiTheme="minorHAnsi" w:cs="Segoe UI"/>
          <w:color w:val="1D2125"/>
          <w:sz w:val="22"/>
          <w:szCs w:val="22"/>
        </w:rPr>
        <w:t xml:space="preserve">Now the paper’s </w:t>
      </w:r>
      <w:r w:rsidR="001B7452">
        <w:rPr>
          <w:rFonts w:asciiTheme="minorHAnsi" w:hAnsiTheme="minorHAnsi" w:cs="Segoe UI"/>
          <w:color w:val="1D2125"/>
          <w:sz w:val="22"/>
          <w:szCs w:val="22"/>
        </w:rPr>
        <w:t>methodology</w:t>
      </w:r>
      <w:r w:rsidR="00C93E41">
        <w:rPr>
          <w:rFonts w:asciiTheme="minorHAnsi" w:hAnsiTheme="minorHAnsi" w:cs="Segoe UI"/>
          <w:color w:val="1D2125"/>
          <w:sz w:val="22"/>
          <w:szCs w:val="22"/>
        </w:rPr>
        <w:t xml:space="preserve"> and arguments will be evaluated. </w:t>
      </w:r>
      <w:r w:rsidR="00296DEE">
        <w:rPr>
          <w:rFonts w:asciiTheme="minorHAnsi" w:hAnsiTheme="minorHAnsi" w:cs="Segoe UI"/>
          <w:color w:val="1D2125"/>
          <w:sz w:val="22"/>
          <w:szCs w:val="22"/>
        </w:rPr>
        <w:t xml:space="preserve">Simkovich </w:t>
      </w:r>
      <w:r w:rsidR="00D830D0">
        <w:rPr>
          <w:rFonts w:asciiTheme="minorHAnsi" w:hAnsiTheme="minorHAnsi" w:cs="Segoe UI"/>
          <w:color w:val="1D2125"/>
          <w:sz w:val="22"/>
          <w:szCs w:val="22"/>
        </w:rPr>
        <w:t xml:space="preserve">effectively </w:t>
      </w:r>
      <w:r w:rsidR="00722963">
        <w:rPr>
          <w:rFonts w:asciiTheme="minorHAnsi" w:hAnsiTheme="minorHAnsi" w:cs="Segoe UI"/>
          <w:color w:val="1D2125"/>
          <w:sz w:val="22"/>
          <w:szCs w:val="22"/>
        </w:rPr>
        <w:t>refers to</w:t>
      </w:r>
      <w:r w:rsidR="001D1C0C">
        <w:rPr>
          <w:rFonts w:asciiTheme="minorHAnsi" w:hAnsiTheme="minorHAnsi" w:cs="Segoe UI"/>
          <w:color w:val="1D2125"/>
          <w:sz w:val="22"/>
          <w:szCs w:val="22"/>
        </w:rPr>
        <w:t xml:space="preserve"> the context of</w:t>
      </w:r>
      <w:r w:rsidR="00722963">
        <w:rPr>
          <w:rFonts w:asciiTheme="minorHAnsi" w:hAnsiTheme="minorHAnsi" w:cs="Segoe UI"/>
          <w:color w:val="1D2125"/>
          <w:sz w:val="22"/>
          <w:szCs w:val="22"/>
        </w:rPr>
        <w:t xml:space="preserve"> </w:t>
      </w:r>
      <w:r w:rsidR="001D1C0C">
        <w:rPr>
          <w:rFonts w:asciiTheme="minorHAnsi" w:hAnsiTheme="minorHAnsi" w:cs="Segoe UI"/>
          <w:color w:val="1D2125"/>
          <w:sz w:val="22"/>
          <w:szCs w:val="22"/>
        </w:rPr>
        <w:t>Second Temple Judaism</w:t>
      </w:r>
      <w:r w:rsidR="00D830D0">
        <w:rPr>
          <w:rFonts w:asciiTheme="minorHAnsi" w:hAnsiTheme="minorHAnsi" w:cs="Segoe UI"/>
          <w:color w:val="1D2125"/>
          <w:sz w:val="22"/>
          <w:szCs w:val="22"/>
        </w:rPr>
        <w:t xml:space="preserve"> and its focus on prayer </w:t>
      </w:r>
      <w:r w:rsidR="00CA59B3">
        <w:rPr>
          <w:rFonts w:asciiTheme="minorHAnsi" w:hAnsiTheme="minorHAnsi" w:cs="Segoe UI"/>
          <w:color w:val="1D2125"/>
          <w:sz w:val="22"/>
          <w:szCs w:val="22"/>
        </w:rPr>
        <w:t xml:space="preserve">to </w:t>
      </w:r>
      <w:r w:rsidR="00CE2B19">
        <w:rPr>
          <w:rFonts w:asciiTheme="minorHAnsi" w:hAnsiTheme="minorHAnsi" w:cs="Segoe UI"/>
          <w:color w:val="1D2125"/>
          <w:sz w:val="22"/>
          <w:szCs w:val="22"/>
        </w:rPr>
        <w:t>highlight a potential cause for the prominence of prayer in 2 Maccabees.</w:t>
      </w:r>
      <w:r w:rsidR="00CE2B19">
        <w:rPr>
          <w:rStyle w:val="FootnoteReference"/>
          <w:rFonts w:asciiTheme="minorHAnsi" w:hAnsiTheme="minorHAnsi" w:cs="Segoe UI"/>
          <w:color w:val="1D2125"/>
          <w:sz w:val="22"/>
          <w:szCs w:val="22"/>
        </w:rPr>
        <w:footnoteReference w:id="2"/>
      </w:r>
      <w:r w:rsidR="008248DB">
        <w:rPr>
          <w:rFonts w:asciiTheme="minorHAnsi" w:hAnsiTheme="minorHAnsi" w:cs="Segoe UI"/>
          <w:color w:val="1D2125"/>
          <w:sz w:val="22"/>
          <w:szCs w:val="22"/>
        </w:rPr>
        <w:t xml:space="preserve"> </w:t>
      </w:r>
      <w:r w:rsidR="00323D87">
        <w:rPr>
          <w:rFonts w:asciiTheme="minorHAnsi" w:hAnsiTheme="minorHAnsi" w:cs="Segoe UI"/>
          <w:color w:val="1D2125"/>
          <w:sz w:val="22"/>
          <w:szCs w:val="22"/>
        </w:rPr>
        <w:t xml:space="preserve">This </w:t>
      </w:r>
      <w:r w:rsidR="007B655D">
        <w:rPr>
          <w:rFonts w:asciiTheme="minorHAnsi" w:hAnsiTheme="minorHAnsi" w:cs="Segoe UI"/>
          <w:color w:val="1D2125"/>
          <w:sz w:val="22"/>
          <w:szCs w:val="22"/>
        </w:rPr>
        <w:t xml:space="preserve">understanding of practice during the Second Temple period </w:t>
      </w:r>
      <w:r w:rsidR="00323D87">
        <w:rPr>
          <w:rFonts w:asciiTheme="minorHAnsi" w:hAnsiTheme="minorHAnsi" w:cs="Segoe UI"/>
          <w:color w:val="1D2125"/>
          <w:sz w:val="22"/>
          <w:szCs w:val="22"/>
        </w:rPr>
        <w:t xml:space="preserve">is backed up by several </w:t>
      </w:r>
      <w:r w:rsidR="00FE6E2F">
        <w:rPr>
          <w:rFonts w:asciiTheme="minorHAnsi" w:hAnsiTheme="minorHAnsi" w:cs="Segoe UI"/>
          <w:color w:val="1D2125"/>
          <w:sz w:val="22"/>
          <w:szCs w:val="22"/>
        </w:rPr>
        <w:t>esteemed scholars including Shaye Cohen</w:t>
      </w:r>
      <w:r w:rsidR="005E39CD">
        <w:rPr>
          <w:rFonts w:asciiTheme="minorHAnsi" w:hAnsiTheme="minorHAnsi" w:cs="Segoe UI"/>
          <w:color w:val="1D2125"/>
          <w:sz w:val="22"/>
          <w:szCs w:val="22"/>
        </w:rPr>
        <w:t>. Compared with First Temple Judaism during which “prayer was not a standard part of worship”</w:t>
      </w:r>
      <w:r w:rsidR="00C475CA">
        <w:rPr>
          <w:rFonts w:asciiTheme="minorHAnsi" w:hAnsiTheme="minorHAnsi" w:cs="Segoe UI"/>
          <w:color w:val="1D2125"/>
          <w:sz w:val="22"/>
          <w:szCs w:val="22"/>
        </w:rPr>
        <w:t>,</w:t>
      </w:r>
      <w:r w:rsidR="005E39CD">
        <w:rPr>
          <w:rStyle w:val="FootnoteReference"/>
          <w:rFonts w:asciiTheme="minorHAnsi" w:hAnsiTheme="minorHAnsi" w:cs="Segoe UI"/>
          <w:color w:val="1D2125"/>
          <w:sz w:val="22"/>
          <w:szCs w:val="22"/>
        </w:rPr>
        <w:footnoteReference w:id="3"/>
      </w:r>
      <w:r w:rsidR="00C475CA">
        <w:rPr>
          <w:rFonts w:asciiTheme="minorHAnsi" w:hAnsiTheme="minorHAnsi" w:cs="Segoe UI"/>
          <w:color w:val="1D2125"/>
          <w:sz w:val="22"/>
          <w:szCs w:val="22"/>
        </w:rPr>
        <w:t xml:space="preserve"> Cohen </w:t>
      </w:r>
      <w:r w:rsidR="006A32BC">
        <w:rPr>
          <w:rFonts w:asciiTheme="minorHAnsi" w:hAnsiTheme="minorHAnsi" w:cs="Segoe UI"/>
          <w:color w:val="1D2125"/>
          <w:sz w:val="22"/>
          <w:szCs w:val="22"/>
        </w:rPr>
        <w:t xml:space="preserve">teaches </w:t>
      </w:r>
      <w:r w:rsidR="00C475CA">
        <w:rPr>
          <w:rFonts w:asciiTheme="minorHAnsi" w:hAnsiTheme="minorHAnsi" w:cs="Segoe UI"/>
          <w:color w:val="1D2125"/>
          <w:sz w:val="22"/>
          <w:szCs w:val="22"/>
        </w:rPr>
        <w:t xml:space="preserve">that </w:t>
      </w:r>
      <w:r w:rsidR="00164244">
        <w:rPr>
          <w:rFonts w:asciiTheme="minorHAnsi" w:hAnsiTheme="minorHAnsi" w:cs="Segoe UI"/>
          <w:color w:val="1D2125"/>
          <w:sz w:val="22"/>
          <w:szCs w:val="22"/>
        </w:rPr>
        <w:t>Second Temple Judaism had an elaboration of new liturgy including prayer and a regimen of private worship</w:t>
      </w:r>
      <w:r w:rsidR="00CA59B3">
        <w:rPr>
          <w:rFonts w:asciiTheme="minorHAnsi" w:hAnsiTheme="minorHAnsi" w:cs="Segoe UI"/>
          <w:color w:val="1D2125"/>
          <w:sz w:val="22"/>
          <w:szCs w:val="22"/>
        </w:rPr>
        <w:t>.</w:t>
      </w:r>
      <w:r w:rsidR="00CA59B3">
        <w:rPr>
          <w:rStyle w:val="FootnoteReference"/>
          <w:rFonts w:asciiTheme="minorHAnsi" w:hAnsiTheme="minorHAnsi" w:cs="Segoe UI"/>
          <w:color w:val="1D2125"/>
          <w:sz w:val="22"/>
          <w:szCs w:val="22"/>
        </w:rPr>
        <w:footnoteReference w:id="4"/>
      </w:r>
    </w:p>
    <w:p w14:paraId="1003938A" w14:textId="6D931B2A" w:rsidR="008123A8" w:rsidRPr="008123A8" w:rsidRDefault="00091958" w:rsidP="008123A8">
      <w:pPr>
        <w:pStyle w:val="NormalWeb"/>
        <w:shd w:val="clear" w:color="auto" w:fill="FFFFFF"/>
        <w:spacing w:before="0" w:beforeAutospacing="0"/>
        <w:rPr>
          <w:rFonts w:asciiTheme="minorHAnsi" w:hAnsiTheme="minorHAnsi" w:cs="Segoe UI"/>
          <w:color w:val="1D2125"/>
          <w:sz w:val="22"/>
          <w:szCs w:val="22"/>
        </w:rPr>
      </w:pPr>
      <w:r>
        <w:rPr>
          <w:rFonts w:asciiTheme="minorHAnsi" w:hAnsiTheme="minorHAnsi" w:cs="Segoe UI"/>
          <w:color w:val="1D2125"/>
          <w:sz w:val="22"/>
          <w:szCs w:val="22"/>
        </w:rPr>
        <w:t xml:space="preserve">However, the conclusion Simkovich draws </w:t>
      </w:r>
      <w:r w:rsidR="00BA08CA">
        <w:rPr>
          <w:rFonts w:asciiTheme="minorHAnsi" w:hAnsiTheme="minorHAnsi" w:cs="Segoe UI"/>
          <w:color w:val="1D2125"/>
          <w:sz w:val="22"/>
          <w:szCs w:val="22"/>
        </w:rPr>
        <w:t>from this context is not evidentially sound</w:t>
      </w:r>
      <w:r w:rsidR="00BF54EB">
        <w:rPr>
          <w:rFonts w:asciiTheme="minorHAnsi" w:hAnsiTheme="minorHAnsi" w:cs="Segoe UI"/>
          <w:color w:val="1D2125"/>
          <w:sz w:val="22"/>
          <w:szCs w:val="22"/>
        </w:rPr>
        <w:t>. She argues that this context means that 2 Maccabees considers temple service and prayer with “comparable reverence</w:t>
      </w:r>
      <w:r w:rsidR="00C1439F">
        <w:rPr>
          <w:rFonts w:asciiTheme="minorHAnsi" w:hAnsiTheme="minorHAnsi" w:cs="Segoe UI"/>
          <w:color w:val="1D2125"/>
          <w:sz w:val="22"/>
          <w:szCs w:val="22"/>
        </w:rPr>
        <w:t>.</w:t>
      </w:r>
      <w:r w:rsidR="00BF54EB">
        <w:rPr>
          <w:rFonts w:asciiTheme="minorHAnsi" w:hAnsiTheme="minorHAnsi" w:cs="Segoe UI"/>
          <w:color w:val="1D2125"/>
          <w:sz w:val="22"/>
          <w:szCs w:val="22"/>
        </w:rPr>
        <w:t>”</w:t>
      </w:r>
      <w:r w:rsidR="00135A47">
        <w:rPr>
          <w:rStyle w:val="FootnoteReference"/>
          <w:rFonts w:asciiTheme="minorHAnsi" w:hAnsiTheme="minorHAnsi" w:cs="Segoe UI"/>
          <w:color w:val="1D2125"/>
          <w:sz w:val="22"/>
          <w:szCs w:val="22"/>
        </w:rPr>
        <w:footnoteReference w:id="5"/>
      </w:r>
      <w:r w:rsidR="00C1439F">
        <w:rPr>
          <w:rFonts w:asciiTheme="minorHAnsi" w:hAnsiTheme="minorHAnsi" w:cs="Segoe UI"/>
          <w:color w:val="1D2125"/>
          <w:sz w:val="22"/>
          <w:szCs w:val="22"/>
        </w:rPr>
        <w:t xml:space="preserve"> </w:t>
      </w:r>
      <w:r w:rsidR="00A54709">
        <w:rPr>
          <w:rFonts w:asciiTheme="minorHAnsi" w:hAnsiTheme="minorHAnsi"/>
          <w:sz w:val="22"/>
          <w:szCs w:val="22"/>
        </w:rPr>
        <w:t xml:space="preserve">Simkovich’s pushing of the temple’s significance can be contradicted by evidence from the text of 2 Maccabees itself. </w:t>
      </w:r>
      <w:r w:rsidR="00DB1FEE">
        <w:rPr>
          <w:rFonts w:asciiTheme="minorHAnsi" w:hAnsiTheme="minorHAnsi"/>
          <w:sz w:val="22"/>
          <w:szCs w:val="22"/>
        </w:rPr>
        <w:t xml:space="preserve">The narrator describes </w:t>
      </w:r>
      <w:r w:rsidR="008F1586">
        <w:rPr>
          <w:rFonts w:asciiTheme="minorHAnsi" w:hAnsiTheme="minorHAnsi"/>
          <w:sz w:val="22"/>
          <w:szCs w:val="22"/>
        </w:rPr>
        <w:t xml:space="preserve">that “the Lord did not choose the nation for the sake of the holy place, but the place for the sake of the </w:t>
      </w:r>
      <w:r w:rsidR="008F1586">
        <w:rPr>
          <w:rFonts w:asciiTheme="minorHAnsi" w:hAnsiTheme="minorHAnsi"/>
          <w:sz w:val="22"/>
          <w:szCs w:val="22"/>
        </w:rPr>
        <w:lastRenderedPageBreak/>
        <w:t>nation,” (2 Macc. 5:</w:t>
      </w:r>
      <w:r w:rsidR="006951AB">
        <w:rPr>
          <w:rFonts w:asciiTheme="minorHAnsi" w:hAnsiTheme="minorHAnsi"/>
          <w:sz w:val="22"/>
          <w:szCs w:val="22"/>
        </w:rPr>
        <w:t>19)</w:t>
      </w:r>
      <w:r w:rsidR="000C49BF">
        <w:rPr>
          <w:rFonts w:asciiTheme="minorHAnsi" w:hAnsiTheme="minorHAnsi"/>
          <w:sz w:val="22"/>
          <w:szCs w:val="22"/>
        </w:rPr>
        <w:t xml:space="preserve">, and </w:t>
      </w:r>
      <w:r w:rsidR="00F147FB">
        <w:rPr>
          <w:rFonts w:asciiTheme="minorHAnsi" w:hAnsiTheme="minorHAnsi"/>
          <w:sz w:val="22"/>
          <w:szCs w:val="22"/>
        </w:rPr>
        <w:t xml:space="preserve">further downplaying of the Temple’s significance can be found in 5:16, in which the narrator </w:t>
      </w:r>
      <w:r w:rsidR="0026009A">
        <w:rPr>
          <w:rFonts w:asciiTheme="minorHAnsi" w:hAnsiTheme="minorHAnsi"/>
          <w:sz w:val="22"/>
          <w:szCs w:val="22"/>
        </w:rPr>
        <w:t xml:space="preserve">shows his relative lack of interest in the Temple cult by describing the items stolen as simply “holy vessels.” </w:t>
      </w:r>
      <w:r w:rsidR="00694F73">
        <w:rPr>
          <w:rFonts w:asciiTheme="minorHAnsi" w:hAnsiTheme="minorHAnsi"/>
          <w:sz w:val="22"/>
          <w:szCs w:val="22"/>
        </w:rPr>
        <w:t xml:space="preserve">David Schwartz </w:t>
      </w:r>
      <w:r w:rsidR="007648CD">
        <w:rPr>
          <w:rFonts w:asciiTheme="minorHAnsi" w:hAnsiTheme="minorHAnsi"/>
          <w:sz w:val="22"/>
          <w:szCs w:val="22"/>
        </w:rPr>
        <w:t>explains 2 Macc. 5:19</w:t>
      </w:r>
      <w:r w:rsidR="007E0F1A">
        <w:rPr>
          <w:rFonts w:asciiTheme="minorHAnsi" w:hAnsiTheme="minorHAnsi"/>
          <w:sz w:val="22"/>
          <w:szCs w:val="22"/>
        </w:rPr>
        <w:t xml:space="preserve"> further as </w:t>
      </w:r>
      <w:r w:rsidR="00765D36">
        <w:rPr>
          <w:rFonts w:asciiTheme="minorHAnsi" w:hAnsiTheme="minorHAnsi"/>
          <w:sz w:val="22"/>
          <w:szCs w:val="22"/>
        </w:rPr>
        <w:t xml:space="preserve">a product of </w:t>
      </w:r>
      <w:r w:rsidR="007E0F1A">
        <w:rPr>
          <w:rFonts w:asciiTheme="minorHAnsi" w:hAnsiTheme="minorHAnsi"/>
          <w:sz w:val="22"/>
          <w:szCs w:val="22"/>
        </w:rPr>
        <w:t xml:space="preserve">the author of 2 Maccabees’ </w:t>
      </w:r>
      <w:r w:rsidR="00765D36">
        <w:rPr>
          <w:rFonts w:asciiTheme="minorHAnsi" w:hAnsiTheme="minorHAnsi"/>
          <w:sz w:val="22"/>
          <w:szCs w:val="22"/>
        </w:rPr>
        <w:t xml:space="preserve">Diasporan identity, </w:t>
      </w:r>
      <w:r w:rsidR="008123A8">
        <w:rPr>
          <w:rFonts w:asciiTheme="minorHAnsi" w:hAnsiTheme="minorHAnsi"/>
          <w:sz w:val="22"/>
          <w:szCs w:val="22"/>
        </w:rPr>
        <w:t>leading to the teaching that</w:t>
      </w:r>
      <w:r w:rsidR="00765D36">
        <w:rPr>
          <w:rFonts w:asciiTheme="minorHAnsi" w:hAnsiTheme="minorHAnsi"/>
          <w:sz w:val="22"/>
          <w:szCs w:val="22"/>
        </w:rPr>
        <w:t xml:space="preserve"> the </w:t>
      </w:r>
      <w:r w:rsidR="008123A8">
        <w:rPr>
          <w:rFonts w:asciiTheme="minorHAnsi" w:hAnsiTheme="minorHAnsi"/>
          <w:sz w:val="22"/>
          <w:szCs w:val="22"/>
        </w:rPr>
        <w:t xml:space="preserve">Jewish </w:t>
      </w:r>
      <w:r w:rsidR="00765D36">
        <w:rPr>
          <w:rFonts w:asciiTheme="minorHAnsi" w:hAnsiTheme="minorHAnsi"/>
          <w:sz w:val="22"/>
          <w:szCs w:val="22"/>
        </w:rPr>
        <w:t xml:space="preserve">people are considered more important than the </w:t>
      </w:r>
      <w:r w:rsidR="008123A8">
        <w:rPr>
          <w:rFonts w:asciiTheme="minorHAnsi" w:hAnsiTheme="minorHAnsi"/>
          <w:sz w:val="22"/>
          <w:szCs w:val="22"/>
        </w:rPr>
        <w:t xml:space="preserve">Jewish </w:t>
      </w:r>
      <w:r w:rsidR="00765D36">
        <w:rPr>
          <w:rFonts w:asciiTheme="minorHAnsi" w:hAnsiTheme="minorHAnsi"/>
          <w:sz w:val="22"/>
          <w:szCs w:val="22"/>
        </w:rPr>
        <w:t>Temple.</w:t>
      </w:r>
      <w:r w:rsidR="00765D36">
        <w:rPr>
          <w:rStyle w:val="FootnoteReference"/>
          <w:rFonts w:asciiTheme="minorHAnsi" w:hAnsiTheme="minorHAnsi"/>
          <w:sz w:val="22"/>
          <w:szCs w:val="22"/>
        </w:rPr>
        <w:footnoteReference w:id="6"/>
      </w:r>
    </w:p>
    <w:p w14:paraId="2EF75000" w14:textId="4AD6A3C3" w:rsidR="00F03A39" w:rsidRDefault="00A162B5" w:rsidP="00DE336E">
      <w:pPr>
        <w:pStyle w:val="NormalWeb"/>
        <w:shd w:val="clear" w:color="auto" w:fill="FFFFFF"/>
        <w:spacing w:before="0" w:beforeAutospacing="0"/>
        <w:rPr>
          <w:rFonts w:asciiTheme="minorHAnsi" w:hAnsiTheme="minorHAnsi"/>
          <w:sz w:val="22"/>
          <w:szCs w:val="22"/>
        </w:rPr>
      </w:pPr>
      <w:r w:rsidRPr="00647BF3">
        <w:rPr>
          <w:rFonts w:asciiTheme="minorHAnsi" w:hAnsiTheme="minorHAnsi" w:cs="Segoe UI"/>
          <w:color w:val="1D2125"/>
          <w:sz w:val="22"/>
          <w:szCs w:val="22"/>
        </w:rPr>
        <w:t xml:space="preserve">Furthermore, </w:t>
      </w:r>
      <w:r w:rsidR="00C86E34">
        <w:rPr>
          <w:rFonts w:asciiTheme="minorHAnsi" w:hAnsiTheme="minorHAnsi" w:cs="Segoe UI"/>
          <w:color w:val="1D2125"/>
          <w:sz w:val="22"/>
          <w:szCs w:val="22"/>
        </w:rPr>
        <w:t xml:space="preserve">Simkovich </w:t>
      </w:r>
      <w:r w:rsidR="00E10EF2" w:rsidRPr="00647BF3">
        <w:rPr>
          <w:rFonts w:asciiTheme="minorHAnsi" w:hAnsiTheme="minorHAnsi" w:cs="Segoe UI"/>
          <w:color w:val="1D2125"/>
          <w:sz w:val="22"/>
          <w:szCs w:val="22"/>
        </w:rPr>
        <w:t xml:space="preserve">neglects </w:t>
      </w:r>
      <w:r w:rsidR="00D64267">
        <w:rPr>
          <w:rFonts w:asciiTheme="minorHAnsi" w:hAnsiTheme="minorHAnsi" w:cs="Segoe UI"/>
          <w:color w:val="1D2125"/>
          <w:sz w:val="22"/>
          <w:szCs w:val="22"/>
        </w:rPr>
        <w:t>to address</w:t>
      </w:r>
      <w:r w:rsidR="00E10EF2" w:rsidRPr="00647BF3">
        <w:rPr>
          <w:rFonts w:asciiTheme="minorHAnsi" w:hAnsiTheme="minorHAnsi" w:cs="Segoe UI"/>
          <w:color w:val="1D2125"/>
          <w:sz w:val="22"/>
          <w:szCs w:val="22"/>
        </w:rPr>
        <w:t xml:space="preserve"> several key events in the narrative. </w:t>
      </w:r>
      <w:r w:rsidR="00C974A2" w:rsidRPr="00647BF3">
        <w:rPr>
          <w:rFonts w:asciiTheme="minorHAnsi" w:hAnsiTheme="minorHAnsi" w:cs="Segoe UI"/>
          <w:color w:val="1D2125"/>
          <w:sz w:val="22"/>
          <w:szCs w:val="22"/>
        </w:rPr>
        <w:t xml:space="preserve">Simkovich acknowledges and defends </w:t>
      </w:r>
      <w:r w:rsidR="008C7CAB">
        <w:rPr>
          <w:rFonts w:asciiTheme="minorHAnsi" w:hAnsiTheme="minorHAnsi" w:cs="Segoe UI"/>
          <w:color w:val="1D2125"/>
          <w:sz w:val="22"/>
          <w:szCs w:val="22"/>
        </w:rPr>
        <w:t xml:space="preserve">her </w:t>
      </w:r>
      <w:r w:rsidR="00C974A2" w:rsidRPr="00647BF3">
        <w:rPr>
          <w:rFonts w:asciiTheme="minorHAnsi" w:hAnsiTheme="minorHAnsi" w:cs="Segoe UI"/>
          <w:color w:val="1D2125"/>
          <w:sz w:val="22"/>
          <w:szCs w:val="22"/>
        </w:rPr>
        <w:t>omission of martyrdom</w:t>
      </w:r>
      <w:r w:rsidR="006D7188">
        <w:rPr>
          <w:rFonts w:asciiTheme="minorHAnsi" w:hAnsiTheme="minorHAnsi" w:cs="Segoe UI"/>
          <w:color w:val="1D2125"/>
          <w:sz w:val="22"/>
          <w:szCs w:val="22"/>
        </w:rPr>
        <w:t>, describing it as irrelevant to the book’s theology of holiday</w:t>
      </w:r>
      <w:r w:rsidR="00D64267">
        <w:rPr>
          <w:rFonts w:asciiTheme="minorHAnsi" w:hAnsiTheme="minorHAnsi" w:cs="Segoe UI"/>
          <w:color w:val="1D2125"/>
          <w:sz w:val="22"/>
          <w:szCs w:val="22"/>
        </w:rPr>
        <w:t xml:space="preserve"> </w:t>
      </w:r>
      <w:r w:rsidR="006D7188">
        <w:rPr>
          <w:rFonts w:asciiTheme="minorHAnsi" w:hAnsiTheme="minorHAnsi" w:cs="Segoe UI"/>
          <w:color w:val="1D2125"/>
          <w:sz w:val="22"/>
          <w:szCs w:val="22"/>
        </w:rPr>
        <w:t xml:space="preserve">observance, </w:t>
      </w:r>
      <w:r w:rsidR="00D64267">
        <w:rPr>
          <w:rFonts w:asciiTheme="minorHAnsi" w:hAnsiTheme="minorHAnsi" w:cs="Segoe UI"/>
          <w:color w:val="1D2125"/>
          <w:sz w:val="22"/>
          <w:szCs w:val="22"/>
        </w:rPr>
        <w:t>T</w:t>
      </w:r>
      <w:r w:rsidR="006D7188">
        <w:rPr>
          <w:rFonts w:asciiTheme="minorHAnsi" w:hAnsiTheme="minorHAnsi" w:cs="Segoe UI"/>
          <w:color w:val="1D2125"/>
          <w:sz w:val="22"/>
          <w:szCs w:val="22"/>
        </w:rPr>
        <w:t>emple</w:t>
      </w:r>
      <w:r w:rsidR="00D64267">
        <w:rPr>
          <w:rFonts w:asciiTheme="minorHAnsi" w:hAnsiTheme="minorHAnsi" w:cs="Segoe UI"/>
          <w:color w:val="1D2125"/>
          <w:sz w:val="22"/>
          <w:szCs w:val="22"/>
        </w:rPr>
        <w:t xml:space="preserve"> </w:t>
      </w:r>
      <w:r w:rsidR="008C1402">
        <w:rPr>
          <w:rFonts w:asciiTheme="minorHAnsi" w:hAnsiTheme="minorHAnsi" w:cs="Segoe UI"/>
          <w:color w:val="1D2125"/>
          <w:sz w:val="22"/>
          <w:szCs w:val="22"/>
        </w:rPr>
        <w:t>worship,</w:t>
      </w:r>
      <w:r w:rsidR="006D7188">
        <w:rPr>
          <w:rFonts w:asciiTheme="minorHAnsi" w:hAnsiTheme="minorHAnsi" w:cs="Segoe UI"/>
          <w:color w:val="1D2125"/>
          <w:sz w:val="22"/>
          <w:szCs w:val="22"/>
        </w:rPr>
        <w:t xml:space="preserve"> and prayer (as is the focus of the paper).</w:t>
      </w:r>
      <w:r w:rsidR="006D7188">
        <w:rPr>
          <w:rStyle w:val="FootnoteReference"/>
          <w:rFonts w:asciiTheme="minorHAnsi" w:hAnsiTheme="minorHAnsi" w:cs="Segoe UI"/>
          <w:color w:val="1D2125"/>
          <w:sz w:val="22"/>
          <w:szCs w:val="22"/>
        </w:rPr>
        <w:footnoteReference w:id="7"/>
      </w:r>
      <w:r w:rsidR="006D7188">
        <w:rPr>
          <w:rFonts w:asciiTheme="minorHAnsi" w:hAnsiTheme="minorHAnsi" w:cs="Segoe UI"/>
          <w:color w:val="1D2125"/>
          <w:sz w:val="22"/>
          <w:szCs w:val="22"/>
        </w:rPr>
        <w:t xml:space="preserve"> </w:t>
      </w:r>
      <w:r w:rsidR="0078188B" w:rsidRPr="00647BF3">
        <w:rPr>
          <w:rFonts w:asciiTheme="minorHAnsi" w:hAnsiTheme="minorHAnsi" w:cs="Segoe UI"/>
          <w:color w:val="1D2125"/>
          <w:sz w:val="22"/>
          <w:szCs w:val="22"/>
        </w:rPr>
        <w:t xml:space="preserve">The author’s failure to incorporate accounts of martyrdom related to circumcision and dietary laws allows for </w:t>
      </w:r>
      <w:r w:rsidR="00667D03">
        <w:rPr>
          <w:rFonts w:asciiTheme="minorHAnsi" w:hAnsiTheme="minorHAnsi" w:cs="Segoe UI"/>
          <w:color w:val="1D2125"/>
          <w:sz w:val="22"/>
          <w:szCs w:val="22"/>
        </w:rPr>
        <w:t xml:space="preserve">her </w:t>
      </w:r>
      <w:r w:rsidR="0078188B" w:rsidRPr="00647BF3">
        <w:rPr>
          <w:rFonts w:asciiTheme="minorHAnsi" w:hAnsiTheme="minorHAnsi" w:cs="Segoe UI"/>
          <w:color w:val="1D2125"/>
          <w:sz w:val="22"/>
          <w:szCs w:val="22"/>
        </w:rPr>
        <w:t xml:space="preserve">statement that </w:t>
      </w:r>
      <w:r w:rsidR="0078188B" w:rsidRPr="00647BF3">
        <w:rPr>
          <w:rFonts w:asciiTheme="minorHAnsi" w:hAnsiTheme="minorHAnsi"/>
          <w:sz w:val="22"/>
          <w:szCs w:val="22"/>
        </w:rPr>
        <w:t>“divine laws such as dietary laws and circumcision are mentioned briefly, but not emphasised.”</w:t>
      </w:r>
      <w:r w:rsidR="0078188B" w:rsidRPr="00647BF3">
        <w:rPr>
          <w:rStyle w:val="FootnoteReference"/>
          <w:rFonts w:asciiTheme="minorHAnsi" w:hAnsiTheme="minorHAnsi"/>
          <w:sz w:val="22"/>
          <w:szCs w:val="22"/>
        </w:rPr>
        <w:footnoteReference w:id="8"/>
      </w:r>
      <w:r w:rsidR="0078188B" w:rsidRPr="00647BF3">
        <w:rPr>
          <w:rFonts w:asciiTheme="minorHAnsi" w:hAnsiTheme="minorHAnsi"/>
          <w:sz w:val="22"/>
          <w:szCs w:val="22"/>
        </w:rPr>
        <w:t xml:space="preserve"> </w:t>
      </w:r>
    </w:p>
    <w:p w14:paraId="3AA7C6A2" w14:textId="7F6F619B" w:rsidR="00BA72E9" w:rsidRDefault="00610C37" w:rsidP="00BA72E9">
      <w:pPr>
        <w:pStyle w:val="NormalWeb"/>
        <w:shd w:val="clear" w:color="auto" w:fill="FFFFFF"/>
        <w:spacing w:before="0" w:beforeAutospacing="0"/>
        <w:rPr>
          <w:rFonts w:asciiTheme="minorHAnsi" w:hAnsiTheme="minorHAnsi"/>
          <w:sz w:val="22"/>
          <w:szCs w:val="22"/>
        </w:rPr>
      </w:pPr>
      <w:r>
        <w:rPr>
          <w:rFonts w:asciiTheme="minorHAnsi" w:hAnsiTheme="minorHAnsi"/>
          <w:sz w:val="22"/>
          <w:szCs w:val="22"/>
        </w:rPr>
        <w:t xml:space="preserve">Removing the accounts of the martyrs in 2 Maccabees, Simkovich’s argument </w:t>
      </w:r>
      <w:r w:rsidR="00F22ED4">
        <w:rPr>
          <w:rFonts w:asciiTheme="minorHAnsi" w:hAnsiTheme="minorHAnsi"/>
          <w:sz w:val="22"/>
          <w:szCs w:val="22"/>
        </w:rPr>
        <w:t>for</w:t>
      </w:r>
      <w:r>
        <w:rPr>
          <w:rFonts w:asciiTheme="minorHAnsi" w:hAnsiTheme="minorHAnsi"/>
          <w:sz w:val="22"/>
          <w:szCs w:val="22"/>
        </w:rPr>
        <w:t xml:space="preserve"> the </w:t>
      </w:r>
      <w:r w:rsidR="00F22ED4">
        <w:rPr>
          <w:rFonts w:asciiTheme="minorHAnsi" w:hAnsiTheme="minorHAnsi"/>
          <w:sz w:val="22"/>
          <w:szCs w:val="22"/>
        </w:rPr>
        <w:t xml:space="preserve">significance </w:t>
      </w:r>
      <w:r w:rsidR="00920979">
        <w:rPr>
          <w:rFonts w:asciiTheme="minorHAnsi" w:hAnsiTheme="minorHAnsi"/>
          <w:sz w:val="22"/>
          <w:szCs w:val="22"/>
        </w:rPr>
        <w:t>of</w:t>
      </w:r>
      <w:r w:rsidR="0069212E">
        <w:rPr>
          <w:rFonts w:asciiTheme="minorHAnsi" w:hAnsiTheme="minorHAnsi"/>
          <w:sz w:val="22"/>
          <w:szCs w:val="22"/>
        </w:rPr>
        <w:t xml:space="preserve"> </w:t>
      </w:r>
      <w:r w:rsidR="00F22ED4">
        <w:rPr>
          <w:rFonts w:asciiTheme="minorHAnsi" w:hAnsiTheme="minorHAnsi"/>
          <w:sz w:val="22"/>
          <w:szCs w:val="22"/>
        </w:rPr>
        <w:t xml:space="preserve">holiday observance and the Temple-centred </w:t>
      </w:r>
      <w:r w:rsidR="009B1D5E">
        <w:rPr>
          <w:rFonts w:asciiTheme="minorHAnsi" w:hAnsiTheme="minorHAnsi"/>
          <w:sz w:val="22"/>
          <w:szCs w:val="22"/>
        </w:rPr>
        <w:t>nature of the book become</w:t>
      </w:r>
      <w:r w:rsidR="00F16A20">
        <w:rPr>
          <w:rFonts w:asciiTheme="minorHAnsi" w:hAnsiTheme="minorHAnsi"/>
          <w:sz w:val="22"/>
          <w:szCs w:val="22"/>
        </w:rPr>
        <w:t>s</w:t>
      </w:r>
      <w:r w:rsidR="009B1D5E">
        <w:rPr>
          <w:rFonts w:asciiTheme="minorHAnsi" w:hAnsiTheme="minorHAnsi"/>
          <w:sz w:val="22"/>
          <w:szCs w:val="22"/>
        </w:rPr>
        <w:t xml:space="preserve"> easier to argue.</w:t>
      </w:r>
      <w:r w:rsidR="00FA189B" w:rsidRPr="00647BF3">
        <w:rPr>
          <w:rFonts w:asciiTheme="minorHAnsi" w:hAnsiTheme="minorHAnsi" w:cs="Segoe UI"/>
          <w:color w:val="1D2125"/>
          <w:sz w:val="22"/>
          <w:szCs w:val="22"/>
        </w:rPr>
        <w:t xml:space="preserve"> Simkovich argues that the </w:t>
      </w:r>
      <w:r w:rsidR="00FA189B">
        <w:rPr>
          <w:rFonts w:asciiTheme="minorHAnsi" w:hAnsiTheme="minorHAnsi" w:cs="Segoe UI"/>
          <w:color w:val="1D2125"/>
          <w:sz w:val="22"/>
          <w:szCs w:val="22"/>
        </w:rPr>
        <w:t>narrator equates</w:t>
      </w:r>
      <w:r w:rsidR="00FA189B" w:rsidRPr="00647BF3">
        <w:rPr>
          <w:rFonts w:asciiTheme="minorHAnsi" w:hAnsiTheme="minorHAnsi" w:cs="Segoe UI"/>
          <w:color w:val="1D2125"/>
          <w:sz w:val="22"/>
          <w:szCs w:val="22"/>
        </w:rPr>
        <w:t xml:space="preserve"> divine law with holiday observance</w:t>
      </w:r>
      <w:r w:rsidR="005C1187">
        <w:rPr>
          <w:rFonts w:asciiTheme="minorHAnsi" w:hAnsiTheme="minorHAnsi" w:cs="Segoe UI"/>
          <w:color w:val="1D2125"/>
          <w:sz w:val="22"/>
          <w:szCs w:val="22"/>
        </w:rPr>
        <w:t>,</w:t>
      </w:r>
      <w:r w:rsidR="00FA189B" w:rsidRPr="00647BF3">
        <w:rPr>
          <w:rStyle w:val="FootnoteReference"/>
          <w:rFonts w:asciiTheme="minorHAnsi" w:hAnsiTheme="minorHAnsi" w:cs="Segoe UI"/>
          <w:color w:val="1D2125"/>
          <w:sz w:val="22"/>
          <w:szCs w:val="22"/>
        </w:rPr>
        <w:footnoteReference w:id="9"/>
      </w:r>
      <w:r w:rsidR="00FA189B" w:rsidRPr="00647BF3">
        <w:rPr>
          <w:rFonts w:asciiTheme="minorHAnsi" w:hAnsiTheme="minorHAnsi" w:cs="Segoe UI"/>
          <w:color w:val="1D2125"/>
          <w:sz w:val="22"/>
          <w:szCs w:val="22"/>
        </w:rPr>
        <w:t xml:space="preserve"> </w:t>
      </w:r>
      <w:r w:rsidR="005C1187">
        <w:rPr>
          <w:rFonts w:asciiTheme="minorHAnsi" w:hAnsiTheme="minorHAnsi" w:cs="Segoe UI"/>
          <w:color w:val="1D2125"/>
          <w:sz w:val="22"/>
          <w:szCs w:val="22"/>
        </w:rPr>
        <w:t>but a key</w:t>
      </w:r>
      <w:r w:rsidR="009B1D5E">
        <w:rPr>
          <w:rFonts w:asciiTheme="minorHAnsi" w:hAnsiTheme="minorHAnsi"/>
          <w:sz w:val="22"/>
          <w:szCs w:val="22"/>
        </w:rPr>
        <w:t xml:space="preserve"> critique of </w:t>
      </w:r>
      <w:r w:rsidR="005C1187">
        <w:rPr>
          <w:rFonts w:asciiTheme="minorHAnsi" w:hAnsiTheme="minorHAnsi"/>
          <w:sz w:val="22"/>
          <w:szCs w:val="22"/>
        </w:rPr>
        <w:t xml:space="preserve">this </w:t>
      </w:r>
      <w:r w:rsidR="009B1D5E">
        <w:rPr>
          <w:rFonts w:asciiTheme="minorHAnsi" w:hAnsiTheme="minorHAnsi"/>
          <w:sz w:val="22"/>
          <w:szCs w:val="22"/>
        </w:rPr>
        <w:t xml:space="preserve">argument is that the </w:t>
      </w:r>
      <w:r w:rsidR="00427856">
        <w:rPr>
          <w:rFonts w:asciiTheme="minorHAnsi" w:hAnsiTheme="minorHAnsi"/>
          <w:sz w:val="22"/>
          <w:szCs w:val="22"/>
        </w:rPr>
        <w:t xml:space="preserve">author’s emphasis </w:t>
      </w:r>
      <w:r w:rsidR="009B1D5E">
        <w:rPr>
          <w:rFonts w:asciiTheme="minorHAnsi" w:hAnsiTheme="minorHAnsi"/>
          <w:sz w:val="22"/>
          <w:szCs w:val="22"/>
        </w:rPr>
        <w:t xml:space="preserve">on forcing festival </w:t>
      </w:r>
      <w:r w:rsidR="00427856">
        <w:rPr>
          <w:rFonts w:asciiTheme="minorHAnsi" w:hAnsiTheme="minorHAnsi"/>
          <w:sz w:val="22"/>
          <w:szCs w:val="22"/>
        </w:rPr>
        <w:t>celebration</w:t>
      </w:r>
      <w:r w:rsidR="00F16A20">
        <w:rPr>
          <w:rFonts w:asciiTheme="minorHAnsi" w:hAnsiTheme="minorHAnsi"/>
          <w:sz w:val="22"/>
          <w:szCs w:val="22"/>
        </w:rPr>
        <w:t>s</w:t>
      </w:r>
      <w:r w:rsidR="00427856">
        <w:rPr>
          <w:rFonts w:asciiTheme="minorHAnsi" w:hAnsiTheme="minorHAnsi"/>
          <w:sz w:val="22"/>
          <w:szCs w:val="22"/>
        </w:rPr>
        <w:t xml:space="preserve"> does not prove holiday focus. </w:t>
      </w:r>
      <w:r w:rsidR="006B5303">
        <w:rPr>
          <w:rFonts w:asciiTheme="minorHAnsi" w:hAnsiTheme="minorHAnsi"/>
          <w:sz w:val="22"/>
          <w:szCs w:val="22"/>
        </w:rPr>
        <w:t xml:space="preserve">2 Maccabees’ </w:t>
      </w:r>
      <w:r w:rsidR="000B02FA">
        <w:rPr>
          <w:rFonts w:asciiTheme="minorHAnsi" w:hAnsiTheme="minorHAnsi"/>
          <w:sz w:val="22"/>
          <w:szCs w:val="22"/>
        </w:rPr>
        <w:t xml:space="preserve">highlighting of </w:t>
      </w:r>
      <w:r w:rsidR="00F16A20">
        <w:rPr>
          <w:rFonts w:asciiTheme="minorHAnsi" w:hAnsiTheme="minorHAnsi"/>
          <w:sz w:val="22"/>
          <w:szCs w:val="22"/>
        </w:rPr>
        <w:t xml:space="preserve">the </w:t>
      </w:r>
      <w:r w:rsidR="000B02FA">
        <w:rPr>
          <w:rFonts w:asciiTheme="minorHAnsi" w:hAnsiTheme="minorHAnsi"/>
          <w:sz w:val="22"/>
          <w:szCs w:val="22"/>
        </w:rPr>
        <w:t xml:space="preserve">forced festival narrative fits with the fact that the diasporan audience </w:t>
      </w:r>
      <w:r w:rsidR="004B4E1D">
        <w:rPr>
          <w:rFonts w:asciiTheme="minorHAnsi" w:hAnsiTheme="minorHAnsi"/>
          <w:sz w:val="22"/>
          <w:szCs w:val="22"/>
        </w:rPr>
        <w:t xml:space="preserve">would be more familiar with Hellenic festivals, thus making imagery of Jews forced to participate in a Dionysian parade more sympathetic to that audience. </w:t>
      </w:r>
    </w:p>
    <w:p w14:paraId="3075A005" w14:textId="32870143" w:rsidR="0078188B" w:rsidRPr="00647BF3" w:rsidRDefault="00BA72E9" w:rsidP="004879CE">
      <w:pPr>
        <w:pStyle w:val="NormalWeb"/>
        <w:shd w:val="clear" w:color="auto" w:fill="FFFFFF"/>
        <w:spacing w:before="0" w:beforeAutospacing="0"/>
        <w:rPr>
          <w:rFonts w:asciiTheme="minorHAnsi" w:hAnsiTheme="minorHAnsi" w:cs="Segoe UI"/>
          <w:color w:val="1D2125"/>
          <w:sz w:val="22"/>
          <w:szCs w:val="22"/>
        </w:rPr>
      </w:pPr>
      <w:r>
        <w:rPr>
          <w:rFonts w:asciiTheme="minorHAnsi" w:hAnsiTheme="minorHAnsi"/>
          <w:sz w:val="22"/>
          <w:szCs w:val="22"/>
        </w:rPr>
        <w:t xml:space="preserve">Simkovich </w:t>
      </w:r>
      <w:r w:rsidR="0077322D">
        <w:rPr>
          <w:rFonts w:asciiTheme="minorHAnsi" w:hAnsiTheme="minorHAnsi"/>
          <w:sz w:val="22"/>
          <w:szCs w:val="22"/>
        </w:rPr>
        <w:t xml:space="preserve">specifically argues </w:t>
      </w:r>
      <w:r>
        <w:rPr>
          <w:rFonts w:asciiTheme="minorHAnsi" w:hAnsiTheme="minorHAnsi"/>
          <w:sz w:val="22"/>
          <w:szCs w:val="22"/>
        </w:rPr>
        <w:t>that the narrator mention</w:t>
      </w:r>
      <w:r w:rsidR="00F16A20">
        <w:rPr>
          <w:rFonts w:asciiTheme="minorHAnsi" w:hAnsiTheme="minorHAnsi"/>
          <w:sz w:val="22"/>
          <w:szCs w:val="22"/>
        </w:rPr>
        <w:t>s</w:t>
      </w:r>
      <w:r>
        <w:rPr>
          <w:rFonts w:asciiTheme="minorHAnsi" w:hAnsiTheme="minorHAnsi"/>
          <w:sz w:val="22"/>
          <w:szCs w:val="22"/>
        </w:rPr>
        <w:t xml:space="preserve"> Jewish holiday observance fifteen times</w:t>
      </w:r>
      <w:r w:rsidR="0077322D">
        <w:rPr>
          <w:rFonts w:asciiTheme="minorHAnsi" w:hAnsiTheme="minorHAnsi"/>
          <w:sz w:val="22"/>
          <w:szCs w:val="22"/>
        </w:rPr>
        <w:t xml:space="preserve"> </w:t>
      </w:r>
      <w:r w:rsidR="004879CE">
        <w:rPr>
          <w:rFonts w:asciiTheme="minorHAnsi" w:hAnsiTheme="minorHAnsi"/>
          <w:sz w:val="22"/>
          <w:szCs w:val="22"/>
        </w:rPr>
        <w:t>compared with far few</w:t>
      </w:r>
      <w:r w:rsidR="00F16A20">
        <w:rPr>
          <w:rFonts w:asciiTheme="minorHAnsi" w:hAnsiTheme="minorHAnsi"/>
          <w:sz w:val="22"/>
          <w:szCs w:val="22"/>
        </w:rPr>
        <w:t>er</w:t>
      </w:r>
      <w:r w:rsidR="004879CE">
        <w:rPr>
          <w:rFonts w:asciiTheme="minorHAnsi" w:hAnsiTheme="minorHAnsi"/>
          <w:sz w:val="22"/>
          <w:szCs w:val="22"/>
        </w:rPr>
        <w:t xml:space="preserve"> mentions of other biblical customs correlates with the importance of festivals to the author of 2 Maccabees. She then goes on to create a table of data delineating all mentions of the Law, for </w:t>
      </w:r>
      <w:r w:rsidR="00FC4A87" w:rsidRPr="00647BF3">
        <w:rPr>
          <w:rFonts w:asciiTheme="minorHAnsi" w:hAnsiTheme="minorHAnsi" w:cs="Segoe UI"/>
          <w:color w:val="1D2125"/>
          <w:sz w:val="22"/>
          <w:szCs w:val="22"/>
        </w:rPr>
        <w:t xml:space="preserve">example, in </w:t>
      </w:r>
      <w:r w:rsidR="004879CE">
        <w:rPr>
          <w:rFonts w:asciiTheme="minorHAnsi" w:hAnsiTheme="minorHAnsi" w:cs="Segoe UI"/>
          <w:color w:val="1D2125"/>
          <w:sz w:val="22"/>
          <w:szCs w:val="22"/>
        </w:rPr>
        <w:t xml:space="preserve">both </w:t>
      </w:r>
      <w:r w:rsidR="00FC4A87" w:rsidRPr="00647BF3">
        <w:rPr>
          <w:rFonts w:asciiTheme="minorHAnsi" w:hAnsiTheme="minorHAnsi" w:cs="Segoe UI"/>
          <w:color w:val="1D2125"/>
          <w:sz w:val="22"/>
          <w:szCs w:val="22"/>
        </w:rPr>
        <w:t>1 and 2 Maccabees to compare the</w:t>
      </w:r>
      <w:r w:rsidR="004879CE">
        <w:rPr>
          <w:rFonts w:asciiTheme="minorHAnsi" w:hAnsiTheme="minorHAnsi" w:cs="Segoe UI"/>
          <w:color w:val="1D2125"/>
          <w:sz w:val="22"/>
          <w:szCs w:val="22"/>
        </w:rPr>
        <w:t>m.</w:t>
      </w:r>
      <w:r w:rsidR="00FC4A87" w:rsidRPr="00647BF3">
        <w:rPr>
          <w:rStyle w:val="FootnoteReference"/>
          <w:rFonts w:asciiTheme="minorHAnsi" w:hAnsiTheme="minorHAnsi" w:cs="Segoe UI"/>
          <w:color w:val="1D2125"/>
          <w:sz w:val="22"/>
          <w:szCs w:val="22"/>
        </w:rPr>
        <w:footnoteReference w:id="10"/>
      </w:r>
      <w:r w:rsidR="00FC4A87" w:rsidRPr="00647BF3">
        <w:rPr>
          <w:rFonts w:asciiTheme="minorHAnsi" w:hAnsiTheme="minorHAnsi" w:cs="Segoe UI"/>
          <w:color w:val="1D2125"/>
          <w:sz w:val="22"/>
          <w:szCs w:val="22"/>
        </w:rPr>
        <w:t xml:space="preserve"> Simkovich acknowledges some key issues with the presentation of this data that mean these comparisons have limited analytical value, highlighting that they “provide no context for these citations”</w:t>
      </w:r>
      <w:r w:rsidR="00F16A20">
        <w:rPr>
          <w:rFonts w:asciiTheme="minorHAnsi" w:hAnsiTheme="minorHAnsi" w:cs="Segoe UI"/>
          <w:color w:val="1D2125"/>
          <w:sz w:val="22"/>
          <w:szCs w:val="22"/>
        </w:rPr>
        <w:t>,</w:t>
      </w:r>
      <w:r w:rsidR="00FC4A87" w:rsidRPr="00647BF3">
        <w:rPr>
          <w:rStyle w:val="FootnoteReference"/>
          <w:rFonts w:asciiTheme="minorHAnsi" w:hAnsiTheme="minorHAnsi" w:cs="Segoe UI"/>
          <w:color w:val="1D2125"/>
          <w:sz w:val="22"/>
          <w:szCs w:val="22"/>
        </w:rPr>
        <w:footnoteReference w:id="11"/>
      </w:r>
      <w:r w:rsidR="00FC4A87" w:rsidRPr="00647BF3">
        <w:rPr>
          <w:rFonts w:asciiTheme="minorHAnsi" w:hAnsiTheme="minorHAnsi" w:cs="Segoe UI"/>
          <w:color w:val="1D2125"/>
          <w:sz w:val="22"/>
          <w:szCs w:val="22"/>
        </w:rPr>
        <w:t xml:space="preserve"> so the reader cannot know whether each of the references listed </w:t>
      </w:r>
      <w:r w:rsidR="00F16A20">
        <w:rPr>
          <w:rFonts w:asciiTheme="minorHAnsi" w:hAnsiTheme="minorHAnsi" w:cs="Segoe UI"/>
          <w:color w:val="1D2125"/>
          <w:sz w:val="22"/>
          <w:szCs w:val="22"/>
        </w:rPr>
        <w:t>is</w:t>
      </w:r>
      <w:r w:rsidR="00FC4A87" w:rsidRPr="00647BF3">
        <w:rPr>
          <w:rFonts w:asciiTheme="minorHAnsi" w:hAnsiTheme="minorHAnsi" w:cs="Segoe UI"/>
          <w:color w:val="1D2125"/>
          <w:sz w:val="22"/>
          <w:szCs w:val="22"/>
        </w:rPr>
        <w:t xml:space="preserve"> mentioned briefly or central to the narrative.</w:t>
      </w:r>
      <w:r w:rsidR="00FC4A87" w:rsidRPr="00647BF3">
        <w:rPr>
          <w:rStyle w:val="FootnoteReference"/>
          <w:rFonts w:asciiTheme="minorHAnsi" w:hAnsiTheme="minorHAnsi" w:cs="Segoe UI"/>
          <w:color w:val="1D2125"/>
          <w:sz w:val="22"/>
          <w:szCs w:val="22"/>
        </w:rPr>
        <w:footnoteReference w:id="12"/>
      </w:r>
      <w:r w:rsidR="00FC4A87" w:rsidRPr="00647BF3">
        <w:rPr>
          <w:rFonts w:asciiTheme="minorHAnsi" w:hAnsiTheme="minorHAnsi" w:cs="Segoe UI"/>
          <w:color w:val="1D2125"/>
          <w:sz w:val="22"/>
          <w:szCs w:val="22"/>
        </w:rPr>
        <w:t xml:space="preserve"> However, acknowledging this limitation does not rectify the issues with the data presented, and Simkovich’s conclusions from the list therefore do not hold weight as they are drawn from ineffective evidence</w:t>
      </w:r>
      <w:r w:rsidR="004879CE">
        <w:rPr>
          <w:rFonts w:asciiTheme="minorHAnsi" w:hAnsiTheme="minorHAnsi" w:cs="Segoe UI"/>
          <w:color w:val="1D2125"/>
          <w:sz w:val="22"/>
          <w:szCs w:val="22"/>
        </w:rPr>
        <w:t>.</w:t>
      </w:r>
    </w:p>
    <w:p w14:paraId="554D6497" w14:textId="0CCD52AC" w:rsidR="00A63203" w:rsidRDefault="00E4332B">
      <w:r w:rsidRPr="00647BF3">
        <w:t xml:space="preserve">Simkovich argues that 2 Maccabees is an attempt to “combat the infiltration of Greek culture into </w:t>
      </w:r>
      <w:r w:rsidR="00E57473" w:rsidRPr="00647BF3">
        <w:t>his Jewish diasporan community.”</w:t>
      </w:r>
      <w:r w:rsidR="00E57473" w:rsidRPr="00647BF3">
        <w:rPr>
          <w:rStyle w:val="FootnoteReference"/>
        </w:rPr>
        <w:footnoteReference w:id="13"/>
      </w:r>
      <w:r w:rsidR="00E57473" w:rsidRPr="00647BF3">
        <w:t xml:space="preserve"> However, countless scholars including Schwartz have pointed to the frequent use of Greek literary tropes and allusions</w:t>
      </w:r>
      <w:r w:rsidR="00716865" w:rsidRPr="00647BF3">
        <w:t>.</w:t>
      </w:r>
      <w:r w:rsidR="00716865" w:rsidRPr="00647BF3">
        <w:rPr>
          <w:rStyle w:val="FootnoteReference"/>
        </w:rPr>
        <w:footnoteReference w:id="14"/>
      </w:r>
      <w:r w:rsidR="00716865" w:rsidRPr="00647BF3">
        <w:t xml:space="preserve"> </w:t>
      </w:r>
      <w:r w:rsidR="00B67F29" w:rsidRPr="00647BF3">
        <w:t xml:space="preserve">Simkovich also contradicts themselves here because of their focus on 2 Maccabees’ invoking of a Greek style </w:t>
      </w:r>
      <w:r w:rsidR="00B67F29" w:rsidRPr="00647BF3">
        <w:rPr>
          <w:i/>
          <w:iCs/>
        </w:rPr>
        <w:t xml:space="preserve">pathos </w:t>
      </w:r>
      <w:r w:rsidR="00B67F29" w:rsidRPr="00647BF3">
        <w:t>and influence of Greek drama</w:t>
      </w:r>
      <w:r w:rsidR="00467A44" w:rsidRPr="00647BF3">
        <w:t>; if the author of 2 Maccabees was</w:t>
      </w:r>
      <w:r w:rsidR="002B196C" w:rsidRPr="00647BF3">
        <w:t xml:space="preserve"> making a deliberate attempt to </w:t>
      </w:r>
      <w:r w:rsidR="002B196C" w:rsidRPr="00647BF3">
        <w:lastRenderedPageBreak/>
        <w:t xml:space="preserve">combat Hellenistic cultural influence, the </w:t>
      </w:r>
      <w:r w:rsidR="00A903F4" w:rsidRPr="00647BF3">
        <w:t>inclusion of complex Greek literary references would</w:t>
      </w:r>
      <w:r w:rsidR="00E164C7" w:rsidRPr="00647BF3">
        <w:t xml:space="preserve"> </w:t>
      </w:r>
      <w:r w:rsidR="00A75FC2">
        <w:t>be detrimental to that aim</w:t>
      </w:r>
      <w:r w:rsidR="00E164C7" w:rsidRPr="00647BF3">
        <w:t xml:space="preserve">. </w:t>
      </w:r>
    </w:p>
    <w:p w14:paraId="1EA2AEA3" w14:textId="7B6D53D2" w:rsidR="00C21965" w:rsidRPr="00647BF3" w:rsidRDefault="00C21965" w:rsidP="00C21965">
      <w:r>
        <w:t>Habicht has argued that “the Greek literary form of 2 Maccabees represents more than superficial Greek influence,”</w:t>
      </w:r>
      <w:r>
        <w:rPr>
          <w:rStyle w:val="FootnoteReference"/>
        </w:rPr>
        <w:footnoteReference w:id="15"/>
      </w:r>
      <w:r>
        <w:t xml:space="preserve"> and Himmelfarb posited that “2 Maccabees does not simply borrow but rather transforms these Greek categories as it integrates them into Judaism.”</w:t>
      </w:r>
      <w:r>
        <w:rPr>
          <w:rStyle w:val="FootnoteReference"/>
        </w:rPr>
        <w:footnoteReference w:id="16"/>
      </w:r>
      <w:r>
        <w:t xml:space="preserve"> The incorporation of features of Hellenistic historical writing such as its melodramatic style and the presentation of Jerusalem as a </w:t>
      </w:r>
      <w:r w:rsidRPr="0078188B">
        <w:rPr>
          <w:i/>
          <w:iCs/>
        </w:rPr>
        <w:t>polis</w:t>
      </w:r>
      <w:r>
        <w:t xml:space="preserve"> reflects “a transformation that goes beyond the inevitable effect of form on content.”</w:t>
      </w:r>
      <w:r>
        <w:rPr>
          <w:rStyle w:val="FootnoteReference"/>
        </w:rPr>
        <w:footnoteReference w:id="17"/>
      </w:r>
      <w:r w:rsidR="00716E1E">
        <w:t xml:space="preserve"> This contradicts Simkovich’s description of the Hellenistic references in 2 Maccabees as a case of “accidental modernism</w:t>
      </w:r>
      <w:r w:rsidR="008E2442">
        <w:t>”.</w:t>
      </w:r>
      <w:r w:rsidR="008E2442">
        <w:rPr>
          <w:rStyle w:val="FootnoteReference"/>
        </w:rPr>
        <w:footnoteReference w:id="18"/>
      </w:r>
    </w:p>
    <w:p w14:paraId="31EE3121" w14:textId="59AC0015" w:rsidR="0078188B" w:rsidRDefault="00E164C7" w:rsidP="00DC239E">
      <w:r w:rsidRPr="00647BF3">
        <w:t>Simkovich refers to the abridger as “anti-Hellenist”</w:t>
      </w:r>
      <w:r w:rsidRPr="00647BF3">
        <w:rPr>
          <w:rStyle w:val="FootnoteReference"/>
        </w:rPr>
        <w:footnoteReference w:id="19"/>
      </w:r>
      <w:r w:rsidR="00BB7000">
        <w:t xml:space="preserve">, which as a label conveys no nuance. </w:t>
      </w:r>
      <w:r w:rsidR="00547753">
        <w:t>Himmelfarb argued that 2 Maccabees does not characterise Hellenism as evil in itself, only detrimental if it leads Jews away from their traditional way of life.</w:t>
      </w:r>
      <w:r w:rsidR="004473B3">
        <w:rPr>
          <w:rStyle w:val="FootnoteReference"/>
        </w:rPr>
        <w:footnoteReference w:id="20"/>
      </w:r>
      <w:r w:rsidR="00507C36">
        <w:t xml:space="preserve"> </w:t>
      </w:r>
      <w:r w:rsidR="00C21965" w:rsidRPr="00647BF3">
        <w:t xml:space="preserve">Simkovich argues that exploring the </w:t>
      </w:r>
      <w:r w:rsidR="00C21965">
        <w:t>Hellenistic features within</w:t>
      </w:r>
      <w:r w:rsidR="00C21965" w:rsidRPr="00647BF3">
        <w:t xml:space="preserve"> 2 Maccabees is “not within the scope of the paper”</w:t>
      </w:r>
      <w:r w:rsidR="00C21965" w:rsidRPr="00647BF3">
        <w:rPr>
          <w:rStyle w:val="FootnoteReference"/>
        </w:rPr>
        <w:footnoteReference w:id="21"/>
      </w:r>
      <w:r w:rsidR="00C21965" w:rsidRPr="00647BF3">
        <w:t xml:space="preserve"> but this would have allowed for a more expanded view of the Hellenistic impact on the text. An analysis to determine how deliberate these inclusions may have been would have aided the comprehensiveness of this paper, even if only explored briefly. </w:t>
      </w:r>
    </w:p>
    <w:p w14:paraId="151EE62C" w14:textId="1109FE57" w:rsidR="00DC239E" w:rsidRDefault="006E645F" w:rsidP="005A7970">
      <w:pPr>
        <w:pStyle w:val="NormalWeb"/>
        <w:shd w:val="clear" w:color="auto" w:fill="FFFFFF"/>
        <w:spacing w:before="0" w:beforeAutospacing="0"/>
        <w:rPr>
          <w:rFonts w:asciiTheme="minorHAnsi" w:hAnsiTheme="minorHAnsi" w:cs="Segoe UI"/>
          <w:color w:val="1D2125"/>
          <w:sz w:val="22"/>
          <w:szCs w:val="22"/>
        </w:rPr>
      </w:pPr>
      <w:r>
        <w:rPr>
          <w:rFonts w:asciiTheme="minorHAnsi" w:hAnsiTheme="minorHAnsi" w:cs="Segoe UI"/>
          <w:color w:val="1D2125"/>
          <w:sz w:val="22"/>
          <w:szCs w:val="22"/>
        </w:rPr>
        <w:t>Overall, Simkovich’s arguments are</w:t>
      </w:r>
      <w:r w:rsidR="00AC0390">
        <w:rPr>
          <w:rFonts w:asciiTheme="minorHAnsi" w:hAnsiTheme="minorHAnsi" w:cs="Segoe UI"/>
          <w:color w:val="1D2125"/>
          <w:sz w:val="22"/>
          <w:szCs w:val="22"/>
        </w:rPr>
        <w:t xml:space="preserve"> unconvincing. </w:t>
      </w:r>
      <w:r w:rsidR="00F16A20">
        <w:rPr>
          <w:rFonts w:asciiTheme="minorHAnsi" w:hAnsiTheme="minorHAnsi" w:cs="Segoe UI"/>
          <w:color w:val="1D2125"/>
          <w:sz w:val="22"/>
          <w:szCs w:val="22"/>
        </w:rPr>
        <w:t>The i</w:t>
      </w:r>
      <w:r w:rsidR="00DC239E" w:rsidRPr="00647BF3">
        <w:rPr>
          <w:rFonts w:asciiTheme="minorHAnsi" w:hAnsiTheme="minorHAnsi" w:cs="Segoe UI"/>
          <w:color w:val="1D2125"/>
          <w:sz w:val="22"/>
          <w:szCs w:val="22"/>
        </w:rPr>
        <w:t xml:space="preserve">ntroduction of contextual information such as the Diasporan context of the 2 Maccabees’ authorship and the focus on prayer lends insight into reasoning for the differences between 1 and 2 Maccabees. </w:t>
      </w:r>
      <w:r w:rsidR="00AC0390">
        <w:rPr>
          <w:rFonts w:asciiTheme="minorHAnsi" w:hAnsiTheme="minorHAnsi" w:cs="Segoe UI"/>
          <w:color w:val="1D2125"/>
          <w:sz w:val="22"/>
          <w:szCs w:val="22"/>
        </w:rPr>
        <w:t>However, w</w:t>
      </w:r>
      <w:r w:rsidR="005A7970" w:rsidRPr="00647BF3">
        <w:rPr>
          <w:rFonts w:asciiTheme="minorHAnsi" w:hAnsiTheme="minorHAnsi" w:cs="Segoe UI"/>
          <w:color w:val="1D2125"/>
          <w:sz w:val="22"/>
          <w:szCs w:val="22"/>
        </w:rPr>
        <w:t xml:space="preserve">hile addressing the Hellenistic influence on 2 Maccabees, the paper fails to adequately engage with essential aspects of the text, raising concerns about its overall comprehensiveness. The methodological approach employed in this paper </w:t>
      </w:r>
      <w:r w:rsidR="005A7970">
        <w:rPr>
          <w:rFonts w:asciiTheme="minorHAnsi" w:hAnsiTheme="minorHAnsi" w:cs="Segoe UI"/>
          <w:color w:val="1D2125"/>
          <w:sz w:val="22"/>
          <w:szCs w:val="22"/>
        </w:rPr>
        <w:t xml:space="preserve">also </w:t>
      </w:r>
      <w:r w:rsidR="005A7970" w:rsidRPr="00647BF3">
        <w:rPr>
          <w:rFonts w:asciiTheme="minorHAnsi" w:hAnsiTheme="minorHAnsi" w:cs="Segoe UI"/>
          <w:color w:val="1D2125"/>
          <w:sz w:val="22"/>
          <w:szCs w:val="22"/>
        </w:rPr>
        <w:t xml:space="preserve">raises concerns regarding </w:t>
      </w:r>
      <w:r w:rsidR="00F16A20">
        <w:rPr>
          <w:rFonts w:asciiTheme="minorHAnsi" w:hAnsiTheme="minorHAnsi" w:cs="Segoe UI"/>
          <w:color w:val="1D2125"/>
          <w:sz w:val="22"/>
          <w:szCs w:val="22"/>
        </w:rPr>
        <w:t xml:space="preserve">the </w:t>
      </w:r>
      <w:r w:rsidR="005A7970" w:rsidRPr="00647BF3">
        <w:rPr>
          <w:rFonts w:asciiTheme="minorHAnsi" w:hAnsiTheme="minorHAnsi" w:cs="Segoe UI"/>
          <w:color w:val="1D2125"/>
          <w:sz w:val="22"/>
          <w:szCs w:val="22"/>
        </w:rPr>
        <w:t xml:space="preserve">data listing’s suitability for capturing </w:t>
      </w:r>
      <w:r w:rsidR="00F16A20">
        <w:rPr>
          <w:rFonts w:asciiTheme="minorHAnsi" w:hAnsiTheme="minorHAnsi" w:cs="Segoe UI"/>
          <w:color w:val="1D2125"/>
          <w:sz w:val="22"/>
          <w:szCs w:val="22"/>
        </w:rPr>
        <w:t xml:space="preserve">the </w:t>
      </w:r>
      <w:r w:rsidR="005A7970" w:rsidRPr="00647BF3">
        <w:rPr>
          <w:rFonts w:asciiTheme="minorHAnsi" w:hAnsiTheme="minorHAnsi" w:cs="Segoe UI"/>
          <w:color w:val="1D2125"/>
          <w:sz w:val="22"/>
          <w:szCs w:val="22"/>
        </w:rPr>
        <w:t xml:space="preserve">complexity inherent in biblical analysis. </w:t>
      </w:r>
      <w:r w:rsidR="00647BF3" w:rsidRPr="00647BF3">
        <w:rPr>
          <w:rFonts w:asciiTheme="minorHAnsi" w:hAnsiTheme="minorHAnsi" w:cs="Segoe UI"/>
          <w:color w:val="1D2125"/>
          <w:sz w:val="22"/>
          <w:szCs w:val="22"/>
        </w:rPr>
        <w:t xml:space="preserve">Despite its limitations, this paper could serve as a foundation for further exploration, provided that future research addresses the gaps in the exploration of laws such as circumcision that have a great deal of influence on the events of 2 Maccabees. </w:t>
      </w:r>
    </w:p>
    <w:p w14:paraId="11E341DC" w14:textId="77777777" w:rsidR="0037557F" w:rsidRDefault="0037557F" w:rsidP="005A7970">
      <w:pPr>
        <w:pStyle w:val="NormalWeb"/>
        <w:shd w:val="clear" w:color="auto" w:fill="FFFFFF"/>
        <w:spacing w:before="0" w:beforeAutospacing="0"/>
        <w:rPr>
          <w:rFonts w:asciiTheme="minorHAnsi" w:hAnsiTheme="minorHAnsi" w:cs="Segoe UI"/>
          <w:color w:val="1D2125"/>
          <w:sz w:val="22"/>
          <w:szCs w:val="22"/>
        </w:rPr>
      </w:pPr>
    </w:p>
    <w:p w14:paraId="16FE3A82" w14:textId="77777777" w:rsidR="0037557F" w:rsidRDefault="0037557F" w:rsidP="005A7970">
      <w:pPr>
        <w:pStyle w:val="NormalWeb"/>
        <w:shd w:val="clear" w:color="auto" w:fill="FFFFFF"/>
        <w:spacing w:before="0" w:beforeAutospacing="0"/>
        <w:rPr>
          <w:rFonts w:asciiTheme="minorHAnsi" w:hAnsiTheme="minorHAnsi" w:cs="Segoe UI"/>
          <w:color w:val="1D2125"/>
          <w:sz w:val="22"/>
          <w:szCs w:val="22"/>
        </w:rPr>
      </w:pPr>
    </w:p>
    <w:p w14:paraId="446FC4A7" w14:textId="77777777" w:rsidR="0037557F" w:rsidRDefault="0037557F" w:rsidP="005A7970">
      <w:pPr>
        <w:pStyle w:val="NormalWeb"/>
        <w:shd w:val="clear" w:color="auto" w:fill="FFFFFF"/>
        <w:spacing w:before="0" w:beforeAutospacing="0"/>
        <w:rPr>
          <w:rFonts w:asciiTheme="minorHAnsi" w:hAnsiTheme="minorHAnsi" w:cs="Segoe UI"/>
          <w:color w:val="1D2125"/>
          <w:sz w:val="22"/>
          <w:szCs w:val="22"/>
        </w:rPr>
      </w:pPr>
    </w:p>
    <w:p w14:paraId="13132B57" w14:textId="77777777" w:rsidR="0037557F" w:rsidRDefault="0037557F" w:rsidP="005A7970">
      <w:pPr>
        <w:pStyle w:val="NormalWeb"/>
        <w:shd w:val="clear" w:color="auto" w:fill="FFFFFF"/>
        <w:spacing w:before="0" w:beforeAutospacing="0"/>
        <w:rPr>
          <w:rFonts w:asciiTheme="minorHAnsi" w:hAnsiTheme="minorHAnsi" w:cs="Segoe UI"/>
          <w:color w:val="1D2125"/>
          <w:sz w:val="22"/>
          <w:szCs w:val="22"/>
        </w:rPr>
      </w:pPr>
    </w:p>
    <w:p w14:paraId="7D62AADB" w14:textId="77777777" w:rsidR="0037557F" w:rsidRDefault="0037557F" w:rsidP="005A7970">
      <w:pPr>
        <w:pStyle w:val="NormalWeb"/>
        <w:shd w:val="clear" w:color="auto" w:fill="FFFFFF"/>
        <w:spacing w:before="0" w:beforeAutospacing="0"/>
        <w:rPr>
          <w:rFonts w:asciiTheme="minorHAnsi" w:hAnsiTheme="minorHAnsi" w:cs="Segoe UI"/>
          <w:color w:val="1D2125"/>
          <w:sz w:val="22"/>
          <w:szCs w:val="22"/>
        </w:rPr>
      </w:pPr>
    </w:p>
    <w:p w14:paraId="65FFA67B" w14:textId="77777777" w:rsidR="0037557F" w:rsidRDefault="0037557F" w:rsidP="005A7970">
      <w:pPr>
        <w:pStyle w:val="NormalWeb"/>
        <w:shd w:val="clear" w:color="auto" w:fill="FFFFFF"/>
        <w:spacing w:before="0" w:beforeAutospacing="0"/>
        <w:rPr>
          <w:rFonts w:asciiTheme="minorHAnsi" w:hAnsiTheme="minorHAnsi" w:cs="Segoe UI"/>
          <w:color w:val="1D2125"/>
          <w:sz w:val="22"/>
          <w:szCs w:val="22"/>
        </w:rPr>
      </w:pPr>
    </w:p>
    <w:p w14:paraId="1470EE3F" w14:textId="77777777" w:rsidR="0037557F" w:rsidRDefault="0037557F" w:rsidP="005A7970">
      <w:pPr>
        <w:pStyle w:val="NormalWeb"/>
        <w:shd w:val="clear" w:color="auto" w:fill="FFFFFF"/>
        <w:spacing w:before="0" w:beforeAutospacing="0"/>
        <w:rPr>
          <w:rFonts w:asciiTheme="minorHAnsi" w:hAnsiTheme="minorHAnsi" w:cs="Segoe UI"/>
          <w:color w:val="1D2125"/>
          <w:sz w:val="22"/>
          <w:szCs w:val="22"/>
        </w:rPr>
      </w:pPr>
    </w:p>
    <w:p w14:paraId="10E2D4CE" w14:textId="77777777" w:rsidR="0037557F" w:rsidRPr="0037557F" w:rsidRDefault="0037557F" w:rsidP="0037557F">
      <w:pPr>
        <w:spacing w:after="240" w:line="240" w:lineRule="auto"/>
        <w:outlineLvl w:val="0"/>
        <w:rPr>
          <w:rFonts w:eastAsia="Times New Roman" w:cs="Times New Roman"/>
          <w:kern w:val="36"/>
          <w:sz w:val="32"/>
          <w:szCs w:val="32"/>
          <w:lang w:eastAsia="en-GB" w:bidi="he-IL"/>
          <w14:ligatures w14:val="none"/>
        </w:rPr>
      </w:pPr>
      <w:r w:rsidRPr="0037557F">
        <w:rPr>
          <w:rFonts w:eastAsia="Times New Roman" w:cs="Times New Roman"/>
          <w:kern w:val="36"/>
          <w:sz w:val="32"/>
          <w:szCs w:val="32"/>
          <w:lang w:eastAsia="en-GB" w:bidi="he-IL"/>
          <w14:ligatures w14:val="none"/>
        </w:rPr>
        <w:lastRenderedPageBreak/>
        <w:t>Bibliography</w:t>
      </w:r>
    </w:p>
    <w:p w14:paraId="690A9AE1" w14:textId="77777777" w:rsidR="0037557F" w:rsidRPr="0037557F" w:rsidRDefault="0037557F" w:rsidP="0037557F">
      <w:pPr>
        <w:spacing w:after="240" w:line="240" w:lineRule="auto"/>
        <w:ind w:hanging="720"/>
        <w:rPr>
          <w:rFonts w:eastAsia="Times New Roman" w:cs="Times New Roman"/>
          <w:kern w:val="0"/>
          <w:lang w:eastAsia="en-GB" w:bidi="he-IL"/>
          <w14:ligatures w14:val="none"/>
        </w:rPr>
      </w:pPr>
      <w:r w:rsidRPr="0037557F">
        <w:rPr>
          <w:rFonts w:eastAsia="Times New Roman" w:cs="Times New Roman"/>
          <w:kern w:val="0"/>
          <w:lang w:eastAsia="en-GB" w:bidi="he-IL"/>
          <w14:ligatures w14:val="none"/>
        </w:rPr>
        <w:t xml:space="preserve">Baran, Grzegorz M., ‘The Jewish Community and the Hellenistic Culture in the Light of the Books of the Maccabees’, </w:t>
      </w:r>
      <w:proofErr w:type="spellStart"/>
      <w:r w:rsidRPr="0037557F">
        <w:rPr>
          <w:rFonts w:eastAsia="Times New Roman" w:cs="Times New Roman"/>
          <w:i/>
          <w:iCs/>
          <w:kern w:val="0"/>
          <w:lang w:eastAsia="en-GB" w:bidi="he-IL"/>
          <w14:ligatures w14:val="none"/>
        </w:rPr>
        <w:t>Teologia</w:t>
      </w:r>
      <w:proofErr w:type="spellEnd"/>
      <w:r w:rsidRPr="0037557F">
        <w:rPr>
          <w:rFonts w:eastAsia="Times New Roman" w:cs="Times New Roman"/>
          <w:i/>
          <w:iCs/>
          <w:kern w:val="0"/>
          <w:lang w:eastAsia="en-GB" w:bidi="he-IL"/>
          <w14:ligatures w14:val="none"/>
        </w:rPr>
        <w:t xml:space="preserve"> I </w:t>
      </w:r>
      <w:proofErr w:type="spellStart"/>
      <w:r w:rsidRPr="0037557F">
        <w:rPr>
          <w:rFonts w:eastAsia="Times New Roman" w:cs="Times New Roman"/>
          <w:i/>
          <w:iCs/>
          <w:kern w:val="0"/>
          <w:lang w:eastAsia="en-GB" w:bidi="he-IL"/>
          <w14:ligatures w14:val="none"/>
        </w:rPr>
        <w:t>Człowiek</w:t>
      </w:r>
      <w:proofErr w:type="spellEnd"/>
      <w:r w:rsidRPr="0037557F">
        <w:rPr>
          <w:rFonts w:eastAsia="Times New Roman" w:cs="Times New Roman"/>
          <w:kern w:val="0"/>
          <w:lang w:eastAsia="en-GB" w:bidi="he-IL"/>
          <w14:ligatures w14:val="none"/>
        </w:rPr>
        <w:t>, 25.1 (2014), 55 &lt;https://doi.org/10.12775/ticz.2014.003&gt;</w:t>
      </w:r>
    </w:p>
    <w:p w14:paraId="56E4A4D8" w14:textId="77777777" w:rsidR="0037557F" w:rsidRPr="0037557F" w:rsidRDefault="0037557F" w:rsidP="0037557F">
      <w:pPr>
        <w:spacing w:after="240" w:line="240" w:lineRule="auto"/>
        <w:ind w:hanging="720"/>
        <w:rPr>
          <w:rFonts w:eastAsia="Times New Roman" w:cs="Times New Roman"/>
          <w:kern w:val="0"/>
          <w:lang w:eastAsia="en-GB" w:bidi="he-IL"/>
          <w14:ligatures w14:val="none"/>
        </w:rPr>
      </w:pPr>
      <w:r w:rsidRPr="0037557F">
        <w:rPr>
          <w:rFonts w:eastAsia="Times New Roman" w:cs="Times New Roman"/>
          <w:kern w:val="0"/>
          <w:lang w:eastAsia="en-GB" w:bidi="he-IL"/>
          <w14:ligatures w14:val="none"/>
        </w:rPr>
        <w:t xml:space="preserve">Himmelfarb, Martha, ‘Judaism and Hellenism in 2 Maccabees’, </w:t>
      </w:r>
      <w:r w:rsidRPr="0037557F">
        <w:rPr>
          <w:rFonts w:eastAsia="Times New Roman" w:cs="Times New Roman"/>
          <w:i/>
          <w:iCs/>
          <w:kern w:val="0"/>
          <w:lang w:eastAsia="en-GB" w:bidi="he-IL"/>
          <w14:ligatures w14:val="none"/>
        </w:rPr>
        <w:t>Poetics Today</w:t>
      </w:r>
      <w:r w:rsidRPr="0037557F">
        <w:rPr>
          <w:rFonts w:eastAsia="Times New Roman" w:cs="Times New Roman"/>
          <w:kern w:val="0"/>
          <w:lang w:eastAsia="en-GB" w:bidi="he-IL"/>
          <w14:ligatures w14:val="none"/>
        </w:rPr>
        <w:t>, 19.1 (1998), 19 &lt;https://doi.org/10.2307/1773110&gt;</w:t>
      </w:r>
    </w:p>
    <w:p w14:paraId="1C94DD05" w14:textId="77777777" w:rsidR="0037557F" w:rsidRPr="0037557F" w:rsidRDefault="0037557F" w:rsidP="0037557F">
      <w:pPr>
        <w:spacing w:after="240" w:line="240" w:lineRule="auto"/>
        <w:ind w:hanging="720"/>
        <w:rPr>
          <w:rFonts w:eastAsia="Times New Roman" w:cs="Times New Roman"/>
          <w:kern w:val="0"/>
          <w:lang w:eastAsia="en-GB" w:bidi="he-IL"/>
          <w14:ligatures w14:val="none"/>
        </w:rPr>
      </w:pPr>
      <w:r w:rsidRPr="0037557F">
        <w:rPr>
          <w:rFonts w:eastAsia="Times New Roman" w:cs="Times New Roman"/>
          <w:kern w:val="0"/>
          <w:lang w:eastAsia="en-GB" w:bidi="he-IL"/>
          <w14:ligatures w14:val="none"/>
        </w:rPr>
        <w:t xml:space="preserve">Schwartz, Daniel R, ‘Judean Historiography vs. Jewish Historiography: The First and Second Books of Maccabees’, in </w:t>
      </w:r>
      <w:r w:rsidRPr="0037557F">
        <w:rPr>
          <w:rFonts w:eastAsia="Times New Roman" w:cs="Times New Roman"/>
          <w:i/>
          <w:iCs/>
          <w:kern w:val="0"/>
          <w:lang w:eastAsia="en-GB" w:bidi="he-IL"/>
          <w14:ligatures w14:val="none"/>
        </w:rPr>
        <w:t>Judeans and Jews: Four Faces of Dichotomy in Ancient Jewish History</w:t>
      </w:r>
      <w:r w:rsidRPr="0037557F">
        <w:rPr>
          <w:rFonts w:eastAsia="Times New Roman" w:cs="Times New Roman"/>
          <w:kern w:val="0"/>
          <w:lang w:eastAsia="en-GB" w:bidi="he-IL"/>
          <w14:ligatures w14:val="none"/>
        </w:rPr>
        <w:t xml:space="preserve"> (University of Toronto Press, 2010), pp. 11–20</w:t>
      </w:r>
    </w:p>
    <w:p w14:paraId="15EFC789" w14:textId="77777777" w:rsidR="0037557F" w:rsidRPr="0037557F" w:rsidRDefault="0037557F" w:rsidP="0037557F">
      <w:pPr>
        <w:spacing w:after="240" w:line="240" w:lineRule="auto"/>
        <w:ind w:hanging="720"/>
        <w:rPr>
          <w:rFonts w:eastAsia="Times New Roman" w:cs="Times New Roman"/>
          <w:kern w:val="0"/>
          <w:lang w:eastAsia="en-GB" w:bidi="he-IL"/>
          <w14:ligatures w14:val="none"/>
        </w:rPr>
      </w:pPr>
      <w:r w:rsidRPr="0037557F">
        <w:rPr>
          <w:rFonts w:eastAsia="Times New Roman" w:cs="Times New Roman"/>
          <w:kern w:val="0"/>
          <w:lang w:eastAsia="en-GB" w:bidi="he-IL"/>
          <w14:ligatures w14:val="none"/>
        </w:rPr>
        <w:t xml:space="preserve">Shaye J D Cohen, </w:t>
      </w:r>
      <w:r w:rsidRPr="0037557F">
        <w:rPr>
          <w:rFonts w:eastAsia="Times New Roman" w:cs="Times New Roman"/>
          <w:i/>
          <w:iCs/>
          <w:kern w:val="0"/>
          <w:lang w:eastAsia="en-GB" w:bidi="he-IL"/>
          <w14:ligatures w14:val="none"/>
        </w:rPr>
        <w:t>From the Maccabees to the Mishnah</w:t>
      </w:r>
      <w:r w:rsidRPr="0037557F">
        <w:rPr>
          <w:rFonts w:eastAsia="Times New Roman" w:cs="Times New Roman"/>
          <w:kern w:val="0"/>
          <w:lang w:eastAsia="en-GB" w:bidi="he-IL"/>
          <w14:ligatures w14:val="none"/>
        </w:rPr>
        <w:t xml:space="preserve"> (Louisville, Ky.: Westminster John Knox Press, 2006)</w:t>
      </w:r>
    </w:p>
    <w:p w14:paraId="2AC68785" w14:textId="77777777" w:rsidR="0037557F" w:rsidRPr="0037557F" w:rsidRDefault="0037557F" w:rsidP="0037557F">
      <w:pPr>
        <w:spacing w:after="240" w:line="240" w:lineRule="auto"/>
        <w:ind w:hanging="720"/>
        <w:rPr>
          <w:rFonts w:eastAsia="Times New Roman" w:cs="Times New Roman"/>
          <w:kern w:val="0"/>
          <w:lang w:eastAsia="en-GB" w:bidi="he-IL"/>
          <w14:ligatures w14:val="none"/>
        </w:rPr>
      </w:pPr>
      <w:r w:rsidRPr="0037557F">
        <w:rPr>
          <w:rFonts w:eastAsia="Times New Roman" w:cs="Times New Roman"/>
          <w:kern w:val="0"/>
          <w:lang w:eastAsia="en-GB" w:bidi="he-IL"/>
          <w14:ligatures w14:val="none"/>
        </w:rPr>
        <w:t xml:space="preserve">Simkovich, Malka Zeiger, ‘Greek Influence on the Composition of 2 Maccabees’, </w:t>
      </w:r>
      <w:r w:rsidRPr="0037557F">
        <w:rPr>
          <w:rFonts w:eastAsia="Times New Roman" w:cs="Times New Roman"/>
          <w:i/>
          <w:iCs/>
          <w:kern w:val="0"/>
          <w:lang w:eastAsia="en-GB" w:bidi="he-IL"/>
          <w14:ligatures w14:val="none"/>
        </w:rPr>
        <w:t>Journal for the Study of Judaism</w:t>
      </w:r>
      <w:r w:rsidRPr="0037557F">
        <w:rPr>
          <w:rFonts w:eastAsia="Times New Roman" w:cs="Times New Roman"/>
          <w:kern w:val="0"/>
          <w:lang w:eastAsia="en-GB" w:bidi="he-IL"/>
          <w14:ligatures w14:val="none"/>
        </w:rPr>
        <w:t>, 42.2011 (2011), 293–310</w:t>
      </w:r>
    </w:p>
    <w:p w14:paraId="47303030" w14:textId="77777777" w:rsidR="0037557F" w:rsidRDefault="0037557F" w:rsidP="005A7970">
      <w:pPr>
        <w:pStyle w:val="NormalWeb"/>
        <w:shd w:val="clear" w:color="auto" w:fill="FFFFFF"/>
        <w:spacing w:before="0" w:beforeAutospacing="0"/>
        <w:rPr>
          <w:rFonts w:asciiTheme="minorHAnsi" w:hAnsiTheme="minorHAnsi" w:cs="Segoe UI"/>
          <w:color w:val="1D2125"/>
          <w:sz w:val="22"/>
          <w:szCs w:val="22"/>
        </w:rPr>
      </w:pPr>
    </w:p>
    <w:p w14:paraId="1017421B" w14:textId="77777777" w:rsidR="0010011D" w:rsidRDefault="0010011D" w:rsidP="0010011D">
      <w:pPr>
        <w:spacing w:after="0" w:line="240" w:lineRule="auto"/>
        <w:rPr>
          <w:rFonts w:eastAsia="Times New Roman" w:cs="Times New Roman"/>
          <w:kern w:val="0"/>
          <w:lang w:eastAsia="en-GB" w:bidi="he-IL"/>
          <w14:ligatures w14:val="none"/>
        </w:rPr>
      </w:pPr>
    </w:p>
    <w:p w14:paraId="77DA5ED2" w14:textId="77777777" w:rsidR="0010011D" w:rsidRPr="007F26FE" w:rsidRDefault="0010011D" w:rsidP="0010011D">
      <w:pPr>
        <w:spacing w:after="0" w:line="240" w:lineRule="auto"/>
        <w:rPr>
          <w:rFonts w:eastAsia="Times New Roman" w:cs="Times New Roman"/>
          <w:kern w:val="0"/>
          <w:lang w:eastAsia="en-GB" w:bidi="he-IL"/>
          <w14:ligatures w14:val="none"/>
        </w:rPr>
      </w:pPr>
    </w:p>
    <w:p w14:paraId="10552637" w14:textId="77777777" w:rsidR="00647BF3" w:rsidRPr="00647BF3" w:rsidRDefault="00647BF3"/>
    <w:sectPr w:rsidR="00647BF3" w:rsidRPr="00647BF3" w:rsidSect="00E03F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C2D3B" w14:textId="77777777" w:rsidR="00186DEF" w:rsidRDefault="00186DEF" w:rsidP="00777257">
      <w:pPr>
        <w:spacing w:after="0" w:line="240" w:lineRule="auto"/>
      </w:pPr>
      <w:r>
        <w:separator/>
      </w:r>
    </w:p>
  </w:endnote>
  <w:endnote w:type="continuationSeparator" w:id="0">
    <w:p w14:paraId="23E03CDB" w14:textId="77777777" w:rsidR="00186DEF" w:rsidRDefault="00186DEF" w:rsidP="007772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ACF0EF" w14:textId="77777777" w:rsidR="00186DEF" w:rsidRDefault="00186DEF" w:rsidP="00777257">
      <w:pPr>
        <w:spacing w:after="0" w:line="240" w:lineRule="auto"/>
      </w:pPr>
      <w:r>
        <w:separator/>
      </w:r>
    </w:p>
  </w:footnote>
  <w:footnote w:type="continuationSeparator" w:id="0">
    <w:p w14:paraId="4E0E9431" w14:textId="77777777" w:rsidR="00186DEF" w:rsidRDefault="00186DEF" w:rsidP="00777257">
      <w:pPr>
        <w:spacing w:after="0" w:line="240" w:lineRule="auto"/>
      </w:pPr>
      <w:r>
        <w:continuationSeparator/>
      </w:r>
    </w:p>
  </w:footnote>
  <w:footnote w:id="1">
    <w:p w14:paraId="5B87B5F5" w14:textId="5EB619BF" w:rsidR="00777257" w:rsidRPr="00647BF3" w:rsidRDefault="00777257" w:rsidP="00F951DB">
      <w:pPr>
        <w:rPr>
          <w:rFonts w:eastAsia="Times New Roman" w:cs="Times New Roman"/>
          <w:kern w:val="0"/>
          <w:sz w:val="20"/>
          <w:szCs w:val="20"/>
          <w:lang w:eastAsia="en-GB" w:bidi="he-IL"/>
          <w14:ligatures w14:val="none"/>
        </w:rPr>
      </w:pPr>
      <w:r>
        <w:rPr>
          <w:rStyle w:val="FootnoteReference"/>
        </w:rPr>
        <w:footnoteRef/>
      </w:r>
      <w:r>
        <w:t xml:space="preserve"> </w:t>
      </w:r>
      <w:r w:rsidRPr="00647BF3">
        <w:rPr>
          <w:rFonts w:eastAsia="Times New Roman" w:cs="Times New Roman"/>
          <w:kern w:val="0"/>
          <w:sz w:val="20"/>
          <w:szCs w:val="20"/>
          <w:lang w:eastAsia="en-GB" w:bidi="he-IL"/>
          <w14:ligatures w14:val="none"/>
        </w:rPr>
        <w:t xml:space="preserve">Malka Zeiger Simkovich, ‘Greek Influence on the Composition of 2 Maccabees’, </w:t>
      </w:r>
      <w:r w:rsidRPr="00647BF3">
        <w:rPr>
          <w:rFonts w:eastAsia="Times New Roman" w:cs="Times New Roman"/>
          <w:i/>
          <w:iCs/>
          <w:kern w:val="0"/>
          <w:sz w:val="20"/>
          <w:szCs w:val="20"/>
          <w:lang w:eastAsia="en-GB" w:bidi="he-IL"/>
          <w14:ligatures w14:val="none"/>
        </w:rPr>
        <w:t>Journal for the Study of Judaism</w:t>
      </w:r>
      <w:r w:rsidRPr="00647BF3">
        <w:rPr>
          <w:rFonts w:eastAsia="Times New Roman" w:cs="Times New Roman"/>
          <w:kern w:val="0"/>
          <w:sz w:val="20"/>
          <w:szCs w:val="20"/>
          <w:lang w:eastAsia="en-GB" w:bidi="he-IL"/>
          <w14:ligatures w14:val="none"/>
        </w:rPr>
        <w:t xml:space="preserve">, 42.2011 (2011), </w:t>
      </w:r>
      <w:r w:rsidR="00F951DB" w:rsidRPr="00647BF3">
        <w:rPr>
          <w:rFonts w:eastAsia="Times New Roman" w:cs="Times New Roman"/>
          <w:kern w:val="0"/>
          <w:sz w:val="20"/>
          <w:szCs w:val="20"/>
          <w:lang w:eastAsia="en-GB" w:bidi="he-IL"/>
          <w14:ligatures w14:val="none"/>
        </w:rPr>
        <w:t>p. 293.</w:t>
      </w:r>
    </w:p>
  </w:footnote>
  <w:footnote w:id="2">
    <w:p w14:paraId="2CBE1E7C" w14:textId="2C44F79B" w:rsidR="00CE2B19" w:rsidRDefault="00CE2B19">
      <w:pPr>
        <w:pStyle w:val="FootnoteText"/>
      </w:pPr>
      <w:r>
        <w:rPr>
          <w:rStyle w:val="FootnoteReference"/>
        </w:rPr>
        <w:footnoteRef/>
      </w:r>
      <w:r>
        <w:t xml:space="preserve"> </w:t>
      </w:r>
      <w:r w:rsidR="008248DB">
        <w:t xml:space="preserve">Ibid., p. 305. </w:t>
      </w:r>
    </w:p>
  </w:footnote>
  <w:footnote w:id="3">
    <w:p w14:paraId="67DE6502" w14:textId="30F512C7" w:rsidR="005E39CD" w:rsidRPr="00C475CA" w:rsidRDefault="005E39CD" w:rsidP="00C475CA">
      <w:pPr>
        <w:spacing w:after="0" w:line="240" w:lineRule="auto"/>
        <w:rPr>
          <w:rFonts w:eastAsia="Times New Roman" w:cs="Times New Roman"/>
          <w:kern w:val="0"/>
          <w:sz w:val="20"/>
          <w:szCs w:val="20"/>
          <w:lang w:eastAsia="en-GB" w:bidi="he-IL"/>
          <w14:ligatures w14:val="none"/>
        </w:rPr>
      </w:pPr>
      <w:r>
        <w:rPr>
          <w:rStyle w:val="FootnoteReference"/>
        </w:rPr>
        <w:footnoteRef/>
      </w:r>
      <w:r>
        <w:t xml:space="preserve"> </w:t>
      </w:r>
      <w:r w:rsidRPr="00FE6E2F">
        <w:rPr>
          <w:rFonts w:eastAsia="Times New Roman" w:cs="Times New Roman"/>
          <w:kern w:val="0"/>
          <w:sz w:val="20"/>
          <w:szCs w:val="20"/>
          <w:lang w:eastAsia="en-GB" w:bidi="he-IL"/>
          <w14:ligatures w14:val="none"/>
        </w:rPr>
        <w:t xml:space="preserve">Shaye J D Cohen, </w:t>
      </w:r>
      <w:r w:rsidRPr="00FE6E2F">
        <w:rPr>
          <w:rFonts w:eastAsia="Times New Roman" w:cs="Times New Roman"/>
          <w:i/>
          <w:iCs/>
          <w:kern w:val="0"/>
          <w:sz w:val="20"/>
          <w:szCs w:val="20"/>
          <w:lang w:eastAsia="en-GB" w:bidi="he-IL"/>
          <w14:ligatures w14:val="none"/>
        </w:rPr>
        <w:t>From the Maccabees to the Mishnah</w:t>
      </w:r>
      <w:r w:rsidRPr="00FE6E2F">
        <w:rPr>
          <w:rFonts w:eastAsia="Times New Roman" w:cs="Times New Roman"/>
          <w:kern w:val="0"/>
          <w:sz w:val="20"/>
          <w:szCs w:val="20"/>
          <w:lang w:eastAsia="en-GB" w:bidi="he-IL"/>
          <w14:ligatures w14:val="none"/>
        </w:rPr>
        <w:t xml:space="preserve"> (Louisville, Ky.: Westminster John Knox Press, 2006)</w:t>
      </w:r>
      <w:r w:rsidR="00C475CA">
        <w:rPr>
          <w:rFonts w:eastAsia="Times New Roman" w:cs="Times New Roman"/>
          <w:kern w:val="0"/>
          <w:sz w:val="20"/>
          <w:szCs w:val="20"/>
          <w:lang w:eastAsia="en-GB" w:bidi="he-IL"/>
          <w14:ligatures w14:val="none"/>
        </w:rPr>
        <w:t>, p. 22.</w:t>
      </w:r>
    </w:p>
  </w:footnote>
  <w:footnote w:id="4">
    <w:p w14:paraId="194BEA13" w14:textId="667F9B00" w:rsidR="00CA59B3" w:rsidRDefault="00CA59B3">
      <w:pPr>
        <w:pStyle w:val="FootnoteText"/>
      </w:pPr>
      <w:r>
        <w:rPr>
          <w:rStyle w:val="FootnoteReference"/>
        </w:rPr>
        <w:footnoteRef/>
      </w:r>
      <w:r>
        <w:t xml:space="preserve"> Ibid., p. 22.</w:t>
      </w:r>
    </w:p>
  </w:footnote>
  <w:footnote w:id="5">
    <w:p w14:paraId="58B7CE20" w14:textId="4D784C07" w:rsidR="00135A47" w:rsidRDefault="00135A47">
      <w:pPr>
        <w:pStyle w:val="FootnoteText"/>
      </w:pPr>
      <w:r>
        <w:rPr>
          <w:rStyle w:val="FootnoteReference"/>
        </w:rPr>
        <w:footnoteRef/>
      </w:r>
      <w:r>
        <w:t xml:space="preserve"> Simkovich, ‘Greek Influence on the Composition of 2 Maccabees’, p. 305.</w:t>
      </w:r>
    </w:p>
  </w:footnote>
  <w:footnote w:id="6">
    <w:p w14:paraId="24AFF178" w14:textId="3CF746AB" w:rsidR="00765D36" w:rsidRPr="00765D36" w:rsidRDefault="00765D36" w:rsidP="00765D36">
      <w:pPr>
        <w:pStyle w:val="NormalWeb"/>
        <w:shd w:val="clear" w:color="auto" w:fill="FFFFFF"/>
        <w:spacing w:before="0" w:beforeAutospacing="0"/>
        <w:rPr>
          <w:rFonts w:asciiTheme="minorHAnsi" w:hAnsiTheme="minorHAnsi" w:cs="Segoe UI"/>
          <w:color w:val="1D2125"/>
          <w:sz w:val="22"/>
          <w:szCs w:val="22"/>
        </w:rPr>
      </w:pPr>
      <w:r>
        <w:rPr>
          <w:rStyle w:val="FootnoteReference"/>
        </w:rPr>
        <w:footnoteRef/>
      </w:r>
      <w:r>
        <w:t xml:space="preserve"> </w:t>
      </w:r>
      <w:r w:rsidRPr="00716865">
        <w:rPr>
          <w:rFonts w:asciiTheme="majorHAnsi" w:hAnsiTheme="majorHAnsi"/>
          <w:sz w:val="20"/>
          <w:szCs w:val="20"/>
        </w:rPr>
        <w:t xml:space="preserve">Daniel R Schwartz, ‘Judean Historiography vs. Jewish Historiography: The First and Second Books of Maccabees’, in </w:t>
      </w:r>
      <w:r w:rsidRPr="00716865">
        <w:rPr>
          <w:rFonts w:asciiTheme="majorHAnsi" w:hAnsiTheme="majorHAnsi"/>
          <w:i/>
          <w:iCs/>
          <w:sz w:val="20"/>
          <w:szCs w:val="20"/>
        </w:rPr>
        <w:t>Judeans and Jews: Four Faces of Dichotomy in Ancient Jewish History</w:t>
      </w:r>
      <w:r w:rsidRPr="00716865">
        <w:rPr>
          <w:rFonts w:asciiTheme="majorHAnsi" w:hAnsiTheme="majorHAnsi"/>
          <w:sz w:val="20"/>
          <w:szCs w:val="20"/>
        </w:rPr>
        <w:t xml:space="preserve"> (University of Toronto Press, 2010), p</w:t>
      </w:r>
      <w:r>
        <w:rPr>
          <w:rFonts w:asciiTheme="majorHAnsi" w:hAnsiTheme="majorHAnsi"/>
          <w:sz w:val="20"/>
          <w:szCs w:val="20"/>
        </w:rPr>
        <w:t xml:space="preserve">. </w:t>
      </w:r>
      <w:r>
        <w:rPr>
          <w:rFonts w:asciiTheme="majorHAnsi" w:hAnsiTheme="majorHAnsi"/>
          <w:sz w:val="20"/>
          <w:szCs w:val="20"/>
        </w:rPr>
        <w:t>15.</w:t>
      </w:r>
    </w:p>
  </w:footnote>
  <w:footnote w:id="7">
    <w:p w14:paraId="18384106" w14:textId="00083F25" w:rsidR="006D7188" w:rsidRDefault="006D7188">
      <w:pPr>
        <w:pStyle w:val="FootnoteText"/>
      </w:pPr>
      <w:r>
        <w:rPr>
          <w:rStyle w:val="FootnoteReference"/>
        </w:rPr>
        <w:footnoteRef/>
      </w:r>
      <w:r>
        <w:t xml:space="preserve"> </w:t>
      </w:r>
      <w:r w:rsidRPr="00647BF3">
        <w:rPr>
          <w:rFonts w:eastAsia="Times New Roman" w:cs="Times New Roman"/>
          <w:kern w:val="0"/>
          <w:lang w:eastAsia="en-GB" w:bidi="he-IL"/>
          <w14:ligatures w14:val="none"/>
        </w:rPr>
        <w:t xml:space="preserve">Simkovich, ‘Greek Influence on the Composition of 2 Maccabees’, p. </w:t>
      </w:r>
      <w:r w:rsidRPr="00647BF3">
        <w:t>29</w:t>
      </w:r>
      <w:r>
        <w:t xml:space="preserve">8. </w:t>
      </w:r>
    </w:p>
  </w:footnote>
  <w:footnote w:id="8">
    <w:p w14:paraId="33BADC92" w14:textId="37DD34A9" w:rsidR="0078188B" w:rsidRDefault="0078188B" w:rsidP="0078188B">
      <w:pPr>
        <w:pStyle w:val="FootnoteText"/>
      </w:pPr>
      <w:r>
        <w:rPr>
          <w:rStyle w:val="FootnoteReference"/>
        </w:rPr>
        <w:footnoteRef/>
      </w:r>
      <w:r>
        <w:t xml:space="preserve"> </w:t>
      </w:r>
      <w:r w:rsidR="006D7188">
        <w:rPr>
          <w:rFonts w:eastAsia="Times New Roman" w:cs="Times New Roman"/>
          <w:kern w:val="0"/>
          <w:lang w:eastAsia="en-GB" w:bidi="he-IL"/>
          <w14:ligatures w14:val="none"/>
        </w:rPr>
        <w:t xml:space="preserve">Ibid., </w:t>
      </w:r>
      <w:r w:rsidRPr="00647BF3">
        <w:rPr>
          <w:rFonts w:eastAsia="Times New Roman" w:cs="Times New Roman"/>
          <w:kern w:val="0"/>
          <w:lang w:eastAsia="en-GB" w:bidi="he-IL"/>
          <w14:ligatures w14:val="none"/>
        </w:rPr>
        <w:t xml:space="preserve">p. </w:t>
      </w:r>
      <w:r w:rsidRPr="00647BF3">
        <w:t>295.</w:t>
      </w:r>
    </w:p>
  </w:footnote>
  <w:footnote w:id="9">
    <w:p w14:paraId="16EBBA75" w14:textId="77777777" w:rsidR="00FA189B" w:rsidRPr="00647BF3" w:rsidRDefault="00FA189B" w:rsidP="00FA189B">
      <w:pPr>
        <w:pStyle w:val="FootnoteText"/>
      </w:pPr>
      <w:r w:rsidRPr="00647BF3">
        <w:rPr>
          <w:rStyle w:val="FootnoteReference"/>
        </w:rPr>
        <w:footnoteRef/>
      </w:r>
      <w:r w:rsidRPr="00647BF3">
        <w:t xml:space="preserve"> Ibid., p. 300. </w:t>
      </w:r>
    </w:p>
  </w:footnote>
  <w:footnote w:id="10">
    <w:p w14:paraId="71FDA837" w14:textId="77777777" w:rsidR="00FC4A87" w:rsidRPr="00647BF3" w:rsidRDefault="00FC4A87" w:rsidP="00FC4A87">
      <w:pPr>
        <w:pStyle w:val="FootnoteText"/>
      </w:pPr>
      <w:r w:rsidRPr="00647BF3">
        <w:rPr>
          <w:rStyle w:val="FootnoteReference"/>
        </w:rPr>
        <w:footnoteRef/>
      </w:r>
      <w:r w:rsidRPr="00647BF3">
        <w:t xml:space="preserve"> Ibid., p. 297. </w:t>
      </w:r>
    </w:p>
  </w:footnote>
  <w:footnote w:id="11">
    <w:p w14:paraId="2B2B29B6" w14:textId="77777777" w:rsidR="00FC4A87" w:rsidRPr="00647BF3" w:rsidRDefault="00FC4A87" w:rsidP="00FC4A87">
      <w:pPr>
        <w:pStyle w:val="FootnoteText"/>
      </w:pPr>
      <w:r w:rsidRPr="00647BF3">
        <w:rPr>
          <w:rStyle w:val="FootnoteReference"/>
        </w:rPr>
        <w:footnoteRef/>
      </w:r>
      <w:r w:rsidRPr="00647BF3">
        <w:t xml:space="preserve"> Ibid., p. 297. </w:t>
      </w:r>
    </w:p>
  </w:footnote>
  <w:footnote w:id="12">
    <w:p w14:paraId="31EBFBF7" w14:textId="77777777" w:rsidR="00FC4A87" w:rsidRDefault="00FC4A87" w:rsidP="00FC4A87">
      <w:pPr>
        <w:pStyle w:val="FootnoteText"/>
      </w:pPr>
      <w:r w:rsidRPr="00647BF3">
        <w:rPr>
          <w:rStyle w:val="FootnoteReference"/>
        </w:rPr>
        <w:footnoteRef/>
      </w:r>
      <w:r w:rsidRPr="00647BF3">
        <w:t xml:space="preserve"> Ibid., p. 297.</w:t>
      </w:r>
    </w:p>
  </w:footnote>
  <w:footnote w:id="13">
    <w:p w14:paraId="6A4CD3B1" w14:textId="4D0CF451" w:rsidR="00E57473" w:rsidRDefault="00E57473">
      <w:pPr>
        <w:pStyle w:val="FootnoteText"/>
      </w:pPr>
      <w:r>
        <w:rPr>
          <w:rStyle w:val="FootnoteReference"/>
        </w:rPr>
        <w:footnoteRef/>
      </w:r>
      <w:r>
        <w:t xml:space="preserve"> Ibid., p. 295. </w:t>
      </w:r>
    </w:p>
  </w:footnote>
  <w:footnote w:id="14">
    <w:p w14:paraId="3D7D791B" w14:textId="1441EA43" w:rsidR="00716865" w:rsidRPr="00E164C7" w:rsidRDefault="00716865" w:rsidP="00E164C7">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Pr="00716865">
        <w:rPr>
          <w:rFonts w:asciiTheme="majorHAnsi" w:eastAsia="Times New Roman" w:hAnsiTheme="majorHAnsi" w:cs="Times New Roman"/>
          <w:kern w:val="0"/>
          <w:sz w:val="20"/>
          <w:szCs w:val="20"/>
          <w:lang w:eastAsia="en-GB" w:bidi="he-IL"/>
          <w14:ligatures w14:val="none"/>
        </w:rPr>
        <w:t>Schwartz, ‘Judean Historiography vs. Jewish Historiography: The First and Second Books of Maccabees’,</w:t>
      </w:r>
      <w:r w:rsidR="003E472D">
        <w:rPr>
          <w:rFonts w:asciiTheme="majorHAnsi" w:eastAsia="Times New Roman" w:hAnsiTheme="majorHAnsi" w:cs="Times New Roman"/>
          <w:kern w:val="0"/>
          <w:sz w:val="20"/>
          <w:szCs w:val="20"/>
          <w:lang w:eastAsia="en-GB" w:bidi="he-IL"/>
          <w14:ligatures w14:val="none"/>
        </w:rPr>
        <w:t xml:space="preserve"> </w:t>
      </w:r>
      <w:r w:rsidRPr="00716865">
        <w:rPr>
          <w:rFonts w:asciiTheme="majorHAnsi" w:eastAsia="Times New Roman" w:hAnsiTheme="majorHAnsi" w:cs="Times New Roman"/>
          <w:kern w:val="0"/>
          <w:sz w:val="20"/>
          <w:szCs w:val="20"/>
          <w:lang w:eastAsia="en-GB" w:bidi="he-IL"/>
          <w14:ligatures w14:val="none"/>
        </w:rPr>
        <w:t>p</w:t>
      </w:r>
      <w:r>
        <w:rPr>
          <w:rFonts w:asciiTheme="majorHAnsi" w:eastAsia="Times New Roman" w:hAnsiTheme="majorHAnsi" w:cs="Times New Roman"/>
          <w:kern w:val="0"/>
          <w:sz w:val="20"/>
          <w:szCs w:val="20"/>
          <w:lang w:eastAsia="en-GB" w:bidi="he-IL"/>
          <w14:ligatures w14:val="none"/>
        </w:rPr>
        <w:t>. 12.</w:t>
      </w:r>
    </w:p>
  </w:footnote>
  <w:footnote w:id="15">
    <w:p w14:paraId="78AAE6E5" w14:textId="5532F2BA" w:rsidR="00C21965" w:rsidRPr="003644F7" w:rsidRDefault="00C21965" w:rsidP="003644F7">
      <w:pPr>
        <w:pStyle w:val="FootnoteText"/>
      </w:pPr>
      <w:r>
        <w:rPr>
          <w:rStyle w:val="FootnoteReference"/>
        </w:rPr>
        <w:footnoteRef/>
      </w:r>
      <w:r>
        <w:t xml:space="preserve"> </w:t>
      </w:r>
      <w:r w:rsidR="003644F7">
        <w:t xml:space="preserve">Martha Himmelfarb, ‘Judaism and Hellenism in 2 Maccabees’, Poetics Today, 19.1 (1998), </w:t>
      </w:r>
      <w:r w:rsidR="003644F7">
        <w:t>p. 27</w:t>
      </w:r>
      <w:r w:rsidRPr="00840F04">
        <w:rPr>
          <w:rFonts w:eastAsia="Times New Roman" w:cs="Times New Roman"/>
          <w:kern w:val="0"/>
          <w:lang w:eastAsia="en-GB" w:bidi="he-IL"/>
          <w14:ligatures w14:val="none"/>
        </w:rPr>
        <w:t>.</w:t>
      </w:r>
    </w:p>
  </w:footnote>
  <w:footnote w:id="16">
    <w:p w14:paraId="4F68DB0C" w14:textId="77777777" w:rsidR="00C21965" w:rsidRDefault="00C21965" w:rsidP="00C21965">
      <w:pPr>
        <w:pStyle w:val="FootnoteText"/>
      </w:pPr>
      <w:r>
        <w:rPr>
          <w:rStyle w:val="FootnoteReference"/>
        </w:rPr>
        <w:footnoteRef/>
      </w:r>
      <w:r>
        <w:t xml:space="preserve"> Ibid., p. 19. </w:t>
      </w:r>
    </w:p>
  </w:footnote>
  <w:footnote w:id="17">
    <w:p w14:paraId="04A83EF1" w14:textId="77777777" w:rsidR="00C21965" w:rsidRDefault="00C21965" w:rsidP="00C21965">
      <w:pPr>
        <w:pStyle w:val="FootnoteText"/>
      </w:pPr>
      <w:r>
        <w:rPr>
          <w:rStyle w:val="FootnoteReference"/>
        </w:rPr>
        <w:footnoteRef/>
      </w:r>
      <w:r>
        <w:t xml:space="preserve"> Ibid., p. 30. </w:t>
      </w:r>
    </w:p>
  </w:footnote>
  <w:footnote w:id="18">
    <w:p w14:paraId="2C359321" w14:textId="1334FDB2" w:rsidR="008E2442" w:rsidRDefault="008E2442" w:rsidP="008E2442">
      <w:pPr>
        <w:pStyle w:val="FootnoteText"/>
      </w:pPr>
      <w:r>
        <w:rPr>
          <w:rStyle w:val="FootnoteReference"/>
        </w:rPr>
        <w:footnoteRef/>
      </w:r>
      <w:r>
        <w:t xml:space="preserve"> </w:t>
      </w:r>
      <w:r>
        <w:t>Simkovich, ‘Greek Influence on the Composition of 2 Maccabees,’ p. 30</w:t>
      </w:r>
      <w:r>
        <w:t>3.</w:t>
      </w:r>
    </w:p>
  </w:footnote>
  <w:footnote w:id="19">
    <w:p w14:paraId="2A6D623C" w14:textId="34BED4E2" w:rsidR="00E164C7" w:rsidRDefault="00E164C7">
      <w:pPr>
        <w:pStyle w:val="FootnoteText"/>
      </w:pPr>
      <w:r>
        <w:rPr>
          <w:rStyle w:val="FootnoteReference"/>
        </w:rPr>
        <w:footnoteRef/>
      </w:r>
      <w:r>
        <w:t xml:space="preserve"> </w:t>
      </w:r>
      <w:r w:rsidR="008E2442">
        <w:t xml:space="preserve">Ibid., </w:t>
      </w:r>
      <w:r w:rsidR="00D9189C">
        <w:t xml:space="preserve">p. 302. </w:t>
      </w:r>
    </w:p>
  </w:footnote>
  <w:footnote w:id="20">
    <w:p w14:paraId="1206C012" w14:textId="621678C9" w:rsidR="004473B3" w:rsidRDefault="004473B3">
      <w:pPr>
        <w:pStyle w:val="FootnoteText"/>
      </w:pPr>
      <w:r>
        <w:rPr>
          <w:rStyle w:val="FootnoteReference"/>
        </w:rPr>
        <w:footnoteRef/>
      </w:r>
      <w:r>
        <w:t xml:space="preserve"> Himmelfarb, ‘Judaism and Hellenism in 2 Maccabees’, </w:t>
      </w:r>
      <w:r w:rsidR="00565A7B">
        <w:t xml:space="preserve">p. 27. </w:t>
      </w:r>
    </w:p>
  </w:footnote>
  <w:footnote w:id="21">
    <w:p w14:paraId="22AD513C" w14:textId="28B133B9" w:rsidR="00C21965" w:rsidRDefault="00C21965" w:rsidP="00C21965">
      <w:pPr>
        <w:pStyle w:val="FootnoteText"/>
      </w:pPr>
      <w:r>
        <w:rPr>
          <w:rStyle w:val="FootnoteReference"/>
        </w:rPr>
        <w:footnoteRef/>
      </w:r>
      <w:r>
        <w:t xml:space="preserve"> </w:t>
      </w:r>
      <w:r w:rsidR="003644F7">
        <w:t>Simkovich, ‘Greek Influence on the Composition of 2 Maccabees’</w:t>
      </w:r>
      <w:r>
        <w:t xml:space="preserve">, p. 304.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9D2E25"/>
    <w:multiLevelType w:val="hybridMultilevel"/>
    <w:tmpl w:val="9CFE5320"/>
    <w:lvl w:ilvl="0" w:tplc="80083B42">
      <w:start w:val="16"/>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091A36"/>
    <w:multiLevelType w:val="hybridMultilevel"/>
    <w:tmpl w:val="51C088BE"/>
    <w:lvl w:ilvl="0" w:tplc="8B2C8B1C">
      <w:start w:val="23"/>
      <w:numFmt w:val="bullet"/>
      <w:lvlText w:val=""/>
      <w:lvlJc w:val="left"/>
      <w:pPr>
        <w:ind w:left="720" w:hanging="360"/>
      </w:pPr>
      <w:rPr>
        <w:rFonts w:ascii="Symbol" w:eastAsia="Times New Roman"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5955535">
    <w:abstractNumId w:val="1"/>
  </w:num>
  <w:num w:numId="2" w16cid:durableId="451361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EyMrc0NbK0MDcytbRQ0lEKTi0uzszPAykwrQUArwi/GSwAAAA="/>
  </w:docVars>
  <w:rsids>
    <w:rsidRoot w:val="00395C8D"/>
    <w:rsid w:val="000028B0"/>
    <w:rsid w:val="00012FFF"/>
    <w:rsid w:val="00025F29"/>
    <w:rsid w:val="00031AED"/>
    <w:rsid w:val="00084295"/>
    <w:rsid w:val="00091958"/>
    <w:rsid w:val="000A0710"/>
    <w:rsid w:val="000A2B6C"/>
    <w:rsid w:val="000B02FA"/>
    <w:rsid w:val="000B264A"/>
    <w:rsid w:val="000C49BF"/>
    <w:rsid w:val="000C7384"/>
    <w:rsid w:val="000E48CD"/>
    <w:rsid w:val="0010011D"/>
    <w:rsid w:val="00100374"/>
    <w:rsid w:val="00102F98"/>
    <w:rsid w:val="001033C4"/>
    <w:rsid w:val="00113E5C"/>
    <w:rsid w:val="00135A47"/>
    <w:rsid w:val="00164244"/>
    <w:rsid w:val="00167EA9"/>
    <w:rsid w:val="00186DEF"/>
    <w:rsid w:val="001A0AD1"/>
    <w:rsid w:val="001A798F"/>
    <w:rsid w:val="001B36DC"/>
    <w:rsid w:val="001B6E54"/>
    <w:rsid w:val="001B7452"/>
    <w:rsid w:val="001D1C0C"/>
    <w:rsid w:val="001E044D"/>
    <w:rsid w:val="001E7B5B"/>
    <w:rsid w:val="0026009A"/>
    <w:rsid w:val="00262E95"/>
    <w:rsid w:val="00272FB0"/>
    <w:rsid w:val="00277149"/>
    <w:rsid w:val="00294FA4"/>
    <w:rsid w:val="00296DEE"/>
    <w:rsid w:val="002A60A8"/>
    <w:rsid w:val="002B196C"/>
    <w:rsid w:val="002B4B4E"/>
    <w:rsid w:val="002C048A"/>
    <w:rsid w:val="002C0DB3"/>
    <w:rsid w:val="002C1096"/>
    <w:rsid w:val="002C3769"/>
    <w:rsid w:val="002C501C"/>
    <w:rsid w:val="002F7D7E"/>
    <w:rsid w:val="00323D87"/>
    <w:rsid w:val="003644F7"/>
    <w:rsid w:val="0037359A"/>
    <w:rsid w:val="0037557F"/>
    <w:rsid w:val="00376CF9"/>
    <w:rsid w:val="00395C8D"/>
    <w:rsid w:val="0039638B"/>
    <w:rsid w:val="003E472D"/>
    <w:rsid w:val="003E7940"/>
    <w:rsid w:val="003F5BD9"/>
    <w:rsid w:val="00400C12"/>
    <w:rsid w:val="00415CFC"/>
    <w:rsid w:val="00427856"/>
    <w:rsid w:val="00434194"/>
    <w:rsid w:val="004473B3"/>
    <w:rsid w:val="00456CF9"/>
    <w:rsid w:val="00467A44"/>
    <w:rsid w:val="004879CE"/>
    <w:rsid w:val="004A0942"/>
    <w:rsid w:val="004B4E1D"/>
    <w:rsid w:val="004E57F4"/>
    <w:rsid w:val="004F11A5"/>
    <w:rsid w:val="004F2B42"/>
    <w:rsid w:val="00501F3A"/>
    <w:rsid w:val="00507C36"/>
    <w:rsid w:val="00513878"/>
    <w:rsid w:val="0051695A"/>
    <w:rsid w:val="005308E1"/>
    <w:rsid w:val="00531D3A"/>
    <w:rsid w:val="00547753"/>
    <w:rsid w:val="00562377"/>
    <w:rsid w:val="00565A7B"/>
    <w:rsid w:val="00587A21"/>
    <w:rsid w:val="00597FF9"/>
    <w:rsid w:val="005A30E5"/>
    <w:rsid w:val="005A7970"/>
    <w:rsid w:val="005B3F29"/>
    <w:rsid w:val="005C1187"/>
    <w:rsid w:val="005E39CD"/>
    <w:rsid w:val="00602679"/>
    <w:rsid w:val="00610C37"/>
    <w:rsid w:val="00626010"/>
    <w:rsid w:val="00637701"/>
    <w:rsid w:val="00647BF3"/>
    <w:rsid w:val="006528CC"/>
    <w:rsid w:val="00667429"/>
    <w:rsid w:val="00667D03"/>
    <w:rsid w:val="006819AA"/>
    <w:rsid w:val="0069212E"/>
    <w:rsid w:val="00693FBE"/>
    <w:rsid w:val="00694F73"/>
    <w:rsid w:val="006951AB"/>
    <w:rsid w:val="006A32BC"/>
    <w:rsid w:val="006B1229"/>
    <w:rsid w:val="006B5303"/>
    <w:rsid w:val="006D7188"/>
    <w:rsid w:val="006E645F"/>
    <w:rsid w:val="0070597B"/>
    <w:rsid w:val="00716865"/>
    <w:rsid w:val="00716E1E"/>
    <w:rsid w:val="00722963"/>
    <w:rsid w:val="00727E3F"/>
    <w:rsid w:val="00735E73"/>
    <w:rsid w:val="007418F9"/>
    <w:rsid w:val="007648CD"/>
    <w:rsid w:val="00765D36"/>
    <w:rsid w:val="00770DF9"/>
    <w:rsid w:val="0077322D"/>
    <w:rsid w:val="00773CE5"/>
    <w:rsid w:val="00777257"/>
    <w:rsid w:val="0078188B"/>
    <w:rsid w:val="00794F64"/>
    <w:rsid w:val="007A3404"/>
    <w:rsid w:val="007B655D"/>
    <w:rsid w:val="007E0F1A"/>
    <w:rsid w:val="007F26FE"/>
    <w:rsid w:val="007F468B"/>
    <w:rsid w:val="007F4C96"/>
    <w:rsid w:val="008003CF"/>
    <w:rsid w:val="008123A8"/>
    <w:rsid w:val="008248DB"/>
    <w:rsid w:val="00840F04"/>
    <w:rsid w:val="00873093"/>
    <w:rsid w:val="008731BF"/>
    <w:rsid w:val="0087661D"/>
    <w:rsid w:val="008925FF"/>
    <w:rsid w:val="008C1402"/>
    <w:rsid w:val="008C7CAB"/>
    <w:rsid w:val="008D2719"/>
    <w:rsid w:val="008E2442"/>
    <w:rsid w:val="008F1586"/>
    <w:rsid w:val="008F1E13"/>
    <w:rsid w:val="00920979"/>
    <w:rsid w:val="00936533"/>
    <w:rsid w:val="009567BA"/>
    <w:rsid w:val="00987994"/>
    <w:rsid w:val="009910C5"/>
    <w:rsid w:val="00991CB2"/>
    <w:rsid w:val="009B1D5E"/>
    <w:rsid w:val="009D7DF7"/>
    <w:rsid w:val="009E1AA3"/>
    <w:rsid w:val="00A162B5"/>
    <w:rsid w:val="00A43FA1"/>
    <w:rsid w:val="00A54709"/>
    <w:rsid w:val="00A63203"/>
    <w:rsid w:val="00A75FC2"/>
    <w:rsid w:val="00A80ED4"/>
    <w:rsid w:val="00A826B3"/>
    <w:rsid w:val="00A86E48"/>
    <w:rsid w:val="00A903F4"/>
    <w:rsid w:val="00AA58CC"/>
    <w:rsid w:val="00AC0390"/>
    <w:rsid w:val="00AE4AB1"/>
    <w:rsid w:val="00AF66E4"/>
    <w:rsid w:val="00B20FBC"/>
    <w:rsid w:val="00B2640D"/>
    <w:rsid w:val="00B67F29"/>
    <w:rsid w:val="00BA08CA"/>
    <w:rsid w:val="00BA10D9"/>
    <w:rsid w:val="00BA72E9"/>
    <w:rsid w:val="00BB1061"/>
    <w:rsid w:val="00BB7000"/>
    <w:rsid w:val="00BB7758"/>
    <w:rsid w:val="00BC1E89"/>
    <w:rsid w:val="00BC5413"/>
    <w:rsid w:val="00BD0EE9"/>
    <w:rsid w:val="00BD7778"/>
    <w:rsid w:val="00BE1378"/>
    <w:rsid w:val="00BF06ED"/>
    <w:rsid w:val="00BF54EB"/>
    <w:rsid w:val="00C05294"/>
    <w:rsid w:val="00C128E1"/>
    <w:rsid w:val="00C1439F"/>
    <w:rsid w:val="00C21965"/>
    <w:rsid w:val="00C30113"/>
    <w:rsid w:val="00C33529"/>
    <w:rsid w:val="00C429C3"/>
    <w:rsid w:val="00C475CA"/>
    <w:rsid w:val="00C6565F"/>
    <w:rsid w:val="00C85B5A"/>
    <w:rsid w:val="00C86E34"/>
    <w:rsid w:val="00C93E41"/>
    <w:rsid w:val="00C974A2"/>
    <w:rsid w:val="00CA59B3"/>
    <w:rsid w:val="00CC1777"/>
    <w:rsid w:val="00CE2B19"/>
    <w:rsid w:val="00D17ABE"/>
    <w:rsid w:val="00D2047E"/>
    <w:rsid w:val="00D3000B"/>
    <w:rsid w:val="00D372D5"/>
    <w:rsid w:val="00D64267"/>
    <w:rsid w:val="00D67AC1"/>
    <w:rsid w:val="00D830D0"/>
    <w:rsid w:val="00D9189C"/>
    <w:rsid w:val="00D9696C"/>
    <w:rsid w:val="00DB1FEE"/>
    <w:rsid w:val="00DC239E"/>
    <w:rsid w:val="00DE336E"/>
    <w:rsid w:val="00DF431B"/>
    <w:rsid w:val="00DF77C7"/>
    <w:rsid w:val="00E03FB9"/>
    <w:rsid w:val="00E10EF2"/>
    <w:rsid w:val="00E164C7"/>
    <w:rsid w:val="00E17482"/>
    <w:rsid w:val="00E32D6B"/>
    <w:rsid w:val="00E4332B"/>
    <w:rsid w:val="00E43B15"/>
    <w:rsid w:val="00E57473"/>
    <w:rsid w:val="00EA5F6B"/>
    <w:rsid w:val="00ED372D"/>
    <w:rsid w:val="00EE57DA"/>
    <w:rsid w:val="00F03A39"/>
    <w:rsid w:val="00F147FB"/>
    <w:rsid w:val="00F16A20"/>
    <w:rsid w:val="00F22ED4"/>
    <w:rsid w:val="00F3077A"/>
    <w:rsid w:val="00F4630A"/>
    <w:rsid w:val="00F5033F"/>
    <w:rsid w:val="00F951DB"/>
    <w:rsid w:val="00FA189B"/>
    <w:rsid w:val="00FA52A6"/>
    <w:rsid w:val="00FA62A1"/>
    <w:rsid w:val="00FB7B19"/>
    <w:rsid w:val="00FC4A87"/>
    <w:rsid w:val="00FC5182"/>
    <w:rsid w:val="00FE098C"/>
    <w:rsid w:val="00FE1957"/>
    <w:rsid w:val="00FE6E2F"/>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05901"/>
  <w15:chartTrackingRefBased/>
  <w15:docId w15:val="{D859193D-C8A8-4FA0-9FC8-1F8EE1094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5C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5C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5C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5C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5C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5C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5C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5C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5C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C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5C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5C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5C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5C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5C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5C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5C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5C8D"/>
    <w:rPr>
      <w:rFonts w:eastAsiaTheme="majorEastAsia" w:cstheme="majorBidi"/>
      <w:color w:val="272727" w:themeColor="text1" w:themeTint="D8"/>
    </w:rPr>
  </w:style>
  <w:style w:type="paragraph" w:styleId="Title">
    <w:name w:val="Title"/>
    <w:basedOn w:val="Normal"/>
    <w:next w:val="Normal"/>
    <w:link w:val="TitleChar"/>
    <w:uiPriority w:val="10"/>
    <w:qFormat/>
    <w:rsid w:val="00395C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5C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5C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5C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5C8D"/>
    <w:pPr>
      <w:spacing w:before="160"/>
      <w:jc w:val="center"/>
    </w:pPr>
    <w:rPr>
      <w:i/>
      <w:iCs/>
      <w:color w:val="404040" w:themeColor="text1" w:themeTint="BF"/>
    </w:rPr>
  </w:style>
  <w:style w:type="character" w:customStyle="1" w:styleId="QuoteChar">
    <w:name w:val="Quote Char"/>
    <w:basedOn w:val="DefaultParagraphFont"/>
    <w:link w:val="Quote"/>
    <w:uiPriority w:val="29"/>
    <w:rsid w:val="00395C8D"/>
    <w:rPr>
      <w:i/>
      <w:iCs/>
      <w:color w:val="404040" w:themeColor="text1" w:themeTint="BF"/>
    </w:rPr>
  </w:style>
  <w:style w:type="paragraph" w:styleId="ListParagraph">
    <w:name w:val="List Paragraph"/>
    <w:basedOn w:val="Normal"/>
    <w:uiPriority w:val="34"/>
    <w:qFormat/>
    <w:rsid w:val="00395C8D"/>
    <w:pPr>
      <w:ind w:left="720"/>
      <w:contextualSpacing/>
    </w:pPr>
  </w:style>
  <w:style w:type="character" w:styleId="IntenseEmphasis">
    <w:name w:val="Intense Emphasis"/>
    <w:basedOn w:val="DefaultParagraphFont"/>
    <w:uiPriority w:val="21"/>
    <w:qFormat/>
    <w:rsid w:val="00395C8D"/>
    <w:rPr>
      <w:i/>
      <w:iCs/>
      <w:color w:val="0F4761" w:themeColor="accent1" w:themeShade="BF"/>
    </w:rPr>
  </w:style>
  <w:style w:type="paragraph" w:styleId="IntenseQuote">
    <w:name w:val="Intense Quote"/>
    <w:basedOn w:val="Normal"/>
    <w:next w:val="Normal"/>
    <w:link w:val="IntenseQuoteChar"/>
    <w:uiPriority w:val="30"/>
    <w:qFormat/>
    <w:rsid w:val="00395C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5C8D"/>
    <w:rPr>
      <w:i/>
      <w:iCs/>
      <w:color w:val="0F4761" w:themeColor="accent1" w:themeShade="BF"/>
    </w:rPr>
  </w:style>
  <w:style w:type="character" w:styleId="IntenseReference">
    <w:name w:val="Intense Reference"/>
    <w:basedOn w:val="DefaultParagraphFont"/>
    <w:uiPriority w:val="32"/>
    <w:qFormat/>
    <w:rsid w:val="00395C8D"/>
    <w:rPr>
      <w:b/>
      <w:bCs/>
      <w:smallCaps/>
      <w:color w:val="0F4761" w:themeColor="accent1" w:themeShade="BF"/>
      <w:spacing w:val="5"/>
    </w:rPr>
  </w:style>
  <w:style w:type="paragraph" w:styleId="NormalWeb">
    <w:name w:val="Normal (Web)"/>
    <w:basedOn w:val="Normal"/>
    <w:uiPriority w:val="99"/>
    <w:unhideWhenUsed/>
    <w:rsid w:val="00395C8D"/>
    <w:pPr>
      <w:spacing w:before="100" w:beforeAutospacing="1" w:after="100" w:afterAutospacing="1" w:line="240" w:lineRule="auto"/>
    </w:pPr>
    <w:rPr>
      <w:rFonts w:ascii="Times New Roman" w:eastAsia="Times New Roman" w:hAnsi="Times New Roman" w:cs="Times New Roman"/>
      <w:kern w:val="0"/>
      <w:sz w:val="24"/>
      <w:szCs w:val="24"/>
      <w:lang w:eastAsia="en-GB" w:bidi="he-IL"/>
      <w14:ligatures w14:val="none"/>
    </w:rPr>
  </w:style>
  <w:style w:type="paragraph" w:styleId="FootnoteText">
    <w:name w:val="footnote text"/>
    <w:basedOn w:val="Normal"/>
    <w:link w:val="FootnoteTextChar"/>
    <w:uiPriority w:val="99"/>
    <w:unhideWhenUsed/>
    <w:rsid w:val="00777257"/>
    <w:pPr>
      <w:spacing w:after="0" w:line="240" w:lineRule="auto"/>
    </w:pPr>
    <w:rPr>
      <w:sz w:val="20"/>
      <w:szCs w:val="20"/>
    </w:rPr>
  </w:style>
  <w:style w:type="character" w:customStyle="1" w:styleId="FootnoteTextChar">
    <w:name w:val="Footnote Text Char"/>
    <w:basedOn w:val="DefaultParagraphFont"/>
    <w:link w:val="FootnoteText"/>
    <w:uiPriority w:val="99"/>
    <w:rsid w:val="00777257"/>
    <w:rPr>
      <w:sz w:val="20"/>
      <w:szCs w:val="20"/>
    </w:rPr>
  </w:style>
  <w:style w:type="character" w:styleId="FootnoteReference">
    <w:name w:val="footnote reference"/>
    <w:basedOn w:val="DefaultParagraphFont"/>
    <w:uiPriority w:val="99"/>
    <w:semiHidden/>
    <w:unhideWhenUsed/>
    <w:rsid w:val="00777257"/>
    <w:rPr>
      <w:vertAlign w:val="superscript"/>
    </w:rPr>
  </w:style>
  <w:style w:type="character" w:styleId="Hyperlink">
    <w:name w:val="Hyperlink"/>
    <w:basedOn w:val="DefaultParagraphFont"/>
    <w:uiPriority w:val="99"/>
    <w:semiHidden/>
    <w:unhideWhenUsed/>
    <w:rsid w:val="007F26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9780291">
      <w:bodyDiv w:val="1"/>
      <w:marLeft w:val="0"/>
      <w:marRight w:val="0"/>
      <w:marTop w:val="0"/>
      <w:marBottom w:val="0"/>
      <w:divBdr>
        <w:top w:val="none" w:sz="0" w:space="0" w:color="auto"/>
        <w:left w:val="none" w:sz="0" w:space="0" w:color="auto"/>
        <w:bottom w:val="none" w:sz="0" w:space="0" w:color="auto"/>
        <w:right w:val="none" w:sz="0" w:space="0" w:color="auto"/>
      </w:divBdr>
    </w:div>
    <w:div w:id="1319964537">
      <w:bodyDiv w:val="1"/>
      <w:marLeft w:val="0"/>
      <w:marRight w:val="0"/>
      <w:marTop w:val="0"/>
      <w:marBottom w:val="0"/>
      <w:divBdr>
        <w:top w:val="none" w:sz="0" w:space="0" w:color="auto"/>
        <w:left w:val="none" w:sz="0" w:space="0" w:color="auto"/>
        <w:bottom w:val="none" w:sz="0" w:space="0" w:color="auto"/>
        <w:right w:val="none" w:sz="0" w:space="0" w:color="auto"/>
      </w:divBdr>
    </w:div>
    <w:div w:id="1671907504">
      <w:bodyDiv w:val="1"/>
      <w:marLeft w:val="0"/>
      <w:marRight w:val="0"/>
      <w:marTop w:val="0"/>
      <w:marBottom w:val="0"/>
      <w:divBdr>
        <w:top w:val="none" w:sz="0" w:space="0" w:color="auto"/>
        <w:left w:val="none" w:sz="0" w:space="0" w:color="auto"/>
        <w:bottom w:val="none" w:sz="0" w:space="0" w:color="auto"/>
        <w:right w:val="none" w:sz="0" w:space="0" w:color="auto"/>
      </w:divBdr>
      <w:divsChild>
        <w:div w:id="69886335">
          <w:marLeft w:val="-720"/>
          <w:marRight w:val="0"/>
          <w:marTop w:val="0"/>
          <w:marBottom w:val="0"/>
          <w:divBdr>
            <w:top w:val="none" w:sz="0" w:space="0" w:color="auto"/>
            <w:left w:val="none" w:sz="0" w:space="0" w:color="auto"/>
            <w:bottom w:val="none" w:sz="0" w:space="0" w:color="auto"/>
            <w:right w:val="none" w:sz="0" w:space="0" w:color="auto"/>
          </w:divBdr>
        </w:div>
      </w:divsChild>
    </w:div>
    <w:div w:id="1677268577">
      <w:bodyDiv w:val="1"/>
      <w:marLeft w:val="0"/>
      <w:marRight w:val="0"/>
      <w:marTop w:val="0"/>
      <w:marBottom w:val="0"/>
      <w:divBdr>
        <w:top w:val="none" w:sz="0" w:space="0" w:color="auto"/>
        <w:left w:val="none" w:sz="0" w:space="0" w:color="auto"/>
        <w:bottom w:val="none" w:sz="0" w:space="0" w:color="auto"/>
        <w:right w:val="none" w:sz="0" w:space="0" w:color="auto"/>
      </w:divBdr>
    </w:div>
    <w:div w:id="1779988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AC248-DBAC-409A-B5C4-F625C441D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4</Pages>
  <Words>1367</Words>
  <Characters>7798</Characters>
  <Application>Microsoft Office Word</Application>
  <DocSecurity>0</DocSecurity>
  <Lines>64</Lines>
  <Paragraphs>18</Paragraphs>
  <ScaleCrop>false</ScaleCrop>
  <Company/>
  <LinksUpToDate>false</LinksUpToDate>
  <CharactersWithSpaces>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Neve Pule</dc:creator>
  <cp:keywords/>
  <dc:description/>
  <cp:lastModifiedBy>Neve Pule</cp:lastModifiedBy>
  <cp:revision>227</cp:revision>
  <cp:lastPrinted>2024-03-28T13:12:00Z</cp:lastPrinted>
  <dcterms:created xsi:type="dcterms:W3CDTF">2024-03-06T19:45:00Z</dcterms:created>
  <dcterms:modified xsi:type="dcterms:W3CDTF">2024-03-28T14:42:00Z</dcterms:modified>
</cp:coreProperties>
</file>