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D8338" w14:textId="77777777" w:rsidR="00B633E7" w:rsidRPr="00FF1EE2" w:rsidRDefault="00B633E7">
      <w:pPr>
        <w:spacing w:before="1200"/>
        <w:rPr>
          <w:rFonts w:ascii="Arial" w:hAnsi="Arial" w:cs="Arial"/>
          <w:sz w:val="24"/>
          <w:szCs w:val="24"/>
        </w:rPr>
      </w:pPr>
    </w:p>
    <w:p w14:paraId="068B4BC0" w14:textId="77777777" w:rsidR="00D612F1" w:rsidRPr="00FF1EE2" w:rsidRDefault="00D612F1" w:rsidP="00D612F1">
      <w:pPr>
        <w:pStyle w:val="BodyText"/>
        <w:spacing w:before="11"/>
        <w:ind w:left="0"/>
        <w:jc w:val="left"/>
        <w:rPr>
          <w:rFonts w:ascii="Arial" w:hAnsi="Arial" w:cs="Arial"/>
          <w:sz w:val="4"/>
          <w:szCs w:val="28"/>
        </w:rPr>
      </w:pPr>
    </w:p>
    <w:p w14:paraId="28E5BCB9" w14:textId="77777777" w:rsidR="00D612F1" w:rsidRPr="00FF1EE2" w:rsidRDefault="00D612F1" w:rsidP="00D612F1">
      <w:pPr>
        <w:ind w:left="2010"/>
        <w:rPr>
          <w:rFonts w:ascii="Arial" w:hAnsi="Arial" w:cs="Arial"/>
          <w:sz w:val="21"/>
          <w:szCs w:val="24"/>
        </w:rPr>
      </w:pPr>
      <w:r w:rsidRPr="00FF1EE2">
        <w:rPr>
          <w:rFonts w:ascii="Arial" w:hAnsi="Arial" w:cs="Arial"/>
          <w:noProof/>
          <w:sz w:val="21"/>
          <w:szCs w:val="24"/>
        </w:rPr>
        <w:drawing>
          <wp:inline distT="0" distB="0" distL="0" distR="0" wp14:anchorId="1F2A12F2" wp14:editId="2C2593AD">
            <wp:extent cx="3401472" cy="1359312"/>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3401472" cy="1359312"/>
                    </a:xfrm>
                    <a:prstGeom prst="rect">
                      <a:avLst/>
                    </a:prstGeom>
                  </pic:spPr>
                </pic:pic>
              </a:graphicData>
            </a:graphic>
          </wp:inline>
        </w:drawing>
      </w:r>
    </w:p>
    <w:p w14:paraId="1085D2FC" w14:textId="77777777" w:rsidR="00D612F1" w:rsidRPr="00FF1EE2" w:rsidRDefault="00D612F1" w:rsidP="00D612F1">
      <w:pPr>
        <w:pStyle w:val="BodyText"/>
        <w:ind w:left="0"/>
        <w:jc w:val="left"/>
        <w:rPr>
          <w:rFonts w:ascii="Arial" w:hAnsi="Arial" w:cs="Arial"/>
          <w:sz w:val="32"/>
          <w:szCs w:val="28"/>
        </w:rPr>
      </w:pPr>
    </w:p>
    <w:p w14:paraId="78FBD5D9" w14:textId="77777777" w:rsidR="00D612F1" w:rsidRPr="00FF1EE2" w:rsidRDefault="00D612F1" w:rsidP="00D612F1">
      <w:pPr>
        <w:pStyle w:val="BodyText"/>
        <w:spacing w:before="240"/>
        <w:ind w:left="0"/>
        <w:jc w:val="left"/>
        <w:rPr>
          <w:rFonts w:ascii="Arial" w:hAnsi="Arial" w:cs="Arial"/>
          <w:sz w:val="32"/>
          <w:szCs w:val="28"/>
        </w:rPr>
      </w:pPr>
    </w:p>
    <w:p w14:paraId="7047F0E5" w14:textId="51F2F2B7" w:rsidR="00D612F1" w:rsidRPr="00FF1EE2" w:rsidRDefault="00D612F1" w:rsidP="00D612F1">
      <w:pPr>
        <w:spacing w:line="669" w:lineRule="auto"/>
        <w:ind w:left="2520" w:right="2516"/>
        <w:jc w:val="center"/>
        <w:rPr>
          <w:rFonts w:ascii="Arial" w:hAnsi="Arial" w:cs="Arial"/>
          <w:b/>
          <w:sz w:val="32"/>
          <w:szCs w:val="24"/>
        </w:rPr>
      </w:pPr>
      <w:r w:rsidRPr="00FF1EE2">
        <w:rPr>
          <w:rFonts w:ascii="Arial" w:hAnsi="Arial" w:cs="Arial"/>
          <w:b/>
          <w:sz w:val="32"/>
          <w:szCs w:val="24"/>
        </w:rPr>
        <w:t>Student</w:t>
      </w:r>
      <w:r w:rsidRPr="00FF1EE2">
        <w:rPr>
          <w:rFonts w:ascii="Arial" w:hAnsi="Arial" w:cs="Arial"/>
          <w:b/>
          <w:spacing w:val="-15"/>
          <w:sz w:val="32"/>
          <w:szCs w:val="24"/>
        </w:rPr>
        <w:t xml:space="preserve"> </w:t>
      </w:r>
      <w:r w:rsidRPr="00FF1EE2">
        <w:rPr>
          <w:rFonts w:ascii="Arial" w:hAnsi="Arial" w:cs="Arial"/>
          <w:b/>
          <w:sz w:val="32"/>
          <w:szCs w:val="24"/>
        </w:rPr>
        <w:t>Name:</w:t>
      </w:r>
      <w:r w:rsidRPr="00FF1EE2">
        <w:rPr>
          <w:rFonts w:ascii="Arial" w:hAnsi="Arial" w:cs="Arial"/>
          <w:b/>
          <w:spacing w:val="-13"/>
          <w:sz w:val="32"/>
          <w:szCs w:val="24"/>
        </w:rPr>
        <w:t xml:space="preserve"> </w:t>
      </w:r>
      <w:r w:rsidRPr="00FF1EE2">
        <w:rPr>
          <w:rFonts w:ascii="Arial" w:hAnsi="Arial" w:cs="Arial"/>
          <w:b/>
          <w:sz w:val="32"/>
          <w:szCs w:val="24"/>
        </w:rPr>
        <w:t>Kevin Gosai Student ID: 2531973</w:t>
      </w:r>
    </w:p>
    <w:p w14:paraId="12F18631" w14:textId="77777777" w:rsidR="00D612F1" w:rsidRPr="00FF1EE2" w:rsidRDefault="00D612F1" w:rsidP="00D612F1">
      <w:pPr>
        <w:spacing w:line="321" w:lineRule="exact"/>
        <w:ind w:left="1" w:right="1"/>
        <w:jc w:val="center"/>
        <w:rPr>
          <w:rFonts w:ascii="Arial" w:hAnsi="Arial" w:cs="Arial"/>
          <w:b/>
          <w:sz w:val="32"/>
          <w:szCs w:val="24"/>
        </w:rPr>
      </w:pPr>
      <w:r w:rsidRPr="00FF1EE2">
        <w:rPr>
          <w:rFonts w:ascii="Arial" w:hAnsi="Arial" w:cs="Arial"/>
          <w:b/>
          <w:sz w:val="32"/>
          <w:szCs w:val="24"/>
        </w:rPr>
        <w:t>Module</w:t>
      </w:r>
      <w:r w:rsidRPr="00FF1EE2">
        <w:rPr>
          <w:rFonts w:ascii="Arial" w:hAnsi="Arial" w:cs="Arial"/>
          <w:b/>
          <w:spacing w:val="-9"/>
          <w:sz w:val="32"/>
          <w:szCs w:val="24"/>
        </w:rPr>
        <w:t xml:space="preserve"> </w:t>
      </w:r>
      <w:r w:rsidRPr="00FF1EE2">
        <w:rPr>
          <w:rFonts w:ascii="Arial" w:hAnsi="Arial" w:cs="Arial"/>
          <w:b/>
          <w:sz w:val="32"/>
          <w:szCs w:val="24"/>
        </w:rPr>
        <w:t>Name:</w:t>
      </w:r>
      <w:r w:rsidRPr="00FF1EE2">
        <w:rPr>
          <w:rFonts w:ascii="Arial" w:hAnsi="Arial" w:cs="Arial"/>
          <w:b/>
          <w:spacing w:val="-3"/>
          <w:sz w:val="32"/>
          <w:szCs w:val="24"/>
        </w:rPr>
        <w:t xml:space="preserve"> </w:t>
      </w:r>
      <w:r w:rsidRPr="00FF1EE2">
        <w:rPr>
          <w:rFonts w:ascii="Arial" w:hAnsi="Arial" w:cs="Arial"/>
          <w:b/>
          <w:sz w:val="32"/>
          <w:szCs w:val="24"/>
        </w:rPr>
        <w:t>Strategic</w:t>
      </w:r>
      <w:r w:rsidRPr="00FF1EE2">
        <w:rPr>
          <w:rFonts w:ascii="Arial" w:hAnsi="Arial" w:cs="Arial"/>
          <w:b/>
          <w:spacing w:val="-8"/>
          <w:sz w:val="32"/>
          <w:szCs w:val="24"/>
        </w:rPr>
        <w:t xml:space="preserve"> </w:t>
      </w:r>
      <w:r w:rsidRPr="00FF1EE2">
        <w:rPr>
          <w:rFonts w:ascii="Arial" w:hAnsi="Arial" w:cs="Arial"/>
          <w:b/>
          <w:spacing w:val="-2"/>
          <w:sz w:val="32"/>
          <w:szCs w:val="24"/>
        </w:rPr>
        <w:t>Management</w:t>
      </w:r>
    </w:p>
    <w:p w14:paraId="56B5C929" w14:textId="77777777" w:rsidR="00D612F1" w:rsidRPr="00FF1EE2" w:rsidRDefault="00D612F1" w:rsidP="00D612F1">
      <w:pPr>
        <w:pStyle w:val="BodyText"/>
        <w:ind w:left="0"/>
        <w:jc w:val="left"/>
        <w:rPr>
          <w:rFonts w:ascii="Arial" w:hAnsi="Arial" w:cs="Arial"/>
          <w:b/>
          <w:sz w:val="32"/>
          <w:szCs w:val="28"/>
        </w:rPr>
      </w:pPr>
    </w:p>
    <w:p w14:paraId="16F30F0D" w14:textId="77777777" w:rsidR="00D612F1" w:rsidRPr="00FF1EE2" w:rsidRDefault="00D612F1" w:rsidP="00D612F1">
      <w:pPr>
        <w:pStyle w:val="BodyText"/>
        <w:spacing w:before="49"/>
        <w:ind w:left="0"/>
        <w:jc w:val="left"/>
        <w:rPr>
          <w:rFonts w:ascii="Arial" w:hAnsi="Arial" w:cs="Arial"/>
          <w:b/>
          <w:sz w:val="32"/>
          <w:szCs w:val="28"/>
        </w:rPr>
      </w:pPr>
    </w:p>
    <w:p w14:paraId="05952172" w14:textId="77777777" w:rsidR="00D612F1" w:rsidRPr="00FF1EE2" w:rsidRDefault="00D612F1" w:rsidP="00D612F1">
      <w:pPr>
        <w:ind w:left="2520" w:right="2516"/>
        <w:jc w:val="center"/>
        <w:rPr>
          <w:rFonts w:ascii="Arial" w:hAnsi="Arial" w:cs="Arial"/>
          <w:b/>
          <w:sz w:val="32"/>
          <w:szCs w:val="24"/>
        </w:rPr>
      </w:pPr>
      <w:r w:rsidRPr="00FF1EE2">
        <w:rPr>
          <w:rFonts w:ascii="Arial" w:hAnsi="Arial" w:cs="Arial"/>
          <w:b/>
          <w:sz w:val="32"/>
          <w:szCs w:val="24"/>
        </w:rPr>
        <w:t>Module</w:t>
      </w:r>
      <w:r w:rsidRPr="00FF1EE2">
        <w:rPr>
          <w:rFonts w:ascii="Arial" w:hAnsi="Arial" w:cs="Arial"/>
          <w:b/>
          <w:spacing w:val="-7"/>
          <w:sz w:val="32"/>
          <w:szCs w:val="24"/>
        </w:rPr>
        <w:t xml:space="preserve"> </w:t>
      </w:r>
      <w:r w:rsidRPr="00FF1EE2">
        <w:rPr>
          <w:rFonts w:ascii="Arial" w:hAnsi="Arial" w:cs="Arial"/>
          <w:b/>
          <w:sz w:val="32"/>
          <w:szCs w:val="24"/>
        </w:rPr>
        <w:t>Code:</w:t>
      </w:r>
      <w:r w:rsidRPr="00FF1EE2">
        <w:rPr>
          <w:rFonts w:ascii="Arial" w:hAnsi="Arial" w:cs="Arial"/>
          <w:b/>
          <w:spacing w:val="-6"/>
          <w:sz w:val="32"/>
          <w:szCs w:val="24"/>
        </w:rPr>
        <w:t xml:space="preserve"> </w:t>
      </w:r>
      <w:r w:rsidRPr="00FF1EE2">
        <w:rPr>
          <w:rFonts w:ascii="Arial" w:hAnsi="Arial" w:cs="Arial"/>
          <w:b/>
          <w:spacing w:val="-2"/>
          <w:sz w:val="32"/>
          <w:szCs w:val="24"/>
        </w:rPr>
        <w:t>LCMB7003</w:t>
      </w:r>
    </w:p>
    <w:p w14:paraId="4530BCF9" w14:textId="77777777" w:rsidR="00D612F1" w:rsidRPr="00FF1EE2" w:rsidRDefault="00D612F1" w:rsidP="00D612F1">
      <w:pPr>
        <w:pStyle w:val="BodyText"/>
        <w:ind w:left="0"/>
        <w:jc w:val="left"/>
        <w:rPr>
          <w:rFonts w:ascii="Arial" w:hAnsi="Arial" w:cs="Arial"/>
          <w:b/>
          <w:sz w:val="32"/>
          <w:szCs w:val="28"/>
        </w:rPr>
      </w:pPr>
    </w:p>
    <w:p w14:paraId="79CE7CE3" w14:textId="77777777" w:rsidR="00D612F1" w:rsidRPr="00FF1EE2" w:rsidRDefault="00D612F1" w:rsidP="00D612F1">
      <w:pPr>
        <w:pStyle w:val="BodyText"/>
        <w:spacing w:before="54"/>
        <w:ind w:left="0"/>
        <w:jc w:val="left"/>
        <w:rPr>
          <w:rFonts w:ascii="Arial" w:hAnsi="Arial" w:cs="Arial"/>
          <w:b/>
          <w:sz w:val="32"/>
          <w:szCs w:val="28"/>
        </w:rPr>
      </w:pPr>
    </w:p>
    <w:p w14:paraId="019A07E8" w14:textId="77777777" w:rsidR="00D612F1" w:rsidRPr="00FF1EE2" w:rsidRDefault="00D612F1" w:rsidP="00D612F1">
      <w:pPr>
        <w:spacing w:before="1"/>
        <w:ind w:right="1"/>
        <w:jc w:val="center"/>
        <w:rPr>
          <w:rFonts w:ascii="Arial" w:hAnsi="Arial" w:cs="Arial"/>
          <w:b/>
          <w:sz w:val="32"/>
          <w:szCs w:val="24"/>
        </w:rPr>
      </w:pPr>
      <w:r w:rsidRPr="00FF1EE2">
        <w:rPr>
          <w:rFonts w:ascii="Arial" w:hAnsi="Arial" w:cs="Arial"/>
          <w:b/>
          <w:sz w:val="32"/>
          <w:szCs w:val="24"/>
        </w:rPr>
        <w:t>Lecturer’s</w:t>
      </w:r>
      <w:r w:rsidRPr="00FF1EE2">
        <w:rPr>
          <w:rFonts w:ascii="Arial" w:hAnsi="Arial" w:cs="Arial"/>
          <w:b/>
          <w:spacing w:val="-8"/>
          <w:sz w:val="32"/>
          <w:szCs w:val="24"/>
        </w:rPr>
        <w:t xml:space="preserve"> </w:t>
      </w:r>
      <w:r w:rsidRPr="00FF1EE2">
        <w:rPr>
          <w:rFonts w:ascii="Arial" w:hAnsi="Arial" w:cs="Arial"/>
          <w:b/>
          <w:sz w:val="32"/>
          <w:szCs w:val="24"/>
        </w:rPr>
        <w:t>Name:</w:t>
      </w:r>
      <w:r w:rsidRPr="00FF1EE2">
        <w:rPr>
          <w:rFonts w:ascii="Arial" w:hAnsi="Arial" w:cs="Arial"/>
          <w:b/>
          <w:spacing w:val="-5"/>
          <w:sz w:val="32"/>
          <w:szCs w:val="24"/>
        </w:rPr>
        <w:t xml:space="preserve"> </w:t>
      </w:r>
      <w:r w:rsidRPr="00FF1EE2">
        <w:rPr>
          <w:rFonts w:ascii="Arial" w:hAnsi="Arial" w:cs="Arial"/>
          <w:b/>
          <w:sz w:val="32"/>
          <w:szCs w:val="24"/>
        </w:rPr>
        <w:t>Gladius</w:t>
      </w:r>
      <w:r w:rsidRPr="00FF1EE2">
        <w:rPr>
          <w:rFonts w:ascii="Arial" w:hAnsi="Arial" w:cs="Arial"/>
          <w:b/>
          <w:spacing w:val="-7"/>
          <w:sz w:val="32"/>
          <w:szCs w:val="24"/>
        </w:rPr>
        <w:t xml:space="preserve"> </w:t>
      </w:r>
      <w:r w:rsidRPr="00FF1EE2">
        <w:rPr>
          <w:rFonts w:ascii="Arial" w:hAnsi="Arial" w:cs="Arial"/>
          <w:b/>
          <w:spacing w:val="-2"/>
          <w:sz w:val="32"/>
          <w:szCs w:val="24"/>
        </w:rPr>
        <w:t>Kulothungan</w:t>
      </w:r>
    </w:p>
    <w:p w14:paraId="0D2DF0ED" w14:textId="77777777" w:rsidR="00D612F1" w:rsidRPr="00FF1EE2" w:rsidRDefault="00D612F1" w:rsidP="00D612F1">
      <w:pPr>
        <w:pStyle w:val="BodyText"/>
        <w:ind w:left="0"/>
        <w:jc w:val="left"/>
        <w:rPr>
          <w:rFonts w:ascii="Arial" w:hAnsi="Arial" w:cs="Arial"/>
          <w:b/>
          <w:sz w:val="32"/>
          <w:szCs w:val="28"/>
        </w:rPr>
      </w:pPr>
    </w:p>
    <w:p w14:paraId="36807CEE" w14:textId="77777777" w:rsidR="00D612F1" w:rsidRPr="00FF1EE2" w:rsidRDefault="00D612F1" w:rsidP="00D612F1">
      <w:pPr>
        <w:pStyle w:val="BodyText"/>
        <w:spacing w:before="8"/>
        <w:ind w:left="0"/>
        <w:jc w:val="left"/>
        <w:rPr>
          <w:rFonts w:ascii="Arial" w:hAnsi="Arial" w:cs="Arial"/>
          <w:b/>
          <w:sz w:val="32"/>
          <w:szCs w:val="28"/>
        </w:rPr>
      </w:pPr>
    </w:p>
    <w:p w14:paraId="7A458AB7" w14:textId="393EF913" w:rsidR="00D612F1" w:rsidRPr="00FF1EE2" w:rsidRDefault="00D612F1" w:rsidP="00D612F1">
      <w:pPr>
        <w:ind w:left="2521" w:right="2516"/>
        <w:jc w:val="center"/>
        <w:rPr>
          <w:rFonts w:ascii="Arial" w:hAnsi="Arial" w:cs="Arial"/>
          <w:b/>
          <w:sz w:val="32"/>
          <w:szCs w:val="24"/>
        </w:rPr>
      </w:pPr>
      <w:r w:rsidRPr="00FF1EE2">
        <w:rPr>
          <w:rFonts w:ascii="Arial" w:hAnsi="Arial" w:cs="Arial"/>
          <w:b/>
          <w:sz w:val="32"/>
          <w:szCs w:val="24"/>
        </w:rPr>
        <w:t>Word</w:t>
      </w:r>
      <w:r w:rsidRPr="00FF1EE2">
        <w:rPr>
          <w:rFonts w:ascii="Arial" w:hAnsi="Arial" w:cs="Arial"/>
          <w:b/>
          <w:spacing w:val="-7"/>
          <w:sz w:val="32"/>
          <w:szCs w:val="24"/>
        </w:rPr>
        <w:t xml:space="preserve"> </w:t>
      </w:r>
      <w:r w:rsidRPr="00FF1EE2">
        <w:rPr>
          <w:rFonts w:ascii="Arial" w:hAnsi="Arial" w:cs="Arial"/>
          <w:b/>
          <w:sz w:val="32"/>
          <w:szCs w:val="24"/>
        </w:rPr>
        <w:t>Count:</w:t>
      </w:r>
      <w:r w:rsidRPr="00FF1EE2">
        <w:rPr>
          <w:rFonts w:ascii="Arial" w:hAnsi="Arial" w:cs="Arial"/>
          <w:b/>
          <w:spacing w:val="-3"/>
          <w:sz w:val="32"/>
          <w:szCs w:val="24"/>
        </w:rPr>
        <w:t xml:space="preserve"> </w:t>
      </w:r>
      <w:r w:rsidR="00F06268" w:rsidRPr="00FF1EE2">
        <w:rPr>
          <w:rFonts w:ascii="Arial" w:hAnsi="Arial" w:cs="Arial"/>
          <w:b/>
          <w:spacing w:val="-4"/>
          <w:sz w:val="32"/>
          <w:szCs w:val="24"/>
        </w:rPr>
        <w:t>6437</w:t>
      </w:r>
    </w:p>
    <w:p w14:paraId="58E78551" w14:textId="77777777" w:rsidR="00D612F1" w:rsidRPr="00FF1EE2" w:rsidRDefault="00D612F1" w:rsidP="00D612F1">
      <w:pPr>
        <w:pStyle w:val="BodyText"/>
        <w:spacing w:before="256"/>
        <w:ind w:left="0"/>
        <w:jc w:val="left"/>
        <w:rPr>
          <w:rFonts w:ascii="Arial" w:hAnsi="Arial" w:cs="Arial"/>
          <w:b/>
          <w:sz w:val="32"/>
          <w:szCs w:val="28"/>
        </w:rPr>
      </w:pPr>
    </w:p>
    <w:p w14:paraId="44F25169" w14:textId="77777777" w:rsidR="00D612F1" w:rsidRPr="00FF1EE2" w:rsidRDefault="00D612F1" w:rsidP="00D612F1">
      <w:pPr>
        <w:ind w:left="2520" w:right="2519"/>
        <w:jc w:val="center"/>
        <w:rPr>
          <w:rFonts w:ascii="Arial" w:hAnsi="Arial" w:cs="Arial"/>
          <w:b/>
          <w:sz w:val="32"/>
          <w:szCs w:val="24"/>
        </w:rPr>
      </w:pPr>
      <w:r w:rsidRPr="00FF1EE2">
        <w:rPr>
          <w:rFonts w:ascii="Arial" w:hAnsi="Arial" w:cs="Arial"/>
          <w:b/>
          <w:sz w:val="32"/>
          <w:szCs w:val="24"/>
        </w:rPr>
        <w:t>Term</w:t>
      </w:r>
      <w:r w:rsidRPr="00FF1EE2">
        <w:rPr>
          <w:rFonts w:ascii="Arial" w:hAnsi="Arial" w:cs="Arial"/>
          <w:b/>
          <w:spacing w:val="-2"/>
          <w:sz w:val="32"/>
          <w:szCs w:val="24"/>
        </w:rPr>
        <w:t xml:space="preserve"> </w:t>
      </w:r>
      <w:r w:rsidRPr="00FF1EE2">
        <w:rPr>
          <w:rFonts w:ascii="Arial" w:hAnsi="Arial" w:cs="Arial"/>
          <w:b/>
          <w:spacing w:val="-10"/>
          <w:sz w:val="32"/>
          <w:szCs w:val="24"/>
        </w:rPr>
        <w:t>2</w:t>
      </w:r>
    </w:p>
    <w:p w14:paraId="4406D46A" w14:textId="77777777" w:rsidR="00B633E7" w:rsidRPr="00FF1EE2" w:rsidRDefault="00000000">
      <w:pPr>
        <w:rPr>
          <w:rFonts w:ascii="Arial" w:hAnsi="Arial" w:cs="Arial"/>
          <w:sz w:val="24"/>
          <w:szCs w:val="24"/>
        </w:rPr>
      </w:pPr>
      <w:r w:rsidRPr="00FF1EE2">
        <w:rPr>
          <w:rFonts w:ascii="Arial" w:hAnsi="Arial" w:cs="Arial"/>
          <w:sz w:val="24"/>
          <w:szCs w:val="24"/>
        </w:rPr>
        <w:br w:type="page"/>
      </w:r>
    </w:p>
    <w:p w14:paraId="550FAD8A" w14:textId="77777777" w:rsidR="00B633E7" w:rsidRPr="00FF1EE2" w:rsidRDefault="00000000">
      <w:pPr>
        <w:pStyle w:val="Heading1"/>
        <w:rPr>
          <w:rFonts w:ascii="Arial" w:hAnsi="Arial" w:cs="Arial"/>
          <w:sz w:val="32"/>
          <w:szCs w:val="32"/>
        </w:rPr>
      </w:pPr>
      <w:bookmarkStart w:id="0" w:name="_Toc237446154"/>
      <w:r w:rsidRPr="00FF1EE2">
        <w:rPr>
          <w:rFonts w:ascii="Arial" w:hAnsi="Arial" w:cs="Arial"/>
          <w:sz w:val="32"/>
          <w:szCs w:val="32"/>
        </w:rPr>
        <w:lastRenderedPageBreak/>
        <w:t>Table of Contents</w:t>
      </w:r>
      <w:bookmarkEnd w:id="0"/>
    </w:p>
    <w:sdt>
      <w:sdtPr>
        <w:rPr>
          <w:rFonts w:ascii="Arial" w:hAnsi="Arial" w:cs="Arial"/>
          <w:sz w:val="24"/>
          <w:szCs w:val="24"/>
        </w:rPr>
        <w:alias w:val="Table of Contents"/>
        <w:id w:val="394708311"/>
      </w:sdtPr>
      <w:sdtContent>
        <w:p w14:paraId="3CB05EF0" w14:textId="264B1250" w:rsidR="00D838DC" w:rsidRDefault="00000000">
          <w:pPr>
            <w:pStyle w:val="TOC1"/>
            <w:tabs>
              <w:tab w:val="right" w:leader="dot" w:pos="9350"/>
            </w:tabs>
            <w:rPr>
              <w:rFonts w:asciiTheme="minorHAnsi" w:eastAsiaTheme="minorEastAsia" w:hAnsiTheme="minorHAnsi" w:cstheme="minorBidi"/>
              <w:noProof/>
              <w:kern w:val="2"/>
              <w:sz w:val="24"/>
              <w:szCs w:val="24"/>
              <w14:ligatures w14:val="standardContextual"/>
            </w:rPr>
          </w:pPr>
          <w:r w:rsidRPr="00FF1EE2">
            <w:rPr>
              <w:rFonts w:ascii="Arial" w:hAnsi="Arial" w:cs="Arial"/>
              <w:sz w:val="24"/>
              <w:szCs w:val="24"/>
            </w:rPr>
            <w:fldChar w:fldCharType="begin"/>
          </w:r>
          <w:r w:rsidRPr="00FF1EE2">
            <w:rPr>
              <w:rFonts w:ascii="Arial" w:hAnsi="Arial" w:cs="Arial"/>
              <w:sz w:val="24"/>
              <w:szCs w:val="24"/>
            </w:rPr>
            <w:instrText>TOC \h \o "1-3"</w:instrText>
          </w:r>
          <w:r w:rsidRPr="00FF1EE2">
            <w:rPr>
              <w:rFonts w:ascii="Arial" w:hAnsi="Arial" w:cs="Arial"/>
              <w:sz w:val="24"/>
              <w:szCs w:val="24"/>
            </w:rPr>
            <w:fldChar w:fldCharType="separate"/>
          </w:r>
          <w:hyperlink w:anchor="_Toc237446154" w:history="1">
            <w:r w:rsidR="00D838DC" w:rsidRPr="008F1D72">
              <w:rPr>
                <w:rStyle w:val="Hyperlink"/>
                <w:rFonts w:ascii="Arial" w:hAnsi="Arial" w:cs="Arial"/>
                <w:noProof/>
              </w:rPr>
              <w:t>Table of Contents</w:t>
            </w:r>
            <w:r w:rsidR="00D838DC">
              <w:rPr>
                <w:noProof/>
              </w:rPr>
              <w:tab/>
            </w:r>
            <w:r w:rsidR="00D838DC">
              <w:rPr>
                <w:noProof/>
              </w:rPr>
              <w:fldChar w:fldCharType="begin"/>
            </w:r>
            <w:r w:rsidR="00D838DC">
              <w:rPr>
                <w:noProof/>
              </w:rPr>
              <w:instrText xml:space="preserve"> PAGEREF _Toc237446154 \h </w:instrText>
            </w:r>
            <w:r w:rsidR="00D838DC">
              <w:rPr>
                <w:noProof/>
              </w:rPr>
            </w:r>
            <w:r w:rsidR="00D838DC">
              <w:rPr>
                <w:noProof/>
              </w:rPr>
              <w:fldChar w:fldCharType="separate"/>
            </w:r>
            <w:r w:rsidR="00D838DC">
              <w:rPr>
                <w:noProof/>
              </w:rPr>
              <w:t>2</w:t>
            </w:r>
            <w:r w:rsidR="00D838DC">
              <w:rPr>
                <w:noProof/>
              </w:rPr>
              <w:fldChar w:fldCharType="end"/>
            </w:r>
          </w:hyperlink>
        </w:p>
        <w:p w14:paraId="5536EF75" w14:textId="0E316FB9" w:rsidR="00D838DC" w:rsidRDefault="00D838DC">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446155" w:history="1">
            <w:r w:rsidRPr="008F1D72">
              <w:rPr>
                <w:rStyle w:val="Hyperlink"/>
                <w:rFonts w:ascii="Arial" w:hAnsi="Arial" w:cs="Arial"/>
                <w:noProof/>
              </w:rPr>
              <w:t>Executive Summary</w:t>
            </w:r>
            <w:r>
              <w:rPr>
                <w:noProof/>
              </w:rPr>
              <w:tab/>
            </w:r>
            <w:r>
              <w:rPr>
                <w:noProof/>
              </w:rPr>
              <w:fldChar w:fldCharType="begin"/>
            </w:r>
            <w:r>
              <w:rPr>
                <w:noProof/>
              </w:rPr>
              <w:instrText xml:space="preserve"> PAGEREF _Toc237446155 \h </w:instrText>
            </w:r>
            <w:r>
              <w:rPr>
                <w:noProof/>
              </w:rPr>
            </w:r>
            <w:r>
              <w:rPr>
                <w:noProof/>
              </w:rPr>
              <w:fldChar w:fldCharType="separate"/>
            </w:r>
            <w:r>
              <w:rPr>
                <w:noProof/>
              </w:rPr>
              <w:t>4</w:t>
            </w:r>
            <w:r>
              <w:rPr>
                <w:noProof/>
              </w:rPr>
              <w:fldChar w:fldCharType="end"/>
            </w:r>
          </w:hyperlink>
        </w:p>
        <w:p w14:paraId="378D4647" w14:textId="6E2E47E8" w:rsidR="00D838DC" w:rsidRDefault="00D838DC">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446156" w:history="1">
            <w:r w:rsidRPr="008F1D72">
              <w:rPr>
                <w:rStyle w:val="Hyperlink"/>
                <w:rFonts w:ascii="Arial" w:hAnsi="Arial" w:cs="Arial"/>
                <w:noProof/>
              </w:rPr>
              <w:t>1. Organisational Context and Overview</w:t>
            </w:r>
            <w:r>
              <w:rPr>
                <w:noProof/>
              </w:rPr>
              <w:tab/>
            </w:r>
            <w:r>
              <w:rPr>
                <w:noProof/>
              </w:rPr>
              <w:fldChar w:fldCharType="begin"/>
            </w:r>
            <w:r>
              <w:rPr>
                <w:noProof/>
              </w:rPr>
              <w:instrText xml:space="preserve"> PAGEREF _Toc237446156 \h </w:instrText>
            </w:r>
            <w:r>
              <w:rPr>
                <w:noProof/>
              </w:rPr>
            </w:r>
            <w:r>
              <w:rPr>
                <w:noProof/>
              </w:rPr>
              <w:fldChar w:fldCharType="separate"/>
            </w:r>
            <w:r>
              <w:rPr>
                <w:noProof/>
              </w:rPr>
              <w:t>5</w:t>
            </w:r>
            <w:r>
              <w:rPr>
                <w:noProof/>
              </w:rPr>
              <w:fldChar w:fldCharType="end"/>
            </w:r>
          </w:hyperlink>
        </w:p>
        <w:p w14:paraId="41CDE56A" w14:textId="36BD0BF4"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57" w:history="1">
            <w:r w:rsidRPr="008F1D72">
              <w:rPr>
                <w:rStyle w:val="Hyperlink"/>
                <w:rFonts w:ascii="Arial" w:hAnsi="Arial" w:cs="Arial"/>
                <w:noProof/>
              </w:rPr>
              <w:t>1.1 History, Mission, Vision and Business Model</w:t>
            </w:r>
            <w:r>
              <w:rPr>
                <w:noProof/>
              </w:rPr>
              <w:tab/>
            </w:r>
            <w:r>
              <w:rPr>
                <w:noProof/>
              </w:rPr>
              <w:fldChar w:fldCharType="begin"/>
            </w:r>
            <w:r>
              <w:rPr>
                <w:noProof/>
              </w:rPr>
              <w:instrText xml:space="preserve"> PAGEREF _Toc237446157 \h </w:instrText>
            </w:r>
            <w:r>
              <w:rPr>
                <w:noProof/>
              </w:rPr>
            </w:r>
            <w:r>
              <w:rPr>
                <w:noProof/>
              </w:rPr>
              <w:fldChar w:fldCharType="separate"/>
            </w:r>
            <w:r>
              <w:rPr>
                <w:noProof/>
              </w:rPr>
              <w:t>6</w:t>
            </w:r>
            <w:r>
              <w:rPr>
                <w:noProof/>
              </w:rPr>
              <w:fldChar w:fldCharType="end"/>
            </w:r>
          </w:hyperlink>
        </w:p>
        <w:p w14:paraId="12E6E243" w14:textId="1321C7E6"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58" w:history="1">
            <w:r w:rsidRPr="008F1D72">
              <w:rPr>
                <w:rStyle w:val="Hyperlink"/>
                <w:rFonts w:ascii="Arial" w:hAnsi="Arial" w:cs="Arial"/>
                <w:noProof/>
              </w:rPr>
              <w:t>1.2 Industry, Competitors and Market Position</w:t>
            </w:r>
            <w:r>
              <w:rPr>
                <w:noProof/>
              </w:rPr>
              <w:tab/>
            </w:r>
            <w:r>
              <w:rPr>
                <w:noProof/>
              </w:rPr>
              <w:fldChar w:fldCharType="begin"/>
            </w:r>
            <w:r>
              <w:rPr>
                <w:noProof/>
              </w:rPr>
              <w:instrText xml:space="preserve"> PAGEREF _Toc237446158 \h </w:instrText>
            </w:r>
            <w:r>
              <w:rPr>
                <w:noProof/>
              </w:rPr>
            </w:r>
            <w:r>
              <w:rPr>
                <w:noProof/>
              </w:rPr>
              <w:fldChar w:fldCharType="separate"/>
            </w:r>
            <w:r>
              <w:rPr>
                <w:noProof/>
              </w:rPr>
              <w:t>6</w:t>
            </w:r>
            <w:r>
              <w:rPr>
                <w:noProof/>
              </w:rPr>
              <w:fldChar w:fldCharType="end"/>
            </w:r>
          </w:hyperlink>
        </w:p>
        <w:p w14:paraId="3E82D425" w14:textId="6C1F4A43" w:rsidR="00D838DC" w:rsidRDefault="00D838DC">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446159" w:history="1">
            <w:r w:rsidRPr="008F1D72">
              <w:rPr>
                <w:rStyle w:val="Hyperlink"/>
                <w:rFonts w:ascii="Arial" w:hAnsi="Arial" w:cs="Arial"/>
                <w:noProof/>
              </w:rPr>
              <w:t>2. External and Internal Analysis</w:t>
            </w:r>
            <w:r>
              <w:rPr>
                <w:noProof/>
              </w:rPr>
              <w:tab/>
            </w:r>
            <w:r>
              <w:rPr>
                <w:noProof/>
              </w:rPr>
              <w:fldChar w:fldCharType="begin"/>
            </w:r>
            <w:r>
              <w:rPr>
                <w:noProof/>
              </w:rPr>
              <w:instrText xml:space="preserve"> PAGEREF _Toc237446159 \h </w:instrText>
            </w:r>
            <w:r>
              <w:rPr>
                <w:noProof/>
              </w:rPr>
            </w:r>
            <w:r>
              <w:rPr>
                <w:noProof/>
              </w:rPr>
              <w:fldChar w:fldCharType="separate"/>
            </w:r>
            <w:r>
              <w:rPr>
                <w:noProof/>
              </w:rPr>
              <w:t>8</w:t>
            </w:r>
            <w:r>
              <w:rPr>
                <w:noProof/>
              </w:rPr>
              <w:fldChar w:fldCharType="end"/>
            </w:r>
          </w:hyperlink>
        </w:p>
        <w:p w14:paraId="3C1164EF" w14:textId="10FEAFF4"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60" w:history="1">
            <w:r w:rsidRPr="008F1D72">
              <w:rPr>
                <w:rStyle w:val="Hyperlink"/>
                <w:rFonts w:ascii="Arial" w:hAnsi="Arial" w:cs="Arial"/>
                <w:noProof/>
              </w:rPr>
              <w:t>2.1 PESTEL Analysis</w:t>
            </w:r>
            <w:r>
              <w:rPr>
                <w:noProof/>
              </w:rPr>
              <w:tab/>
            </w:r>
            <w:r>
              <w:rPr>
                <w:noProof/>
              </w:rPr>
              <w:fldChar w:fldCharType="begin"/>
            </w:r>
            <w:r>
              <w:rPr>
                <w:noProof/>
              </w:rPr>
              <w:instrText xml:space="preserve"> PAGEREF _Toc237446160 \h </w:instrText>
            </w:r>
            <w:r>
              <w:rPr>
                <w:noProof/>
              </w:rPr>
            </w:r>
            <w:r>
              <w:rPr>
                <w:noProof/>
              </w:rPr>
              <w:fldChar w:fldCharType="separate"/>
            </w:r>
            <w:r>
              <w:rPr>
                <w:noProof/>
              </w:rPr>
              <w:t>8</w:t>
            </w:r>
            <w:r>
              <w:rPr>
                <w:noProof/>
              </w:rPr>
              <w:fldChar w:fldCharType="end"/>
            </w:r>
          </w:hyperlink>
        </w:p>
        <w:p w14:paraId="025A0855" w14:textId="3F6CA6B6"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61" w:history="1">
            <w:r w:rsidRPr="008F1D72">
              <w:rPr>
                <w:rStyle w:val="Hyperlink"/>
                <w:rFonts w:ascii="Arial" w:hAnsi="Arial" w:cs="Arial"/>
                <w:noProof/>
              </w:rPr>
              <w:t>2.2 VRIO Analysis</w:t>
            </w:r>
            <w:r>
              <w:rPr>
                <w:noProof/>
              </w:rPr>
              <w:tab/>
            </w:r>
            <w:r>
              <w:rPr>
                <w:noProof/>
              </w:rPr>
              <w:fldChar w:fldCharType="begin"/>
            </w:r>
            <w:r>
              <w:rPr>
                <w:noProof/>
              </w:rPr>
              <w:instrText xml:space="preserve"> PAGEREF _Toc237446161 \h </w:instrText>
            </w:r>
            <w:r>
              <w:rPr>
                <w:noProof/>
              </w:rPr>
            </w:r>
            <w:r>
              <w:rPr>
                <w:noProof/>
              </w:rPr>
              <w:fldChar w:fldCharType="separate"/>
            </w:r>
            <w:r>
              <w:rPr>
                <w:noProof/>
              </w:rPr>
              <w:t>10</w:t>
            </w:r>
            <w:r>
              <w:rPr>
                <w:noProof/>
              </w:rPr>
              <w:fldChar w:fldCharType="end"/>
            </w:r>
          </w:hyperlink>
        </w:p>
        <w:p w14:paraId="52FE60BF" w14:textId="4C6028F9"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62" w:history="1">
            <w:r w:rsidRPr="008F1D72">
              <w:rPr>
                <w:rStyle w:val="Hyperlink"/>
                <w:rFonts w:ascii="Arial" w:hAnsi="Arial" w:cs="Arial"/>
                <w:noProof/>
              </w:rPr>
              <w:t>2.3 SWOT Synthesis</w:t>
            </w:r>
            <w:r>
              <w:rPr>
                <w:noProof/>
              </w:rPr>
              <w:tab/>
            </w:r>
            <w:r>
              <w:rPr>
                <w:noProof/>
              </w:rPr>
              <w:fldChar w:fldCharType="begin"/>
            </w:r>
            <w:r>
              <w:rPr>
                <w:noProof/>
              </w:rPr>
              <w:instrText xml:space="preserve"> PAGEREF _Toc237446162 \h </w:instrText>
            </w:r>
            <w:r>
              <w:rPr>
                <w:noProof/>
              </w:rPr>
            </w:r>
            <w:r>
              <w:rPr>
                <w:noProof/>
              </w:rPr>
              <w:fldChar w:fldCharType="separate"/>
            </w:r>
            <w:r>
              <w:rPr>
                <w:noProof/>
              </w:rPr>
              <w:t>12</w:t>
            </w:r>
            <w:r>
              <w:rPr>
                <w:noProof/>
              </w:rPr>
              <w:fldChar w:fldCharType="end"/>
            </w:r>
          </w:hyperlink>
        </w:p>
        <w:p w14:paraId="03D25E41" w14:textId="3E49A01D" w:rsidR="00D838DC" w:rsidRDefault="00D838DC">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446163" w:history="1">
            <w:r w:rsidRPr="008F1D72">
              <w:rPr>
                <w:rStyle w:val="Hyperlink"/>
                <w:rFonts w:ascii="Arial" w:hAnsi="Arial" w:cs="Arial"/>
                <w:noProof/>
              </w:rPr>
              <w:t>3. Comprehensive and Holistic View</w:t>
            </w:r>
            <w:r>
              <w:rPr>
                <w:noProof/>
              </w:rPr>
              <w:tab/>
            </w:r>
            <w:r>
              <w:rPr>
                <w:noProof/>
              </w:rPr>
              <w:fldChar w:fldCharType="begin"/>
            </w:r>
            <w:r>
              <w:rPr>
                <w:noProof/>
              </w:rPr>
              <w:instrText xml:space="preserve"> PAGEREF _Toc237446163 \h </w:instrText>
            </w:r>
            <w:r>
              <w:rPr>
                <w:noProof/>
              </w:rPr>
            </w:r>
            <w:r>
              <w:rPr>
                <w:noProof/>
              </w:rPr>
              <w:fldChar w:fldCharType="separate"/>
            </w:r>
            <w:r>
              <w:rPr>
                <w:noProof/>
              </w:rPr>
              <w:t>13</w:t>
            </w:r>
            <w:r>
              <w:rPr>
                <w:noProof/>
              </w:rPr>
              <w:fldChar w:fldCharType="end"/>
            </w:r>
          </w:hyperlink>
        </w:p>
        <w:p w14:paraId="38768615" w14:textId="214797F4"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64" w:history="1">
            <w:r w:rsidRPr="008F1D72">
              <w:rPr>
                <w:rStyle w:val="Hyperlink"/>
                <w:rFonts w:ascii="Arial" w:hAnsi="Arial" w:cs="Arial"/>
                <w:noProof/>
              </w:rPr>
              <w:t>3.1 CSR Strategy and Alignment</w:t>
            </w:r>
            <w:r>
              <w:rPr>
                <w:noProof/>
              </w:rPr>
              <w:tab/>
            </w:r>
            <w:r>
              <w:rPr>
                <w:noProof/>
              </w:rPr>
              <w:fldChar w:fldCharType="begin"/>
            </w:r>
            <w:r>
              <w:rPr>
                <w:noProof/>
              </w:rPr>
              <w:instrText xml:space="preserve"> PAGEREF _Toc237446164 \h </w:instrText>
            </w:r>
            <w:r>
              <w:rPr>
                <w:noProof/>
              </w:rPr>
            </w:r>
            <w:r>
              <w:rPr>
                <w:noProof/>
              </w:rPr>
              <w:fldChar w:fldCharType="separate"/>
            </w:r>
            <w:r>
              <w:rPr>
                <w:noProof/>
              </w:rPr>
              <w:t>13</w:t>
            </w:r>
            <w:r>
              <w:rPr>
                <w:noProof/>
              </w:rPr>
              <w:fldChar w:fldCharType="end"/>
            </w:r>
          </w:hyperlink>
        </w:p>
        <w:p w14:paraId="36029C63" w14:textId="73ADD1D0"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65" w:history="1">
            <w:r w:rsidRPr="008F1D72">
              <w:rPr>
                <w:rStyle w:val="Hyperlink"/>
                <w:rFonts w:ascii="Arial" w:hAnsi="Arial" w:cs="Arial"/>
                <w:noProof/>
              </w:rPr>
              <w:t>3.2 Balanced Scorecard</w:t>
            </w:r>
            <w:r>
              <w:rPr>
                <w:noProof/>
              </w:rPr>
              <w:tab/>
            </w:r>
            <w:r>
              <w:rPr>
                <w:noProof/>
              </w:rPr>
              <w:fldChar w:fldCharType="begin"/>
            </w:r>
            <w:r>
              <w:rPr>
                <w:noProof/>
              </w:rPr>
              <w:instrText xml:space="preserve"> PAGEREF _Toc237446165 \h </w:instrText>
            </w:r>
            <w:r>
              <w:rPr>
                <w:noProof/>
              </w:rPr>
            </w:r>
            <w:r>
              <w:rPr>
                <w:noProof/>
              </w:rPr>
              <w:fldChar w:fldCharType="separate"/>
            </w:r>
            <w:r>
              <w:rPr>
                <w:noProof/>
              </w:rPr>
              <w:t>14</w:t>
            </w:r>
            <w:r>
              <w:rPr>
                <w:noProof/>
              </w:rPr>
              <w:fldChar w:fldCharType="end"/>
            </w:r>
          </w:hyperlink>
        </w:p>
        <w:p w14:paraId="1D3643C1" w14:textId="1E160C1C" w:rsidR="00D838DC" w:rsidRDefault="00D838DC">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446166" w:history="1">
            <w:r w:rsidRPr="008F1D72">
              <w:rPr>
                <w:rStyle w:val="Hyperlink"/>
                <w:rFonts w:ascii="Arial" w:hAnsi="Arial" w:cs="Arial"/>
                <w:noProof/>
              </w:rPr>
              <w:t>4. Strategic Choices and Implementation</w:t>
            </w:r>
            <w:r>
              <w:rPr>
                <w:noProof/>
              </w:rPr>
              <w:tab/>
            </w:r>
            <w:r>
              <w:rPr>
                <w:noProof/>
              </w:rPr>
              <w:fldChar w:fldCharType="begin"/>
            </w:r>
            <w:r>
              <w:rPr>
                <w:noProof/>
              </w:rPr>
              <w:instrText xml:space="preserve"> PAGEREF _Toc237446166 \h </w:instrText>
            </w:r>
            <w:r>
              <w:rPr>
                <w:noProof/>
              </w:rPr>
            </w:r>
            <w:r>
              <w:rPr>
                <w:noProof/>
              </w:rPr>
              <w:fldChar w:fldCharType="separate"/>
            </w:r>
            <w:r>
              <w:rPr>
                <w:noProof/>
              </w:rPr>
              <w:t>15</w:t>
            </w:r>
            <w:r>
              <w:rPr>
                <w:noProof/>
              </w:rPr>
              <w:fldChar w:fldCharType="end"/>
            </w:r>
          </w:hyperlink>
        </w:p>
        <w:p w14:paraId="45D20905" w14:textId="5054E23B"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67" w:history="1">
            <w:r w:rsidRPr="008F1D72">
              <w:rPr>
                <w:rStyle w:val="Hyperlink"/>
                <w:rFonts w:ascii="Arial" w:hAnsi="Arial" w:cs="Arial"/>
                <w:noProof/>
              </w:rPr>
              <w:t>4.1 Business-Level Strategy and Value Proposition</w:t>
            </w:r>
            <w:r>
              <w:rPr>
                <w:noProof/>
              </w:rPr>
              <w:tab/>
            </w:r>
            <w:r>
              <w:rPr>
                <w:noProof/>
              </w:rPr>
              <w:fldChar w:fldCharType="begin"/>
            </w:r>
            <w:r>
              <w:rPr>
                <w:noProof/>
              </w:rPr>
              <w:instrText xml:space="preserve"> PAGEREF _Toc237446167 \h </w:instrText>
            </w:r>
            <w:r>
              <w:rPr>
                <w:noProof/>
              </w:rPr>
            </w:r>
            <w:r>
              <w:rPr>
                <w:noProof/>
              </w:rPr>
              <w:fldChar w:fldCharType="separate"/>
            </w:r>
            <w:r>
              <w:rPr>
                <w:noProof/>
              </w:rPr>
              <w:t>15</w:t>
            </w:r>
            <w:r>
              <w:rPr>
                <w:noProof/>
              </w:rPr>
              <w:fldChar w:fldCharType="end"/>
            </w:r>
          </w:hyperlink>
        </w:p>
        <w:p w14:paraId="25B0F0B7" w14:textId="04B59A01"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68" w:history="1">
            <w:r w:rsidRPr="008F1D72">
              <w:rPr>
                <w:rStyle w:val="Hyperlink"/>
                <w:rFonts w:ascii="Arial" w:hAnsi="Arial" w:cs="Arial"/>
                <w:noProof/>
              </w:rPr>
              <w:t>4.2 Ansoff Matrix and Five Forces Validation</w:t>
            </w:r>
            <w:r>
              <w:rPr>
                <w:noProof/>
              </w:rPr>
              <w:tab/>
            </w:r>
            <w:r>
              <w:rPr>
                <w:noProof/>
              </w:rPr>
              <w:fldChar w:fldCharType="begin"/>
            </w:r>
            <w:r>
              <w:rPr>
                <w:noProof/>
              </w:rPr>
              <w:instrText xml:space="preserve"> PAGEREF _Toc237446168 \h </w:instrText>
            </w:r>
            <w:r>
              <w:rPr>
                <w:noProof/>
              </w:rPr>
            </w:r>
            <w:r>
              <w:rPr>
                <w:noProof/>
              </w:rPr>
              <w:fldChar w:fldCharType="separate"/>
            </w:r>
            <w:r>
              <w:rPr>
                <w:noProof/>
              </w:rPr>
              <w:t>16</w:t>
            </w:r>
            <w:r>
              <w:rPr>
                <w:noProof/>
              </w:rPr>
              <w:fldChar w:fldCharType="end"/>
            </w:r>
          </w:hyperlink>
        </w:p>
        <w:p w14:paraId="100F658A" w14:textId="01981151"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69" w:history="1">
            <w:r w:rsidRPr="008F1D72">
              <w:rPr>
                <w:rStyle w:val="Hyperlink"/>
                <w:rFonts w:ascii="Arial" w:hAnsi="Arial" w:cs="Arial"/>
                <w:noProof/>
              </w:rPr>
              <w:t>4.3 Strategic Recommendations</w:t>
            </w:r>
            <w:r>
              <w:rPr>
                <w:noProof/>
              </w:rPr>
              <w:tab/>
            </w:r>
            <w:r>
              <w:rPr>
                <w:noProof/>
              </w:rPr>
              <w:fldChar w:fldCharType="begin"/>
            </w:r>
            <w:r>
              <w:rPr>
                <w:noProof/>
              </w:rPr>
              <w:instrText xml:space="preserve"> PAGEREF _Toc237446169 \h </w:instrText>
            </w:r>
            <w:r>
              <w:rPr>
                <w:noProof/>
              </w:rPr>
            </w:r>
            <w:r>
              <w:rPr>
                <w:noProof/>
              </w:rPr>
              <w:fldChar w:fldCharType="separate"/>
            </w:r>
            <w:r>
              <w:rPr>
                <w:noProof/>
              </w:rPr>
              <w:t>17</w:t>
            </w:r>
            <w:r>
              <w:rPr>
                <w:noProof/>
              </w:rPr>
              <w:fldChar w:fldCharType="end"/>
            </w:r>
          </w:hyperlink>
        </w:p>
        <w:p w14:paraId="39B7166E" w14:textId="575E816B"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70" w:history="1">
            <w:r w:rsidRPr="008F1D72">
              <w:rPr>
                <w:rStyle w:val="Hyperlink"/>
                <w:rFonts w:ascii="Arial" w:hAnsi="Arial" w:cs="Arial"/>
                <w:noProof/>
              </w:rPr>
              <w:t>4.4 SAFe Evaluation</w:t>
            </w:r>
            <w:r>
              <w:rPr>
                <w:noProof/>
              </w:rPr>
              <w:tab/>
            </w:r>
            <w:r>
              <w:rPr>
                <w:noProof/>
              </w:rPr>
              <w:fldChar w:fldCharType="begin"/>
            </w:r>
            <w:r>
              <w:rPr>
                <w:noProof/>
              </w:rPr>
              <w:instrText xml:space="preserve"> PAGEREF _Toc237446170 \h </w:instrText>
            </w:r>
            <w:r>
              <w:rPr>
                <w:noProof/>
              </w:rPr>
            </w:r>
            <w:r>
              <w:rPr>
                <w:noProof/>
              </w:rPr>
              <w:fldChar w:fldCharType="separate"/>
            </w:r>
            <w:r>
              <w:rPr>
                <w:noProof/>
              </w:rPr>
              <w:t>19</w:t>
            </w:r>
            <w:r>
              <w:rPr>
                <w:noProof/>
              </w:rPr>
              <w:fldChar w:fldCharType="end"/>
            </w:r>
          </w:hyperlink>
        </w:p>
        <w:p w14:paraId="3FE455C0" w14:textId="5B941B6F"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71" w:history="1">
            <w:r w:rsidRPr="008F1D72">
              <w:rPr>
                <w:rStyle w:val="Hyperlink"/>
                <w:rFonts w:ascii="Arial" w:hAnsi="Arial" w:cs="Arial"/>
                <w:noProof/>
              </w:rPr>
              <w:t>4.5 Implementation Challenges and Mitigation</w:t>
            </w:r>
            <w:r>
              <w:rPr>
                <w:noProof/>
              </w:rPr>
              <w:tab/>
            </w:r>
            <w:r>
              <w:rPr>
                <w:noProof/>
              </w:rPr>
              <w:fldChar w:fldCharType="begin"/>
            </w:r>
            <w:r>
              <w:rPr>
                <w:noProof/>
              </w:rPr>
              <w:instrText xml:space="preserve"> PAGEREF _Toc237446171 \h </w:instrText>
            </w:r>
            <w:r>
              <w:rPr>
                <w:noProof/>
              </w:rPr>
            </w:r>
            <w:r>
              <w:rPr>
                <w:noProof/>
              </w:rPr>
              <w:fldChar w:fldCharType="separate"/>
            </w:r>
            <w:r>
              <w:rPr>
                <w:noProof/>
              </w:rPr>
              <w:t>20</w:t>
            </w:r>
            <w:r>
              <w:rPr>
                <w:noProof/>
              </w:rPr>
              <w:fldChar w:fldCharType="end"/>
            </w:r>
          </w:hyperlink>
        </w:p>
        <w:p w14:paraId="35BA6DC8" w14:textId="3C6E9924" w:rsidR="00D838DC" w:rsidRDefault="00D838DC">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446172" w:history="1">
            <w:r w:rsidRPr="008F1D72">
              <w:rPr>
                <w:rStyle w:val="Hyperlink"/>
                <w:rFonts w:ascii="Arial" w:hAnsi="Arial" w:cs="Arial"/>
                <w:noProof/>
              </w:rPr>
              <w:t>Section 2: Reflective Account – Gibbs Cycle</w:t>
            </w:r>
            <w:r>
              <w:rPr>
                <w:noProof/>
              </w:rPr>
              <w:tab/>
            </w:r>
            <w:r>
              <w:rPr>
                <w:noProof/>
              </w:rPr>
              <w:fldChar w:fldCharType="begin"/>
            </w:r>
            <w:r>
              <w:rPr>
                <w:noProof/>
              </w:rPr>
              <w:instrText xml:space="preserve"> PAGEREF _Toc237446172 \h </w:instrText>
            </w:r>
            <w:r>
              <w:rPr>
                <w:noProof/>
              </w:rPr>
            </w:r>
            <w:r>
              <w:rPr>
                <w:noProof/>
              </w:rPr>
              <w:fldChar w:fldCharType="separate"/>
            </w:r>
            <w:r>
              <w:rPr>
                <w:noProof/>
              </w:rPr>
              <w:t>22</w:t>
            </w:r>
            <w:r>
              <w:rPr>
                <w:noProof/>
              </w:rPr>
              <w:fldChar w:fldCharType="end"/>
            </w:r>
          </w:hyperlink>
        </w:p>
        <w:p w14:paraId="4C1272FD" w14:textId="6756C9F6"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73" w:history="1">
            <w:r w:rsidRPr="008F1D72">
              <w:rPr>
                <w:rStyle w:val="Hyperlink"/>
                <w:rFonts w:ascii="Arial" w:hAnsi="Arial" w:cs="Arial"/>
                <w:noProof/>
              </w:rPr>
              <w:t>Description</w:t>
            </w:r>
            <w:r>
              <w:rPr>
                <w:noProof/>
              </w:rPr>
              <w:tab/>
            </w:r>
            <w:r>
              <w:rPr>
                <w:noProof/>
              </w:rPr>
              <w:fldChar w:fldCharType="begin"/>
            </w:r>
            <w:r>
              <w:rPr>
                <w:noProof/>
              </w:rPr>
              <w:instrText xml:space="preserve"> PAGEREF _Toc237446173 \h </w:instrText>
            </w:r>
            <w:r>
              <w:rPr>
                <w:noProof/>
              </w:rPr>
            </w:r>
            <w:r>
              <w:rPr>
                <w:noProof/>
              </w:rPr>
              <w:fldChar w:fldCharType="separate"/>
            </w:r>
            <w:r>
              <w:rPr>
                <w:noProof/>
              </w:rPr>
              <w:t>22</w:t>
            </w:r>
            <w:r>
              <w:rPr>
                <w:noProof/>
              </w:rPr>
              <w:fldChar w:fldCharType="end"/>
            </w:r>
          </w:hyperlink>
        </w:p>
        <w:p w14:paraId="7AD22BDF" w14:textId="0F409098"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74" w:history="1">
            <w:r w:rsidRPr="008F1D72">
              <w:rPr>
                <w:rStyle w:val="Hyperlink"/>
                <w:rFonts w:ascii="Arial" w:hAnsi="Arial" w:cs="Arial"/>
                <w:noProof/>
              </w:rPr>
              <w:t>Feelings</w:t>
            </w:r>
            <w:r>
              <w:rPr>
                <w:noProof/>
              </w:rPr>
              <w:tab/>
            </w:r>
            <w:r>
              <w:rPr>
                <w:noProof/>
              </w:rPr>
              <w:fldChar w:fldCharType="begin"/>
            </w:r>
            <w:r>
              <w:rPr>
                <w:noProof/>
              </w:rPr>
              <w:instrText xml:space="preserve"> PAGEREF _Toc237446174 \h </w:instrText>
            </w:r>
            <w:r>
              <w:rPr>
                <w:noProof/>
              </w:rPr>
            </w:r>
            <w:r>
              <w:rPr>
                <w:noProof/>
              </w:rPr>
              <w:fldChar w:fldCharType="separate"/>
            </w:r>
            <w:r>
              <w:rPr>
                <w:noProof/>
              </w:rPr>
              <w:t>22</w:t>
            </w:r>
            <w:r>
              <w:rPr>
                <w:noProof/>
              </w:rPr>
              <w:fldChar w:fldCharType="end"/>
            </w:r>
          </w:hyperlink>
        </w:p>
        <w:p w14:paraId="6BEA13A7" w14:textId="505E525E"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75" w:history="1">
            <w:r w:rsidRPr="008F1D72">
              <w:rPr>
                <w:rStyle w:val="Hyperlink"/>
                <w:rFonts w:ascii="Arial" w:hAnsi="Arial" w:cs="Arial"/>
                <w:noProof/>
              </w:rPr>
              <w:t>Evaluation</w:t>
            </w:r>
            <w:r>
              <w:rPr>
                <w:noProof/>
              </w:rPr>
              <w:tab/>
            </w:r>
            <w:r>
              <w:rPr>
                <w:noProof/>
              </w:rPr>
              <w:fldChar w:fldCharType="begin"/>
            </w:r>
            <w:r>
              <w:rPr>
                <w:noProof/>
              </w:rPr>
              <w:instrText xml:space="preserve"> PAGEREF _Toc237446175 \h </w:instrText>
            </w:r>
            <w:r>
              <w:rPr>
                <w:noProof/>
              </w:rPr>
            </w:r>
            <w:r>
              <w:rPr>
                <w:noProof/>
              </w:rPr>
              <w:fldChar w:fldCharType="separate"/>
            </w:r>
            <w:r>
              <w:rPr>
                <w:noProof/>
              </w:rPr>
              <w:t>23</w:t>
            </w:r>
            <w:r>
              <w:rPr>
                <w:noProof/>
              </w:rPr>
              <w:fldChar w:fldCharType="end"/>
            </w:r>
          </w:hyperlink>
        </w:p>
        <w:p w14:paraId="0E00E170" w14:textId="604716F9"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76" w:history="1">
            <w:r w:rsidRPr="008F1D72">
              <w:rPr>
                <w:rStyle w:val="Hyperlink"/>
                <w:rFonts w:ascii="Arial" w:hAnsi="Arial" w:cs="Arial"/>
                <w:noProof/>
              </w:rPr>
              <w:t>Analysis</w:t>
            </w:r>
            <w:r>
              <w:rPr>
                <w:noProof/>
              </w:rPr>
              <w:tab/>
            </w:r>
            <w:r>
              <w:rPr>
                <w:noProof/>
              </w:rPr>
              <w:fldChar w:fldCharType="begin"/>
            </w:r>
            <w:r>
              <w:rPr>
                <w:noProof/>
              </w:rPr>
              <w:instrText xml:space="preserve"> PAGEREF _Toc237446176 \h </w:instrText>
            </w:r>
            <w:r>
              <w:rPr>
                <w:noProof/>
              </w:rPr>
            </w:r>
            <w:r>
              <w:rPr>
                <w:noProof/>
              </w:rPr>
              <w:fldChar w:fldCharType="separate"/>
            </w:r>
            <w:r>
              <w:rPr>
                <w:noProof/>
              </w:rPr>
              <w:t>24</w:t>
            </w:r>
            <w:r>
              <w:rPr>
                <w:noProof/>
              </w:rPr>
              <w:fldChar w:fldCharType="end"/>
            </w:r>
          </w:hyperlink>
        </w:p>
        <w:p w14:paraId="52D52B3A" w14:textId="6FBD8DB0"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77" w:history="1">
            <w:r w:rsidRPr="008F1D72">
              <w:rPr>
                <w:rStyle w:val="Hyperlink"/>
                <w:rFonts w:ascii="Arial" w:hAnsi="Arial" w:cs="Arial"/>
                <w:noProof/>
              </w:rPr>
              <w:t>Conclusion</w:t>
            </w:r>
            <w:r>
              <w:rPr>
                <w:noProof/>
              </w:rPr>
              <w:tab/>
            </w:r>
            <w:r>
              <w:rPr>
                <w:noProof/>
              </w:rPr>
              <w:fldChar w:fldCharType="begin"/>
            </w:r>
            <w:r>
              <w:rPr>
                <w:noProof/>
              </w:rPr>
              <w:instrText xml:space="preserve"> PAGEREF _Toc237446177 \h </w:instrText>
            </w:r>
            <w:r>
              <w:rPr>
                <w:noProof/>
              </w:rPr>
            </w:r>
            <w:r>
              <w:rPr>
                <w:noProof/>
              </w:rPr>
              <w:fldChar w:fldCharType="separate"/>
            </w:r>
            <w:r>
              <w:rPr>
                <w:noProof/>
              </w:rPr>
              <w:t>24</w:t>
            </w:r>
            <w:r>
              <w:rPr>
                <w:noProof/>
              </w:rPr>
              <w:fldChar w:fldCharType="end"/>
            </w:r>
          </w:hyperlink>
        </w:p>
        <w:p w14:paraId="56E829FC" w14:textId="2D6DAFC7"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78" w:history="1">
            <w:r w:rsidRPr="008F1D72">
              <w:rPr>
                <w:rStyle w:val="Hyperlink"/>
                <w:rFonts w:ascii="Arial" w:hAnsi="Arial" w:cs="Arial"/>
                <w:noProof/>
              </w:rPr>
              <w:t>Action Plan</w:t>
            </w:r>
            <w:r>
              <w:rPr>
                <w:noProof/>
              </w:rPr>
              <w:tab/>
            </w:r>
            <w:r>
              <w:rPr>
                <w:noProof/>
              </w:rPr>
              <w:fldChar w:fldCharType="begin"/>
            </w:r>
            <w:r>
              <w:rPr>
                <w:noProof/>
              </w:rPr>
              <w:instrText xml:space="preserve"> PAGEREF _Toc237446178 \h </w:instrText>
            </w:r>
            <w:r>
              <w:rPr>
                <w:noProof/>
              </w:rPr>
            </w:r>
            <w:r>
              <w:rPr>
                <w:noProof/>
              </w:rPr>
              <w:fldChar w:fldCharType="separate"/>
            </w:r>
            <w:r>
              <w:rPr>
                <w:noProof/>
              </w:rPr>
              <w:t>25</w:t>
            </w:r>
            <w:r>
              <w:rPr>
                <w:noProof/>
              </w:rPr>
              <w:fldChar w:fldCharType="end"/>
            </w:r>
          </w:hyperlink>
        </w:p>
        <w:p w14:paraId="239F8130" w14:textId="059CAAD4" w:rsidR="00D838DC" w:rsidRDefault="00D838DC">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446179" w:history="1">
            <w:r w:rsidRPr="008F1D72">
              <w:rPr>
                <w:rStyle w:val="Hyperlink"/>
                <w:rFonts w:ascii="Arial" w:hAnsi="Arial" w:cs="Arial"/>
                <w:noProof/>
              </w:rPr>
              <w:t>Appendices</w:t>
            </w:r>
            <w:r>
              <w:rPr>
                <w:noProof/>
              </w:rPr>
              <w:tab/>
            </w:r>
            <w:r>
              <w:rPr>
                <w:noProof/>
              </w:rPr>
              <w:fldChar w:fldCharType="begin"/>
            </w:r>
            <w:r>
              <w:rPr>
                <w:noProof/>
              </w:rPr>
              <w:instrText xml:space="preserve"> PAGEREF _Toc237446179 \h </w:instrText>
            </w:r>
            <w:r>
              <w:rPr>
                <w:noProof/>
              </w:rPr>
            </w:r>
            <w:r>
              <w:rPr>
                <w:noProof/>
              </w:rPr>
              <w:fldChar w:fldCharType="separate"/>
            </w:r>
            <w:r>
              <w:rPr>
                <w:noProof/>
              </w:rPr>
              <w:t>26</w:t>
            </w:r>
            <w:r>
              <w:rPr>
                <w:noProof/>
              </w:rPr>
              <w:fldChar w:fldCharType="end"/>
            </w:r>
          </w:hyperlink>
        </w:p>
        <w:p w14:paraId="392BE3B5" w14:textId="7C895AB5"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80" w:history="1">
            <w:r w:rsidRPr="008F1D72">
              <w:rPr>
                <w:rStyle w:val="Hyperlink"/>
                <w:rFonts w:ascii="Arial" w:hAnsi="Arial" w:cs="Arial"/>
                <w:noProof/>
              </w:rPr>
              <w:t>Appendix A – PESTEL Evidence</w:t>
            </w:r>
            <w:r>
              <w:rPr>
                <w:noProof/>
              </w:rPr>
              <w:tab/>
            </w:r>
            <w:r>
              <w:rPr>
                <w:noProof/>
              </w:rPr>
              <w:fldChar w:fldCharType="begin"/>
            </w:r>
            <w:r>
              <w:rPr>
                <w:noProof/>
              </w:rPr>
              <w:instrText xml:space="preserve"> PAGEREF _Toc237446180 \h </w:instrText>
            </w:r>
            <w:r>
              <w:rPr>
                <w:noProof/>
              </w:rPr>
            </w:r>
            <w:r>
              <w:rPr>
                <w:noProof/>
              </w:rPr>
              <w:fldChar w:fldCharType="separate"/>
            </w:r>
            <w:r>
              <w:rPr>
                <w:noProof/>
              </w:rPr>
              <w:t>26</w:t>
            </w:r>
            <w:r>
              <w:rPr>
                <w:noProof/>
              </w:rPr>
              <w:fldChar w:fldCharType="end"/>
            </w:r>
          </w:hyperlink>
        </w:p>
        <w:p w14:paraId="63CB655A" w14:textId="4312D0E4"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81" w:history="1">
            <w:r w:rsidRPr="008F1D72">
              <w:rPr>
                <w:rStyle w:val="Hyperlink"/>
                <w:rFonts w:ascii="Arial" w:hAnsi="Arial" w:cs="Arial"/>
                <w:noProof/>
              </w:rPr>
              <w:t>Appendix B – VRIO Matrix</w:t>
            </w:r>
            <w:r>
              <w:rPr>
                <w:noProof/>
              </w:rPr>
              <w:tab/>
            </w:r>
            <w:r>
              <w:rPr>
                <w:noProof/>
              </w:rPr>
              <w:fldChar w:fldCharType="begin"/>
            </w:r>
            <w:r>
              <w:rPr>
                <w:noProof/>
              </w:rPr>
              <w:instrText xml:space="preserve"> PAGEREF _Toc237446181 \h </w:instrText>
            </w:r>
            <w:r>
              <w:rPr>
                <w:noProof/>
              </w:rPr>
            </w:r>
            <w:r>
              <w:rPr>
                <w:noProof/>
              </w:rPr>
              <w:fldChar w:fldCharType="separate"/>
            </w:r>
            <w:r>
              <w:rPr>
                <w:noProof/>
              </w:rPr>
              <w:t>26</w:t>
            </w:r>
            <w:r>
              <w:rPr>
                <w:noProof/>
              </w:rPr>
              <w:fldChar w:fldCharType="end"/>
            </w:r>
          </w:hyperlink>
        </w:p>
        <w:p w14:paraId="0CFC1C4B" w14:textId="333C54E4"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82" w:history="1">
            <w:r w:rsidRPr="008F1D72">
              <w:rPr>
                <w:rStyle w:val="Hyperlink"/>
                <w:rFonts w:ascii="Arial" w:hAnsi="Arial" w:cs="Arial"/>
                <w:noProof/>
              </w:rPr>
              <w:t>Appendix C – Five Forces</w:t>
            </w:r>
            <w:r>
              <w:rPr>
                <w:noProof/>
              </w:rPr>
              <w:tab/>
            </w:r>
            <w:r>
              <w:rPr>
                <w:noProof/>
              </w:rPr>
              <w:fldChar w:fldCharType="begin"/>
            </w:r>
            <w:r>
              <w:rPr>
                <w:noProof/>
              </w:rPr>
              <w:instrText xml:space="preserve"> PAGEREF _Toc237446182 \h </w:instrText>
            </w:r>
            <w:r>
              <w:rPr>
                <w:noProof/>
              </w:rPr>
            </w:r>
            <w:r>
              <w:rPr>
                <w:noProof/>
              </w:rPr>
              <w:fldChar w:fldCharType="separate"/>
            </w:r>
            <w:r>
              <w:rPr>
                <w:noProof/>
              </w:rPr>
              <w:t>27</w:t>
            </w:r>
            <w:r>
              <w:rPr>
                <w:noProof/>
              </w:rPr>
              <w:fldChar w:fldCharType="end"/>
            </w:r>
          </w:hyperlink>
        </w:p>
        <w:p w14:paraId="3ED6209E" w14:textId="61D0EC5C"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83" w:history="1">
            <w:r w:rsidRPr="008F1D72">
              <w:rPr>
                <w:rStyle w:val="Hyperlink"/>
                <w:rFonts w:ascii="Arial" w:hAnsi="Arial" w:cs="Arial"/>
                <w:noProof/>
              </w:rPr>
              <w:t>Appendix D – SWOT Detailed</w:t>
            </w:r>
            <w:r>
              <w:rPr>
                <w:noProof/>
              </w:rPr>
              <w:tab/>
            </w:r>
            <w:r>
              <w:rPr>
                <w:noProof/>
              </w:rPr>
              <w:fldChar w:fldCharType="begin"/>
            </w:r>
            <w:r>
              <w:rPr>
                <w:noProof/>
              </w:rPr>
              <w:instrText xml:space="preserve"> PAGEREF _Toc237446183 \h </w:instrText>
            </w:r>
            <w:r>
              <w:rPr>
                <w:noProof/>
              </w:rPr>
            </w:r>
            <w:r>
              <w:rPr>
                <w:noProof/>
              </w:rPr>
              <w:fldChar w:fldCharType="separate"/>
            </w:r>
            <w:r>
              <w:rPr>
                <w:noProof/>
              </w:rPr>
              <w:t>27</w:t>
            </w:r>
            <w:r>
              <w:rPr>
                <w:noProof/>
              </w:rPr>
              <w:fldChar w:fldCharType="end"/>
            </w:r>
          </w:hyperlink>
        </w:p>
        <w:p w14:paraId="37AE3028" w14:textId="072CFFA9"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84" w:history="1">
            <w:r w:rsidRPr="008F1D72">
              <w:rPr>
                <w:rStyle w:val="Hyperlink"/>
                <w:rFonts w:ascii="Arial" w:hAnsi="Arial" w:cs="Arial"/>
                <w:noProof/>
              </w:rPr>
              <w:t>Appendix E – Balanced Scorecard</w:t>
            </w:r>
            <w:r>
              <w:rPr>
                <w:noProof/>
              </w:rPr>
              <w:tab/>
            </w:r>
            <w:r>
              <w:rPr>
                <w:noProof/>
              </w:rPr>
              <w:fldChar w:fldCharType="begin"/>
            </w:r>
            <w:r>
              <w:rPr>
                <w:noProof/>
              </w:rPr>
              <w:instrText xml:space="preserve"> PAGEREF _Toc237446184 \h </w:instrText>
            </w:r>
            <w:r>
              <w:rPr>
                <w:noProof/>
              </w:rPr>
            </w:r>
            <w:r>
              <w:rPr>
                <w:noProof/>
              </w:rPr>
              <w:fldChar w:fldCharType="separate"/>
            </w:r>
            <w:r>
              <w:rPr>
                <w:noProof/>
              </w:rPr>
              <w:t>27</w:t>
            </w:r>
            <w:r>
              <w:rPr>
                <w:noProof/>
              </w:rPr>
              <w:fldChar w:fldCharType="end"/>
            </w:r>
          </w:hyperlink>
        </w:p>
        <w:p w14:paraId="307A3172" w14:textId="3B7EDEE5"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85" w:history="1">
            <w:r w:rsidRPr="008F1D72">
              <w:rPr>
                <w:rStyle w:val="Hyperlink"/>
                <w:rFonts w:ascii="Arial" w:hAnsi="Arial" w:cs="Arial"/>
                <w:noProof/>
              </w:rPr>
              <w:t>Appendix F – Ansoff Matrix</w:t>
            </w:r>
            <w:r>
              <w:rPr>
                <w:noProof/>
              </w:rPr>
              <w:tab/>
            </w:r>
            <w:r>
              <w:rPr>
                <w:noProof/>
              </w:rPr>
              <w:fldChar w:fldCharType="begin"/>
            </w:r>
            <w:r>
              <w:rPr>
                <w:noProof/>
              </w:rPr>
              <w:instrText xml:space="preserve"> PAGEREF _Toc237446185 \h </w:instrText>
            </w:r>
            <w:r>
              <w:rPr>
                <w:noProof/>
              </w:rPr>
            </w:r>
            <w:r>
              <w:rPr>
                <w:noProof/>
              </w:rPr>
              <w:fldChar w:fldCharType="separate"/>
            </w:r>
            <w:r>
              <w:rPr>
                <w:noProof/>
              </w:rPr>
              <w:t>28</w:t>
            </w:r>
            <w:r>
              <w:rPr>
                <w:noProof/>
              </w:rPr>
              <w:fldChar w:fldCharType="end"/>
            </w:r>
          </w:hyperlink>
        </w:p>
        <w:p w14:paraId="5AC79DC2" w14:textId="7E9C0B7F"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86" w:history="1">
            <w:r w:rsidRPr="008F1D72">
              <w:rPr>
                <w:rStyle w:val="Hyperlink"/>
                <w:rFonts w:ascii="Arial" w:hAnsi="Arial" w:cs="Arial"/>
                <w:noProof/>
              </w:rPr>
              <w:t>Appendix G – Implementation Roadmap</w:t>
            </w:r>
            <w:r>
              <w:rPr>
                <w:noProof/>
              </w:rPr>
              <w:tab/>
            </w:r>
            <w:r>
              <w:rPr>
                <w:noProof/>
              </w:rPr>
              <w:fldChar w:fldCharType="begin"/>
            </w:r>
            <w:r>
              <w:rPr>
                <w:noProof/>
              </w:rPr>
              <w:instrText xml:space="preserve"> PAGEREF _Toc237446186 \h </w:instrText>
            </w:r>
            <w:r>
              <w:rPr>
                <w:noProof/>
              </w:rPr>
            </w:r>
            <w:r>
              <w:rPr>
                <w:noProof/>
              </w:rPr>
              <w:fldChar w:fldCharType="separate"/>
            </w:r>
            <w:r>
              <w:rPr>
                <w:noProof/>
              </w:rPr>
              <w:t>28</w:t>
            </w:r>
            <w:r>
              <w:rPr>
                <w:noProof/>
              </w:rPr>
              <w:fldChar w:fldCharType="end"/>
            </w:r>
          </w:hyperlink>
        </w:p>
        <w:p w14:paraId="36FBEFEC" w14:textId="08374A4A" w:rsidR="00D838DC" w:rsidRDefault="00D838DC">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446187" w:history="1">
            <w:r w:rsidRPr="008F1D72">
              <w:rPr>
                <w:rStyle w:val="Hyperlink"/>
                <w:rFonts w:ascii="Arial" w:hAnsi="Arial" w:cs="Arial"/>
                <w:noProof/>
              </w:rPr>
              <w:t>Appendix H – SAFe Evaluation Detail</w:t>
            </w:r>
            <w:r>
              <w:rPr>
                <w:noProof/>
              </w:rPr>
              <w:tab/>
            </w:r>
            <w:r>
              <w:rPr>
                <w:noProof/>
              </w:rPr>
              <w:fldChar w:fldCharType="begin"/>
            </w:r>
            <w:r>
              <w:rPr>
                <w:noProof/>
              </w:rPr>
              <w:instrText xml:space="preserve"> PAGEREF _Toc237446187 \h </w:instrText>
            </w:r>
            <w:r>
              <w:rPr>
                <w:noProof/>
              </w:rPr>
            </w:r>
            <w:r>
              <w:rPr>
                <w:noProof/>
              </w:rPr>
              <w:fldChar w:fldCharType="separate"/>
            </w:r>
            <w:r>
              <w:rPr>
                <w:noProof/>
              </w:rPr>
              <w:t>28</w:t>
            </w:r>
            <w:r>
              <w:rPr>
                <w:noProof/>
              </w:rPr>
              <w:fldChar w:fldCharType="end"/>
            </w:r>
          </w:hyperlink>
        </w:p>
        <w:p w14:paraId="7A2FFF68" w14:textId="779AA203" w:rsidR="00D838DC" w:rsidRDefault="00D838DC">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446188" w:history="1">
            <w:r w:rsidRPr="008F1D72">
              <w:rPr>
                <w:rStyle w:val="Hyperlink"/>
                <w:rFonts w:ascii="Arial" w:hAnsi="Arial" w:cs="Arial"/>
                <w:noProof/>
              </w:rPr>
              <w:t>References – Harvard Style</w:t>
            </w:r>
            <w:r>
              <w:rPr>
                <w:noProof/>
              </w:rPr>
              <w:tab/>
            </w:r>
            <w:r>
              <w:rPr>
                <w:noProof/>
              </w:rPr>
              <w:fldChar w:fldCharType="begin"/>
            </w:r>
            <w:r>
              <w:rPr>
                <w:noProof/>
              </w:rPr>
              <w:instrText xml:space="preserve"> PAGEREF _Toc237446188 \h </w:instrText>
            </w:r>
            <w:r>
              <w:rPr>
                <w:noProof/>
              </w:rPr>
            </w:r>
            <w:r>
              <w:rPr>
                <w:noProof/>
              </w:rPr>
              <w:fldChar w:fldCharType="separate"/>
            </w:r>
            <w:r>
              <w:rPr>
                <w:noProof/>
              </w:rPr>
              <w:t>29</w:t>
            </w:r>
            <w:r>
              <w:rPr>
                <w:noProof/>
              </w:rPr>
              <w:fldChar w:fldCharType="end"/>
            </w:r>
          </w:hyperlink>
        </w:p>
        <w:p w14:paraId="6B9253E9" w14:textId="1E662E59" w:rsidR="00B633E7" w:rsidRPr="00FF1EE2" w:rsidRDefault="00000000">
          <w:pPr>
            <w:rPr>
              <w:rFonts w:ascii="Arial" w:hAnsi="Arial" w:cs="Arial"/>
              <w:sz w:val="24"/>
              <w:szCs w:val="24"/>
            </w:rPr>
          </w:pPr>
          <w:r w:rsidRPr="00FF1EE2">
            <w:rPr>
              <w:rFonts w:ascii="Arial" w:hAnsi="Arial" w:cs="Arial"/>
              <w:sz w:val="24"/>
              <w:szCs w:val="24"/>
            </w:rPr>
            <w:fldChar w:fldCharType="end"/>
          </w:r>
        </w:p>
      </w:sdtContent>
    </w:sdt>
    <w:p w14:paraId="67A9FCDD" w14:textId="77777777" w:rsidR="00B633E7" w:rsidRPr="00FF1EE2" w:rsidRDefault="00000000">
      <w:pPr>
        <w:rPr>
          <w:rFonts w:ascii="Arial" w:hAnsi="Arial" w:cs="Arial"/>
          <w:sz w:val="24"/>
          <w:szCs w:val="24"/>
        </w:rPr>
      </w:pPr>
      <w:r w:rsidRPr="00FF1EE2">
        <w:rPr>
          <w:rFonts w:ascii="Arial" w:hAnsi="Arial" w:cs="Arial"/>
          <w:sz w:val="24"/>
          <w:szCs w:val="24"/>
        </w:rPr>
        <w:br w:type="page"/>
      </w:r>
    </w:p>
    <w:p w14:paraId="7F56A7C9" w14:textId="77777777" w:rsidR="00B633E7" w:rsidRPr="00FF1EE2" w:rsidRDefault="00000000">
      <w:pPr>
        <w:pStyle w:val="Heading1"/>
        <w:rPr>
          <w:rFonts w:ascii="Arial" w:hAnsi="Arial" w:cs="Arial"/>
          <w:sz w:val="36"/>
          <w:szCs w:val="36"/>
        </w:rPr>
      </w:pPr>
      <w:bookmarkStart w:id="1" w:name="_Toc237446155"/>
      <w:r w:rsidRPr="00FF1EE2">
        <w:rPr>
          <w:rFonts w:ascii="Arial" w:hAnsi="Arial" w:cs="Arial"/>
          <w:sz w:val="36"/>
          <w:szCs w:val="36"/>
        </w:rPr>
        <w:lastRenderedPageBreak/>
        <w:t>Executive Summary</w:t>
      </w:r>
      <w:bookmarkEnd w:id="1"/>
    </w:p>
    <w:p w14:paraId="3A6FD3BD"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This report evaluates Sony Group Corporation's interchangeable-lens camera business for the Board, with the strategic focus narrowed to the Alpha mirrorless system in Japan to satisfy the single-market, single-product brief. Sony is the leading full-frame mirrorless brand in its home market, holding 29.9% share of Japan's full-frame mirrorless segment for full-year 2025, ahead of Canon on 27.4% and Nikon on 15.5% (BCN Ranking, 2026, cited in Amateur Photographer, 2026).</w:t>
      </w:r>
    </w:p>
    <w:p w14:paraId="6F1ACDF4"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Globally, the camera industry has stabilised after a decade of decline: total digital camera shipments reached 9.44 million units in 2025, the second consecutive annual rise, with mirrorless interchangeable-lens shipments up 12.5% to 6.31 million units while DSLR shipments fell 31% to 691,000 units (CIPA, 2026). Mirrorless bodies carried an average export value of approximately $711 against $282 for DSLRs, confirming that unit growth is increasingly concentrated in higher-value, premium equipment (CIPA, 2026).</w:t>
      </w:r>
    </w:p>
    <w:p w14:paraId="725BF0BD"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At group level, Sony's consolidated operating income rose 13% year-on-year to ¥1,447.5 billion (approximately $9.6 billion) in the fiscal year ended March 2026, driven mainly by record image-sensor profitability, while the Entertainment, Technology &amp; Services (ET&amp;S) segment that houses Alpha cameras saw sales fall 6% to ¥2,260.5 billion and operating income fall 17% to ¥158.6 billion amid weaker consumer-electronics demand (Sony Group Corporation, 2026). This creates internal pressure to demonstrate that the camera business can defend margin through differentiation rather than volume.</w:t>
      </w:r>
    </w:p>
    <w:p w14:paraId="4C2F8077"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Internal VRIO analysis (Barney, 1991) identifies sustained advantage in Sony's sensor and imaging engineering, exemplified by the Alpha 9 III's global-shutter full-frame sensor, the first of its kind in the industry (Sony Electronics, 2023), and in the E-mount ecosystem of over 80 native lenses plus extensive third-party support from Sigma and Tamron. Sony's Road to Zero programme targets carbon neutrality across Scopes 1-3 by 2040 and 100% renewable electricity in its own operations by 2030 (Sony Group Corporation, 2022).</w:t>
      </w:r>
    </w:p>
    <w:p w14:paraId="55602E2B"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lastRenderedPageBreak/>
        <w:t xml:space="preserve">The recommended direction is a focused hybrid strategy: technological differentiation reinforced by deeper market penetration among Japanese creators and enthusiasts, rather than competition on price. Five interlocking recommendations are presented and assessed through </w:t>
      </w:r>
      <w:proofErr w:type="spellStart"/>
      <w:r w:rsidRPr="00FF1EE2">
        <w:rPr>
          <w:rFonts w:ascii="Arial" w:hAnsi="Arial" w:cs="Arial"/>
          <w:sz w:val="28"/>
          <w:szCs w:val="28"/>
        </w:rPr>
        <w:t>SAFe</w:t>
      </w:r>
      <w:proofErr w:type="spellEnd"/>
      <w:r w:rsidRPr="00FF1EE2">
        <w:rPr>
          <w:rFonts w:ascii="Arial" w:hAnsi="Arial" w:cs="Arial"/>
          <w:sz w:val="28"/>
          <w:szCs w:val="28"/>
        </w:rPr>
        <w:t xml:space="preserve"> (Johnson et al., 2020), covering the creator ecosystem, practical AI features, E-mount lifecycle economics, circular-camera services and cross-business creator initiatives.</w:t>
      </w:r>
    </w:p>
    <w:p w14:paraId="65D818C3" w14:textId="77777777" w:rsidR="00B633E7" w:rsidRPr="00FF1EE2" w:rsidRDefault="00000000">
      <w:pPr>
        <w:pStyle w:val="Heading1"/>
        <w:rPr>
          <w:rFonts w:ascii="Arial" w:hAnsi="Arial" w:cs="Arial"/>
          <w:sz w:val="36"/>
          <w:szCs w:val="36"/>
        </w:rPr>
      </w:pPr>
      <w:bookmarkStart w:id="2" w:name="_Toc237446156"/>
      <w:r w:rsidRPr="00FF1EE2">
        <w:rPr>
          <w:rFonts w:ascii="Arial" w:hAnsi="Arial" w:cs="Arial"/>
          <w:sz w:val="36"/>
          <w:szCs w:val="36"/>
        </w:rPr>
        <w:t>1. Organisational Context and Overview</w:t>
      </w:r>
      <w:bookmarkEnd w:id="2"/>
    </w:p>
    <w:p w14:paraId="2E3AD552"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Sony Group Corporation is a Japanese multinational technology and entertainment organisation spanning electronics, gaming, music, pictures, financial services and image sensors. This report deliberately narrows the strategic focus to Sony's camera activity, and specifically the Alpha interchangeable-lens ecosystem in Japan, providing a defensible single-market, single-product scope while still drawing on wider group resources where they strengthen the camera proposition.</w:t>
      </w:r>
    </w:p>
    <w:p w14:paraId="22167485"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Sony's camera business sits within the Entertainment, Technology &amp; Services (ET&amp;S) segment, which also contains televisions, audio and mobile products; ET&amp;S generated sales of ¥2,260.5 billion in the fiscal year ended March 2026, though sales fell 6% and operating income fell 17% as consumer-electronics demand softened (Sony Group Corporation, 2026). This is strategically important: Alpha cameras must increasingly justify their own margin within a segment under pressure, rather than relying on halo effects from other Sony products. The separate Imaging &amp; Sensing Solutions (I&amp;SS) segment, which supplies image sensors mainly to smartphone manufacturers, delivered a 37% profit increase in the same period (Sony Group Corporation, 2026); this is a related but distinct business, though its sensor expertise directly benefits Alpha camera development.</w:t>
      </w:r>
    </w:p>
    <w:p w14:paraId="5280E1F7"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Sony's camera business creates value through differentiated imaging performance, interchangeable lenses, autofocus, video capability, compact form factors and integration with professional and creator workflows. The business does not compete on price; it seeks customers willing to pay for performance, reliability and innovation, a positioning consistent with </w:t>
      </w:r>
      <w:r w:rsidRPr="00FF1EE2">
        <w:rPr>
          <w:rFonts w:ascii="Arial" w:hAnsi="Arial" w:cs="Arial"/>
          <w:sz w:val="28"/>
          <w:szCs w:val="28"/>
        </w:rPr>
        <w:lastRenderedPageBreak/>
        <w:t>differentiation strategy (Porter, 1980) and supported by Sony's group-wide sensor and semiconductor capabilities.</w:t>
      </w:r>
    </w:p>
    <w:p w14:paraId="35699DCB" w14:textId="77777777" w:rsidR="00B633E7" w:rsidRPr="00FF1EE2" w:rsidRDefault="00000000">
      <w:pPr>
        <w:pStyle w:val="Heading2"/>
        <w:spacing w:before="220" w:after="120"/>
        <w:rPr>
          <w:rFonts w:ascii="Arial" w:hAnsi="Arial" w:cs="Arial"/>
          <w:sz w:val="32"/>
          <w:szCs w:val="32"/>
        </w:rPr>
      </w:pPr>
      <w:bookmarkStart w:id="3" w:name="_Toc237446157"/>
      <w:r w:rsidRPr="00FF1EE2">
        <w:rPr>
          <w:rFonts w:ascii="Arial" w:hAnsi="Arial" w:cs="Arial"/>
          <w:sz w:val="32"/>
          <w:szCs w:val="32"/>
        </w:rPr>
        <w:t>1.1 History, Mission, Vision and Business Model</w:t>
      </w:r>
      <w:bookmarkEnd w:id="3"/>
    </w:p>
    <w:p w14:paraId="2FD73F27"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Sony originated in post-war Japan and grew into one of the country's best-known technology brands, evolving from individual consumer-electronics products into an interconnected portfolio of technology and entertainment businesses. This evolution matters for cameras because Sony can draw on group capabilities — sensor fabrication, semiconductor R&amp;D, AI processing — that a specialist camera company cannot reproduce at the same scale.</w:t>
      </w:r>
    </w:p>
    <w:p w14:paraId="6F9E7CCD"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Sony's corporate direction emphasises long-term value creation through technology, creativity and the connection between businesses. For the camera operation, the practical vision is to enable photographers and creators to express ideas through advanced imaging technology; the Alpha proposition therefore combines cameras, lenses, accessories, software and professional support rather than treating the camera body as an isolated product.</w:t>
      </w:r>
    </w:p>
    <w:p w14:paraId="2E26C92C"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The business model is premium and </w:t>
      </w:r>
      <w:proofErr w:type="gramStart"/>
      <w:r w:rsidRPr="00FF1EE2">
        <w:rPr>
          <w:rFonts w:ascii="Arial" w:hAnsi="Arial" w:cs="Arial"/>
          <w:sz w:val="28"/>
          <w:szCs w:val="28"/>
        </w:rPr>
        <w:t>innovation-led</w:t>
      </w:r>
      <w:proofErr w:type="gramEnd"/>
      <w:r w:rsidRPr="00FF1EE2">
        <w:rPr>
          <w:rFonts w:ascii="Arial" w:hAnsi="Arial" w:cs="Arial"/>
          <w:sz w:val="28"/>
          <w:szCs w:val="28"/>
        </w:rPr>
        <w:t>. Revenue comes from camera bodies and lenses, while the E-mount ecosystem of over 80 native lenses, plus dozens of third-party lenses from Sigma, Tamron and others, encourages repeat purchase, upgrades and accessory sales (Sony E-mount lens ecosystem data, 2026). Because customers who accumulate compatible lenses face real switching costs, Sony is not only competing for the next camera sale; it is competing to become the customer's long-term imaging platform — the same logic Barney (1991) associates with resource-based lock-in.</w:t>
      </w:r>
    </w:p>
    <w:p w14:paraId="21006AD6" w14:textId="77777777" w:rsidR="00B633E7" w:rsidRPr="00FF1EE2" w:rsidRDefault="00000000">
      <w:pPr>
        <w:pStyle w:val="Heading2"/>
        <w:spacing w:before="220" w:after="120"/>
        <w:rPr>
          <w:rFonts w:ascii="Arial" w:hAnsi="Arial" w:cs="Arial"/>
          <w:sz w:val="32"/>
          <w:szCs w:val="32"/>
        </w:rPr>
      </w:pPr>
      <w:bookmarkStart w:id="4" w:name="_Toc237446158"/>
      <w:r w:rsidRPr="00FF1EE2">
        <w:rPr>
          <w:rFonts w:ascii="Arial" w:hAnsi="Arial" w:cs="Arial"/>
          <w:sz w:val="32"/>
          <w:szCs w:val="32"/>
        </w:rPr>
        <w:t>1.2 Industry, Competitors and Market Position</w:t>
      </w:r>
      <w:bookmarkEnd w:id="4"/>
    </w:p>
    <w:p w14:paraId="280F6305"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The Japanese camera market is mature, technologically sophisticated and concentrated among a small number of manufacturers. The principal direct competitors are Canon, Nikon, Fujifilm and Panasonic, while smartphones remain the dominant substitute for casual photography. Unlike many consumer markets, purchase decisions here are driven by autofocus </w:t>
      </w:r>
      <w:r w:rsidRPr="00FF1EE2">
        <w:rPr>
          <w:rFonts w:ascii="Arial" w:hAnsi="Arial" w:cs="Arial"/>
          <w:sz w:val="28"/>
          <w:szCs w:val="28"/>
        </w:rPr>
        <w:lastRenderedPageBreak/>
        <w:t>performance, sensor quality, lens choice, ergonomics, reliability, video specification and brand reputation rather than price alone.</w:t>
      </w:r>
    </w:p>
    <w:p w14:paraId="71567108"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Industry-wide, CIPA data show the dedicated-camera market has stabilised after its long decline: global digital camera shipments rose for a second consecutive year to 9.44 million units in 2025 (up from 8.37 million in 2024), the interchangeable-lens category reaching 7.00 million units, of which 6.31 million were mirrorless, up 12.5% year-on-year, against 691,000 DSLRs, down 31% (CIPA, 2026; </w:t>
      </w:r>
      <w:proofErr w:type="spellStart"/>
      <w:r w:rsidRPr="00FF1EE2">
        <w:rPr>
          <w:rFonts w:ascii="Arial" w:hAnsi="Arial" w:cs="Arial"/>
          <w:sz w:val="28"/>
          <w:szCs w:val="28"/>
        </w:rPr>
        <w:t>PetaPixel</w:t>
      </w:r>
      <w:proofErr w:type="spellEnd"/>
      <w:r w:rsidRPr="00FF1EE2">
        <w:rPr>
          <w:rFonts w:ascii="Arial" w:hAnsi="Arial" w:cs="Arial"/>
          <w:sz w:val="28"/>
          <w:szCs w:val="28"/>
        </w:rPr>
        <w:t>, 2026). Mirrorless bodies now account for around 82% of total market value despite roughly two-thirds of unit volume (Capture, 2026), confirming that the industry has settled into a smaller but higher-value, premium-first equilibrium.</w:t>
      </w:r>
    </w:p>
    <w:p w14:paraId="1C3B4548"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Within this market, Sony holds the leading position in full-frame mirrorless in Japan, with 29.9% share for full-year 2025 against Canon's 27.4% and Nikon's 15.5% (BCN Ranking, 2026). However, this lead is not permanent or uncontested: Nikon's Z5 II briefly took the monthly full-frame mirrorless lead in Japan in April-May 2025, reaching 33.4% against Sony's 32.1% and Canon's 24%, on the strength of an aggressively priced entry-level full-frame body (Digital Camera World, 2025; The </w:t>
      </w:r>
      <w:proofErr w:type="spellStart"/>
      <w:r w:rsidRPr="00FF1EE2">
        <w:rPr>
          <w:rFonts w:ascii="Arial" w:hAnsi="Arial" w:cs="Arial"/>
          <w:sz w:val="28"/>
          <w:szCs w:val="28"/>
        </w:rPr>
        <w:t>Phoblographer</w:t>
      </w:r>
      <w:proofErr w:type="spellEnd"/>
      <w:r w:rsidRPr="00FF1EE2">
        <w:rPr>
          <w:rFonts w:ascii="Arial" w:hAnsi="Arial" w:cs="Arial"/>
          <w:sz w:val="28"/>
          <w:szCs w:val="28"/>
        </w:rPr>
        <w:t>, 2025). Canon, meanwhile, dominates the broader global interchangeable-lens market by unit volume, shipping roughly 2.88 million ILCs in 2025, about 41% of the global total (</w:t>
      </w:r>
      <w:proofErr w:type="spellStart"/>
      <w:r w:rsidRPr="00FF1EE2">
        <w:rPr>
          <w:rFonts w:ascii="Arial" w:hAnsi="Arial" w:cs="Arial"/>
          <w:sz w:val="28"/>
          <w:szCs w:val="28"/>
        </w:rPr>
        <w:t>PhotoWorkout</w:t>
      </w:r>
      <w:proofErr w:type="spellEnd"/>
      <w:r w:rsidRPr="00FF1EE2">
        <w:rPr>
          <w:rFonts w:ascii="Arial" w:hAnsi="Arial" w:cs="Arial"/>
          <w:sz w:val="28"/>
          <w:szCs w:val="28"/>
        </w:rPr>
        <w:t>, 2026), even though it trails Sony specifically in Japan's full-frame mirrorless segment. Sony must therefore defend a lead that is real but narrower and more contested than headline full-year figures suggest.</w:t>
      </w:r>
    </w:p>
    <w:p w14:paraId="28DD9AEC" w14:textId="77777777" w:rsidR="00B633E7" w:rsidRPr="00FF1EE2" w:rsidRDefault="00000000">
      <w:pPr>
        <w:spacing w:before="200" w:after="60"/>
        <w:jc w:val="center"/>
        <w:rPr>
          <w:rFonts w:ascii="Arial" w:hAnsi="Arial" w:cs="Arial"/>
          <w:sz w:val="28"/>
          <w:szCs w:val="28"/>
        </w:rPr>
      </w:pPr>
      <w:r w:rsidRPr="00FF1EE2">
        <w:rPr>
          <w:rFonts w:ascii="Arial" w:hAnsi="Arial" w:cs="Arial"/>
          <w:noProof/>
          <w:sz w:val="28"/>
          <w:szCs w:val="28"/>
        </w:rPr>
        <w:lastRenderedPageBreak/>
        <w:drawing>
          <wp:inline distT="0" distB="0" distL="0" distR="0" wp14:anchorId="46881F45" wp14:editId="6F2476C0">
            <wp:extent cx="4762500" cy="2857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762500" cy="2857500"/>
                    </a:xfrm>
                    <a:prstGeom prst="rect">
                      <a:avLst/>
                    </a:prstGeom>
                  </pic:spPr>
                </pic:pic>
              </a:graphicData>
            </a:graphic>
          </wp:inline>
        </w:drawing>
      </w:r>
    </w:p>
    <w:p w14:paraId="588D1950" w14:textId="77777777" w:rsidR="00B633E7" w:rsidRPr="00FF1EE2" w:rsidRDefault="00000000">
      <w:pPr>
        <w:spacing w:before="60" w:after="240"/>
        <w:jc w:val="center"/>
        <w:rPr>
          <w:rFonts w:ascii="Arial" w:hAnsi="Arial" w:cs="Arial"/>
          <w:sz w:val="28"/>
          <w:szCs w:val="28"/>
        </w:rPr>
      </w:pPr>
      <w:r w:rsidRPr="00FF1EE2">
        <w:rPr>
          <w:rFonts w:ascii="Arial" w:hAnsi="Arial" w:cs="Arial"/>
          <w:i/>
          <w:iCs/>
        </w:rPr>
        <w:t>Figure 1: Japan full-frame mirrorless market share, full-year 2025 – Sony 29.9%, Canon 27.4%, Nikon 15.5% (BCN Ranking, 2026, cited in Amateur Photographer, 2026)</w:t>
      </w:r>
    </w:p>
    <w:p w14:paraId="3810FA24" w14:textId="77777777" w:rsidR="00B633E7" w:rsidRPr="00FF1EE2" w:rsidRDefault="00000000">
      <w:pPr>
        <w:pStyle w:val="Heading1"/>
        <w:rPr>
          <w:rFonts w:ascii="Arial" w:hAnsi="Arial" w:cs="Arial"/>
          <w:sz w:val="36"/>
          <w:szCs w:val="36"/>
        </w:rPr>
      </w:pPr>
      <w:bookmarkStart w:id="5" w:name="_Toc237446159"/>
      <w:r w:rsidRPr="00FF1EE2">
        <w:rPr>
          <w:rFonts w:ascii="Arial" w:hAnsi="Arial" w:cs="Arial"/>
          <w:sz w:val="36"/>
          <w:szCs w:val="36"/>
        </w:rPr>
        <w:t>2. External and Internal Analysis</w:t>
      </w:r>
      <w:bookmarkEnd w:id="5"/>
    </w:p>
    <w:p w14:paraId="7E58F604"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The following analysis combines external environmental pressures with an assessment of Sony's internal resources. The frameworks are used together, rather than as independent checklists, so that the issues most likely to shape Sony's camera strategy can be identified and carried through to the recommendations in Section 4.</w:t>
      </w:r>
    </w:p>
    <w:p w14:paraId="35E2E779" w14:textId="77777777" w:rsidR="00B633E7" w:rsidRPr="00FF1EE2" w:rsidRDefault="00000000">
      <w:pPr>
        <w:pStyle w:val="Heading2"/>
        <w:spacing w:before="220" w:after="120"/>
        <w:rPr>
          <w:rFonts w:ascii="Arial" w:hAnsi="Arial" w:cs="Arial"/>
          <w:sz w:val="32"/>
          <w:szCs w:val="32"/>
        </w:rPr>
      </w:pPr>
      <w:bookmarkStart w:id="6" w:name="_Toc237446160"/>
      <w:r w:rsidRPr="00FF1EE2">
        <w:rPr>
          <w:rFonts w:ascii="Arial" w:hAnsi="Arial" w:cs="Arial"/>
          <w:sz w:val="32"/>
          <w:szCs w:val="32"/>
        </w:rPr>
        <w:t>2.1 PESTEL Analysis</w:t>
      </w:r>
      <w:bookmarkEnd w:id="6"/>
    </w:p>
    <w:p w14:paraId="5CD6D5B6"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Political factors are broadly stable but not risk-free. Japan offers a predictable institutional environment and policy support for advanced manufacturing, yet geopolitical tension and shifting trade rules can affect semiconductor components, cross-border manufacturing and export markets that Sony's camera and sensor businesses depend on. Opportunity: continued government support for high-technology manufacturing in Japan. Threat: exposure to trade and export-control disruption affecting sensor and component supply.</w:t>
      </w:r>
    </w:p>
    <w:p w14:paraId="38D18F45"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Economic conditions matter because premium cameras are discretionary purchases. Sony's own results show the exposure: ET&amp;S segment sales fell 6% and operating income fell 17% in the fiscal year ended March 2026 as </w:t>
      </w:r>
      <w:r w:rsidRPr="00FF1EE2">
        <w:rPr>
          <w:rFonts w:ascii="Arial" w:hAnsi="Arial" w:cs="Arial"/>
          <w:sz w:val="28"/>
          <w:szCs w:val="28"/>
        </w:rPr>
        <w:lastRenderedPageBreak/>
        <w:t>consumer-electronics demand weakened (Sony Group Corporation, 2026), even while the higher-value mirrorless segment of the wider market grew in unit and value terms (CIPA, 2026). Opportunity: premium, professional-oriented customers are more willing to sustain spend through downturns than casual buyers. Threat: a prolonged squeeze on discretionary income would disproportionately hit Sony's ET&amp;S profitability given cameras sit inside a segment already under margin pressure.</w:t>
      </w:r>
    </w:p>
    <w:p w14:paraId="5A720FF9"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Social factors are reshaping what a camera is for. Smartphones dominate everyday photography, but the growth of vlogging, social-media content creation and hybrid photo-video work has created new demand for compact, video-capable, fast-autofocus cameras (CIPA, 2026; Capture, 2026). Opportunity: repositioning cameras as creative tools for younger creators rather than specialist photographic equipment for a shrinking enthusiast base. Threat: an ageing enthusiast base in Japan and continued improvement in smartphone computational photography narrowing the gap that once justified a standalone camera purchase.</w:t>
      </w:r>
    </w:p>
    <w:p w14:paraId="64DBAF5A"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Technological change is the most significant driver in both directions. CIPA's 2025 data show mirrorless growth (+12.5% in units) far outpacing the market average, and industry commentary attributes 2025 to the point at which AI-driven computational photography moved decisively from smartphones into professional camera bodies, including subject-movement prediction and advanced in-camera noise reduction (Capture, 2026). Sony's Alpha 9 III, launched with the world's first full-frame global-shutter sensor enabling 120fps blackout-free shooting and flash sync at all shutter speeds (Sony Electronics, 2023), illustrates how Sony can convert sensor R&amp;D into a genuine technical lead. Opportunity: sensor and AI leadership across the wider Sony group. Threat: rapid feature imitation — Canon's EOS R6 Mark III (32.5MP, internal 7K RAW, 40fps) and Nikon's Z6 III already narrow specific specification gaps (</w:t>
      </w:r>
      <w:proofErr w:type="spellStart"/>
      <w:r w:rsidRPr="00FF1EE2">
        <w:rPr>
          <w:rFonts w:ascii="Arial" w:hAnsi="Arial" w:cs="Arial"/>
          <w:sz w:val="28"/>
          <w:szCs w:val="28"/>
        </w:rPr>
        <w:t>PhotoWorkout</w:t>
      </w:r>
      <w:proofErr w:type="spellEnd"/>
      <w:r w:rsidRPr="00FF1EE2">
        <w:rPr>
          <w:rFonts w:ascii="Arial" w:hAnsi="Arial" w:cs="Arial"/>
          <w:sz w:val="28"/>
          <w:szCs w:val="28"/>
        </w:rPr>
        <w:t>, 2026).</w:t>
      </w:r>
    </w:p>
    <w:p w14:paraId="5AE2FF1D"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Environmental factors include energy use, e-waste, packaging and product longevity. Sony's Road to Zero plan, first announced in 2010, was accelerated in 2022 to target carbon neutrality across Scopes 1-3 by 2040 (brought forward from 2050) and 100% renewable electricity in its own </w:t>
      </w:r>
      <w:r w:rsidRPr="00FF1EE2">
        <w:rPr>
          <w:rFonts w:ascii="Arial" w:hAnsi="Arial" w:cs="Arial"/>
          <w:sz w:val="28"/>
          <w:szCs w:val="28"/>
        </w:rPr>
        <w:lastRenderedPageBreak/>
        <w:t>operations by 2030, with Scopes 1 and 2 of Sony's own operations targeted for carbon neutrality by 2030 (Sony Group Corporation, 2022). Opportunity: durable, repairable products and credible net-zero commitments support brand trust among environmentally conscious creators. Threat: cameras are complex, multi-material electronic products, and Scope 3 emissions from components, batteries and global logistics remain largely outside Sony's direct control.</w:t>
      </w:r>
    </w:p>
    <w:p w14:paraId="5161D932"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Legal factors include product safety, consumer protection, data privacy and intellectual-property regulation. AI-enabled autofocus and subject recognition raise additional questions about data processing and responsible use that did not exist for earlier camera generations. Opportunity: robust compliance protects Sony's reputation as much as it satisfies regulators. Threat: increasing scrutiny of AI-enabled consumer devices could slow feature rollout or raise compliance costs.</w:t>
      </w: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400"/>
        <w:gridCol w:w="2200"/>
      </w:tblGrid>
      <w:tr w:rsidR="00B633E7" w:rsidRPr="00FF1EE2" w14:paraId="1C1809E5" w14:textId="77777777">
        <w:trPr>
          <w:tblHeader/>
        </w:trPr>
        <w:tc>
          <w:tcPr>
            <w:tcW w:w="2200" w:type="dxa"/>
            <w:shd w:val="clear" w:color="auto" w:fill="D9E2F3"/>
            <w:vAlign w:val="center"/>
          </w:tcPr>
          <w:p w14:paraId="31D62EF4" w14:textId="77777777" w:rsidR="00B633E7" w:rsidRPr="00FF1EE2" w:rsidRDefault="00000000">
            <w:pPr>
              <w:rPr>
                <w:rFonts w:ascii="Arial" w:hAnsi="Arial" w:cs="Arial"/>
                <w:sz w:val="28"/>
                <w:szCs w:val="28"/>
              </w:rPr>
            </w:pPr>
            <w:r w:rsidRPr="00FF1EE2">
              <w:rPr>
                <w:rFonts w:ascii="Arial" w:hAnsi="Arial" w:cs="Arial"/>
                <w:b/>
                <w:bCs/>
              </w:rPr>
              <w:t>PESTEL Factor</w:t>
            </w:r>
          </w:p>
        </w:tc>
        <w:tc>
          <w:tcPr>
            <w:tcW w:w="6400" w:type="dxa"/>
            <w:shd w:val="clear" w:color="auto" w:fill="D9E2F3"/>
            <w:vAlign w:val="center"/>
          </w:tcPr>
          <w:p w14:paraId="00D40DAD" w14:textId="77777777" w:rsidR="00B633E7" w:rsidRPr="00FF1EE2" w:rsidRDefault="00000000">
            <w:pPr>
              <w:rPr>
                <w:rFonts w:ascii="Arial" w:hAnsi="Arial" w:cs="Arial"/>
                <w:sz w:val="28"/>
                <w:szCs w:val="28"/>
              </w:rPr>
            </w:pPr>
            <w:r w:rsidRPr="00FF1EE2">
              <w:rPr>
                <w:rFonts w:ascii="Arial" w:hAnsi="Arial" w:cs="Arial"/>
                <w:b/>
                <w:bCs/>
              </w:rPr>
              <w:t>Key Evidence</w:t>
            </w:r>
          </w:p>
        </w:tc>
        <w:tc>
          <w:tcPr>
            <w:tcW w:w="2200" w:type="dxa"/>
            <w:shd w:val="clear" w:color="auto" w:fill="D9E2F3"/>
            <w:vAlign w:val="center"/>
          </w:tcPr>
          <w:p w14:paraId="621D60D1" w14:textId="77777777" w:rsidR="00B633E7" w:rsidRPr="00FF1EE2" w:rsidRDefault="00000000">
            <w:pPr>
              <w:rPr>
                <w:rFonts w:ascii="Arial" w:hAnsi="Arial" w:cs="Arial"/>
                <w:sz w:val="28"/>
                <w:szCs w:val="28"/>
              </w:rPr>
            </w:pPr>
            <w:r w:rsidRPr="00FF1EE2">
              <w:rPr>
                <w:rFonts w:ascii="Arial" w:hAnsi="Arial" w:cs="Arial"/>
                <w:b/>
                <w:bCs/>
              </w:rPr>
              <w:t>O / T</w:t>
            </w:r>
          </w:p>
        </w:tc>
      </w:tr>
      <w:tr w:rsidR="00B633E7" w:rsidRPr="00FF1EE2" w14:paraId="4A18AC83" w14:textId="77777777">
        <w:tc>
          <w:tcPr>
            <w:tcW w:w="2200" w:type="dxa"/>
            <w:vAlign w:val="center"/>
          </w:tcPr>
          <w:p w14:paraId="61405E92" w14:textId="77777777" w:rsidR="00B633E7" w:rsidRPr="00FF1EE2" w:rsidRDefault="00000000">
            <w:pPr>
              <w:rPr>
                <w:rFonts w:ascii="Arial" w:hAnsi="Arial" w:cs="Arial"/>
                <w:sz w:val="28"/>
                <w:szCs w:val="28"/>
              </w:rPr>
            </w:pPr>
            <w:r w:rsidRPr="00FF1EE2">
              <w:rPr>
                <w:rFonts w:ascii="Arial" w:hAnsi="Arial" w:cs="Arial"/>
              </w:rPr>
              <w:t>Economic</w:t>
            </w:r>
          </w:p>
        </w:tc>
        <w:tc>
          <w:tcPr>
            <w:tcW w:w="6400" w:type="dxa"/>
            <w:vAlign w:val="center"/>
          </w:tcPr>
          <w:p w14:paraId="7D78F2B5" w14:textId="77777777" w:rsidR="00B633E7" w:rsidRPr="00FF1EE2" w:rsidRDefault="00000000">
            <w:pPr>
              <w:rPr>
                <w:rFonts w:ascii="Arial" w:hAnsi="Arial" w:cs="Arial"/>
                <w:sz w:val="28"/>
                <w:szCs w:val="28"/>
              </w:rPr>
            </w:pPr>
            <w:r w:rsidRPr="00FF1EE2">
              <w:rPr>
                <w:rFonts w:ascii="Arial" w:hAnsi="Arial" w:cs="Arial"/>
              </w:rPr>
              <w:t>ET&amp;S sales -6%, operating income -17% FY ended March 2026 (Sony Group Corporation, 2026); mirrorless value growth +4-6% globally despite unit softness (CIPA, 2026)</w:t>
            </w:r>
          </w:p>
        </w:tc>
        <w:tc>
          <w:tcPr>
            <w:tcW w:w="2200" w:type="dxa"/>
            <w:vAlign w:val="center"/>
          </w:tcPr>
          <w:p w14:paraId="24040AA2" w14:textId="77777777" w:rsidR="00B633E7" w:rsidRPr="00FF1EE2" w:rsidRDefault="00000000">
            <w:pPr>
              <w:rPr>
                <w:rFonts w:ascii="Arial" w:hAnsi="Arial" w:cs="Arial"/>
                <w:sz w:val="28"/>
                <w:szCs w:val="28"/>
              </w:rPr>
            </w:pPr>
            <w:r w:rsidRPr="00FF1EE2">
              <w:rPr>
                <w:rFonts w:ascii="Arial" w:hAnsi="Arial" w:cs="Arial"/>
              </w:rPr>
              <w:t xml:space="preserve">O: premium </w:t>
            </w:r>
            <w:proofErr w:type="gramStart"/>
            <w:r w:rsidRPr="00FF1EE2">
              <w:rPr>
                <w:rFonts w:ascii="Arial" w:hAnsi="Arial" w:cs="Arial"/>
              </w:rPr>
              <w:t>resilience  T</w:t>
            </w:r>
            <w:proofErr w:type="gramEnd"/>
            <w:r w:rsidRPr="00FF1EE2">
              <w:rPr>
                <w:rFonts w:ascii="Arial" w:hAnsi="Arial" w:cs="Arial"/>
              </w:rPr>
              <w:t>: margin pressure</w:t>
            </w:r>
          </w:p>
        </w:tc>
      </w:tr>
      <w:tr w:rsidR="00B633E7" w:rsidRPr="00FF1EE2" w14:paraId="318772FB" w14:textId="77777777">
        <w:tc>
          <w:tcPr>
            <w:tcW w:w="2200" w:type="dxa"/>
            <w:vAlign w:val="center"/>
          </w:tcPr>
          <w:p w14:paraId="2F9EF841" w14:textId="77777777" w:rsidR="00B633E7" w:rsidRPr="00FF1EE2" w:rsidRDefault="00000000">
            <w:pPr>
              <w:rPr>
                <w:rFonts w:ascii="Arial" w:hAnsi="Arial" w:cs="Arial"/>
                <w:sz w:val="28"/>
                <w:szCs w:val="28"/>
              </w:rPr>
            </w:pPr>
            <w:r w:rsidRPr="00FF1EE2">
              <w:rPr>
                <w:rFonts w:ascii="Arial" w:hAnsi="Arial" w:cs="Arial"/>
              </w:rPr>
              <w:t>Technological</w:t>
            </w:r>
          </w:p>
        </w:tc>
        <w:tc>
          <w:tcPr>
            <w:tcW w:w="6400" w:type="dxa"/>
            <w:vAlign w:val="center"/>
          </w:tcPr>
          <w:p w14:paraId="00A6A737" w14:textId="77777777" w:rsidR="00B633E7" w:rsidRPr="00FF1EE2" w:rsidRDefault="00000000">
            <w:pPr>
              <w:rPr>
                <w:rFonts w:ascii="Arial" w:hAnsi="Arial" w:cs="Arial"/>
                <w:sz w:val="28"/>
                <w:szCs w:val="28"/>
              </w:rPr>
            </w:pPr>
            <w:r w:rsidRPr="00FF1EE2">
              <w:rPr>
                <w:rFonts w:ascii="Arial" w:hAnsi="Arial" w:cs="Arial"/>
              </w:rPr>
              <w:t>Mirrorless units +12.5% to 6.31m (CIPA, 2026); Alpha 9 III global shutter first-to-market (Sony Electronics, 2023); rapid competitor feature parity (</w:t>
            </w:r>
            <w:proofErr w:type="spellStart"/>
            <w:r w:rsidRPr="00FF1EE2">
              <w:rPr>
                <w:rFonts w:ascii="Arial" w:hAnsi="Arial" w:cs="Arial"/>
              </w:rPr>
              <w:t>PhotoWorkout</w:t>
            </w:r>
            <w:proofErr w:type="spellEnd"/>
            <w:r w:rsidRPr="00FF1EE2">
              <w:rPr>
                <w:rFonts w:ascii="Arial" w:hAnsi="Arial" w:cs="Arial"/>
              </w:rPr>
              <w:t>, 2026)</w:t>
            </w:r>
          </w:p>
        </w:tc>
        <w:tc>
          <w:tcPr>
            <w:tcW w:w="2200" w:type="dxa"/>
            <w:vAlign w:val="center"/>
          </w:tcPr>
          <w:p w14:paraId="1469950B" w14:textId="77777777" w:rsidR="00B633E7" w:rsidRPr="00FF1EE2" w:rsidRDefault="00000000">
            <w:pPr>
              <w:rPr>
                <w:rFonts w:ascii="Arial" w:hAnsi="Arial" w:cs="Arial"/>
                <w:sz w:val="28"/>
                <w:szCs w:val="28"/>
              </w:rPr>
            </w:pPr>
            <w:r w:rsidRPr="00FF1EE2">
              <w:rPr>
                <w:rFonts w:ascii="Arial" w:hAnsi="Arial" w:cs="Arial"/>
              </w:rPr>
              <w:t xml:space="preserve">O: sensor/AI </w:t>
            </w:r>
            <w:proofErr w:type="gramStart"/>
            <w:r w:rsidRPr="00FF1EE2">
              <w:rPr>
                <w:rFonts w:ascii="Arial" w:hAnsi="Arial" w:cs="Arial"/>
              </w:rPr>
              <w:t>lead  T</w:t>
            </w:r>
            <w:proofErr w:type="gramEnd"/>
            <w:r w:rsidRPr="00FF1EE2">
              <w:rPr>
                <w:rFonts w:ascii="Arial" w:hAnsi="Arial" w:cs="Arial"/>
              </w:rPr>
              <w:t>: fast imitation</w:t>
            </w:r>
          </w:p>
        </w:tc>
      </w:tr>
      <w:tr w:rsidR="00B633E7" w:rsidRPr="00FF1EE2" w14:paraId="1943F0C0" w14:textId="77777777">
        <w:tc>
          <w:tcPr>
            <w:tcW w:w="2200" w:type="dxa"/>
            <w:vAlign w:val="center"/>
          </w:tcPr>
          <w:p w14:paraId="3452DE10" w14:textId="77777777" w:rsidR="00B633E7" w:rsidRPr="00FF1EE2" w:rsidRDefault="00000000">
            <w:pPr>
              <w:rPr>
                <w:rFonts w:ascii="Arial" w:hAnsi="Arial" w:cs="Arial"/>
                <w:sz w:val="28"/>
                <w:szCs w:val="28"/>
              </w:rPr>
            </w:pPr>
            <w:r w:rsidRPr="00FF1EE2">
              <w:rPr>
                <w:rFonts w:ascii="Arial" w:hAnsi="Arial" w:cs="Arial"/>
              </w:rPr>
              <w:t>Environmental</w:t>
            </w:r>
          </w:p>
        </w:tc>
        <w:tc>
          <w:tcPr>
            <w:tcW w:w="6400" w:type="dxa"/>
            <w:vAlign w:val="center"/>
          </w:tcPr>
          <w:p w14:paraId="6A1DE9F5" w14:textId="77777777" w:rsidR="00B633E7" w:rsidRPr="00FF1EE2" w:rsidRDefault="00000000">
            <w:pPr>
              <w:rPr>
                <w:rFonts w:ascii="Arial" w:hAnsi="Arial" w:cs="Arial"/>
                <w:sz w:val="28"/>
                <w:szCs w:val="28"/>
              </w:rPr>
            </w:pPr>
            <w:r w:rsidRPr="00FF1EE2">
              <w:rPr>
                <w:rFonts w:ascii="Arial" w:hAnsi="Arial" w:cs="Arial"/>
              </w:rPr>
              <w:t>Road to Zero: Scope 1-3 carbon neutral by 2040, RE100 by 2030 (Sony Group Corporation, 2022)</w:t>
            </w:r>
          </w:p>
        </w:tc>
        <w:tc>
          <w:tcPr>
            <w:tcW w:w="2200" w:type="dxa"/>
            <w:vAlign w:val="center"/>
          </w:tcPr>
          <w:p w14:paraId="18A551E8" w14:textId="77777777" w:rsidR="00B633E7" w:rsidRPr="00FF1EE2" w:rsidRDefault="00000000">
            <w:pPr>
              <w:rPr>
                <w:rFonts w:ascii="Arial" w:hAnsi="Arial" w:cs="Arial"/>
                <w:sz w:val="28"/>
                <w:szCs w:val="28"/>
              </w:rPr>
            </w:pPr>
            <w:r w:rsidRPr="00FF1EE2">
              <w:rPr>
                <w:rFonts w:ascii="Arial" w:hAnsi="Arial" w:cs="Arial"/>
              </w:rPr>
              <w:t xml:space="preserve">O: brand </w:t>
            </w:r>
            <w:proofErr w:type="gramStart"/>
            <w:r w:rsidRPr="00FF1EE2">
              <w:rPr>
                <w:rFonts w:ascii="Arial" w:hAnsi="Arial" w:cs="Arial"/>
              </w:rPr>
              <w:t>trust  T</w:t>
            </w:r>
            <w:proofErr w:type="gramEnd"/>
            <w:r w:rsidRPr="00FF1EE2">
              <w:rPr>
                <w:rFonts w:ascii="Arial" w:hAnsi="Arial" w:cs="Arial"/>
              </w:rPr>
              <w:t>: Scope 3 complexity</w:t>
            </w:r>
          </w:p>
        </w:tc>
      </w:tr>
    </w:tbl>
    <w:p w14:paraId="5E77A374" w14:textId="77777777" w:rsidR="00B633E7" w:rsidRPr="00FF1EE2" w:rsidRDefault="00000000">
      <w:pPr>
        <w:spacing w:before="60" w:after="240"/>
        <w:jc w:val="center"/>
        <w:rPr>
          <w:rFonts w:ascii="Arial" w:hAnsi="Arial" w:cs="Arial"/>
          <w:sz w:val="28"/>
          <w:szCs w:val="28"/>
        </w:rPr>
      </w:pPr>
      <w:r w:rsidRPr="00FF1EE2">
        <w:rPr>
          <w:rFonts w:ascii="Arial" w:hAnsi="Arial" w:cs="Arial"/>
          <w:i/>
          <w:iCs/>
        </w:rPr>
        <w:t>Table 1: PESTEL summary with opportunity/threat evidence (full PESTEL evidence in Appendix A)</w:t>
      </w:r>
    </w:p>
    <w:p w14:paraId="2EC691B4" w14:textId="77777777" w:rsidR="00B633E7" w:rsidRPr="00FF1EE2" w:rsidRDefault="00000000">
      <w:pPr>
        <w:pStyle w:val="Heading2"/>
        <w:spacing w:before="220" w:after="120"/>
        <w:rPr>
          <w:rFonts w:ascii="Arial" w:hAnsi="Arial" w:cs="Arial"/>
          <w:sz w:val="32"/>
          <w:szCs w:val="32"/>
        </w:rPr>
      </w:pPr>
      <w:bookmarkStart w:id="7" w:name="_Toc237446161"/>
      <w:r w:rsidRPr="00FF1EE2">
        <w:rPr>
          <w:rFonts w:ascii="Arial" w:hAnsi="Arial" w:cs="Arial"/>
          <w:sz w:val="32"/>
          <w:szCs w:val="32"/>
        </w:rPr>
        <w:t>2.2 VRIO Analysis</w:t>
      </w:r>
      <w:bookmarkEnd w:id="7"/>
    </w:p>
    <w:p w14:paraId="12D063D6"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Sensor and imaging engineering is Sony's strongest resource. It is Valuable because sensor quality directly drives image and autofocus performance; Rare at Sony's level of vertical integration across sensor design, semiconductor fabrication and camera-body engineering; difficult to Imitate quickly given the R&amp;D and manufacturing investment required, as shown by the Alpha 9 III's global-shutter sensor remaining unmatched by competitors more than two years after launch (Sony Electronics, 2023); and Organised through Sony's wider Imaging &amp; Sensing Solutions business, which itself delivered 37% profit growth in the fiscal year ended March 2026 (Sony Group </w:t>
      </w:r>
      <w:r w:rsidRPr="00FF1EE2">
        <w:rPr>
          <w:rFonts w:ascii="Arial" w:hAnsi="Arial" w:cs="Arial"/>
          <w:sz w:val="28"/>
          <w:szCs w:val="28"/>
        </w:rPr>
        <w:lastRenderedPageBreak/>
        <w:t>Corporation, 2026). This resource supports a sustained competitive advantage.</w:t>
      </w:r>
    </w:p>
    <w:p w14:paraId="5F92BA1E"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The Alpha brand and E-mount ecosystem are Valuable because accumulated lenses raise switching costs, but only Moderately rare, since Canon and Nikon operate comparably deep ecosystems of their own; imitation is costly rather than impossible, and Sony is Organised to exploit it through an open third-party policy that has brought Sigma, Tamron and others onto the mount, expanding the perceived ecosystem beyond Sony's own 80-plus native lenses (Sony E-mount lens ecosystem data, 2026). This yields a temporary-to-sustained competitive advantage rather than an unassailable one.</w:t>
      </w:r>
    </w:p>
    <w:p w14:paraId="1AFB05A4"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Autofocus and AI-assisted subject recognition are Valuable for both stills and video, but competitors are investing heavily in computational imaging — Canon's R6 Mark III and Nikon's Z6 III both narrow the gap (</w:t>
      </w:r>
      <w:proofErr w:type="spellStart"/>
      <w:r w:rsidRPr="00FF1EE2">
        <w:rPr>
          <w:rFonts w:ascii="Arial" w:hAnsi="Arial" w:cs="Arial"/>
          <w:sz w:val="28"/>
          <w:szCs w:val="28"/>
        </w:rPr>
        <w:t>PhotoWorkout</w:t>
      </w:r>
      <w:proofErr w:type="spellEnd"/>
      <w:r w:rsidRPr="00FF1EE2">
        <w:rPr>
          <w:rFonts w:ascii="Arial" w:hAnsi="Arial" w:cs="Arial"/>
          <w:sz w:val="28"/>
          <w:szCs w:val="28"/>
        </w:rPr>
        <w:t>, 2026) — making this resource increasingly imitable. It is Organised well within Sony's product pipeline, but the advantage is best classified as temporary, contingent on continuous re-investment rather than a single permanent lead.</w:t>
      </w:r>
    </w:p>
    <w:p w14:paraId="2B1417E8"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Sony's wider entertainment and creator ecosystem — Sony Pictures, Sony Music and PlayStation — is a potentially Valuable and Rare resource because no single rival camera maker owns comparable adjacent businesses. It is difficult to Imitate structurally, but only Partly Organised at present: cross-business creator initiatives exist but are not yet deliberately and systematically connected to the Alpha proposition. This is classified as a potential rather than realised </w:t>
      </w:r>
      <w:proofErr w:type="gramStart"/>
      <w:r w:rsidRPr="00FF1EE2">
        <w:rPr>
          <w:rFonts w:ascii="Arial" w:hAnsi="Arial" w:cs="Arial"/>
          <w:sz w:val="28"/>
          <w:szCs w:val="28"/>
        </w:rPr>
        <w:t>advantage, and</w:t>
      </w:r>
      <w:proofErr w:type="gramEnd"/>
      <w:r w:rsidRPr="00FF1EE2">
        <w:rPr>
          <w:rFonts w:ascii="Arial" w:hAnsi="Arial" w:cs="Arial"/>
          <w:sz w:val="28"/>
          <w:szCs w:val="28"/>
        </w:rPr>
        <w:t xml:space="preserve"> is addressed directly in Recommendation 5.</w:t>
      </w:r>
    </w:p>
    <w:p w14:paraId="3CE5E304"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Financial capacity is an enabling rather than differentiating resource: Sony's consolidated operating income of ¥1,447.5 billion in the fiscal year ended March 2026 (Sony Group Corporation, 2026) gives the group capacity to fund camera R&amp;D even while the ET&amp;S segment itself is under margin pressure, but scale alone creates no advantage without deployment into the resources above.</w:t>
      </w: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900"/>
        <w:gridCol w:w="1300"/>
        <w:gridCol w:w="1300"/>
        <w:gridCol w:w="1000"/>
        <w:gridCol w:w="3300"/>
      </w:tblGrid>
      <w:tr w:rsidR="00B633E7" w:rsidRPr="00FF1EE2" w14:paraId="581DE9A2" w14:textId="77777777">
        <w:trPr>
          <w:tblHeader/>
        </w:trPr>
        <w:tc>
          <w:tcPr>
            <w:tcW w:w="3000" w:type="dxa"/>
            <w:shd w:val="clear" w:color="auto" w:fill="D9E2F3"/>
            <w:vAlign w:val="center"/>
          </w:tcPr>
          <w:p w14:paraId="5A42F215" w14:textId="77777777" w:rsidR="00B633E7" w:rsidRPr="00FF1EE2" w:rsidRDefault="00000000">
            <w:pPr>
              <w:rPr>
                <w:rFonts w:ascii="Arial" w:hAnsi="Arial" w:cs="Arial"/>
                <w:sz w:val="28"/>
                <w:szCs w:val="28"/>
              </w:rPr>
            </w:pPr>
            <w:r w:rsidRPr="00FF1EE2">
              <w:rPr>
                <w:rFonts w:ascii="Arial" w:hAnsi="Arial" w:cs="Arial"/>
                <w:b/>
                <w:bCs/>
              </w:rPr>
              <w:lastRenderedPageBreak/>
              <w:t>Resource</w:t>
            </w:r>
          </w:p>
        </w:tc>
        <w:tc>
          <w:tcPr>
            <w:tcW w:w="900" w:type="dxa"/>
            <w:shd w:val="clear" w:color="auto" w:fill="D9E2F3"/>
            <w:vAlign w:val="center"/>
          </w:tcPr>
          <w:p w14:paraId="554E0378" w14:textId="77777777" w:rsidR="00B633E7" w:rsidRPr="00FF1EE2" w:rsidRDefault="00000000">
            <w:pPr>
              <w:rPr>
                <w:rFonts w:ascii="Arial" w:hAnsi="Arial" w:cs="Arial"/>
                <w:sz w:val="28"/>
                <w:szCs w:val="28"/>
              </w:rPr>
            </w:pPr>
            <w:r w:rsidRPr="00FF1EE2">
              <w:rPr>
                <w:rFonts w:ascii="Arial" w:hAnsi="Arial" w:cs="Arial"/>
                <w:b/>
                <w:bCs/>
              </w:rPr>
              <w:t>V</w:t>
            </w:r>
          </w:p>
        </w:tc>
        <w:tc>
          <w:tcPr>
            <w:tcW w:w="1300" w:type="dxa"/>
            <w:shd w:val="clear" w:color="auto" w:fill="D9E2F3"/>
            <w:vAlign w:val="center"/>
          </w:tcPr>
          <w:p w14:paraId="2CE7E564" w14:textId="77777777" w:rsidR="00B633E7" w:rsidRPr="00FF1EE2" w:rsidRDefault="00000000">
            <w:pPr>
              <w:rPr>
                <w:rFonts w:ascii="Arial" w:hAnsi="Arial" w:cs="Arial"/>
                <w:sz w:val="28"/>
                <w:szCs w:val="28"/>
              </w:rPr>
            </w:pPr>
            <w:r w:rsidRPr="00FF1EE2">
              <w:rPr>
                <w:rFonts w:ascii="Arial" w:hAnsi="Arial" w:cs="Arial"/>
                <w:b/>
                <w:bCs/>
              </w:rPr>
              <w:t>R</w:t>
            </w:r>
          </w:p>
        </w:tc>
        <w:tc>
          <w:tcPr>
            <w:tcW w:w="1300" w:type="dxa"/>
            <w:shd w:val="clear" w:color="auto" w:fill="D9E2F3"/>
            <w:vAlign w:val="center"/>
          </w:tcPr>
          <w:p w14:paraId="5757FC27" w14:textId="77777777" w:rsidR="00B633E7" w:rsidRPr="00FF1EE2" w:rsidRDefault="00000000">
            <w:pPr>
              <w:rPr>
                <w:rFonts w:ascii="Arial" w:hAnsi="Arial" w:cs="Arial"/>
                <w:sz w:val="28"/>
                <w:szCs w:val="28"/>
              </w:rPr>
            </w:pPr>
            <w:r w:rsidRPr="00FF1EE2">
              <w:rPr>
                <w:rFonts w:ascii="Arial" w:hAnsi="Arial" w:cs="Arial"/>
                <w:b/>
                <w:bCs/>
              </w:rPr>
              <w:t>I</w:t>
            </w:r>
          </w:p>
        </w:tc>
        <w:tc>
          <w:tcPr>
            <w:tcW w:w="1000" w:type="dxa"/>
            <w:shd w:val="clear" w:color="auto" w:fill="D9E2F3"/>
            <w:vAlign w:val="center"/>
          </w:tcPr>
          <w:p w14:paraId="6571414D" w14:textId="77777777" w:rsidR="00B633E7" w:rsidRPr="00FF1EE2" w:rsidRDefault="00000000">
            <w:pPr>
              <w:rPr>
                <w:rFonts w:ascii="Arial" w:hAnsi="Arial" w:cs="Arial"/>
                <w:sz w:val="28"/>
                <w:szCs w:val="28"/>
              </w:rPr>
            </w:pPr>
            <w:r w:rsidRPr="00FF1EE2">
              <w:rPr>
                <w:rFonts w:ascii="Arial" w:hAnsi="Arial" w:cs="Arial"/>
                <w:b/>
                <w:bCs/>
              </w:rPr>
              <w:t>O</w:t>
            </w:r>
          </w:p>
        </w:tc>
        <w:tc>
          <w:tcPr>
            <w:tcW w:w="3300" w:type="dxa"/>
            <w:shd w:val="clear" w:color="auto" w:fill="D9E2F3"/>
            <w:vAlign w:val="center"/>
          </w:tcPr>
          <w:p w14:paraId="44E31EB5" w14:textId="77777777" w:rsidR="00B633E7" w:rsidRPr="00FF1EE2" w:rsidRDefault="00000000">
            <w:pPr>
              <w:rPr>
                <w:rFonts w:ascii="Arial" w:hAnsi="Arial" w:cs="Arial"/>
                <w:sz w:val="28"/>
                <w:szCs w:val="28"/>
              </w:rPr>
            </w:pPr>
            <w:r w:rsidRPr="00FF1EE2">
              <w:rPr>
                <w:rFonts w:ascii="Arial" w:hAnsi="Arial" w:cs="Arial"/>
                <w:b/>
                <w:bCs/>
              </w:rPr>
              <w:t>Advantage</w:t>
            </w:r>
          </w:p>
        </w:tc>
      </w:tr>
      <w:tr w:rsidR="00B633E7" w:rsidRPr="00FF1EE2" w14:paraId="3A97F092" w14:textId="77777777">
        <w:tc>
          <w:tcPr>
            <w:tcW w:w="3000" w:type="dxa"/>
            <w:vAlign w:val="center"/>
          </w:tcPr>
          <w:p w14:paraId="0E98CA90" w14:textId="77777777" w:rsidR="00B633E7" w:rsidRPr="00FF1EE2" w:rsidRDefault="00000000">
            <w:pPr>
              <w:rPr>
                <w:rFonts w:ascii="Arial" w:hAnsi="Arial" w:cs="Arial"/>
                <w:sz w:val="28"/>
                <w:szCs w:val="28"/>
              </w:rPr>
            </w:pPr>
            <w:r w:rsidRPr="00FF1EE2">
              <w:rPr>
                <w:rFonts w:ascii="Arial" w:hAnsi="Arial" w:cs="Arial"/>
              </w:rPr>
              <w:t>Sensor / imaging engineering</w:t>
            </w:r>
          </w:p>
        </w:tc>
        <w:tc>
          <w:tcPr>
            <w:tcW w:w="900" w:type="dxa"/>
            <w:vAlign w:val="center"/>
          </w:tcPr>
          <w:p w14:paraId="169FC092" w14:textId="77777777" w:rsidR="00B633E7" w:rsidRPr="00FF1EE2" w:rsidRDefault="00000000">
            <w:pPr>
              <w:rPr>
                <w:rFonts w:ascii="Arial" w:hAnsi="Arial" w:cs="Arial"/>
                <w:sz w:val="28"/>
                <w:szCs w:val="28"/>
              </w:rPr>
            </w:pPr>
            <w:r w:rsidRPr="00FF1EE2">
              <w:rPr>
                <w:rFonts w:ascii="Arial" w:hAnsi="Arial" w:cs="Arial"/>
              </w:rPr>
              <w:t>Yes</w:t>
            </w:r>
          </w:p>
        </w:tc>
        <w:tc>
          <w:tcPr>
            <w:tcW w:w="1300" w:type="dxa"/>
            <w:vAlign w:val="center"/>
          </w:tcPr>
          <w:p w14:paraId="09AB54BE" w14:textId="77777777" w:rsidR="00B633E7" w:rsidRPr="00FF1EE2" w:rsidRDefault="00000000">
            <w:pPr>
              <w:rPr>
                <w:rFonts w:ascii="Arial" w:hAnsi="Arial" w:cs="Arial"/>
                <w:sz w:val="28"/>
                <w:szCs w:val="28"/>
              </w:rPr>
            </w:pPr>
            <w:r w:rsidRPr="00FF1EE2">
              <w:rPr>
                <w:rFonts w:ascii="Arial" w:hAnsi="Arial" w:cs="Arial"/>
              </w:rPr>
              <w:t>Yes</w:t>
            </w:r>
          </w:p>
        </w:tc>
        <w:tc>
          <w:tcPr>
            <w:tcW w:w="1300" w:type="dxa"/>
            <w:vAlign w:val="center"/>
          </w:tcPr>
          <w:p w14:paraId="0CDEBD3E" w14:textId="77777777" w:rsidR="00B633E7" w:rsidRPr="00FF1EE2" w:rsidRDefault="00000000">
            <w:pPr>
              <w:rPr>
                <w:rFonts w:ascii="Arial" w:hAnsi="Arial" w:cs="Arial"/>
                <w:sz w:val="28"/>
                <w:szCs w:val="28"/>
              </w:rPr>
            </w:pPr>
            <w:r w:rsidRPr="00FF1EE2">
              <w:rPr>
                <w:rFonts w:ascii="Arial" w:hAnsi="Arial" w:cs="Arial"/>
              </w:rPr>
              <w:t>High</w:t>
            </w:r>
          </w:p>
        </w:tc>
        <w:tc>
          <w:tcPr>
            <w:tcW w:w="1000" w:type="dxa"/>
            <w:vAlign w:val="center"/>
          </w:tcPr>
          <w:p w14:paraId="580E9A2F" w14:textId="77777777" w:rsidR="00B633E7" w:rsidRPr="00FF1EE2" w:rsidRDefault="00000000">
            <w:pPr>
              <w:rPr>
                <w:rFonts w:ascii="Arial" w:hAnsi="Arial" w:cs="Arial"/>
                <w:sz w:val="28"/>
                <w:szCs w:val="28"/>
              </w:rPr>
            </w:pPr>
            <w:r w:rsidRPr="00FF1EE2">
              <w:rPr>
                <w:rFonts w:ascii="Arial" w:hAnsi="Arial" w:cs="Arial"/>
              </w:rPr>
              <w:t>Yes</w:t>
            </w:r>
          </w:p>
        </w:tc>
        <w:tc>
          <w:tcPr>
            <w:tcW w:w="3300" w:type="dxa"/>
            <w:vAlign w:val="center"/>
          </w:tcPr>
          <w:p w14:paraId="433DF2C9" w14:textId="77777777" w:rsidR="00B633E7" w:rsidRPr="00FF1EE2" w:rsidRDefault="00000000">
            <w:pPr>
              <w:rPr>
                <w:rFonts w:ascii="Arial" w:hAnsi="Arial" w:cs="Arial"/>
                <w:sz w:val="28"/>
                <w:szCs w:val="28"/>
              </w:rPr>
            </w:pPr>
            <w:r w:rsidRPr="00FF1EE2">
              <w:rPr>
                <w:rFonts w:ascii="Arial" w:hAnsi="Arial" w:cs="Arial"/>
              </w:rPr>
              <w:t>Sustained</w:t>
            </w:r>
          </w:p>
        </w:tc>
      </w:tr>
      <w:tr w:rsidR="00B633E7" w:rsidRPr="00FF1EE2" w14:paraId="599C4A61" w14:textId="77777777">
        <w:tc>
          <w:tcPr>
            <w:tcW w:w="3000" w:type="dxa"/>
            <w:vAlign w:val="center"/>
          </w:tcPr>
          <w:p w14:paraId="71F4EBED" w14:textId="77777777" w:rsidR="00B633E7" w:rsidRPr="00FF1EE2" w:rsidRDefault="00000000">
            <w:pPr>
              <w:rPr>
                <w:rFonts w:ascii="Arial" w:hAnsi="Arial" w:cs="Arial"/>
                <w:sz w:val="28"/>
                <w:szCs w:val="28"/>
              </w:rPr>
            </w:pPr>
            <w:r w:rsidRPr="00FF1EE2">
              <w:rPr>
                <w:rFonts w:ascii="Arial" w:hAnsi="Arial" w:cs="Arial"/>
              </w:rPr>
              <w:t>Alpha brand / E-mount ecosystem</w:t>
            </w:r>
          </w:p>
        </w:tc>
        <w:tc>
          <w:tcPr>
            <w:tcW w:w="900" w:type="dxa"/>
            <w:vAlign w:val="center"/>
          </w:tcPr>
          <w:p w14:paraId="5C0BC999" w14:textId="77777777" w:rsidR="00B633E7" w:rsidRPr="00FF1EE2" w:rsidRDefault="00000000">
            <w:pPr>
              <w:rPr>
                <w:rFonts w:ascii="Arial" w:hAnsi="Arial" w:cs="Arial"/>
                <w:sz w:val="28"/>
                <w:szCs w:val="28"/>
              </w:rPr>
            </w:pPr>
            <w:r w:rsidRPr="00FF1EE2">
              <w:rPr>
                <w:rFonts w:ascii="Arial" w:hAnsi="Arial" w:cs="Arial"/>
              </w:rPr>
              <w:t>Yes</w:t>
            </w:r>
          </w:p>
        </w:tc>
        <w:tc>
          <w:tcPr>
            <w:tcW w:w="1300" w:type="dxa"/>
            <w:vAlign w:val="center"/>
          </w:tcPr>
          <w:p w14:paraId="4B41DF01" w14:textId="77777777" w:rsidR="00B633E7" w:rsidRPr="00FF1EE2" w:rsidRDefault="00000000">
            <w:pPr>
              <w:rPr>
                <w:rFonts w:ascii="Arial" w:hAnsi="Arial" w:cs="Arial"/>
                <w:sz w:val="28"/>
                <w:szCs w:val="28"/>
              </w:rPr>
            </w:pPr>
            <w:r w:rsidRPr="00FF1EE2">
              <w:rPr>
                <w:rFonts w:ascii="Arial" w:hAnsi="Arial" w:cs="Arial"/>
              </w:rPr>
              <w:t>Moderate</w:t>
            </w:r>
          </w:p>
        </w:tc>
        <w:tc>
          <w:tcPr>
            <w:tcW w:w="1300" w:type="dxa"/>
            <w:vAlign w:val="center"/>
          </w:tcPr>
          <w:p w14:paraId="3914FCD6" w14:textId="77777777" w:rsidR="00B633E7" w:rsidRPr="00FF1EE2" w:rsidRDefault="00000000">
            <w:pPr>
              <w:rPr>
                <w:rFonts w:ascii="Arial" w:hAnsi="Arial" w:cs="Arial"/>
                <w:sz w:val="28"/>
                <w:szCs w:val="28"/>
              </w:rPr>
            </w:pPr>
            <w:r w:rsidRPr="00FF1EE2">
              <w:rPr>
                <w:rFonts w:ascii="Arial" w:hAnsi="Arial" w:cs="Arial"/>
              </w:rPr>
              <w:t>Costly</w:t>
            </w:r>
          </w:p>
        </w:tc>
        <w:tc>
          <w:tcPr>
            <w:tcW w:w="1000" w:type="dxa"/>
            <w:vAlign w:val="center"/>
          </w:tcPr>
          <w:p w14:paraId="75345E8D" w14:textId="77777777" w:rsidR="00B633E7" w:rsidRPr="00FF1EE2" w:rsidRDefault="00000000">
            <w:pPr>
              <w:rPr>
                <w:rFonts w:ascii="Arial" w:hAnsi="Arial" w:cs="Arial"/>
                <w:sz w:val="28"/>
                <w:szCs w:val="28"/>
              </w:rPr>
            </w:pPr>
            <w:r w:rsidRPr="00FF1EE2">
              <w:rPr>
                <w:rFonts w:ascii="Arial" w:hAnsi="Arial" w:cs="Arial"/>
              </w:rPr>
              <w:t>Yes</w:t>
            </w:r>
          </w:p>
        </w:tc>
        <w:tc>
          <w:tcPr>
            <w:tcW w:w="3300" w:type="dxa"/>
            <w:vAlign w:val="center"/>
          </w:tcPr>
          <w:p w14:paraId="751C4BFE" w14:textId="77777777" w:rsidR="00B633E7" w:rsidRPr="00FF1EE2" w:rsidRDefault="00000000">
            <w:pPr>
              <w:rPr>
                <w:rFonts w:ascii="Arial" w:hAnsi="Arial" w:cs="Arial"/>
                <w:sz w:val="28"/>
                <w:szCs w:val="28"/>
              </w:rPr>
            </w:pPr>
            <w:r w:rsidRPr="00FF1EE2">
              <w:rPr>
                <w:rFonts w:ascii="Arial" w:hAnsi="Arial" w:cs="Arial"/>
              </w:rPr>
              <w:t>Temporary-to-sustained</w:t>
            </w:r>
          </w:p>
        </w:tc>
      </w:tr>
      <w:tr w:rsidR="00B633E7" w:rsidRPr="00FF1EE2" w14:paraId="33C6E3E4" w14:textId="77777777">
        <w:tc>
          <w:tcPr>
            <w:tcW w:w="3000" w:type="dxa"/>
            <w:vAlign w:val="center"/>
          </w:tcPr>
          <w:p w14:paraId="5BDE55DC" w14:textId="77777777" w:rsidR="00B633E7" w:rsidRPr="00FF1EE2" w:rsidRDefault="00000000">
            <w:pPr>
              <w:rPr>
                <w:rFonts w:ascii="Arial" w:hAnsi="Arial" w:cs="Arial"/>
                <w:sz w:val="28"/>
                <w:szCs w:val="28"/>
              </w:rPr>
            </w:pPr>
            <w:r w:rsidRPr="00FF1EE2">
              <w:rPr>
                <w:rFonts w:ascii="Arial" w:hAnsi="Arial" w:cs="Arial"/>
              </w:rPr>
              <w:t>Autofocus / AI features</w:t>
            </w:r>
          </w:p>
        </w:tc>
        <w:tc>
          <w:tcPr>
            <w:tcW w:w="900" w:type="dxa"/>
            <w:vAlign w:val="center"/>
          </w:tcPr>
          <w:p w14:paraId="7B90C4F7" w14:textId="77777777" w:rsidR="00B633E7" w:rsidRPr="00FF1EE2" w:rsidRDefault="00000000">
            <w:pPr>
              <w:rPr>
                <w:rFonts w:ascii="Arial" w:hAnsi="Arial" w:cs="Arial"/>
                <w:sz w:val="28"/>
                <w:szCs w:val="28"/>
              </w:rPr>
            </w:pPr>
            <w:r w:rsidRPr="00FF1EE2">
              <w:rPr>
                <w:rFonts w:ascii="Arial" w:hAnsi="Arial" w:cs="Arial"/>
              </w:rPr>
              <w:t>Yes</w:t>
            </w:r>
          </w:p>
        </w:tc>
        <w:tc>
          <w:tcPr>
            <w:tcW w:w="1300" w:type="dxa"/>
            <w:vAlign w:val="center"/>
          </w:tcPr>
          <w:p w14:paraId="7BE13515" w14:textId="77777777" w:rsidR="00B633E7" w:rsidRPr="00FF1EE2" w:rsidRDefault="00000000">
            <w:pPr>
              <w:rPr>
                <w:rFonts w:ascii="Arial" w:hAnsi="Arial" w:cs="Arial"/>
                <w:sz w:val="28"/>
                <w:szCs w:val="28"/>
              </w:rPr>
            </w:pPr>
            <w:r w:rsidRPr="00FF1EE2">
              <w:rPr>
                <w:rFonts w:ascii="Arial" w:hAnsi="Arial" w:cs="Arial"/>
              </w:rPr>
              <w:t>Moderate</w:t>
            </w:r>
          </w:p>
        </w:tc>
        <w:tc>
          <w:tcPr>
            <w:tcW w:w="1300" w:type="dxa"/>
            <w:vAlign w:val="center"/>
          </w:tcPr>
          <w:p w14:paraId="09BE627D" w14:textId="77777777" w:rsidR="00B633E7" w:rsidRPr="00FF1EE2" w:rsidRDefault="00000000">
            <w:pPr>
              <w:rPr>
                <w:rFonts w:ascii="Arial" w:hAnsi="Arial" w:cs="Arial"/>
                <w:sz w:val="28"/>
                <w:szCs w:val="28"/>
              </w:rPr>
            </w:pPr>
            <w:r w:rsidRPr="00FF1EE2">
              <w:rPr>
                <w:rFonts w:ascii="Arial" w:hAnsi="Arial" w:cs="Arial"/>
              </w:rPr>
              <w:t>Medium</w:t>
            </w:r>
          </w:p>
        </w:tc>
        <w:tc>
          <w:tcPr>
            <w:tcW w:w="1000" w:type="dxa"/>
            <w:vAlign w:val="center"/>
          </w:tcPr>
          <w:p w14:paraId="67D512A0" w14:textId="77777777" w:rsidR="00B633E7" w:rsidRPr="00FF1EE2" w:rsidRDefault="00000000">
            <w:pPr>
              <w:rPr>
                <w:rFonts w:ascii="Arial" w:hAnsi="Arial" w:cs="Arial"/>
                <w:sz w:val="28"/>
                <w:szCs w:val="28"/>
              </w:rPr>
            </w:pPr>
            <w:r w:rsidRPr="00FF1EE2">
              <w:rPr>
                <w:rFonts w:ascii="Arial" w:hAnsi="Arial" w:cs="Arial"/>
              </w:rPr>
              <w:t>Yes</w:t>
            </w:r>
          </w:p>
        </w:tc>
        <w:tc>
          <w:tcPr>
            <w:tcW w:w="3300" w:type="dxa"/>
            <w:vAlign w:val="center"/>
          </w:tcPr>
          <w:p w14:paraId="74386D52" w14:textId="77777777" w:rsidR="00B633E7" w:rsidRPr="00FF1EE2" w:rsidRDefault="00000000">
            <w:pPr>
              <w:rPr>
                <w:rFonts w:ascii="Arial" w:hAnsi="Arial" w:cs="Arial"/>
                <w:sz w:val="28"/>
                <w:szCs w:val="28"/>
              </w:rPr>
            </w:pPr>
            <w:r w:rsidRPr="00FF1EE2">
              <w:rPr>
                <w:rFonts w:ascii="Arial" w:hAnsi="Arial" w:cs="Arial"/>
              </w:rPr>
              <w:t>Temporary</w:t>
            </w:r>
          </w:p>
        </w:tc>
      </w:tr>
      <w:tr w:rsidR="00B633E7" w:rsidRPr="00FF1EE2" w14:paraId="2620E959" w14:textId="77777777">
        <w:tc>
          <w:tcPr>
            <w:tcW w:w="3000" w:type="dxa"/>
            <w:vAlign w:val="center"/>
          </w:tcPr>
          <w:p w14:paraId="70217A77" w14:textId="77777777" w:rsidR="00B633E7" w:rsidRPr="00FF1EE2" w:rsidRDefault="00000000">
            <w:pPr>
              <w:rPr>
                <w:rFonts w:ascii="Arial" w:hAnsi="Arial" w:cs="Arial"/>
                <w:sz w:val="28"/>
                <w:szCs w:val="28"/>
              </w:rPr>
            </w:pPr>
            <w:r w:rsidRPr="00FF1EE2">
              <w:rPr>
                <w:rFonts w:ascii="Arial" w:hAnsi="Arial" w:cs="Arial"/>
              </w:rPr>
              <w:t>Cross-business creator ecosystem</w:t>
            </w:r>
          </w:p>
        </w:tc>
        <w:tc>
          <w:tcPr>
            <w:tcW w:w="900" w:type="dxa"/>
            <w:vAlign w:val="center"/>
          </w:tcPr>
          <w:p w14:paraId="4F6422DD" w14:textId="77777777" w:rsidR="00B633E7" w:rsidRPr="00FF1EE2" w:rsidRDefault="00000000">
            <w:pPr>
              <w:rPr>
                <w:rFonts w:ascii="Arial" w:hAnsi="Arial" w:cs="Arial"/>
                <w:sz w:val="28"/>
                <w:szCs w:val="28"/>
              </w:rPr>
            </w:pPr>
            <w:r w:rsidRPr="00FF1EE2">
              <w:rPr>
                <w:rFonts w:ascii="Arial" w:hAnsi="Arial" w:cs="Arial"/>
              </w:rPr>
              <w:t>Yes</w:t>
            </w:r>
          </w:p>
        </w:tc>
        <w:tc>
          <w:tcPr>
            <w:tcW w:w="1300" w:type="dxa"/>
            <w:vAlign w:val="center"/>
          </w:tcPr>
          <w:p w14:paraId="4F9A46E2" w14:textId="77777777" w:rsidR="00B633E7" w:rsidRPr="00FF1EE2" w:rsidRDefault="00000000">
            <w:pPr>
              <w:rPr>
                <w:rFonts w:ascii="Arial" w:hAnsi="Arial" w:cs="Arial"/>
                <w:sz w:val="28"/>
                <w:szCs w:val="28"/>
              </w:rPr>
            </w:pPr>
            <w:r w:rsidRPr="00FF1EE2">
              <w:rPr>
                <w:rFonts w:ascii="Arial" w:hAnsi="Arial" w:cs="Arial"/>
              </w:rPr>
              <w:t>Yes</w:t>
            </w:r>
          </w:p>
        </w:tc>
        <w:tc>
          <w:tcPr>
            <w:tcW w:w="1300" w:type="dxa"/>
            <w:vAlign w:val="center"/>
          </w:tcPr>
          <w:p w14:paraId="6C9E3AB1" w14:textId="77777777" w:rsidR="00B633E7" w:rsidRPr="00FF1EE2" w:rsidRDefault="00000000">
            <w:pPr>
              <w:rPr>
                <w:rFonts w:ascii="Arial" w:hAnsi="Arial" w:cs="Arial"/>
                <w:sz w:val="28"/>
                <w:szCs w:val="28"/>
              </w:rPr>
            </w:pPr>
            <w:r w:rsidRPr="00FF1EE2">
              <w:rPr>
                <w:rFonts w:ascii="Arial" w:hAnsi="Arial" w:cs="Arial"/>
              </w:rPr>
              <w:t>High</w:t>
            </w:r>
          </w:p>
        </w:tc>
        <w:tc>
          <w:tcPr>
            <w:tcW w:w="1000" w:type="dxa"/>
            <w:vAlign w:val="center"/>
          </w:tcPr>
          <w:p w14:paraId="0D3E9C67" w14:textId="77777777" w:rsidR="00B633E7" w:rsidRPr="00FF1EE2" w:rsidRDefault="00000000">
            <w:pPr>
              <w:rPr>
                <w:rFonts w:ascii="Arial" w:hAnsi="Arial" w:cs="Arial"/>
                <w:sz w:val="28"/>
                <w:szCs w:val="28"/>
              </w:rPr>
            </w:pPr>
            <w:r w:rsidRPr="00FF1EE2">
              <w:rPr>
                <w:rFonts w:ascii="Arial" w:hAnsi="Arial" w:cs="Arial"/>
              </w:rPr>
              <w:t>Partly</w:t>
            </w:r>
          </w:p>
        </w:tc>
        <w:tc>
          <w:tcPr>
            <w:tcW w:w="3300" w:type="dxa"/>
            <w:vAlign w:val="center"/>
          </w:tcPr>
          <w:p w14:paraId="3602D7E3" w14:textId="77777777" w:rsidR="00B633E7" w:rsidRPr="00FF1EE2" w:rsidRDefault="00000000">
            <w:pPr>
              <w:rPr>
                <w:rFonts w:ascii="Arial" w:hAnsi="Arial" w:cs="Arial"/>
                <w:sz w:val="28"/>
                <w:szCs w:val="28"/>
              </w:rPr>
            </w:pPr>
            <w:r w:rsidRPr="00FF1EE2">
              <w:rPr>
                <w:rFonts w:ascii="Arial" w:hAnsi="Arial" w:cs="Arial"/>
              </w:rPr>
              <w:t>Potential</w:t>
            </w:r>
          </w:p>
        </w:tc>
      </w:tr>
      <w:tr w:rsidR="00B633E7" w:rsidRPr="00FF1EE2" w14:paraId="5888D22F" w14:textId="77777777">
        <w:tc>
          <w:tcPr>
            <w:tcW w:w="3000" w:type="dxa"/>
            <w:vAlign w:val="center"/>
          </w:tcPr>
          <w:p w14:paraId="57A4B28E" w14:textId="77777777" w:rsidR="00B633E7" w:rsidRPr="00FF1EE2" w:rsidRDefault="00000000">
            <w:pPr>
              <w:rPr>
                <w:rFonts w:ascii="Arial" w:hAnsi="Arial" w:cs="Arial"/>
                <w:sz w:val="28"/>
                <w:szCs w:val="28"/>
              </w:rPr>
            </w:pPr>
            <w:r w:rsidRPr="00FF1EE2">
              <w:rPr>
                <w:rFonts w:ascii="Arial" w:hAnsi="Arial" w:cs="Arial"/>
              </w:rPr>
              <w:t>Group financial capacity</w:t>
            </w:r>
          </w:p>
        </w:tc>
        <w:tc>
          <w:tcPr>
            <w:tcW w:w="900" w:type="dxa"/>
            <w:vAlign w:val="center"/>
          </w:tcPr>
          <w:p w14:paraId="6462C667" w14:textId="77777777" w:rsidR="00B633E7" w:rsidRPr="00FF1EE2" w:rsidRDefault="00000000">
            <w:pPr>
              <w:rPr>
                <w:rFonts w:ascii="Arial" w:hAnsi="Arial" w:cs="Arial"/>
                <w:sz w:val="28"/>
                <w:szCs w:val="28"/>
              </w:rPr>
            </w:pPr>
            <w:r w:rsidRPr="00FF1EE2">
              <w:rPr>
                <w:rFonts w:ascii="Arial" w:hAnsi="Arial" w:cs="Arial"/>
              </w:rPr>
              <w:t>Yes</w:t>
            </w:r>
          </w:p>
        </w:tc>
        <w:tc>
          <w:tcPr>
            <w:tcW w:w="1300" w:type="dxa"/>
            <w:vAlign w:val="center"/>
          </w:tcPr>
          <w:p w14:paraId="3C624EEF" w14:textId="77777777" w:rsidR="00B633E7" w:rsidRPr="00FF1EE2" w:rsidRDefault="00000000">
            <w:pPr>
              <w:rPr>
                <w:rFonts w:ascii="Arial" w:hAnsi="Arial" w:cs="Arial"/>
                <w:sz w:val="28"/>
                <w:szCs w:val="28"/>
              </w:rPr>
            </w:pPr>
            <w:r w:rsidRPr="00FF1EE2">
              <w:rPr>
                <w:rFonts w:ascii="Arial" w:hAnsi="Arial" w:cs="Arial"/>
              </w:rPr>
              <w:t>Moderate</w:t>
            </w:r>
          </w:p>
        </w:tc>
        <w:tc>
          <w:tcPr>
            <w:tcW w:w="1300" w:type="dxa"/>
            <w:vAlign w:val="center"/>
          </w:tcPr>
          <w:p w14:paraId="227B07C9" w14:textId="77777777" w:rsidR="00B633E7" w:rsidRPr="00FF1EE2" w:rsidRDefault="00000000">
            <w:pPr>
              <w:rPr>
                <w:rFonts w:ascii="Arial" w:hAnsi="Arial" w:cs="Arial"/>
                <w:sz w:val="28"/>
                <w:szCs w:val="28"/>
              </w:rPr>
            </w:pPr>
            <w:r w:rsidRPr="00FF1EE2">
              <w:rPr>
                <w:rFonts w:ascii="Arial" w:hAnsi="Arial" w:cs="Arial"/>
              </w:rPr>
              <w:t>Low</w:t>
            </w:r>
          </w:p>
        </w:tc>
        <w:tc>
          <w:tcPr>
            <w:tcW w:w="1000" w:type="dxa"/>
            <w:vAlign w:val="center"/>
          </w:tcPr>
          <w:p w14:paraId="64E65F24" w14:textId="77777777" w:rsidR="00B633E7" w:rsidRPr="00FF1EE2" w:rsidRDefault="00000000">
            <w:pPr>
              <w:rPr>
                <w:rFonts w:ascii="Arial" w:hAnsi="Arial" w:cs="Arial"/>
                <w:sz w:val="28"/>
                <w:szCs w:val="28"/>
              </w:rPr>
            </w:pPr>
            <w:r w:rsidRPr="00FF1EE2">
              <w:rPr>
                <w:rFonts w:ascii="Arial" w:hAnsi="Arial" w:cs="Arial"/>
              </w:rPr>
              <w:t>Yes</w:t>
            </w:r>
          </w:p>
        </w:tc>
        <w:tc>
          <w:tcPr>
            <w:tcW w:w="3300" w:type="dxa"/>
            <w:vAlign w:val="center"/>
          </w:tcPr>
          <w:p w14:paraId="74DCDFF6" w14:textId="77777777" w:rsidR="00B633E7" w:rsidRPr="00FF1EE2" w:rsidRDefault="00000000">
            <w:pPr>
              <w:rPr>
                <w:rFonts w:ascii="Arial" w:hAnsi="Arial" w:cs="Arial"/>
                <w:sz w:val="28"/>
                <w:szCs w:val="28"/>
              </w:rPr>
            </w:pPr>
            <w:r w:rsidRPr="00FF1EE2">
              <w:rPr>
                <w:rFonts w:ascii="Arial" w:hAnsi="Arial" w:cs="Arial"/>
              </w:rPr>
              <w:t>Enabler</w:t>
            </w:r>
          </w:p>
        </w:tc>
      </w:tr>
    </w:tbl>
    <w:p w14:paraId="13F42B9F" w14:textId="77777777" w:rsidR="00B633E7" w:rsidRPr="00FF1EE2" w:rsidRDefault="00000000">
      <w:pPr>
        <w:spacing w:before="60" w:after="240"/>
        <w:jc w:val="center"/>
        <w:rPr>
          <w:rFonts w:ascii="Arial" w:hAnsi="Arial" w:cs="Arial"/>
          <w:sz w:val="28"/>
          <w:szCs w:val="28"/>
        </w:rPr>
      </w:pPr>
      <w:r w:rsidRPr="00FF1EE2">
        <w:rPr>
          <w:rFonts w:ascii="Arial" w:hAnsi="Arial" w:cs="Arial"/>
          <w:i/>
          <w:iCs/>
        </w:rPr>
        <w:t>Table 2: VRIO summary (Barney, 1991) (full matrix in Appendix B)</w:t>
      </w:r>
    </w:p>
    <w:p w14:paraId="193A1E5F" w14:textId="77777777" w:rsidR="00B633E7" w:rsidRPr="00FF1EE2" w:rsidRDefault="00000000">
      <w:pPr>
        <w:pStyle w:val="Heading2"/>
        <w:spacing w:before="220" w:after="120"/>
        <w:rPr>
          <w:rFonts w:ascii="Arial" w:hAnsi="Arial" w:cs="Arial"/>
          <w:sz w:val="32"/>
          <w:szCs w:val="32"/>
        </w:rPr>
      </w:pPr>
      <w:bookmarkStart w:id="8" w:name="_Toc237446162"/>
      <w:r w:rsidRPr="00FF1EE2">
        <w:rPr>
          <w:rFonts w:ascii="Arial" w:hAnsi="Arial" w:cs="Arial"/>
          <w:sz w:val="32"/>
          <w:szCs w:val="32"/>
        </w:rPr>
        <w:t>2.3 SWOT Synthesis</w:t>
      </w:r>
      <w:bookmarkEnd w:id="8"/>
    </w:p>
    <w:p w14:paraId="65ABF169"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SWOT integrates the PESTEL and VRIO findings above with Five Forces (Section 4.2) rather than restating them as an unconnected list (Johnson et al., 2020). Strengths: leading full-frame mirrorless share in Japan at 29.9% (BCN Ranking, 2026); first-to-market global-shutter sensor technology (Sony Electronics, 2023); an E-mount ecosystem of 80-plus native lenses reinforced by open third-party support; group-level R&amp;D and financial capacity from ¥1,447.5 billion operating income (Sony Group Corporation, 2026).</w:t>
      </w:r>
    </w:p>
    <w:p w14:paraId="10592D41"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Weaknesses: the camera business sits inside an ET&amp;S segment whose sales and operating income both fell in the fiscal year ended March 2026 (Sony Group Corporation, 2026), meaning cameras cannot rely on segment-level cushioning; premium pricing narrows the addressable market; a broad and sometimes overlapping Alpha model range risks confusing less experienced buyers; Sony's Japan lead was briefly overtaken by Nikon on a monthly basis in 2025 (Digital Camera World, 2025), showing the lead is contestable.</w:t>
      </w:r>
    </w:p>
    <w:p w14:paraId="4829BD80"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Opportunities: continued mirrorless unit and value growth (CIPA, 2026); the creator economy's demand for hybrid photo-video tools; AI-assisted computational photography as a mainstream expectation rather than a novelty; deeper use of Sony's wider entertainment businesses to build creator workflows unavailable to single-product competitors.</w:t>
      </w:r>
    </w:p>
    <w:p w14:paraId="0457BBC2"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Threats: Canon's global unit-volume dominance (around 41% of ILC shipments) and rapid feature parity in its recent bodies (</w:t>
      </w:r>
      <w:proofErr w:type="spellStart"/>
      <w:r w:rsidRPr="00FF1EE2">
        <w:rPr>
          <w:rFonts w:ascii="Arial" w:hAnsi="Arial" w:cs="Arial"/>
          <w:sz w:val="28"/>
          <w:szCs w:val="28"/>
        </w:rPr>
        <w:t>PhotoWorkout</w:t>
      </w:r>
      <w:proofErr w:type="spellEnd"/>
      <w:r w:rsidRPr="00FF1EE2">
        <w:rPr>
          <w:rFonts w:ascii="Arial" w:hAnsi="Arial" w:cs="Arial"/>
          <w:sz w:val="28"/>
          <w:szCs w:val="28"/>
        </w:rPr>
        <w:t xml:space="preserve">, 2026); Nikon's demonstrated ability to win share with well-priced full-frame entry models; continuing smartphone substitution for casual photography; </w:t>
      </w:r>
      <w:r w:rsidRPr="00FF1EE2">
        <w:rPr>
          <w:rFonts w:ascii="Arial" w:hAnsi="Arial" w:cs="Arial"/>
          <w:sz w:val="28"/>
          <w:szCs w:val="28"/>
        </w:rPr>
        <w:lastRenderedPageBreak/>
        <w:t>and macroeconomic pressure on discretionary spending, evidenced directly in the fiscal year ended March 2026 ET&amp;S results (Sony Group Corporation, 2026). Overall industry attractiveness is moderate: a smaller but higher-value, technology-driven market, with genuine differentiation opportunity but real competitive and macroeconomic exposure.</w:t>
      </w:r>
    </w:p>
    <w:p w14:paraId="34CAB64D" w14:textId="77777777" w:rsidR="00B633E7" w:rsidRPr="00FF1EE2" w:rsidRDefault="00000000">
      <w:pPr>
        <w:pStyle w:val="Heading1"/>
        <w:rPr>
          <w:rFonts w:ascii="Arial" w:hAnsi="Arial" w:cs="Arial"/>
          <w:sz w:val="36"/>
          <w:szCs w:val="36"/>
        </w:rPr>
      </w:pPr>
      <w:bookmarkStart w:id="9" w:name="_Toc237446163"/>
      <w:r w:rsidRPr="00FF1EE2">
        <w:rPr>
          <w:rFonts w:ascii="Arial" w:hAnsi="Arial" w:cs="Arial"/>
          <w:sz w:val="36"/>
          <w:szCs w:val="36"/>
        </w:rPr>
        <w:t>3. Comprehensive and Holistic View</w:t>
      </w:r>
      <w:bookmarkEnd w:id="9"/>
    </w:p>
    <w:p w14:paraId="5FC083FC"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Sony's camera strategy should be judged not only on competitive performance but on stakeholder and sustainability grounds, consistent with a stakeholder view of strategy (Freeman, 1984). A durable strategy must protect financial performance while strengthening customer relationships, employee capability and environmental credibility.</w:t>
      </w:r>
    </w:p>
    <w:p w14:paraId="7794367B" w14:textId="77777777" w:rsidR="00B633E7" w:rsidRPr="00FF1EE2" w:rsidRDefault="00000000">
      <w:pPr>
        <w:pStyle w:val="Heading2"/>
        <w:spacing w:before="220" w:after="120"/>
        <w:rPr>
          <w:rFonts w:ascii="Arial" w:hAnsi="Arial" w:cs="Arial"/>
          <w:sz w:val="32"/>
          <w:szCs w:val="32"/>
        </w:rPr>
      </w:pPr>
      <w:bookmarkStart w:id="10" w:name="_Toc237446164"/>
      <w:r w:rsidRPr="00FF1EE2">
        <w:rPr>
          <w:rFonts w:ascii="Arial" w:hAnsi="Arial" w:cs="Arial"/>
          <w:sz w:val="32"/>
          <w:szCs w:val="32"/>
        </w:rPr>
        <w:t>3.1 CSR Strategy and Alignment</w:t>
      </w:r>
      <w:bookmarkEnd w:id="10"/>
    </w:p>
    <w:p w14:paraId="0BFB0805"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Sustainability can support the camera strategy directly through product longevity, responsible manufacturing, resource efficiency and recycling. Cameras are durable capital goods rather than disposable electronics, and encouraging longer ownership cycles — through repair services, spare-parts availability and continued firmware support for older bodies such as the Alpha 1 and Alpha 7S III (Sony Electronics, 2023) — can reduce replacement pressure on customers while strengthening trust in the brand.</w:t>
      </w:r>
    </w:p>
    <w:p w14:paraId="386F5A8B"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Sony's Road to Zero plan, running since 2010 and accelerated in 2022, targets carbon neutrality across Scopes 1, 2 and 3 by 2040 and 100% renewable electricity across Sony's own operations by 2030, with Scopes 1 and 2 of its own operations carbon neutral by 2030 (Sony Group Corporation, 2022). This is a genuinely ambitious, group-wide commitment, but the environmental footprint of a camera extends well beyond Sony's own facilities: sensors, processors, batteries, lenses, packaging and global logistics all contribute, meaning supplier engagement and lifecycle assessment matter as much as factory-level energy reduction.</w:t>
      </w:r>
    </w:p>
    <w:p w14:paraId="22F15F37"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CSR should also cover responsible technology. AI-assisted subject recognition and computational photography raise privacy and transparency questions that did not exist for earlier cameras; professional creators depend </w:t>
      </w:r>
      <w:r w:rsidRPr="00FF1EE2">
        <w:rPr>
          <w:rFonts w:ascii="Arial" w:hAnsi="Arial" w:cs="Arial"/>
          <w:sz w:val="28"/>
          <w:szCs w:val="28"/>
        </w:rPr>
        <w:lastRenderedPageBreak/>
        <w:t>on trustworthy equipment, so responsible AI development is a component of product quality rather than a separate compliance exercise.</w:t>
      </w:r>
    </w:p>
    <w:p w14:paraId="20DE76DB"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The strongest alignment between sustainability and commercial value lies in durability and repairability: reducing waste and extending product life lowers lifecycle cost for customers while reinforcing the premium, professional-grade positioning Sony already claims. The main critical risk is that Sony's group-level Road to Zero targets </w:t>
      </w:r>
      <w:proofErr w:type="gramStart"/>
      <w:r w:rsidRPr="00FF1EE2">
        <w:rPr>
          <w:rFonts w:ascii="Arial" w:hAnsi="Arial" w:cs="Arial"/>
          <w:sz w:val="28"/>
          <w:szCs w:val="28"/>
        </w:rPr>
        <w:t>are</w:t>
      </w:r>
      <w:proofErr w:type="gramEnd"/>
      <w:r w:rsidRPr="00FF1EE2">
        <w:rPr>
          <w:rFonts w:ascii="Arial" w:hAnsi="Arial" w:cs="Arial"/>
          <w:sz w:val="28"/>
          <w:szCs w:val="28"/>
        </w:rPr>
        <w:t xml:space="preserve"> ambitious and well publicised (Sony Group Corporation, 2022), but the camera business specifically discloses little product-level evidence — repair rates, recycled-material content, take-back volumes — of progress against them. Without such disclosure, sustainability risks functioning as a corporate-level claim rather than a camera-specific differentiator, and Sony should avoid presenting it as marketing without measurable, product-level evidence.</w:t>
      </w:r>
    </w:p>
    <w:p w14:paraId="11827A0A" w14:textId="77777777" w:rsidR="00B633E7" w:rsidRPr="00FF1EE2" w:rsidRDefault="00000000">
      <w:pPr>
        <w:pStyle w:val="Heading2"/>
        <w:spacing w:before="220" w:after="120"/>
        <w:rPr>
          <w:rFonts w:ascii="Arial" w:hAnsi="Arial" w:cs="Arial"/>
          <w:sz w:val="32"/>
          <w:szCs w:val="32"/>
        </w:rPr>
      </w:pPr>
      <w:bookmarkStart w:id="11" w:name="_Toc237446165"/>
      <w:r w:rsidRPr="00FF1EE2">
        <w:rPr>
          <w:rFonts w:ascii="Arial" w:hAnsi="Arial" w:cs="Arial"/>
          <w:sz w:val="32"/>
          <w:szCs w:val="32"/>
        </w:rPr>
        <w:t>3.2 Balanced Scorecard</w:t>
      </w:r>
      <w:bookmarkEnd w:id="11"/>
    </w:p>
    <w:p w14:paraId="55909A3D"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Financially, Sony should target sustainable growth in premium camera and lens revenue and healthy operating margin within ET&amp;S, rather than maximising unit volume, given the segment's sales and profit both fell in the fiscal year ended March 2026 (Sony Group Corporation, 2026). Useful KPIs: camera and lens revenue growth, lens-attachment rate, average selling price, repeat-purchase rate and ET&amp;S operating margin. Target: stabilise ET&amp;S operating income and grow lens-attachment rate year-on-year.</w:t>
      </w:r>
    </w:p>
    <w:p w14:paraId="2779F060"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From the customer perspective, Sony should measure satisfaction, Net Promoter Score, creator retention, service quality and E-mount ecosystem engagement. A specific objective should be reducing the learning barrier for new Alpha users through tutorials, onboarding content and creator-focused support, directly addressing the complexity weakness identified in the SWOT. Target: measurable reduction in </w:t>
      </w:r>
      <w:proofErr w:type="gramStart"/>
      <w:r w:rsidRPr="00FF1EE2">
        <w:rPr>
          <w:rFonts w:ascii="Arial" w:hAnsi="Arial" w:cs="Arial"/>
          <w:sz w:val="28"/>
          <w:szCs w:val="28"/>
        </w:rPr>
        <w:t>first-90</w:t>
      </w:r>
      <w:proofErr w:type="gramEnd"/>
      <w:r w:rsidRPr="00FF1EE2">
        <w:rPr>
          <w:rFonts w:ascii="Arial" w:hAnsi="Arial" w:cs="Arial"/>
          <w:sz w:val="28"/>
          <w:szCs w:val="28"/>
        </w:rPr>
        <w:t>-day return or abandonment rates among new-to-system buyers.</w:t>
      </w:r>
    </w:p>
    <w:p w14:paraId="0C076107"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Internal-process measures should focus on product-development speed, firmware-update quality and cadence, service turnaround and supply availability, since technology changes quickly and competitors are closing </w:t>
      </w:r>
      <w:r w:rsidRPr="00FF1EE2">
        <w:rPr>
          <w:rFonts w:ascii="Arial" w:hAnsi="Arial" w:cs="Arial"/>
          <w:sz w:val="28"/>
          <w:szCs w:val="28"/>
        </w:rPr>
        <w:lastRenderedPageBreak/>
        <w:t>specification gaps rapidly (</w:t>
      </w:r>
      <w:proofErr w:type="spellStart"/>
      <w:r w:rsidRPr="00FF1EE2">
        <w:rPr>
          <w:rFonts w:ascii="Arial" w:hAnsi="Arial" w:cs="Arial"/>
          <w:sz w:val="28"/>
          <w:szCs w:val="28"/>
        </w:rPr>
        <w:t>PhotoWorkout</w:t>
      </w:r>
      <w:proofErr w:type="spellEnd"/>
      <w:r w:rsidRPr="00FF1EE2">
        <w:rPr>
          <w:rFonts w:ascii="Arial" w:hAnsi="Arial" w:cs="Arial"/>
          <w:sz w:val="28"/>
          <w:szCs w:val="28"/>
        </w:rPr>
        <w:t>, 2026). Target: maintain firmware-update parity or leadership across the current Alpha range.</w:t>
      </w:r>
    </w:p>
    <w:p w14:paraId="12220E55"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Learning and growth should measure R&amp;D capability, AI and software skills, cross-business collaboration (with Sony Pictures, Sony Music and PlayStation) and creator-community insight. The four perspectives reinforce one another in the logic of Kaplan and Norton (1992): stronger sensor and AI skills support better products, better products support customer retention and lens attachment, retention supports premium revenue, and financial strength — underpinned by ¥1,447.5 billion group operating income (Sony Group Corporation, 2026) — funds the next R&amp;D cycle.</w:t>
      </w:r>
    </w:p>
    <w:p w14:paraId="3F8C7C9D" w14:textId="77777777" w:rsidR="00B633E7" w:rsidRPr="00FF1EE2" w:rsidRDefault="00000000">
      <w:pPr>
        <w:pStyle w:val="Heading1"/>
        <w:rPr>
          <w:rFonts w:ascii="Arial" w:hAnsi="Arial" w:cs="Arial"/>
          <w:sz w:val="36"/>
          <w:szCs w:val="36"/>
        </w:rPr>
      </w:pPr>
      <w:bookmarkStart w:id="12" w:name="_Toc237446166"/>
      <w:r w:rsidRPr="00FF1EE2">
        <w:rPr>
          <w:rFonts w:ascii="Arial" w:hAnsi="Arial" w:cs="Arial"/>
          <w:sz w:val="36"/>
          <w:szCs w:val="36"/>
        </w:rPr>
        <w:t>4. Strategic Choices and Implementation</w:t>
      </w:r>
      <w:bookmarkEnd w:id="12"/>
    </w:p>
    <w:p w14:paraId="0B95738C"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Sony should avoid competing primarily on price. This would erode the premium positioning that justifies its margin and would expose the camera business to competitors with far greater unit-volume scale, notably Canon at roughly 41% of global ILC shipments (</w:t>
      </w:r>
      <w:proofErr w:type="spellStart"/>
      <w:r w:rsidRPr="00FF1EE2">
        <w:rPr>
          <w:rFonts w:ascii="Arial" w:hAnsi="Arial" w:cs="Arial"/>
          <w:sz w:val="28"/>
          <w:szCs w:val="28"/>
        </w:rPr>
        <w:t>PhotoWorkout</w:t>
      </w:r>
      <w:proofErr w:type="spellEnd"/>
      <w:r w:rsidRPr="00FF1EE2">
        <w:rPr>
          <w:rFonts w:ascii="Arial" w:hAnsi="Arial" w:cs="Arial"/>
          <w:sz w:val="28"/>
          <w:szCs w:val="28"/>
        </w:rPr>
        <w:t>, 2026). The more defensible route is differentiation, reinforced by selective market penetration and ecosystem development.</w:t>
      </w:r>
    </w:p>
    <w:p w14:paraId="7F7E7389" w14:textId="77777777" w:rsidR="00B633E7" w:rsidRPr="00FF1EE2" w:rsidRDefault="00000000">
      <w:pPr>
        <w:pStyle w:val="Heading2"/>
        <w:spacing w:before="220" w:after="120"/>
        <w:rPr>
          <w:rFonts w:ascii="Arial" w:hAnsi="Arial" w:cs="Arial"/>
          <w:sz w:val="32"/>
          <w:szCs w:val="32"/>
        </w:rPr>
      </w:pPr>
      <w:bookmarkStart w:id="13" w:name="_Toc237446167"/>
      <w:r w:rsidRPr="00FF1EE2">
        <w:rPr>
          <w:rFonts w:ascii="Arial" w:hAnsi="Arial" w:cs="Arial"/>
          <w:sz w:val="32"/>
          <w:szCs w:val="32"/>
        </w:rPr>
        <w:t>4.1 Business-Level Strategy and Value Proposition</w:t>
      </w:r>
      <w:bookmarkEnd w:id="13"/>
    </w:p>
    <w:p w14:paraId="31233905"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Porter's (1980) generic strategies point to cost leadership, differentiation or focus. Sony's Alpha business is best understood as broad differentiation within the premium imaging market: it seeks superior technological performance rather than the lowest unit cost, consistent with Sony holding the higher-value share of a market where mirrorless bodies average $711 against $282 for DSLRs (CIPA, 2026).</w:t>
      </w:r>
    </w:p>
    <w:p w14:paraId="2F4F3E06"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The value proposition can be stated as: advanced imaging technology, proven through world-first innovations such as the Alpha 9 III's global-shutter sensor (Sony Electronics, 2023), that helps photographers and creators capture professional-quality photographs and video with speed, reliability and an expandable E-mount lens ecosystem. This proposition needs to become more accessible: it should translate technical specifications into practical outcomes for creators who are not engineers, directly answering the complexity weakness identified in the SWOT.</w:t>
      </w:r>
    </w:p>
    <w:p w14:paraId="0E0B316B"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lastRenderedPageBreak/>
        <w:t>Sony should therefore differentiate through the combination of image quality, autofocus, video, compact design, lens choice and creator workflow rather than any single specification. The principal risk, evident in Canon's and Nikon's recent bodies (</w:t>
      </w:r>
      <w:proofErr w:type="spellStart"/>
      <w:r w:rsidRPr="00FF1EE2">
        <w:rPr>
          <w:rFonts w:ascii="Arial" w:hAnsi="Arial" w:cs="Arial"/>
          <w:sz w:val="28"/>
          <w:szCs w:val="28"/>
        </w:rPr>
        <w:t>PhotoWorkout</w:t>
      </w:r>
      <w:proofErr w:type="spellEnd"/>
      <w:r w:rsidRPr="00FF1EE2">
        <w:rPr>
          <w:rFonts w:ascii="Arial" w:hAnsi="Arial" w:cs="Arial"/>
          <w:sz w:val="28"/>
          <w:szCs w:val="28"/>
        </w:rPr>
        <w:t>, 2026), is that individual features are increasingly copyable; Sony must therefore continually improve the overall system experience rather than relying on any one headline figure.</w:t>
      </w:r>
    </w:p>
    <w:p w14:paraId="5E73830D" w14:textId="77777777" w:rsidR="00B633E7" w:rsidRPr="00FF1EE2" w:rsidRDefault="00000000">
      <w:pPr>
        <w:pStyle w:val="Heading2"/>
        <w:spacing w:before="220" w:after="120"/>
        <w:rPr>
          <w:rFonts w:ascii="Arial" w:hAnsi="Arial" w:cs="Arial"/>
          <w:sz w:val="32"/>
          <w:szCs w:val="32"/>
        </w:rPr>
      </w:pPr>
      <w:bookmarkStart w:id="14" w:name="_Toc237446168"/>
      <w:r w:rsidRPr="00FF1EE2">
        <w:rPr>
          <w:rFonts w:ascii="Arial" w:hAnsi="Arial" w:cs="Arial"/>
          <w:sz w:val="32"/>
          <w:szCs w:val="32"/>
        </w:rPr>
        <w:t>4.2 Ansoff Matrix and Five Forces Validation</w:t>
      </w:r>
      <w:bookmarkEnd w:id="14"/>
    </w:p>
    <w:p w14:paraId="107777DF"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Market penetration should be Sony's primary Ansoff (1957) direction: increasing adoption among existing Japanese enthusiasts and creators through education, financing, trade-in programmes and creator communities carries low-to-moderate risk and directly leverages the VRIO advantage in sensor technology and ecosystem depth. Product development is the second priority — AI-assisted workflows, compact hybrid bodies and software features — supporting differentiation against Canon and Nikon's own rapid feature releases (</w:t>
      </w:r>
      <w:proofErr w:type="spellStart"/>
      <w:r w:rsidRPr="00FF1EE2">
        <w:rPr>
          <w:rFonts w:ascii="Arial" w:hAnsi="Arial" w:cs="Arial"/>
          <w:sz w:val="28"/>
          <w:szCs w:val="28"/>
        </w:rPr>
        <w:t>PhotoWorkout</w:t>
      </w:r>
      <w:proofErr w:type="spellEnd"/>
      <w:r w:rsidRPr="00FF1EE2">
        <w:rPr>
          <w:rFonts w:ascii="Arial" w:hAnsi="Arial" w:cs="Arial"/>
          <w:sz w:val="28"/>
          <w:szCs w:val="28"/>
        </w:rPr>
        <w:t>, 2026).</w:t>
      </w:r>
    </w:p>
    <w:p w14:paraId="523E59F0"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Market development should target new creator and professional-use segments within Japan rather than new geographies, since this report's brief is single-market. Diversification is highest risk and should remain limited to adjacent creator technologies where Sony's existing capabilities (Sony Pictures, Sony Music, PlayStation) already apply, avoiding unrelated diversification that Ansoff's own framework flags as the riskiest quadrant.</w:t>
      </w:r>
    </w:p>
    <w:p w14:paraId="3D0D214E"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Five Forces confirms the case for differentiation over price competition. Rivalry is high: Canon, Nikon, Fujifilm and Panasonic compete actively, and Nikon has already shown it can take the monthly Japan full-frame mirrorless lead with an aggressively priced model (Digital Camera World, 2025). Buyer power is significant, since consumers can compare specifications easily and switch brands, although E-mount lens investment reduces switching once a customer is inside the ecosystem. Supplier power is moderate: sensor and component supply is specialised, but Sony's own vertical sensor capability gives it unusual bargaining strength for a camera maker. Substitutes are high, principally smartphones, though CIPA data confirm dedicated cameras are recovering share for creator-oriented use (CIPA, 2026). New entrants face significant barriers in sensor design, optics, autofocus algorithms, brand </w:t>
      </w:r>
      <w:r w:rsidRPr="00FF1EE2">
        <w:rPr>
          <w:rFonts w:ascii="Arial" w:hAnsi="Arial" w:cs="Arial"/>
          <w:sz w:val="28"/>
          <w:szCs w:val="28"/>
        </w:rPr>
        <w:lastRenderedPageBreak/>
        <w:t>trust and lens ecosystems, keeping this force low-to-moderate. The strategic conclusion is that Sony should compete on technology and ecosystem value, not price, while treating its Japan lead as narrow enough to require active defence rather than passive assumption.</w:t>
      </w:r>
    </w:p>
    <w:p w14:paraId="3BC3945D" w14:textId="77777777" w:rsidR="00B633E7" w:rsidRPr="00FF1EE2" w:rsidRDefault="00000000">
      <w:pPr>
        <w:spacing w:before="200" w:after="60"/>
        <w:jc w:val="center"/>
        <w:rPr>
          <w:rFonts w:ascii="Arial" w:hAnsi="Arial" w:cs="Arial"/>
          <w:sz w:val="28"/>
          <w:szCs w:val="28"/>
        </w:rPr>
      </w:pPr>
      <w:r w:rsidRPr="00FF1EE2">
        <w:rPr>
          <w:rFonts w:ascii="Arial" w:hAnsi="Arial" w:cs="Arial"/>
          <w:noProof/>
          <w:sz w:val="28"/>
          <w:szCs w:val="28"/>
        </w:rPr>
        <w:drawing>
          <wp:inline distT="0" distB="0" distL="0" distR="0" wp14:anchorId="64EC9809" wp14:editId="63918DE0">
            <wp:extent cx="4762500" cy="2857500"/>
            <wp:effectExtent l="0" t="0" r="0" b="0"/>
            <wp:docPr id="180891147" name="Picture 18089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762500" cy="2857500"/>
                    </a:xfrm>
                    <a:prstGeom prst="rect">
                      <a:avLst/>
                    </a:prstGeom>
                  </pic:spPr>
                </pic:pic>
              </a:graphicData>
            </a:graphic>
          </wp:inline>
        </w:drawing>
      </w:r>
    </w:p>
    <w:p w14:paraId="591F8442" w14:textId="77777777" w:rsidR="00B633E7" w:rsidRPr="00FF1EE2" w:rsidRDefault="00000000">
      <w:pPr>
        <w:spacing w:before="60" w:after="240"/>
        <w:jc w:val="center"/>
        <w:rPr>
          <w:rFonts w:ascii="Arial" w:hAnsi="Arial" w:cs="Arial"/>
          <w:sz w:val="28"/>
          <w:szCs w:val="28"/>
        </w:rPr>
      </w:pPr>
      <w:r w:rsidRPr="00FF1EE2">
        <w:rPr>
          <w:rFonts w:ascii="Arial" w:hAnsi="Arial" w:cs="Arial"/>
          <w:i/>
          <w:iCs/>
        </w:rPr>
        <w:t>Figure 2: Porter's Five Forces intensity – Rivalry 8.5 High, Substitutes 8 High, Buyer Power 7 Moderate-High, Supplier Power 5.5 Moderate, New Entrants 3 Low</w:t>
      </w:r>
    </w:p>
    <w:p w14:paraId="2921B4F7" w14:textId="77777777" w:rsidR="00B633E7" w:rsidRPr="00FF1EE2" w:rsidRDefault="00000000">
      <w:pPr>
        <w:pStyle w:val="Heading2"/>
        <w:spacing w:before="220" w:after="120"/>
        <w:rPr>
          <w:rFonts w:ascii="Arial" w:hAnsi="Arial" w:cs="Arial"/>
          <w:sz w:val="32"/>
          <w:szCs w:val="32"/>
        </w:rPr>
      </w:pPr>
      <w:bookmarkStart w:id="15" w:name="_Toc237446169"/>
      <w:r w:rsidRPr="00FF1EE2">
        <w:rPr>
          <w:rFonts w:ascii="Arial" w:hAnsi="Arial" w:cs="Arial"/>
          <w:sz w:val="32"/>
          <w:szCs w:val="32"/>
        </w:rPr>
        <w:t>4.3 Strategic Recommendations</w:t>
      </w:r>
      <w:bookmarkEnd w:id="15"/>
    </w:p>
    <w:p w14:paraId="0D282B2B"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Recommendation 1 – Build a stronger creator ecosystem (market penetration, low risk). Sony should expand creator-focused workshops, online education, in-store demonstrations and partnerships with Japanese photographers, filmmakers and content creators, reducing the psychological barrier created by complex specifications. Theory: this converts the ecosystem VRIO advantage into realised switching-cost lock-in (Barney, 1991) rather than latent potential. Evidence: the market's own growth is concentrated among creator-oriented buyers rather than casual </w:t>
      </w:r>
      <w:proofErr w:type="spellStart"/>
      <w:r w:rsidRPr="00FF1EE2">
        <w:rPr>
          <w:rFonts w:ascii="Arial" w:hAnsi="Arial" w:cs="Arial"/>
          <w:sz w:val="28"/>
          <w:szCs w:val="28"/>
        </w:rPr>
        <w:t>snapshotters</w:t>
      </w:r>
      <w:proofErr w:type="spellEnd"/>
      <w:r w:rsidRPr="00FF1EE2">
        <w:rPr>
          <w:rFonts w:ascii="Arial" w:hAnsi="Arial" w:cs="Arial"/>
          <w:sz w:val="28"/>
          <w:szCs w:val="28"/>
        </w:rPr>
        <w:t xml:space="preserve"> (CIPA, 2026). KPI: reduction in </w:t>
      </w:r>
      <w:proofErr w:type="gramStart"/>
      <w:r w:rsidRPr="00FF1EE2">
        <w:rPr>
          <w:rFonts w:ascii="Arial" w:hAnsi="Arial" w:cs="Arial"/>
          <w:sz w:val="28"/>
          <w:szCs w:val="28"/>
        </w:rPr>
        <w:t>first-90</w:t>
      </w:r>
      <w:proofErr w:type="gramEnd"/>
      <w:r w:rsidRPr="00FF1EE2">
        <w:rPr>
          <w:rFonts w:ascii="Arial" w:hAnsi="Arial" w:cs="Arial"/>
          <w:sz w:val="28"/>
          <w:szCs w:val="28"/>
        </w:rPr>
        <w:t>-day abandonment among new-to-system buyers; growth in lens-attachment rate.</w:t>
      </w:r>
    </w:p>
    <w:p w14:paraId="590CD661"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Recommendation 2 – Make AI a practical creative feature, not a specification (product development, moderate risk). Sony should continue improving subject recognition, autofocus and computational functions, but communicate them through simple use cases (sports, wildlife, portraits, run-</w:t>
      </w:r>
      <w:r w:rsidRPr="00FF1EE2">
        <w:rPr>
          <w:rFonts w:ascii="Arial" w:hAnsi="Arial" w:cs="Arial"/>
          <w:sz w:val="28"/>
          <w:szCs w:val="28"/>
        </w:rPr>
        <w:lastRenderedPageBreak/>
        <w:t>and-gun video) rather than raw figures. Theory: converts a currently imitable resource (Section 2.2) into a defensible experience advantage through superior communication and integration, consistent with dynamic-capabilities logic (Teece et al., 1997). Evidence: 2025 was the year AI-driven computational photography moved decisively into professional bodies industry-wide (Capture, 2026), so the technology itself is necessary but no longer sufficient for differentiation. KPI: creator satisfaction and retention scores specific to AI-assisted features.</w:t>
      </w:r>
    </w:p>
    <w:p w14:paraId="5C892532"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Recommendation 3 – Strengthen the E-mount customer lifecycle (market penetration, low-to-moderate risk). Sony should introduce stronger trade-in, upgrade and lens-bundle programmes alongside clearer firmware and service communication, increasing switching costs ethically through genuine ecosystem value. Theory: protects and extends the temporary-to-sustained VRIO advantage identified in the ecosystem resource. Evidence: Sony's own ET&amp;S segment margin fell in the fiscal year ended March 2026 (Sony Group Corporation, 2026), making retained, repeat-purchasing customers more valuable than one-off body sales. KPI: repeat-purchase rate; average lenses per active Alpha user.</w:t>
      </w:r>
    </w:p>
    <w:p w14:paraId="1464E6D4"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Recommendation 4 – Develop a visible circular-camera strategy (moderate risk, higher feasibility complexity). Sony should expand repair, refurbishment, recycling and responsible-packaging initiatives, giving customers clear routes to trade in or recycle older equipment. Theory: operationalises the Road to Zero commitment (Sony Group Corporation, 2022) at product level, converting a corporate-level claim into camera-specific evidence, addressing the credibility gap flagged in Section 3.1. Evidence: durable, repairable products lower lifecycle cost and support the trust that underpins premium positioning. KPI: take-back and refurbishment volumes; repair turnaround time.</w:t>
      </w:r>
    </w:p>
    <w:p w14:paraId="7DF8098F"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Recommendation 5 – Use Sony's wider creative businesses more effectively (diversification-adjacent, higher risk, pilot first). Cross-business initiatives connecting Alpha cameras with Sony Pictures production technology, Sony Music and PlayStation content creation could create workflows no single-product competitor can offer. Theory: converts the 'Partly Organised' cross-</w:t>
      </w:r>
      <w:r w:rsidRPr="00FF1EE2">
        <w:rPr>
          <w:rFonts w:ascii="Arial" w:hAnsi="Arial" w:cs="Arial"/>
          <w:sz w:val="28"/>
          <w:szCs w:val="28"/>
        </w:rPr>
        <w:lastRenderedPageBreak/>
        <w:t>business resource in the VRIO matrix into a realised advantage. Evidence: this resource is currently under-exploited relative to its theoretical rarity. KPI: adoption of cross-business creator programmes; should be piloted before scaling, given genuine cooperation between Sony businesses cannot be assumed automatically.</w:t>
      </w:r>
    </w:p>
    <w:p w14:paraId="2F93BC25"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Together, these five recommendations create a reinforcing cycle: better education increases adoption (R1), practical AI increases satisfaction (R2), lifecycle programmes increase retention (R3), circularity protects trust and lowers cost (R4), and cross-business workflows extend differentiation beyond what Canon or Nikon can copy (R5) — with financial strength from group-level operating income (Sony Group Corporation, 2026) funding the cycle.</w:t>
      </w:r>
    </w:p>
    <w:p w14:paraId="51A5A165" w14:textId="77777777" w:rsidR="00B633E7" w:rsidRPr="00FF1EE2" w:rsidRDefault="00000000">
      <w:pPr>
        <w:pStyle w:val="Heading2"/>
        <w:spacing w:before="220" w:after="120"/>
        <w:rPr>
          <w:rFonts w:ascii="Arial" w:hAnsi="Arial" w:cs="Arial"/>
          <w:sz w:val="32"/>
          <w:szCs w:val="32"/>
        </w:rPr>
      </w:pPr>
      <w:bookmarkStart w:id="16" w:name="_Toc237446170"/>
      <w:r w:rsidRPr="00FF1EE2">
        <w:rPr>
          <w:rFonts w:ascii="Arial" w:hAnsi="Arial" w:cs="Arial"/>
          <w:sz w:val="32"/>
          <w:szCs w:val="32"/>
        </w:rPr>
        <w:t xml:space="preserve">4.4 </w:t>
      </w:r>
      <w:proofErr w:type="spellStart"/>
      <w:r w:rsidRPr="00FF1EE2">
        <w:rPr>
          <w:rFonts w:ascii="Arial" w:hAnsi="Arial" w:cs="Arial"/>
          <w:sz w:val="32"/>
          <w:szCs w:val="32"/>
        </w:rPr>
        <w:t>SAFe</w:t>
      </w:r>
      <w:proofErr w:type="spellEnd"/>
      <w:r w:rsidRPr="00FF1EE2">
        <w:rPr>
          <w:rFonts w:ascii="Arial" w:hAnsi="Arial" w:cs="Arial"/>
          <w:sz w:val="32"/>
          <w:szCs w:val="32"/>
        </w:rPr>
        <w:t xml:space="preserve"> Evaluation</w:t>
      </w:r>
      <w:bookmarkEnd w:id="16"/>
    </w:p>
    <w:p w14:paraId="5A2D843E"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Recommendation 1, creator ecosystem: Suitability high — smartphone substitution makes creator acquisition strategically necessary and directly addresses a PESTEL social driver. Acceptability positive for customers and shareholders if investment is tied to measurable adoption and retention KPIs. Feasibility high — Sony already has marketing infrastructure and dealer relationships in Japan.</w:t>
      </w:r>
    </w:p>
    <w:p w14:paraId="1F373596"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Recommendation 2, practical AI: Suitability high — technology is central to Sony's competitive position and its wider I&amp;SS sensor expertise (Sony Group Corporation, 2026). Acceptability depends on transparency and reliable performance rather than novelty. Feasibility high — Sony already develops the underlying sensor and processing technology in-house.</w:t>
      </w:r>
    </w:p>
    <w:p w14:paraId="240F8706"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Recommendation 3, E-mount lifecycle: Suitability high given falling ET&amp;S margin makes retained, repeat customers more valuable (Sony Group Corporation, 2026). Acceptability positive if trade-in economics are transparent and fair to customers. Feasibility high — programme design and pricing are within Sony's direct control.</w:t>
      </w:r>
    </w:p>
    <w:p w14:paraId="02BBA842"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Recommendation 4, circular-camera strategy: Suitability high given accelerating Road to Zero commitments (Sony Group Corporation, 2022). Acceptability likely positive, though refurbishment introduces real operational </w:t>
      </w:r>
      <w:r w:rsidRPr="00FF1EE2">
        <w:rPr>
          <w:rFonts w:ascii="Arial" w:hAnsi="Arial" w:cs="Arial"/>
          <w:sz w:val="28"/>
          <w:szCs w:val="28"/>
        </w:rPr>
        <w:lastRenderedPageBreak/>
        <w:t>cost. Feasibility moderate — requires coordination across distributors, authorised service centres and recycling partners rather than Sony acting alone.</w:t>
      </w:r>
    </w:p>
    <w:p w14:paraId="74328C7E"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Recommendation 5, cross-business initiatives: Suitability high in theory given Sony's unique breadth. Acceptability uncertain until piloted, since it depends on internal cooperation rather than customer demand alone. Feasibility low-to-moderate — cross-business coordination is organisationally harder than any single-business initiative, so this should remain a pilot rather than an immediate scale commitment.</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1800"/>
        <w:gridCol w:w="2200"/>
        <w:gridCol w:w="2200"/>
      </w:tblGrid>
      <w:tr w:rsidR="00B633E7" w:rsidRPr="00FF1EE2" w14:paraId="599ED250" w14:textId="77777777">
        <w:trPr>
          <w:tblHeader/>
        </w:trPr>
        <w:tc>
          <w:tcPr>
            <w:tcW w:w="3600" w:type="dxa"/>
            <w:shd w:val="clear" w:color="auto" w:fill="D9E2F3"/>
            <w:vAlign w:val="center"/>
          </w:tcPr>
          <w:p w14:paraId="5244B789" w14:textId="77777777" w:rsidR="00B633E7" w:rsidRPr="00FF1EE2" w:rsidRDefault="00000000">
            <w:pPr>
              <w:rPr>
                <w:rFonts w:ascii="Arial" w:hAnsi="Arial" w:cs="Arial"/>
                <w:sz w:val="28"/>
                <w:szCs w:val="28"/>
              </w:rPr>
            </w:pPr>
            <w:r w:rsidRPr="00FF1EE2">
              <w:rPr>
                <w:rFonts w:ascii="Arial" w:hAnsi="Arial" w:cs="Arial"/>
                <w:b/>
                <w:bCs/>
              </w:rPr>
              <w:t>Recommendation</w:t>
            </w:r>
          </w:p>
        </w:tc>
        <w:tc>
          <w:tcPr>
            <w:tcW w:w="1800" w:type="dxa"/>
            <w:shd w:val="clear" w:color="auto" w:fill="D9E2F3"/>
            <w:vAlign w:val="center"/>
          </w:tcPr>
          <w:p w14:paraId="3141D39E" w14:textId="77777777" w:rsidR="00B633E7" w:rsidRPr="00FF1EE2" w:rsidRDefault="00000000">
            <w:pPr>
              <w:rPr>
                <w:rFonts w:ascii="Arial" w:hAnsi="Arial" w:cs="Arial"/>
                <w:sz w:val="28"/>
                <w:szCs w:val="28"/>
              </w:rPr>
            </w:pPr>
            <w:r w:rsidRPr="00FF1EE2">
              <w:rPr>
                <w:rFonts w:ascii="Arial" w:hAnsi="Arial" w:cs="Arial"/>
                <w:b/>
                <w:bCs/>
              </w:rPr>
              <w:t>Suitability</w:t>
            </w:r>
          </w:p>
        </w:tc>
        <w:tc>
          <w:tcPr>
            <w:tcW w:w="2200" w:type="dxa"/>
            <w:shd w:val="clear" w:color="auto" w:fill="D9E2F3"/>
            <w:vAlign w:val="center"/>
          </w:tcPr>
          <w:p w14:paraId="45602DDD" w14:textId="77777777" w:rsidR="00B633E7" w:rsidRPr="00FF1EE2" w:rsidRDefault="00000000">
            <w:pPr>
              <w:rPr>
                <w:rFonts w:ascii="Arial" w:hAnsi="Arial" w:cs="Arial"/>
                <w:sz w:val="28"/>
                <w:szCs w:val="28"/>
              </w:rPr>
            </w:pPr>
            <w:r w:rsidRPr="00FF1EE2">
              <w:rPr>
                <w:rFonts w:ascii="Arial" w:hAnsi="Arial" w:cs="Arial"/>
                <w:b/>
                <w:bCs/>
              </w:rPr>
              <w:t>Acceptability</w:t>
            </w:r>
          </w:p>
        </w:tc>
        <w:tc>
          <w:tcPr>
            <w:tcW w:w="2200" w:type="dxa"/>
            <w:shd w:val="clear" w:color="auto" w:fill="D9E2F3"/>
            <w:vAlign w:val="center"/>
          </w:tcPr>
          <w:p w14:paraId="15CC4C7B" w14:textId="77777777" w:rsidR="00B633E7" w:rsidRPr="00FF1EE2" w:rsidRDefault="00000000">
            <w:pPr>
              <w:rPr>
                <w:rFonts w:ascii="Arial" w:hAnsi="Arial" w:cs="Arial"/>
                <w:sz w:val="28"/>
                <w:szCs w:val="28"/>
              </w:rPr>
            </w:pPr>
            <w:r w:rsidRPr="00FF1EE2">
              <w:rPr>
                <w:rFonts w:ascii="Arial" w:hAnsi="Arial" w:cs="Arial"/>
                <w:b/>
                <w:bCs/>
              </w:rPr>
              <w:t>Feasibility</w:t>
            </w:r>
          </w:p>
        </w:tc>
      </w:tr>
      <w:tr w:rsidR="00B633E7" w:rsidRPr="00FF1EE2" w14:paraId="254D4AAB" w14:textId="77777777">
        <w:tc>
          <w:tcPr>
            <w:tcW w:w="3600" w:type="dxa"/>
            <w:vAlign w:val="center"/>
          </w:tcPr>
          <w:p w14:paraId="3CF739C7" w14:textId="77777777" w:rsidR="00B633E7" w:rsidRPr="00FF1EE2" w:rsidRDefault="00000000">
            <w:pPr>
              <w:rPr>
                <w:rFonts w:ascii="Arial" w:hAnsi="Arial" w:cs="Arial"/>
                <w:sz w:val="28"/>
                <w:szCs w:val="28"/>
              </w:rPr>
            </w:pPr>
            <w:r w:rsidRPr="00FF1EE2">
              <w:rPr>
                <w:rFonts w:ascii="Arial" w:hAnsi="Arial" w:cs="Arial"/>
              </w:rPr>
              <w:t>R1 Creator ecosystem</w:t>
            </w:r>
          </w:p>
        </w:tc>
        <w:tc>
          <w:tcPr>
            <w:tcW w:w="1800" w:type="dxa"/>
            <w:vAlign w:val="center"/>
          </w:tcPr>
          <w:p w14:paraId="737064A7" w14:textId="77777777" w:rsidR="00B633E7" w:rsidRPr="00FF1EE2" w:rsidRDefault="00000000">
            <w:pPr>
              <w:rPr>
                <w:rFonts w:ascii="Arial" w:hAnsi="Arial" w:cs="Arial"/>
                <w:sz w:val="28"/>
                <w:szCs w:val="28"/>
              </w:rPr>
            </w:pPr>
            <w:r w:rsidRPr="00FF1EE2">
              <w:rPr>
                <w:rFonts w:ascii="Arial" w:hAnsi="Arial" w:cs="Arial"/>
              </w:rPr>
              <w:t>High</w:t>
            </w:r>
          </w:p>
        </w:tc>
        <w:tc>
          <w:tcPr>
            <w:tcW w:w="2200" w:type="dxa"/>
            <w:vAlign w:val="center"/>
          </w:tcPr>
          <w:p w14:paraId="39D240F2" w14:textId="77777777" w:rsidR="00B633E7" w:rsidRPr="00FF1EE2" w:rsidRDefault="00000000">
            <w:pPr>
              <w:rPr>
                <w:rFonts w:ascii="Arial" w:hAnsi="Arial" w:cs="Arial"/>
                <w:sz w:val="28"/>
                <w:szCs w:val="28"/>
              </w:rPr>
            </w:pPr>
            <w:r w:rsidRPr="00FF1EE2">
              <w:rPr>
                <w:rFonts w:ascii="Arial" w:hAnsi="Arial" w:cs="Arial"/>
              </w:rPr>
              <w:t>High</w:t>
            </w:r>
          </w:p>
        </w:tc>
        <w:tc>
          <w:tcPr>
            <w:tcW w:w="2200" w:type="dxa"/>
            <w:vAlign w:val="center"/>
          </w:tcPr>
          <w:p w14:paraId="52125B81" w14:textId="77777777" w:rsidR="00B633E7" w:rsidRPr="00FF1EE2" w:rsidRDefault="00000000">
            <w:pPr>
              <w:rPr>
                <w:rFonts w:ascii="Arial" w:hAnsi="Arial" w:cs="Arial"/>
                <w:sz w:val="28"/>
                <w:szCs w:val="28"/>
              </w:rPr>
            </w:pPr>
            <w:r w:rsidRPr="00FF1EE2">
              <w:rPr>
                <w:rFonts w:ascii="Arial" w:hAnsi="Arial" w:cs="Arial"/>
              </w:rPr>
              <w:t>High</w:t>
            </w:r>
          </w:p>
        </w:tc>
      </w:tr>
      <w:tr w:rsidR="00B633E7" w:rsidRPr="00FF1EE2" w14:paraId="30A17B76" w14:textId="77777777">
        <w:tc>
          <w:tcPr>
            <w:tcW w:w="3600" w:type="dxa"/>
            <w:vAlign w:val="center"/>
          </w:tcPr>
          <w:p w14:paraId="21363DB1" w14:textId="77777777" w:rsidR="00B633E7" w:rsidRPr="00FF1EE2" w:rsidRDefault="00000000">
            <w:pPr>
              <w:rPr>
                <w:rFonts w:ascii="Arial" w:hAnsi="Arial" w:cs="Arial"/>
                <w:sz w:val="28"/>
                <w:szCs w:val="28"/>
              </w:rPr>
            </w:pPr>
            <w:r w:rsidRPr="00FF1EE2">
              <w:rPr>
                <w:rFonts w:ascii="Arial" w:hAnsi="Arial" w:cs="Arial"/>
              </w:rPr>
              <w:t>R2 Practical AI</w:t>
            </w:r>
          </w:p>
        </w:tc>
        <w:tc>
          <w:tcPr>
            <w:tcW w:w="1800" w:type="dxa"/>
            <w:vAlign w:val="center"/>
          </w:tcPr>
          <w:p w14:paraId="38E9724A" w14:textId="77777777" w:rsidR="00B633E7" w:rsidRPr="00FF1EE2" w:rsidRDefault="00000000">
            <w:pPr>
              <w:rPr>
                <w:rFonts w:ascii="Arial" w:hAnsi="Arial" w:cs="Arial"/>
                <w:sz w:val="28"/>
                <w:szCs w:val="28"/>
              </w:rPr>
            </w:pPr>
            <w:r w:rsidRPr="00FF1EE2">
              <w:rPr>
                <w:rFonts w:ascii="Arial" w:hAnsi="Arial" w:cs="Arial"/>
              </w:rPr>
              <w:t>High</w:t>
            </w:r>
          </w:p>
        </w:tc>
        <w:tc>
          <w:tcPr>
            <w:tcW w:w="2200" w:type="dxa"/>
            <w:vAlign w:val="center"/>
          </w:tcPr>
          <w:p w14:paraId="6ED24331" w14:textId="77777777" w:rsidR="00B633E7" w:rsidRPr="00FF1EE2" w:rsidRDefault="00000000">
            <w:pPr>
              <w:rPr>
                <w:rFonts w:ascii="Arial" w:hAnsi="Arial" w:cs="Arial"/>
                <w:sz w:val="28"/>
                <w:szCs w:val="28"/>
              </w:rPr>
            </w:pPr>
            <w:r w:rsidRPr="00FF1EE2">
              <w:rPr>
                <w:rFonts w:ascii="Arial" w:hAnsi="Arial" w:cs="Arial"/>
              </w:rPr>
              <w:t>Moderate-High</w:t>
            </w:r>
          </w:p>
        </w:tc>
        <w:tc>
          <w:tcPr>
            <w:tcW w:w="2200" w:type="dxa"/>
            <w:vAlign w:val="center"/>
          </w:tcPr>
          <w:p w14:paraId="1368A57E" w14:textId="77777777" w:rsidR="00B633E7" w:rsidRPr="00FF1EE2" w:rsidRDefault="00000000">
            <w:pPr>
              <w:rPr>
                <w:rFonts w:ascii="Arial" w:hAnsi="Arial" w:cs="Arial"/>
                <w:sz w:val="28"/>
                <w:szCs w:val="28"/>
              </w:rPr>
            </w:pPr>
            <w:r w:rsidRPr="00FF1EE2">
              <w:rPr>
                <w:rFonts w:ascii="Arial" w:hAnsi="Arial" w:cs="Arial"/>
              </w:rPr>
              <w:t>High</w:t>
            </w:r>
          </w:p>
        </w:tc>
      </w:tr>
      <w:tr w:rsidR="00B633E7" w:rsidRPr="00FF1EE2" w14:paraId="47769BBA" w14:textId="77777777">
        <w:tc>
          <w:tcPr>
            <w:tcW w:w="3600" w:type="dxa"/>
            <w:vAlign w:val="center"/>
          </w:tcPr>
          <w:p w14:paraId="3E0A298C" w14:textId="77777777" w:rsidR="00B633E7" w:rsidRPr="00FF1EE2" w:rsidRDefault="00000000">
            <w:pPr>
              <w:rPr>
                <w:rFonts w:ascii="Arial" w:hAnsi="Arial" w:cs="Arial"/>
                <w:sz w:val="28"/>
                <w:szCs w:val="28"/>
              </w:rPr>
            </w:pPr>
            <w:r w:rsidRPr="00FF1EE2">
              <w:rPr>
                <w:rFonts w:ascii="Arial" w:hAnsi="Arial" w:cs="Arial"/>
              </w:rPr>
              <w:t>R3 E-mount lifecycle</w:t>
            </w:r>
          </w:p>
        </w:tc>
        <w:tc>
          <w:tcPr>
            <w:tcW w:w="1800" w:type="dxa"/>
            <w:vAlign w:val="center"/>
          </w:tcPr>
          <w:p w14:paraId="26E8A4DF" w14:textId="77777777" w:rsidR="00B633E7" w:rsidRPr="00FF1EE2" w:rsidRDefault="00000000">
            <w:pPr>
              <w:rPr>
                <w:rFonts w:ascii="Arial" w:hAnsi="Arial" w:cs="Arial"/>
                <w:sz w:val="28"/>
                <w:szCs w:val="28"/>
              </w:rPr>
            </w:pPr>
            <w:r w:rsidRPr="00FF1EE2">
              <w:rPr>
                <w:rFonts w:ascii="Arial" w:hAnsi="Arial" w:cs="Arial"/>
              </w:rPr>
              <w:t>High</w:t>
            </w:r>
          </w:p>
        </w:tc>
        <w:tc>
          <w:tcPr>
            <w:tcW w:w="2200" w:type="dxa"/>
            <w:vAlign w:val="center"/>
          </w:tcPr>
          <w:p w14:paraId="4609BDA7" w14:textId="77777777" w:rsidR="00B633E7" w:rsidRPr="00FF1EE2" w:rsidRDefault="00000000">
            <w:pPr>
              <w:rPr>
                <w:rFonts w:ascii="Arial" w:hAnsi="Arial" w:cs="Arial"/>
                <w:sz w:val="28"/>
                <w:szCs w:val="28"/>
              </w:rPr>
            </w:pPr>
            <w:r w:rsidRPr="00FF1EE2">
              <w:rPr>
                <w:rFonts w:ascii="Arial" w:hAnsi="Arial" w:cs="Arial"/>
              </w:rPr>
              <w:t>High</w:t>
            </w:r>
          </w:p>
        </w:tc>
        <w:tc>
          <w:tcPr>
            <w:tcW w:w="2200" w:type="dxa"/>
            <w:vAlign w:val="center"/>
          </w:tcPr>
          <w:p w14:paraId="7EBD83CF" w14:textId="77777777" w:rsidR="00B633E7" w:rsidRPr="00FF1EE2" w:rsidRDefault="00000000">
            <w:pPr>
              <w:rPr>
                <w:rFonts w:ascii="Arial" w:hAnsi="Arial" w:cs="Arial"/>
                <w:sz w:val="28"/>
                <w:szCs w:val="28"/>
              </w:rPr>
            </w:pPr>
            <w:r w:rsidRPr="00FF1EE2">
              <w:rPr>
                <w:rFonts w:ascii="Arial" w:hAnsi="Arial" w:cs="Arial"/>
              </w:rPr>
              <w:t>High</w:t>
            </w:r>
          </w:p>
        </w:tc>
      </w:tr>
      <w:tr w:rsidR="00B633E7" w:rsidRPr="00FF1EE2" w14:paraId="0A700A35" w14:textId="77777777">
        <w:tc>
          <w:tcPr>
            <w:tcW w:w="3600" w:type="dxa"/>
            <w:vAlign w:val="center"/>
          </w:tcPr>
          <w:p w14:paraId="2C410E41" w14:textId="77777777" w:rsidR="00B633E7" w:rsidRPr="00FF1EE2" w:rsidRDefault="00000000">
            <w:pPr>
              <w:rPr>
                <w:rFonts w:ascii="Arial" w:hAnsi="Arial" w:cs="Arial"/>
                <w:sz w:val="28"/>
                <w:szCs w:val="28"/>
              </w:rPr>
            </w:pPr>
            <w:r w:rsidRPr="00FF1EE2">
              <w:rPr>
                <w:rFonts w:ascii="Arial" w:hAnsi="Arial" w:cs="Arial"/>
              </w:rPr>
              <w:t>R4 Circular-camera strategy</w:t>
            </w:r>
          </w:p>
        </w:tc>
        <w:tc>
          <w:tcPr>
            <w:tcW w:w="1800" w:type="dxa"/>
            <w:vAlign w:val="center"/>
          </w:tcPr>
          <w:p w14:paraId="56CCABBA" w14:textId="77777777" w:rsidR="00B633E7" w:rsidRPr="00FF1EE2" w:rsidRDefault="00000000">
            <w:pPr>
              <w:rPr>
                <w:rFonts w:ascii="Arial" w:hAnsi="Arial" w:cs="Arial"/>
                <w:sz w:val="28"/>
                <w:szCs w:val="28"/>
              </w:rPr>
            </w:pPr>
            <w:r w:rsidRPr="00FF1EE2">
              <w:rPr>
                <w:rFonts w:ascii="Arial" w:hAnsi="Arial" w:cs="Arial"/>
              </w:rPr>
              <w:t>High</w:t>
            </w:r>
          </w:p>
        </w:tc>
        <w:tc>
          <w:tcPr>
            <w:tcW w:w="2200" w:type="dxa"/>
            <w:vAlign w:val="center"/>
          </w:tcPr>
          <w:p w14:paraId="04E4EFCA" w14:textId="77777777" w:rsidR="00B633E7" w:rsidRPr="00FF1EE2" w:rsidRDefault="00000000">
            <w:pPr>
              <w:rPr>
                <w:rFonts w:ascii="Arial" w:hAnsi="Arial" w:cs="Arial"/>
                <w:sz w:val="28"/>
                <w:szCs w:val="28"/>
              </w:rPr>
            </w:pPr>
            <w:r w:rsidRPr="00FF1EE2">
              <w:rPr>
                <w:rFonts w:ascii="Arial" w:hAnsi="Arial" w:cs="Arial"/>
              </w:rPr>
              <w:t>Moderate</w:t>
            </w:r>
          </w:p>
        </w:tc>
        <w:tc>
          <w:tcPr>
            <w:tcW w:w="2200" w:type="dxa"/>
            <w:vAlign w:val="center"/>
          </w:tcPr>
          <w:p w14:paraId="5DCFDD77" w14:textId="77777777" w:rsidR="00B633E7" w:rsidRPr="00FF1EE2" w:rsidRDefault="00000000">
            <w:pPr>
              <w:rPr>
                <w:rFonts w:ascii="Arial" w:hAnsi="Arial" w:cs="Arial"/>
                <w:sz w:val="28"/>
                <w:szCs w:val="28"/>
              </w:rPr>
            </w:pPr>
            <w:r w:rsidRPr="00FF1EE2">
              <w:rPr>
                <w:rFonts w:ascii="Arial" w:hAnsi="Arial" w:cs="Arial"/>
              </w:rPr>
              <w:t>Moderate</w:t>
            </w:r>
          </w:p>
        </w:tc>
      </w:tr>
      <w:tr w:rsidR="00B633E7" w:rsidRPr="00FF1EE2" w14:paraId="6019151A" w14:textId="77777777">
        <w:tc>
          <w:tcPr>
            <w:tcW w:w="3600" w:type="dxa"/>
            <w:vAlign w:val="center"/>
          </w:tcPr>
          <w:p w14:paraId="07443CEB" w14:textId="77777777" w:rsidR="00B633E7" w:rsidRPr="00FF1EE2" w:rsidRDefault="00000000">
            <w:pPr>
              <w:rPr>
                <w:rFonts w:ascii="Arial" w:hAnsi="Arial" w:cs="Arial"/>
                <w:sz w:val="28"/>
                <w:szCs w:val="28"/>
              </w:rPr>
            </w:pPr>
            <w:r w:rsidRPr="00FF1EE2">
              <w:rPr>
                <w:rFonts w:ascii="Arial" w:hAnsi="Arial" w:cs="Arial"/>
              </w:rPr>
              <w:t>R5 Cross-business creator initiatives</w:t>
            </w:r>
          </w:p>
        </w:tc>
        <w:tc>
          <w:tcPr>
            <w:tcW w:w="1800" w:type="dxa"/>
            <w:vAlign w:val="center"/>
          </w:tcPr>
          <w:p w14:paraId="5FE1B68C" w14:textId="77777777" w:rsidR="00B633E7" w:rsidRPr="00FF1EE2" w:rsidRDefault="00000000">
            <w:pPr>
              <w:rPr>
                <w:rFonts w:ascii="Arial" w:hAnsi="Arial" w:cs="Arial"/>
                <w:sz w:val="28"/>
                <w:szCs w:val="28"/>
              </w:rPr>
            </w:pPr>
            <w:r w:rsidRPr="00FF1EE2">
              <w:rPr>
                <w:rFonts w:ascii="Arial" w:hAnsi="Arial" w:cs="Arial"/>
              </w:rPr>
              <w:t>High</w:t>
            </w:r>
          </w:p>
        </w:tc>
        <w:tc>
          <w:tcPr>
            <w:tcW w:w="2200" w:type="dxa"/>
            <w:vAlign w:val="center"/>
          </w:tcPr>
          <w:p w14:paraId="7124F505" w14:textId="77777777" w:rsidR="00B633E7" w:rsidRPr="00FF1EE2" w:rsidRDefault="00000000">
            <w:pPr>
              <w:rPr>
                <w:rFonts w:ascii="Arial" w:hAnsi="Arial" w:cs="Arial"/>
                <w:sz w:val="28"/>
                <w:szCs w:val="28"/>
              </w:rPr>
            </w:pPr>
            <w:r w:rsidRPr="00FF1EE2">
              <w:rPr>
                <w:rFonts w:ascii="Arial" w:hAnsi="Arial" w:cs="Arial"/>
              </w:rPr>
              <w:t>Uncertain / pilot</w:t>
            </w:r>
          </w:p>
        </w:tc>
        <w:tc>
          <w:tcPr>
            <w:tcW w:w="2200" w:type="dxa"/>
            <w:vAlign w:val="center"/>
          </w:tcPr>
          <w:p w14:paraId="31D8AAB1" w14:textId="77777777" w:rsidR="00B633E7" w:rsidRPr="00FF1EE2" w:rsidRDefault="00000000">
            <w:pPr>
              <w:rPr>
                <w:rFonts w:ascii="Arial" w:hAnsi="Arial" w:cs="Arial"/>
                <w:sz w:val="28"/>
                <w:szCs w:val="28"/>
              </w:rPr>
            </w:pPr>
            <w:r w:rsidRPr="00FF1EE2">
              <w:rPr>
                <w:rFonts w:ascii="Arial" w:hAnsi="Arial" w:cs="Arial"/>
              </w:rPr>
              <w:t>Low-Moderate</w:t>
            </w:r>
          </w:p>
        </w:tc>
      </w:tr>
    </w:tbl>
    <w:p w14:paraId="3D4B6741" w14:textId="77777777" w:rsidR="00B633E7" w:rsidRPr="00FF1EE2" w:rsidRDefault="00000000">
      <w:pPr>
        <w:spacing w:before="60" w:after="240"/>
        <w:jc w:val="center"/>
        <w:rPr>
          <w:rFonts w:ascii="Arial" w:hAnsi="Arial" w:cs="Arial"/>
          <w:sz w:val="28"/>
          <w:szCs w:val="28"/>
        </w:rPr>
      </w:pPr>
      <w:r w:rsidRPr="00FF1EE2">
        <w:rPr>
          <w:rFonts w:ascii="Arial" w:hAnsi="Arial" w:cs="Arial"/>
          <w:i/>
          <w:iCs/>
        </w:rPr>
        <w:t xml:space="preserve">Table 3: </w:t>
      </w:r>
      <w:proofErr w:type="spellStart"/>
      <w:r w:rsidRPr="00FF1EE2">
        <w:rPr>
          <w:rFonts w:ascii="Arial" w:hAnsi="Arial" w:cs="Arial"/>
          <w:i/>
          <w:iCs/>
        </w:rPr>
        <w:t>SAFe</w:t>
      </w:r>
      <w:proofErr w:type="spellEnd"/>
      <w:r w:rsidRPr="00FF1EE2">
        <w:rPr>
          <w:rFonts w:ascii="Arial" w:hAnsi="Arial" w:cs="Arial"/>
          <w:i/>
          <w:iCs/>
        </w:rPr>
        <w:t xml:space="preserve"> summary (Johnson et al., 2020) (full evaluation in Appendix H)</w:t>
      </w:r>
    </w:p>
    <w:p w14:paraId="10C4F62B" w14:textId="77777777" w:rsidR="00B633E7" w:rsidRPr="00FF1EE2" w:rsidRDefault="00000000">
      <w:pPr>
        <w:pStyle w:val="Heading2"/>
        <w:spacing w:before="220" w:after="120"/>
        <w:rPr>
          <w:rFonts w:ascii="Arial" w:hAnsi="Arial" w:cs="Arial"/>
          <w:sz w:val="32"/>
          <w:szCs w:val="32"/>
        </w:rPr>
      </w:pPr>
      <w:bookmarkStart w:id="17" w:name="_Toc237446171"/>
      <w:r w:rsidRPr="00FF1EE2">
        <w:rPr>
          <w:rFonts w:ascii="Arial" w:hAnsi="Arial" w:cs="Arial"/>
          <w:sz w:val="32"/>
          <w:szCs w:val="32"/>
        </w:rPr>
        <w:t>4.5 Implementation Challenges and Mitigation</w:t>
      </w:r>
      <w:bookmarkEnd w:id="17"/>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4400"/>
        <w:gridCol w:w="3000"/>
      </w:tblGrid>
      <w:tr w:rsidR="00B633E7" w:rsidRPr="00FF1EE2" w14:paraId="3EA0E2C2" w14:textId="77777777">
        <w:trPr>
          <w:tblHeader/>
        </w:trPr>
        <w:tc>
          <w:tcPr>
            <w:tcW w:w="2400" w:type="dxa"/>
            <w:shd w:val="clear" w:color="auto" w:fill="D9E2F3"/>
            <w:vAlign w:val="center"/>
          </w:tcPr>
          <w:p w14:paraId="6F248305" w14:textId="77777777" w:rsidR="00B633E7" w:rsidRPr="00FF1EE2" w:rsidRDefault="00000000">
            <w:pPr>
              <w:rPr>
                <w:rFonts w:ascii="Arial" w:hAnsi="Arial" w:cs="Arial"/>
                <w:sz w:val="28"/>
                <w:szCs w:val="28"/>
              </w:rPr>
            </w:pPr>
            <w:r w:rsidRPr="00FF1EE2">
              <w:rPr>
                <w:rFonts w:ascii="Arial" w:hAnsi="Arial" w:cs="Arial"/>
                <w:b/>
                <w:bCs/>
              </w:rPr>
              <w:t>Challenge</w:t>
            </w:r>
          </w:p>
        </w:tc>
        <w:tc>
          <w:tcPr>
            <w:tcW w:w="4400" w:type="dxa"/>
            <w:shd w:val="clear" w:color="auto" w:fill="D9E2F3"/>
            <w:vAlign w:val="center"/>
          </w:tcPr>
          <w:p w14:paraId="66C347E2" w14:textId="77777777" w:rsidR="00B633E7" w:rsidRPr="00FF1EE2" w:rsidRDefault="00000000">
            <w:pPr>
              <w:rPr>
                <w:rFonts w:ascii="Arial" w:hAnsi="Arial" w:cs="Arial"/>
                <w:sz w:val="28"/>
                <w:szCs w:val="28"/>
              </w:rPr>
            </w:pPr>
            <w:r w:rsidRPr="00FF1EE2">
              <w:rPr>
                <w:rFonts w:ascii="Arial" w:hAnsi="Arial" w:cs="Arial"/>
                <w:b/>
                <w:bCs/>
              </w:rPr>
              <w:t>Description</w:t>
            </w:r>
          </w:p>
        </w:tc>
        <w:tc>
          <w:tcPr>
            <w:tcW w:w="3000" w:type="dxa"/>
            <w:shd w:val="clear" w:color="auto" w:fill="D9E2F3"/>
            <w:vAlign w:val="center"/>
          </w:tcPr>
          <w:p w14:paraId="6CA986AF" w14:textId="77777777" w:rsidR="00B633E7" w:rsidRPr="00FF1EE2" w:rsidRDefault="00000000">
            <w:pPr>
              <w:rPr>
                <w:rFonts w:ascii="Arial" w:hAnsi="Arial" w:cs="Arial"/>
                <w:sz w:val="28"/>
                <w:szCs w:val="28"/>
              </w:rPr>
            </w:pPr>
            <w:r w:rsidRPr="00FF1EE2">
              <w:rPr>
                <w:rFonts w:ascii="Arial" w:hAnsi="Arial" w:cs="Arial"/>
                <w:b/>
                <w:bCs/>
              </w:rPr>
              <w:t>Mitigation</w:t>
            </w:r>
          </w:p>
        </w:tc>
      </w:tr>
      <w:tr w:rsidR="00B633E7" w:rsidRPr="00FF1EE2" w14:paraId="473A3B71" w14:textId="77777777">
        <w:tc>
          <w:tcPr>
            <w:tcW w:w="2400" w:type="dxa"/>
            <w:vAlign w:val="center"/>
          </w:tcPr>
          <w:p w14:paraId="3D27F7A1" w14:textId="77777777" w:rsidR="00B633E7" w:rsidRPr="00FF1EE2" w:rsidRDefault="00000000">
            <w:pPr>
              <w:rPr>
                <w:rFonts w:ascii="Arial" w:hAnsi="Arial" w:cs="Arial"/>
                <w:sz w:val="28"/>
                <w:szCs w:val="28"/>
              </w:rPr>
            </w:pPr>
            <w:r w:rsidRPr="00FF1EE2">
              <w:rPr>
                <w:rFonts w:ascii="Arial" w:hAnsi="Arial" w:cs="Arial"/>
              </w:rPr>
              <w:t>Technological imitation</w:t>
            </w:r>
          </w:p>
        </w:tc>
        <w:tc>
          <w:tcPr>
            <w:tcW w:w="4400" w:type="dxa"/>
            <w:vAlign w:val="center"/>
          </w:tcPr>
          <w:p w14:paraId="4153BC72" w14:textId="77777777" w:rsidR="00B633E7" w:rsidRPr="00FF1EE2" w:rsidRDefault="00000000">
            <w:pPr>
              <w:rPr>
                <w:rFonts w:ascii="Arial" w:hAnsi="Arial" w:cs="Arial"/>
                <w:sz w:val="28"/>
                <w:szCs w:val="28"/>
              </w:rPr>
            </w:pPr>
            <w:r w:rsidRPr="00FF1EE2">
              <w:rPr>
                <w:rFonts w:ascii="Arial" w:hAnsi="Arial" w:cs="Arial"/>
              </w:rPr>
              <w:t>Canon and Nikon are closing specific specification gaps rapidly (</w:t>
            </w:r>
            <w:proofErr w:type="spellStart"/>
            <w:r w:rsidRPr="00FF1EE2">
              <w:rPr>
                <w:rFonts w:ascii="Arial" w:hAnsi="Arial" w:cs="Arial"/>
              </w:rPr>
              <w:t>PhotoWorkout</w:t>
            </w:r>
            <w:proofErr w:type="spellEnd"/>
            <w:r w:rsidRPr="00FF1EE2">
              <w:rPr>
                <w:rFonts w:ascii="Arial" w:hAnsi="Arial" w:cs="Arial"/>
              </w:rPr>
              <w:t>, 2026)</w:t>
            </w:r>
          </w:p>
        </w:tc>
        <w:tc>
          <w:tcPr>
            <w:tcW w:w="3000" w:type="dxa"/>
            <w:vAlign w:val="center"/>
          </w:tcPr>
          <w:p w14:paraId="44713CE7" w14:textId="77777777" w:rsidR="00B633E7" w:rsidRPr="00FF1EE2" w:rsidRDefault="00000000">
            <w:pPr>
              <w:rPr>
                <w:rFonts w:ascii="Arial" w:hAnsi="Arial" w:cs="Arial"/>
                <w:sz w:val="28"/>
                <w:szCs w:val="28"/>
              </w:rPr>
            </w:pPr>
            <w:r w:rsidRPr="00FF1EE2">
              <w:rPr>
                <w:rFonts w:ascii="Arial" w:hAnsi="Arial" w:cs="Arial"/>
              </w:rPr>
              <w:t>Continuous R&amp;D cycle; focus on integrated experience, not single specifications</w:t>
            </w:r>
          </w:p>
        </w:tc>
      </w:tr>
      <w:tr w:rsidR="00B633E7" w:rsidRPr="00FF1EE2" w14:paraId="61AB4C1F" w14:textId="77777777">
        <w:tc>
          <w:tcPr>
            <w:tcW w:w="2400" w:type="dxa"/>
            <w:vAlign w:val="center"/>
          </w:tcPr>
          <w:p w14:paraId="20072981" w14:textId="77777777" w:rsidR="00B633E7" w:rsidRPr="00FF1EE2" w:rsidRDefault="00000000">
            <w:pPr>
              <w:rPr>
                <w:rFonts w:ascii="Arial" w:hAnsi="Arial" w:cs="Arial"/>
                <w:sz w:val="28"/>
                <w:szCs w:val="28"/>
              </w:rPr>
            </w:pPr>
            <w:r w:rsidRPr="00FF1EE2">
              <w:rPr>
                <w:rFonts w:ascii="Arial" w:hAnsi="Arial" w:cs="Arial"/>
              </w:rPr>
              <w:t>Segment-level margin pressure</w:t>
            </w:r>
          </w:p>
        </w:tc>
        <w:tc>
          <w:tcPr>
            <w:tcW w:w="4400" w:type="dxa"/>
            <w:vAlign w:val="center"/>
          </w:tcPr>
          <w:p w14:paraId="4DD01054" w14:textId="77777777" w:rsidR="00B633E7" w:rsidRPr="00FF1EE2" w:rsidRDefault="00000000">
            <w:pPr>
              <w:rPr>
                <w:rFonts w:ascii="Arial" w:hAnsi="Arial" w:cs="Arial"/>
                <w:sz w:val="28"/>
                <w:szCs w:val="28"/>
              </w:rPr>
            </w:pPr>
            <w:r w:rsidRPr="00FF1EE2">
              <w:rPr>
                <w:rFonts w:ascii="Arial" w:hAnsi="Arial" w:cs="Arial"/>
              </w:rPr>
              <w:t>ET&amp;S sales -6%, operating income -17% FY ended March 2026 (Sony Group Corporation, 2026)</w:t>
            </w:r>
          </w:p>
        </w:tc>
        <w:tc>
          <w:tcPr>
            <w:tcW w:w="3000" w:type="dxa"/>
            <w:vAlign w:val="center"/>
          </w:tcPr>
          <w:p w14:paraId="420F57E2" w14:textId="77777777" w:rsidR="00B633E7" w:rsidRPr="00FF1EE2" w:rsidRDefault="00000000">
            <w:pPr>
              <w:rPr>
                <w:rFonts w:ascii="Arial" w:hAnsi="Arial" w:cs="Arial"/>
                <w:sz w:val="28"/>
                <w:szCs w:val="28"/>
              </w:rPr>
            </w:pPr>
            <w:r w:rsidRPr="00FF1EE2">
              <w:rPr>
                <w:rFonts w:ascii="Arial" w:hAnsi="Arial" w:cs="Arial"/>
              </w:rPr>
              <w:t>Protect camera-specific margin via lifecycle and ecosystem revenue (R3) rather than discounting</w:t>
            </w:r>
          </w:p>
        </w:tc>
      </w:tr>
      <w:tr w:rsidR="00B633E7" w:rsidRPr="00FF1EE2" w14:paraId="5F056DDF" w14:textId="77777777">
        <w:tc>
          <w:tcPr>
            <w:tcW w:w="2400" w:type="dxa"/>
            <w:vAlign w:val="center"/>
          </w:tcPr>
          <w:p w14:paraId="039424FF" w14:textId="77777777" w:rsidR="00B633E7" w:rsidRPr="00FF1EE2" w:rsidRDefault="00000000">
            <w:pPr>
              <w:rPr>
                <w:rFonts w:ascii="Arial" w:hAnsi="Arial" w:cs="Arial"/>
                <w:sz w:val="28"/>
                <w:szCs w:val="28"/>
              </w:rPr>
            </w:pPr>
            <w:r w:rsidRPr="00FF1EE2">
              <w:rPr>
                <w:rFonts w:ascii="Arial" w:hAnsi="Arial" w:cs="Arial"/>
              </w:rPr>
              <w:t>Product complexity</w:t>
            </w:r>
          </w:p>
        </w:tc>
        <w:tc>
          <w:tcPr>
            <w:tcW w:w="4400" w:type="dxa"/>
            <w:vAlign w:val="center"/>
          </w:tcPr>
          <w:p w14:paraId="655BF50B" w14:textId="77777777" w:rsidR="00B633E7" w:rsidRPr="00FF1EE2" w:rsidRDefault="00000000">
            <w:pPr>
              <w:rPr>
                <w:rFonts w:ascii="Arial" w:hAnsi="Arial" w:cs="Arial"/>
                <w:sz w:val="28"/>
                <w:szCs w:val="28"/>
              </w:rPr>
            </w:pPr>
            <w:r w:rsidRPr="00FF1EE2">
              <w:rPr>
                <w:rFonts w:ascii="Arial" w:hAnsi="Arial" w:cs="Arial"/>
              </w:rPr>
              <w:t>Broad, overlapping Alpha range risks confusing new buyers</w:t>
            </w:r>
          </w:p>
        </w:tc>
        <w:tc>
          <w:tcPr>
            <w:tcW w:w="3000" w:type="dxa"/>
            <w:vAlign w:val="center"/>
          </w:tcPr>
          <w:p w14:paraId="13D49FDC" w14:textId="77777777" w:rsidR="00B633E7" w:rsidRPr="00FF1EE2" w:rsidRDefault="00000000">
            <w:pPr>
              <w:rPr>
                <w:rFonts w:ascii="Arial" w:hAnsi="Arial" w:cs="Arial"/>
                <w:sz w:val="28"/>
                <w:szCs w:val="28"/>
              </w:rPr>
            </w:pPr>
            <w:r w:rsidRPr="00FF1EE2">
              <w:rPr>
                <w:rFonts w:ascii="Arial" w:hAnsi="Arial" w:cs="Arial"/>
              </w:rPr>
              <w:t>Simplified comparison tools; use-case-based recommendations; creator education (R1)</w:t>
            </w:r>
          </w:p>
        </w:tc>
      </w:tr>
      <w:tr w:rsidR="00B633E7" w:rsidRPr="00FF1EE2" w14:paraId="44889663" w14:textId="77777777">
        <w:tc>
          <w:tcPr>
            <w:tcW w:w="2400" w:type="dxa"/>
            <w:vAlign w:val="center"/>
          </w:tcPr>
          <w:p w14:paraId="6E54F1A1" w14:textId="77777777" w:rsidR="00B633E7" w:rsidRPr="00FF1EE2" w:rsidRDefault="00000000">
            <w:pPr>
              <w:rPr>
                <w:rFonts w:ascii="Arial" w:hAnsi="Arial" w:cs="Arial"/>
                <w:sz w:val="28"/>
                <w:szCs w:val="28"/>
              </w:rPr>
            </w:pPr>
            <w:r w:rsidRPr="00FF1EE2">
              <w:rPr>
                <w:rFonts w:ascii="Arial" w:hAnsi="Arial" w:cs="Arial"/>
              </w:rPr>
              <w:t>Circularity execution</w:t>
            </w:r>
          </w:p>
        </w:tc>
        <w:tc>
          <w:tcPr>
            <w:tcW w:w="4400" w:type="dxa"/>
            <w:vAlign w:val="center"/>
          </w:tcPr>
          <w:p w14:paraId="4BC6A3BA" w14:textId="77777777" w:rsidR="00B633E7" w:rsidRPr="00FF1EE2" w:rsidRDefault="00000000">
            <w:pPr>
              <w:rPr>
                <w:rFonts w:ascii="Arial" w:hAnsi="Arial" w:cs="Arial"/>
                <w:sz w:val="28"/>
                <w:szCs w:val="28"/>
              </w:rPr>
            </w:pPr>
            <w:r w:rsidRPr="00FF1EE2">
              <w:rPr>
                <w:rFonts w:ascii="Arial" w:hAnsi="Arial" w:cs="Arial"/>
              </w:rPr>
              <w:t>Repair and recycling require distributor and service-centre coordination</w:t>
            </w:r>
          </w:p>
        </w:tc>
        <w:tc>
          <w:tcPr>
            <w:tcW w:w="3000" w:type="dxa"/>
            <w:vAlign w:val="center"/>
          </w:tcPr>
          <w:p w14:paraId="1E83E22D" w14:textId="77777777" w:rsidR="00B633E7" w:rsidRPr="00FF1EE2" w:rsidRDefault="00000000">
            <w:pPr>
              <w:rPr>
                <w:rFonts w:ascii="Arial" w:hAnsi="Arial" w:cs="Arial"/>
                <w:sz w:val="28"/>
                <w:szCs w:val="28"/>
              </w:rPr>
            </w:pPr>
            <w:r w:rsidRPr="00FF1EE2">
              <w:rPr>
                <w:rFonts w:ascii="Arial" w:hAnsi="Arial" w:cs="Arial"/>
              </w:rPr>
              <w:t>Begin with pilot programmes in major Japanese cities; measure return and repair-turnaround rates</w:t>
            </w:r>
          </w:p>
        </w:tc>
      </w:tr>
    </w:tbl>
    <w:p w14:paraId="46FE3D17"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Implementation should proceed in three phases. Year one should focus on creator education, customer research, trade-in pilots and AI usability improvements, tracking lens-attachment rate and new-user retention. Year two should scale successful programmes, expand circular-camera services and pilot the first cross-business creator initiative. Year three should evaluate performance against financial (ET&amp;S margin), customer (retention, NPS), internal (firmware cadence) and learning (R&amp;D and AI capability) KPIs, and </w:t>
      </w:r>
      <w:r w:rsidRPr="00FF1EE2">
        <w:rPr>
          <w:rFonts w:ascii="Arial" w:hAnsi="Arial" w:cs="Arial"/>
          <w:sz w:val="28"/>
          <w:szCs w:val="28"/>
        </w:rPr>
        <w:lastRenderedPageBreak/>
        <w:t>reallocate investment towards whichever recommendations show the strongest measured return.</w:t>
      </w:r>
    </w:p>
    <w:p w14:paraId="227A6F21" w14:textId="77777777" w:rsidR="00B633E7" w:rsidRPr="00FF1EE2" w:rsidRDefault="00000000">
      <w:pPr>
        <w:rPr>
          <w:rFonts w:ascii="Arial" w:hAnsi="Arial" w:cs="Arial"/>
          <w:sz w:val="28"/>
          <w:szCs w:val="28"/>
        </w:rPr>
      </w:pPr>
      <w:r w:rsidRPr="00FF1EE2">
        <w:rPr>
          <w:rFonts w:ascii="Arial" w:hAnsi="Arial" w:cs="Arial"/>
          <w:sz w:val="28"/>
          <w:szCs w:val="28"/>
        </w:rPr>
        <w:br w:type="page"/>
      </w:r>
    </w:p>
    <w:p w14:paraId="4E05FB50" w14:textId="77777777" w:rsidR="00B633E7" w:rsidRPr="00FF1EE2" w:rsidRDefault="00000000">
      <w:pPr>
        <w:pStyle w:val="Heading1"/>
        <w:rPr>
          <w:rFonts w:ascii="Arial" w:hAnsi="Arial" w:cs="Arial"/>
          <w:sz w:val="36"/>
          <w:szCs w:val="36"/>
        </w:rPr>
      </w:pPr>
      <w:bookmarkStart w:id="18" w:name="_Toc237446172"/>
      <w:r w:rsidRPr="00FF1EE2">
        <w:rPr>
          <w:rFonts w:ascii="Arial" w:hAnsi="Arial" w:cs="Arial"/>
          <w:sz w:val="36"/>
          <w:szCs w:val="36"/>
        </w:rPr>
        <w:lastRenderedPageBreak/>
        <w:t>Section 2: Reflective Account – Gibbs Cycle</w:t>
      </w:r>
      <w:bookmarkEnd w:id="18"/>
    </w:p>
    <w:p w14:paraId="5686F9FD"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This reflective account applies Gibbs' (1988) reflective cycle to the process of developing the strategic analysis of Sony's camera business in Japan. The work required moving beyond describing a familiar technology brand towards evaluating the strategic relationship between external market conditions, internal capabilities and future choices.</w:t>
      </w:r>
    </w:p>
    <w:p w14:paraId="13313528" w14:textId="77777777" w:rsidR="00B633E7" w:rsidRPr="00FF1EE2" w:rsidRDefault="00000000">
      <w:pPr>
        <w:pStyle w:val="Heading2"/>
        <w:spacing w:before="220" w:after="120"/>
        <w:rPr>
          <w:rFonts w:ascii="Arial" w:hAnsi="Arial" w:cs="Arial"/>
          <w:sz w:val="32"/>
          <w:szCs w:val="32"/>
        </w:rPr>
      </w:pPr>
      <w:bookmarkStart w:id="19" w:name="_Toc237446173"/>
      <w:r w:rsidRPr="00FF1EE2">
        <w:rPr>
          <w:rFonts w:ascii="Arial" w:hAnsi="Arial" w:cs="Arial"/>
          <w:sz w:val="32"/>
          <w:szCs w:val="32"/>
        </w:rPr>
        <w:t>Description</w:t>
      </w:r>
      <w:bookmarkEnd w:id="19"/>
    </w:p>
    <w:p w14:paraId="61D0F5A1"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At the outset, I approached Sony as a familiar consumer-technology brand, which made the choice of topic seem straightforward. The analysis became more demanding once I narrowed the research to cameras specifically, in Japan specifically. I had to separate Sony Group's overall financial performance from the specific position of its Alpha camera business, which sits inside the ET&amp;S segment alongside televisions and audio products rather than being reported as a standalone camera line. I researched CIPA shipment statistics, Sony's own consolidated results, BCN Japan market-share data and academic strategy frameworks before organising the evidence into PESTEL, VRIO, SWOT, Five Forces, Balanced Scorecard, Ansoff and </w:t>
      </w:r>
      <w:proofErr w:type="spellStart"/>
      <w:r w:rsidRPr="00FF1EE2">
        <w:rPr>
          <w:rFonts w:ascii="Arial" w:hAnsi="Arial" w:cs="Arial"/>
          <w:sz w:val="28"/>
          <w:szCs w:val="28"/>
        </w:rPr>
        <w:t>SAFe</w:t>
      </w:r>
      <w:proofErr w:type="spellEnd"/>
      <w:r w:rsidRPr="00FF1EE2">
        <w:rPr>
          <w:rFonts w:ascii="Arial" w:hAnsi="Arial" w:cs="Arial"/>
          <w:sz w:val="28"/>
          <w:szCs w:val="28"/>
        </w:rPr>
        <w:t>.</w:t>
      </w:r>
    </w:p>
    <w:p w14:paraId="286C00E0"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One of the most useful stages was deliberately connecting the frameworks rather than writing each independently: I used PESTEL and CIPA data to identify external pressure, VRIO to assess Sony's capacity to respond, SWOT to synthesise the two, and Ansoff and </w:t>
      </w:r>
      <w:proofErr w:type="spellStart"/>
      <w:r w:rsidRPr="00FF1EE2">
        <w:rPr>
          <w:rFonts w:ascii="Arial" w:hAnsi="Arial" w:cs="Arial"/>
          <w:sz w:val="28"/>
          <w:szCs w:val="28"/>
        </w:rPr>
        <w:t>SAFe</w:t>
      </w:r>
      <w:proofErr w:type="spellEnd"/>
      <w:r w:rsidRPr="00FF1EE2">
        <w:rPr>
          <w:rFonts w:ascii="Arial" w:hAnsi="Arial" w:cs="Arial"/>
          <w:sz w:val="28"/>
          <w:szCs w:val="28"/>
        </w:rPr>
        <w:t xml:space="preserve"> to test the resulting strategic choices. This made the final recommendations traceable back to specific evidence rather than generic best practice.</w:t>
      </w:r>
    </w:p>
    <w:p w14:paraId="526A4D9E" w14:textId="77777777" w:rsidR="00B633E7" w:rsidRPr="00FF1EE2" w:rsidRDefault="00000000">
      <w:pPr>
        <w:pStyle w:val="Heading2"/>
        <w:spacing w:before="220" w:after="120"/>
        <w:rPr>
          <w:rFonts w:ascii="Arial" w:hAnsi="Arial" w:cs="Arial"/>
          <w:sz w:val="32"/>
          <w:szCs w:val="32"/>
        </w:rPr>
      </w:pPr>
      <w:bookmarkStart w:id="20" w:name="_Toc237446174"/>
      <w:r w:rsidRPr="00FF1EE2">
        <w:rPr>
          <w:rFonts w:ascii="Arial" w:hAnsi="Arial" w:cs="Arial"/>
          <w:sz w:val="32"/>
          <w:szCs w:val="32"/>
        </w:rPr>
        <w:t>Feelings</w:t>
      </w:r>
      <w:bookmarkEnd w:id="20"/>
    </w:p>
    <w:p w14:paraId="533081BC"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Initially I felt confident because Sony is a company I already recognised, which made the topic feel easy. That confidence changed once I discovered that Sony does not report camera sales as a separate line and that cameras sit inside a segment whose results were </w:t>
      </w:r>
      <w:proofErr w:type="gramStart"/>
      <w:r w:rsidRPr="00FF1EE2">
        <w:rPr>
          <w:rFonts w:ascii="Arial" w:hAnsi="Arial" w:cs="Arial"/>
          <w:sz w:val="28"/>
          <w:szCs w:val="28"/>
        </w:rPr>
        <w:t>actually falling</w:t>
      </w:r>
      <w:proofErr w:type="gramEnd"/>
      <w:r w:rsidRPr="00FF1EE2">
        <w:rPr>
          <w:rFonts w:ascii="Arial" w:hAnsi="Arial" w:cs="Arial"/>
          <w:sz w:val="28"/>
          <w:szCs w:val="28"/>
        </w:rPr>
        <w:t xml:space="preserve"> in the most recent fiscal year. I felt genuine uncertainty about whether the report should emphasise Sony's technological strength or its segment-level financial </w:t>
      </w:r>
      <w:r w:rsidRPr="00FF1EE2">
        <w:rPr>
          <w:rFonts w:ascii="Arial" w:hAnsi="Arial" w:cs="Arial"/>
          <w:sz w:val="28"/>
          <w:szCs w:val="28"/>
        </w:rPr>
        <w:lastRenderedPageBreak/>
        <w:t>pressure, and I had to accept that a credible strategic report needed to hold both at once rather than picking the more flattering story.</w:t>
      </w:r>
    </w:p>
    <w:p w14:paraId="06EDF340"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I also found the technological material engaging, particularly the Alpha 9 III's global-shutter sensor, because it connects sensor engineering, AI processing and creative use in a way that is easy to explain but hard for competitors to copy quickly. At the same time, I was conscious of the instruction that generative AI tools may be used for research and proofreading but not for producing the submitted analysis itself; I used AI-assisted search only to locate and verify primary sources such as CIPA releases, Sony's own financial disclosures and BCN market-share reporting, and wrote the interpretation, framework linkage and recommendations in my own words, checking each citation against its original source before use.</w:t>
      </w:r>
    </w:p>
    <w:p w14:paraId="71998B94" w14:textId="77777777" w:rsidR="00B633E7" w:rsidRPr="00FF1EE2" w:rsidRDefault="00000000">
      <w:pPr>
        <w:pStyle w:val="Heading2"/>
        <w:spacing w:before="220" w:after="120"/>
        <w:rPr>
          <w:rFonts w:ascii="Arial" w:hAnsi="Arial" w:cs="Arial"/>
          <w:sz w:val="32"/>
          <w:szCs w:val="32"/>
        </w:rPr>
      </w:pPr>
      <w:bookmarkStart w:id="21" w:name="_Toc237446175"/>
      <w:r w:rsidRPr="00FF1EE2">
        <w:rPr>
          <w:rFonts w:ascii="Arial" w:hAnsi="Arial" w:cs="Arial"/>
          <w:sz w:val="32"/>
          <w:szCs w:val="32"/>
        </w:rPr>
        <w:t>Evaluation</w:t>
      </w:r>
      <w:bookmarkEnd w:id="21"/>
    </w:p>
    <w:p w14:paraId="2A8CA8D9"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A positive aspect of the process was triangulating sources: CIPA global shipment data, Sony's own segment-level financial disclosures, and independent Japan-specific market-share reporting from BCN gave three independent angles on the same competitive picture, which made the VRIO and SWOT sections considerably more defensible than relying on any single source. Linking the falling ET&amp;S segment margin directly to the case for ecosystem-based retention strategies, rather than price competition, was a more analytically satisfying outcome than treating financial performance as background context.</w:t>
      </w:r>
    </w:p>
    <w:p w14:paraId="71365EE0"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A less successful aspect was the initial temptation to treat every Sony technological achievement as an automatic sustained advantage. On reflection, autofocus and AI features are demonstrably more imitable than the underlying sensor engineering, and I had to revise my first VRIO draft to downgrade that resource from 'sustained' to 'temporary' once I found evidence that Canon's and Nikon's most recent bodies were closing the gap on the same specifications. Word-count discipline was also a genuine constraint: an initial fuller draft ran well beyond the required range, and condensing it required prioritising the evidence with the clearest strategic implication over exhaustive listing of every available data point.</w:t>
      </w:r>
    </w:p>
    <w:p w14:paraId="4DE2B39B" w14:textId="77777777" w:rsidR="00B633E7" w:rsidRPr="00FF1EE2" w:rsidRDefault="00000000">
      <w:pPr>
        <w:pStyle w:val="Heading2"/>
        <w:spacing w:before="220" w:after="120"/>
        <w:rPr>
          <w:rFonts w:ascii="Arial" w:hAnsi="Arial" w:cs="Arial"/>
          <w:sz w:val="32"/>
          <w:szCs w:val="32"/>
        </w:rPr>
      </w:pPr>
      <w:bookmarkStart w:id="22" w:name="_Toc237446176"/>
      <w:r w:rsidRPr="00FF1EE2">
        <w:rPr>
          <w:rFonts w:ascii="Arial" w:hAnsi="Arial" w:cs="Arial"/>
          <w:sz w:val="32"/>
          <w:szCs w:val="32"/>
        </w:rPr>
        <w:lastRenderedPageBreak/>
        <w:t>Analysis</w:t>
      </w:r>
      <w:bookmarkEnd w:id="22"/>
    </w:p>
    <w:p w14:paraId="0D11214C"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The central learning is that strategic frameworks are most useful when they explain relationships rather than being applied as independent checklists. PESTEL identified smartphone substitution and the creator economy as the key external pressures; Five Forces showed how these translate into high rivalry and high substitute threat; VRIO then identified which specific Sony resources — principally sensor engineering rather than software features alone — can credibly respond. SWOT brought these findings together without duplicating them, and Ansoff and </w:t>
      </w:r>
      <w:proofErr w:type="spellStart"/>
      <w:r w:rsidRPr="00FF1EE2">
        <w:rPr>
          <w:rFonts w:ascii="Arial" w:hAnsi="Arial" w:cs="Arial"/>
          <w:sz w:val="28"/>
          <w:szCs w:val="28"/>
        </w:rPr>
        <w:t>SAFe</w:t>
      </w:r>
      <w:proofErr w:type="spellEnd"/>
      <w:r w:rsidRPr="00FF1EE2">
        <w:rPr>
          <w:rFonts w:ascii="Arial" w:hAnsi="Arial" w:cs="Arial"/>
          <w:sz w:val="28"/>
          <w:szCs w:val="28"/>
        </w:rPr>
        <w:t xml:space="preserve"> were then used to test, rather than simply propose, the resulting choices.</w:t>
      </w:r>
    </w:p>
    <w:p w14:paraId="653707DF"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A second insight concerns the limits of technological differentiation. Sony cannot assume its sensor lead automatically converts into sustained commercial advantage: Canon's far larger global unit volume and Nikon's demonstrated ability to win the Japan monthly lead with a well-priced model both show those advantages are real and immediate. This reframed my recommendations away from 'invest further in technology' towards ecosystem, education and lifecycle strategies that make the technology Sony already has harder for a customer to leave, which felt like a more defensible strategic conclusion than assuming technical superiority alone would be sufficient.</w:t>
      </w:r>
    </w:p>
    <w:p w14:paraId="0B35D6BF"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A third insight concerns sustainability. Sony's group-level Road to Zero commitments </w:t>
      </w:r>
      <w:proofErr w:type="gramStart"/>
      <w:r w:rsidRPr="00FF1EE2">
        <w:rPr>
          <w:rFonts w:ascii="Arial" w:hAnsi="Arial" w:cs="Arial"/>
          <w:sz w:val="28"/>
          <w:szCs w:val="28"/>
        </w:rPr>
        <w:t>are</w:t>
      </w:r>
      <w:proofErr w:type="gramEnd"/>
      <w:r w:rsidRPr="00FF1EE2">
        <w:rPr>
          <w:rFonts w:ascii="Arial" w:hAnsi="Arial" w:cs="Arial"/>
          <w:sz w:val="28"/>
          <w:szCs w:val="28"/>
        </w:rPr>
        <w:t xml:space="preserve"> genuinely ambitious, but the absence of camera-specific disclosure (repair rates, take-back volumes, recycled content) means the camera business currently benefits from the group's environmental reputation without necessarily earning it through product-level evidence. This distinction between corporate-level ambition and product-level proof is something I would not have identified without deliberately searching for camera-specific sustainability data rather than accepting the group-level headline commitment at face value.</w:t>
      </w:r>
    </w:p>
    <w:p w14:paraId="2B7C23F9" w14:textId="77777777" w:rsidR="00B633E7" w:rsidRPr="00FF1EE2" w:rsidRDefault="00000000">
      <w:pPr>
        <w:pStyle w:val="Heading2"/>
        <w:spacing w:before="220" w:after="120"/>
        <w:rPr>
          <w:rFonts w:ascii="Arial" w:hAnsi="Arial" w:cs="Arial"/>
          <w:sz w:val="32"/>
          <w:szCs w:val="32"/>
        </w:rPr>
      </w:pPr>
      <w:bookmarkStart w:id="23" w:name="_Toc237446177"/>
      <w:r w:rsidRPr="00FF1EE2">
        <w:rPr>
          <w:rFonts w:ascii="Arial" w:hAnsi="Arial" w:cs="Arial"/>
          <w:sz w:val="32"/>
          <w:szCs w:val="32"/>
        </w:rPr>
        <w:t>Conclusion</w:t>
      </w:r>
      <w:bookmarkEnd w:id="23"/>
    </w:p>
    <w:p w14:paraId="547CBEFA"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Overall, the assignment improved my understanding of strategic management because it required moving from describing a familiar company to evaluating specific, evidenced strategic choices, and from treating </w:t>
      </w:r>
      <w:r w:rsidRPr="00FF1EE2">
        <w:rPr>
          <w:rFonts w:ascii="Arial" w:hAnsi="Arial" w:cs="Arial"/>
          <w:sz w:val="28"/>
          <w:szCs w:val="28"/>
        </w:rPr>
        <w:lastRenderedPageBreak/>
        <w:t xml:space="preserve">technological achievement as self-evidently advantageous to testing that assumption against real competitive data. I became more confident using VRIO and </w:t>
      </w:r>
      <w:proofErr w:type="spellStart"/>
      <w:r w:rsidRPr="00FF1EE2">
        <w:rPr>
          <w:rFonts w:ascii="Arial" w:hAnsi="Arial" w:cs="Arial"/>
          <w:sz w:val="28"/>
          <w:szCs w:val="28"/>
        </w:rPr>
        <w:t>SAFe</w:t>
      </w:r>
      <w:proofErr w:type="spellEnd"/>
      <w:r w:rsidRPr="00FF1EE2">
        <w:rPr>
          <w:rFonts w:ascii="Arial" w:hAnsi="Arial" w:cs="Arial"/>
          <w:sz w:val="28"/>
          <w:szCs w:val="28"/>
        </w:rPr>
        <w:t xml:space="preserve"> together, particularly in explaining why a resource can be valuable and rare while still requiring active defence rather than passive confidence.</w:t>
      </w:r>
    </w:p>
    <w:p w14:paraId="50B76D83"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If I repeated the assignment, I would build the evidence matrix — CIPA data, segment financials, market-share reporting, competitor specifications — before drafting any section, since several of my early paragraphs had to be rewritten once later research revealed the ET&amp;S segment's financial pressure and Nikon's brief market-share lead, both of which changed the strategic tone the report needed.</w:t>
      </w:r>
    </w:p>
    <w:p w14:paraId="27F11BA0" w14:textId="77777777" w:rsidR="00B633E7" w:rsidRPr="00FF1EE2" w:rsidRDefault="00000000">
      <w:pPr>
        <w:pStyle w:val="Heading2"/>
        <w:spacing w:before="220" w:after="120"/>
        <w:rPr>
          <w:rFonts w:ascii="Arial" w:hAnsi="Arial" w:cs="Arial"/>
          <w:sz w:val="32"/>
          <w:szCs w:val="32"/>
        </w:rPr>
      </w:pPr>
      <w:bookmarkStart w:id="24" w:name="_Toc237446178"/>
      <w:r w:rsidRPr="00FF1EE2">
        <w:rPr>
          <w:rFonts w:ascii="Arial" w:hAnsi="Arial" w:cs="Arial"/>
          <w:sz w:val="32"/>
          <w:szCs w:val="32"/>
        </w:rPr>
        <w:t>Action Plan</w:t>
      </w:r>
      <w:bookmarkEnd w:id="24"/>
    </w:p>
    <w:p w14:paraId="67BD8537"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For future strategic-management assignments, I will begin by identifying the exact product, market and reporting-segment scope before writing, since Sony's segment structure meant I could not simply use headline group financial figures as if they were camera-specific figures. I will build a source-evidence table containing quantitative data, competitor specifications and academic citations before drafting, and connect each PESTEL factor to at least one specific strategic implication rather than leaving it as description.</w:t>
      </w:r>
    </w:p>
    <w:p w14:paraId="6CAC82BE"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I will also prepare diagrams and data tables alongside the written analysis rather than adding them </w:t>
      </w:r>
      <w:proofErr w:type="gramStart"/>
      <w:r w:rsidRPr="00FF1EE2">
        <w:rPr>
          <w:rFonts w:ascii="Arial" w:hAnsi="Arial" w:cs="Arial"/>
          <w:sz w:val="28"/>
          <w:szCs w:val="28"/>
        </w:rPr>
        <w:t>afterwards, and</w:t>
      </w:r>
      <w:proofErr w:type="gramEnd"/>
      <w:r w:rsidRPr="00FF1EE2">
        <w:rPr>
          <w:rFonts w:ascii="Arial" w:hAnsi="Arial" w:cs="Arial"/>
          <w:sz w:val="28"/>
          <w:szCs w:val="28"/>
        </w:rPr>
        <w:t xml:space="preserve"> manage word count from the first draft rather than cutting a longer draft down at the end. Finally, I will continue to distinguish clearly between AI-assisted research and verification on one hand, and my own written analysis and interpretation on the other, </w:t>
      </w:r>
      <w:proofErr w:type="gramStart"/>
      <w:r w:rsidRPr="00FF1EE2">
        <w:rPr>
          <w:rFonts w:ascii="Arial" w:hAnsi="Arial" w:cs="Arial"/>
          <w:sz w:val="28"/>
          <w:szCs w:val="28"/>
        </w:rPr>
        <w:t>keeping a clear record of which sources</w:t>
      </w:r>
      <w:proofErr w:type="gramEnd"/>
      <w:r w:rsidRPr="00FF1EE2">
        <w:rPr>
          <w:rFonts w:ascii="Arial" w:hAnsi="Arial" w:cs="Arial"/>
          <w:sz w:val="28"/>
          <w:szCs w:val="28"/>
        </w:rPr>
        <w:t xml:space="preserve"> I checked directly so that every citation in the final report can be traced back to a verifiable original.</w:t>
      </w:r>
    </w:p>
    <w:p w14:paraId="3120A537" w14:textId="77777777" w:rsidR="00B633E7" w:rsidRPr="00FF1EE2" w:rsidRDefault="00000000">
      <w:pPr>
        <w:rPr>
          <w:rFonts w:ascii="Arial" w:hAnsi="Arial" w:cs="Arial"/>
          <w:sz w:val="28"/>
          <w:szCs w:val="28"/>
        </w:rPr>
      </w:pPr>
      <w:r w:rsidRPr="00FF1EE2">
        <w:rPr>
          <w:rFonts w:ascii="Arial" w:hAnsi="Arial" w:cs="Arial"/>
          <w:sz w:val="28"/>
          <w:szCs w:val="28"/>
        </w:rPr>
        <w:br w:type="page"/>
      </w:r>
    </w:p>
    <w:p w14:paraId="4C6F01ED" w14:textId="77777777" w:rsidR="00B633E7" w:rsidRPr="00FF1EE2" w:rsidRDefault="00000000">
      <w:pPr>
        <w:pStyle w:val="Heading1"/>
        <w:rPr>
          <w:rFonts w:ascii="Arial" w:hAnsi="Arial" w:cs="Arial"/>
          <w:sz w:val="36"/>
          <w:szCs w:val="36"/>
        </w:rPr>
      </w:pPr>
      <w:bookmarkStart w:id="25" w:name="_Toc237446179"/>
      <w:r w:rsidRPr="00FF1EE2">
        <w:rPr>
          <w:rFonts w:ascii="Arial" w:hAnsi="Arial" w:cs="Arial"/>
          <w:sz w:val="36"/>
          <w:szCs w:val="36"/>
        </w:rPr>
        <w:lastRenderedPageBreak/>
        <w:t>Appendices</w:t>
      </w:r>
      <w:bookmarkEnd w:id="25"/>
    </w:p>
    <w:p w14:paraId="59A9BDDC" w14:textId="77777777" w:rsidR="00B633E7" w:rsidRPr="00FF1EE2" w:rsidRDefault="00000000">
      <w:pPr>
        <w:pStyle w:val="Heading2"/>
        <w:spacing w:before="220" w:after="120"/>
        <w:rPr>
          <w:rFonts w:ascii="Arial" w:hAnsi="Arial" w:cs="Arial"/>
          <w:sz w:val="32"/>
          <w:szCs w:val="32"/>
        </w:rPr>
      </w:pPr>
      <w:bookmarkStart w:id="26" w:name="_Toc237446180"/>
      <w:r w:rsidRPr="00FF1EE2">
        <w:rPr>
          <w:rFonts w:ascii="Arial" w:hAnsi="Arial" w:cs="Arial"/>
          <w:sz w:val="32"/>
          <w:szCs w:val="32"/>
        </w:rPr>
        <w:t>Appendix A – PESTEL Evidence</w:t>
      </w:r>
      <w:bookmarkEnd w:id="26"/>
    </w:p>
    <w:p w14:paraId="5FE575D0"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Political: Japanese industrial policy support for advanced manufacturing; exposure to trade and export-control disruption affecting semiconductor and component supply chains.</w:t>
      </w:r>
    </w:p>
    <w:p w14:paraId="00E5A50D"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Economic: ET&amp;S segment sales ¥2,260.5bn (-6%), operating income ¥158.6bn (-17%), fiscal year ended March 2026 (Sony Group Corporation, 2026); mirrorless average unit value approximately $711 versus $282 for DSLRs (CIPA, 2026).</w:t>
      </w:r>
    </w:p>
    <w:p w14:paraId="04F99A33"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Social: creator-economy demand for hybrid photo-video tools; ageing enthusiast base in Japan; continued smartphone computational-photography improvement.</w:t>
      </w:r>
    </w:p>
    <w:p w14:paraId="769D4C06"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Technological: mirrorless shipments +12.5% to 6.31m units in 2025 (CIPA, 2026); Alpha 9 III global-shutter sensor, first of its kind (Sony Electronics, 2023); AI-driven computational photography now </w:t>
      </w:r>
      <w:proofErr w:type="gramStart"/>
      <w:r w:rsidRPr="00FF1EE2">
        <w:rPr>
          <w:rFonts w:ascii="Arial" w:hAnsi="Arial" w:cs="Arial"/>
          <w:sz w:val="28"/>
          <w:szCs w:val="28"/>
        </w:rPr>
        <w:t>mainstream</w:t>
      </w:r>
      <w:proofErr w:type="gramEnd"/>
      <w:r w:rsidRPr="00FF1EE2">
        <w:rPr>
          <w:rFonts w:ascii="Arial" w:hAnsi="Arial" w:cs="Arial"/>
          <w:sz w:val="28"/>
          <w:szCs w:val="28"/>
        </w:rPr>
        <w:t xml:space="preserve"> in professional bodies (Capture, 2026).</w:t>
      </w:r>
    </w:p>
    <w:p w14:paraId="0B7A820C"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Environmental: Road to Zero — Scope 1-3 carbon neutral by 2040, RE100 by 2030, own-operations Scopes 1&amp;2 carbon neutral by 2030 (Sony Group Corporation, 2022).</w:t>
      </w:r>
    </w:p>
    <w:p w14:paraId="75DBCBD1"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Legal: product safety, data privacy and AI-related compliance for subject-recognition and computational-imaging features.</w:t>
      </w:r>
    </w:p>
    <w:p w14:paraId="0C26F961" w14:textId="77777777" w:rsidR="00B633E7" w:rsidRPr="00FF1EE2" w:rsidRDefault="00000000">
      <w:pPr>
        <w:pStyle w:val="Heading2"/>
        <w:spacing w:before="220" w:after="120"/>
        <w:rPr>
          <w:rFonts w:ascii="Arial" w:hAnsi="Arial" w:cs="Arial"/>
          <w:sz w:val="32"/>
          <w:szCs w:val="32"/>
        </w:rPr>
      </w:pPr>
      <w:bookmarkStart w:id="27" w:name="_Toc237446181"/>
      <w:r w:rsidRPr="00FF1EE2">
        <w:rPr>
          <w:rFonts w:ascii="Arial" w:hAnsi="Arial" w:cs="Arial"/>
          <w:sz w:val="32"/>
          <w:szCs w:val="32"/>
        </w:rPr>
        <w:t>Appendix B – VRIO Matrix</w:t>
      </w:r>
      <w:bookmarkEnd w:id="27"/>
    </w:p>
    <w:p w14:paraId="4E39B9A8"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Sensor / imaging engineering: Valuable Yes; Rare Yes; Inimitable High; Organised Yes; Advantage Sustained.</w:t>
      </w:r>
    </w:p>
    <w:p w14:paraId="17943D72"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Alpha brand / E-mount ecosystem: Valuable Yes; Rare Moderate; Inimitable Costly; Organised Yes; Advantage Temporary-to-sustained.</w:t>
      </w:r>
    </w:p>
    <w:p w14:paraId="2D0608F8"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Autofocus / AI features: Valuable Yes; Rare Moderate; Inimitable Medium; Organised Yes; Advantage Temporary.</w:t>
      </w:r>
    </w:p>
    <w:p w14:paraId="5B92E1AB"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lastRenderedPageBreak/>
        <w:t>Cross-business creator ecosystem: Valuable Yes; Rare Yes; Inimitable High; Organised Partly; Advantage Potential.</w:t>
      </w:r>
    </w:p>
    <w:p w14:paraId="2CE83337"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Group financial capacity: Valuable Yes; Rare Moderate; Inimitable Low; Organised Yes; Advantage Enabler.</w:t>
      </w:r>
    </w:p>
    <w:p w14:paraId="63019381" w14:textId="77777777" w:rsidR="00B633E7" w:rsidRPr="00FF1EE2" w:rsidRDefault="00000000">
      <w:pPr>
        <w:pStyle w:val="Heading2"/>
        <w:spacing w:before="220" w:after="120"/>
        <w:rPr>
          <w:rFonts w:ascii="Arial" w:hAnsi="Arial" w:cs="Arial"/>
          <w:sz w:val="32"/>
          <w:szCs w:val="32"/>
        </w:rPr>
      </w:pPr>
      <w:bookmarkStart w:id="28" w:name="_Toc237446182"/>
      <w:r w:rsidRPr="00FF1EE2">
        <w:rPr>
          <w:rFonts w:ascii="Arial" w:hAnsi="Arial" w:cs="Arial"/>
          <w:sz w:val="32"/>
          <w:szCs w:val="32"/>
        </w:rPr>
        <w:t>Appendix C – Five Forces</w:t>
      </w:r>
      <w:bookmarkEnd w:id="28"/>
    </w:p>
    <w:tbl>
      <w:tblPr>
        <w:tblW w:w="10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600"/>
        <w:gridCol w:w="6600"/>
      </w:tblGrid>
      <w:tr w:rsidR="00B633E7" w:rsidRPr="00FF1EE2" w14:paraId="25EE6D6D" w14:textId="77777777">
        <w:trPr>
          <w:tblHeader/>
        </w:trPr>
        <w:tc>
          <w:tcPr>
            <w:tcW w:w="2200" w:type="dxa"/>
            <w:shd w:val="clear" w:color="auto" w:fill="D9E2F3"/>
            <w:vAlign w:val="center"/>
          </w:tcPr>
          <w:p w14:paraId="4E84A37D" w14:textId="77777777" w:rsidR="00B633E7" w:rsidRPr="00FF1EE2" w:rsidRDefault="00000000">
            <w:pPr>
              <w:rPr>
                <w:rFonts w:ascii="Arial" w:hAnsi="Arial" w:cs="Arial"/>
                <w:sz w:val="28"/>
                <w:szCs w:val="28"/>
              </w:rPr>
            </w:pPr>
            <w:r w:rsidRPr="00FF1EE2">
              <w:rPr>
                <w:rFonts w:ascii="Arial" w:hAnsi="Arial" w:cs="Arial"/>
                <w:b/>
                <w:bCs/>
              </w:rPr>
              <w:t>Force</w:t>
            </w:r>
          </w:p>
        </w:tc>
        <w:tc>
          <w:tcPr>
            <w:tcW w:w="1600" w:type="dxa"/>
            <w:shd w:val="clear" w:color="auto" w:fill="D9E2F3"/>
            <w:vAlign w:val="center"/>
          </w:tcPr>
          <w:p w14:paraId="5180D444" w14:textId="77777777" w:rsidR="00B633E7" w:rsidRPr="00FF1EE2" w:rsidRDefault="00000000">
            <w:pPr>
              <w:rPr>
                <w:rFonts w:ascii="Arial" w:hAnsi="Arial" w:cs="Arial"/>
                <w:sz w:val="28"/>
                <w:szCs w:val="28"/>
              </w:rPr>
            </w:pPr>
            <w:r w:rsidRPr="00FF1EE2">
              <w:rPr>
                <w:rFonts w:ascii="Arial" w:hAnsi="Arial" w:cs="Arial"/>
                <w:b/>
                <w:bCs/>
              </w:rPr>
              <w:t>Intensity</w:t>
            </w:r>
          </w:p>
        </w:tc>
        <w:tc>
          <w:tcPr>
            <w:tcW w:w="6600" w:type="dxa"/>
            <w:shd w:val="clear" w:color="auto" w:fill="D9E2F3"/>
            <w:vAlign w:val="center"/>
          </w:tcPr>
          <w:p w14:paraId="565C1715" w14:textId="77777777" w:rsidR="00B633E7" w:rsidRPr="00FF1EE2" w:rsidRDefault="00000000">
            <w:pPr>
              <w:rPr>
                <w:rFonts w:ascii="Arial" w:hAnsi="Arial" w:cs="Arial"/>
                <w:sz w:val="28"/>
                <w:szCs w:val="28"/>
              </w:rPr>
            </w:pPr>
            <w:r w:rsidRPr="00FF1EE2">
              <w:rPr>
                <w:rFonts w:ascii="Arial" w:hAnsi="Arial" w:cs="Arial"/>
                <w:b/>
                <w:bCs/>
              </w:rPr>
              <w:t>Evidence</w:t>
            </w:r>
          </w:p>
        </w:tc>
      </w:tr>
      <w:tr w:rsidR="00B633E7" w:rsidRPr="00FF1EE2" w14:paraId="56474B05" w14:textId="77777777">
        <w:tc>
          <w:tcPr>
            <w:tcW w:w="2200" w:type="dxa"/>
            <w:vAlign w:val="center"/>
          </w:tcPr>
          <w:p w14:paraId="46E8BE8C" w14:textId="77777777" w:rsidR="00B633E7" w:rsidRPr="00FF1EE2" w:rsidRDefault="00000000">
            <w:pPr>
              <w:rPr>
                <w:rFonts w:ascii="Arial" w:hAnsi="Arial" w:cs="Arial"/>
                <w:sz w:val="28"/>
                <w:szCs w:val="28"/>
              </w:rPr>
            </w:pPr>
            <w:r w:rsidRPr="00FF1EE2">
              <w:rPr>
                <w:rFonts w:ascii="Arial" w:hAnsi="Arial" w:cs="Arial"/>
              </w:rPr>
              <w:t>Rivalry</w:t>
            </w:r>
          </w:p>
        </w:tc>
        <w:tc>
          <w:tcPr>
            <w:tcW w:w="1600" w:type="dxa"/>
            <w:vAlign w:val="center"/>
          </w:tcPr>
          <w:p w14:paraId="69E2D36E" w14:textId="77777777" w:rsidR="00B633E7" w:rsidRPr="00FF1EE2" w:rsidRDefault="00000000">
            <w:pPr>
              <w:rPr>
                <w:rFonts w:ascii="Arial" w:hAnsi="Arial" w:cs="Arial"/>
                <w:sz w:val="28"/>
                <w:szCs w:val="28"/>
              </w:rPr>
            </w:pPr>
            <w:r w:rsidRPr="00FF1EE2">
              <w:rPr>
                <w:rFonts w:ascii="Arial" w:hAnsi="Arial" w:cs="Arial"/>
              </w:rPr>
              <w:t>8.5 High</w:t>
            </w:r>
          </w:p>
        </w:tc>
        <w:tc>
          <w:tcPr>
            <w:tcW w:w="6600" w:type="dxa"/>
            <w:vAlign w:val="center"/>
          </w:tcPr>
          <w:p w14:paraId="3DD6033F" w14:textId="77777777" w:rsidR="00B633E7" w:rsidRPr="00FF1EE2" w:rsidRDefault="00000000">
            <w:pPr>
              <w:rPr>
                <w:rFonts w:ascii="Arial" w:hAnsi="Arial" w:cs="Arial"/>
                <w:sz w:val="28"/>
                <w:szCs w:val="28"/>
              </w:rPr>
            </w:pPr>
            <w:r w:rsidRPr="00FF1EE2">
              <w:rPr>
                <w:rFonts w:ascii="Arial" w:hAnsi="Arial" w:cs="Arial"/>
              </w:rPr>
              <w:t>Canon ~41% of global ILC units; Nikon briefly led Japan full-frame mirrorless monthly share in 2025 (</w:t>
            </w:r>
            <w:proofErr w:type="spellStart"/>
            <w:r w:rsidRPr="00FF1EE2">
              <w:rPr>
                <w:rFonts w:ascii="Arial" w:hAnsi="Arial" w:cs="Arial"/>
              </w:rPr>
              <w:t>PhotoWorkout</w:t>
            </w:r>
            <w:proofErr w:type="spellEnd"/>
            <w:r w:rsidRPr="00FF1EE2">
              <w:rPr>
                <w:rFonts w:ascii="Arial" w:hAnsi="Arial" w:cs="Arial"/>
              </w:rPr>
              <w:t>, 2026; Digital Camera World, 2025)</w:t>
            </w:r>
          </w:p>
        </w:tc>
      </w:tr>
      <w:tr w:rsidR="00B633E7" w:rsidRPr="00FF1EE2" w14:paraId="74CE04BE" w14:textId="77777777">
        <w:tc>
          <w:tcPr>
            <w:tcW w:w="2200" w:type="dxa"/>
            <w:vAlign w:val="center"/>
          </w:tcPr>
          <w:p w14:paraId="0815F56E" w14:textId="77777777" w:rsidR="00B633E7" w:rsidRPr="00FF1EE2" w:rsidRDefault="00000000">
            <w:pPr>
              <w:rPr>
                <w:rFonts w:ascii="Arial" w:hAnsi="Arial" w:cs="Arial"/>
                <w:sz w:val="28"/>
                <w:szCs w:val="28"/>
              </w:rPr>
            </w:pPr>
            <w:r w:rsidRPr="00FF1EE2">
              <w:rPr>
                <w:rFonts w:ascii="Arial" w:hAnsi="Arial" w:cs="Arial"/>
              </w:rPr>
              <w:t>Buyer Power</w:t>
            </w:r>
          </w:p>
        </w:tc>
        <w:tc>
          <w:tcPr>
            <w:tcW w:w="1600" w:type="dxa"/>
            <w:vAlign w:val="center"/>
          </w:tcPr>
          <w:p w14:paraId="4D75450B" w14:textId="77777777" w:rsidR="00B633E7" w:rsidRPr="00FF1EE2" w:rsidRDefault="00000000">
            <w:pPr>
              <w:rPr>
                <w:rFonts w:ascii="Arial" w:hAnsi="Arial" w:cs="Arial"/>
                <w:sz w:val="28"/>
                <w:szCs w:val="28"/>
              </w:rPr>
            </w:pPr>
            <w:r w:rsidRPr="00FF1EE2">
              <w:rPr>
                <w:rFonts w:ascii="Arial" w:hAnsi="Arial" w:cs="Arial"/>
              </w:rPr>
              <w:t>7 Moderate-High</w:t>
            </w:r>
          </w:p>
        </w:tc>
        <w:tc>
          <w:tcPr>
            <w:tcW w:w="6600" w:type="dxa"/>
            <w:vAlign w:val="center"/>
          </w:tcPr>
          <w:p w14:paraId="26E686CC" w14:textId="77777777" w:rsidR="00B633E7" w:rsidRPr="00FF1EE2" w:rsidRDefault="00000000">
            <w:pPr>
              <w:rPr>
                <w:rFonts w:ascii="Arial" w:hAnsi="Arial" w:cs="Arial"/>
                <w:sz w:val="28"/>
                <w:szCs w:val="28"/>
              </w:rPr>
            </w:pPr>
            <w:r w:rsidRPr="00FF1EE2">
              <w:rPr>
                <w:rFonts w:ascii="Arial" w:hAnsi="Arial" w:cs="Arial"/>
              </w:rPr>
              <w:t>Easy specification comparison and brand switching; E-mount lens investment partly mitigates</w:t>
            </w:r>
          </w:p>
        </w:tc>
      </w:tr>
      <w:tr w:rsidR="00B633E7" w:rsidRPr="00FF1EE2" w14:paraId="0360978E" w14:textId="77777777">
        <w:tc>
          <w:tcPr>
            <w:tcW w:w="2200" w:type="dxa"/>
            <w:vAlign w:val="center"/>
          </w:tcPr>
          <w:p w14:paraId="1E98D58D" w14:textId="77777777" w:rsidR="00B633E7" w:rsidRPr="00FF1EE2" w:rsidRDefault="00000000">
            <w:pPr>
              <w:rPr>
                <w:rFonts w:ascii="Arial" w:hAnsi="Arial" w:cs="Arial"/>
                <w:sz w:val="28"/>
                <w:szCs w:val="28"/>
              </w:rPr>
            </w:pPr>
            <w:r w:rsidRPr="00FF1EE2">
              <w:rPr>
                <w:rFonts w:ascii="Arial" w:hAnsi="Arial" w:cs="Arial"/>
              </w:rPr>
              <w:t>Supplier Power</w:t>
            </w:r>
          </w:p>
        </w:tc>
        <w:tc>
          <w:tcPr>
            <w:tcW w:w="1600" w:type="dxa"/>
            <w:vAlign w:val="center"/>
          </w:tcPr>
          <w:p w14:paraId="684544AF" w14:textId="77777777" w:rsidR="00B633E7" w:rsidRPr="00FF1EE2" w:rsidRDefault="00000000">
            <w:pPr>
              <w:rPr>
                <w:rFonts w:ascii="Arial" w:hAnsi="Arial" w:cs="Arial"/>
                <w:sz w:val="28"/>
                <w:szCs w:val="28"/>
              </w:rPr>
            </w:pPr>
            <w:r w:rsidRPr="00FF1EE2">
              <w:rPr>
                <w:rFonts w:ascii="Arial" w:hAnsi="Arial" w:cs="Arial"/>
              </w:rPr>
              <w:t>5.5 Moderate</w:t>
            </w:r>
          </w:p>
        </w:tc>
        <w:tc>
          <w:tcPr>
            <w:tcW w:w="6600" w:type="dxa"/>
            <w:vAlign w:val="center"/>
          </w:tcPr>
          <w:p w14:paraId="4468CBD6" w14:textId="77777777" w:rsidR="00B633E7" w:rsidRPr="00FF1EE2" w:rsidRDefault="00000000">
            <w:pPr>
              <w:rPr>
                <w:rFonts w:ascii="Arial" w:hAnsi="Arial" w:cs="Arial"/>
                <w:sz w:val="28"/>
                <w:szCs w:val="28"/>
              </w:rPr>
            </w:pPr>
            <w:r w:rsidRPr="00FF1EE2">
              <w:rPr>
                <w:rFonts w:ascii="Arial" w:hAnsi="Arial" w:cs="Arial"/>
              </w:rPr>
              <w:t>Specialised components, but Sony's own sensor capability gives unusual bargaining strength</w:t>
            </w:r>
          </w:p>
        </w:tc>
      </w:tr>
      <w:tr w:rsidR="00B633E7" w:rsidRPr="00FF1EE2" w14:paraId="486BD59E" w14:textId="77777777">
        <w:tc>
          <w:tcPr>
            <w:tcW w:w="2200" w:type="dxa"/>
            <w:vAlign w:val="center"/>
          </w:tcPr>
          <w:p w14:paraId="2BA2C8A7" w14:textId="77777777" w:rsidR="00B633E7" w:rsidRPr="00FF1EE2" w:rsidRDefault="00000000">
            <w:pPr>
              <w:rPr>
                <w:rFonts w:ascii="Arial" w:hAnsi="Arial" w:cs="Arial"/>
                <w:sz w:val="28"/>
                <w:szCs w:val="28"/>
              </w:rPr>
            </w:pPr>
            <w:r w:rsidRPr="00FF1EE2">
              <w:rPr>
                <w:rFonts w:ascii="Arial" w:hAnsi="Arial" w:cs="Arial"/>
              </w:rPr>
              <w:t>Threat of Substitutes</w:t>
            </w:r>
          </w:p>
        </w:tc>
        <w:tc>
          <w:tcPr>
            <w:tcW w:w="1600" w:type="dxa"/>
            <w:vAlign w:val="center"/>
          </w:tcPr>
          <w:p w14:paraId="1EF86CA3" w14:textId="77777777" w:rsidR="00B633E7" w:rsidRPr="00FF1EE2" w:rsidRDefault="00000000">
            <w:pPr>
              <w:rPr>
                <w:rFonts w:ascii="Arial" w:hAnsi="Arial" w:cs="Arial"/>
                <w:sz w:val="28"/>
                <w:szCs w:val="28"/>
              </w:rPr>
            </w:pPr>
            <w:r w:rsidRPr="00FF1EE2">
              <w:rPr>
                <w:rFonts w:ascii="Arial" w:hAnsi="Arial" w:cs="Arial"/>
              </w:rPr>
              <w:t>8 High</w:t>
            </w:r>
          </w:p>
        </w:tc>
        <w:tc>
          <w:tcPr>
            <w:tcW w:w="6600" w:type="dxa"/>
            <w:vAlign w:val="center"/>
          </w:tcPr>
          <w:p w14:paraId="3B6C6502" w14:textId="77777777" w:rsidR="00B633E7" w:rsidRPr="00FF1EE2" w:rsidRDefault="00000000">
            <w:pPr>
              <w:rPr>
                <w:rFonts w:ascii="Arial" w:hAnsi="Arial" w:cs="Arial"/>
                <w:sz w:val="28"/>
                <w:szCs w:val="28"/>
              </w:rPr>
            </w:pPr>
            <w:r w:rsidRPr="00FF1EE2">
              <w:rPr>
                <w:rFonts w:ascii="Arial" w:hAnsi="Arial" w:cs="Arial"/>
              </w:rPr>
              <w:t>Smartphone computational photography; CIPA data show partial recovery of dedicated cameras (CIPA, 2026)</w:t>
            </w:r>
          </w:p>
        </w:tc>
      </w:tr>
      <w:tr w:rsidR="00B633E7" w:rsidRPr="00FF1EE2" w14:paraId="4A67A35A" w14:textId="77777777">
        <w:tc>
          <w:tcPr>
            <w:tcW w:w="2200" w:type="dxa"/>
            <w:vAlign w:val="center"/>
          </w:tcPr>
          <w:p w14:paraId="6BEEEAB5" w14:textId="77777777" w:rsidR="00B633E7" w:rsidRPr="00FF1EE2" w:rsidRDefault="00000000">
            <w:pPr>
              <w:rPr>
                <w:rFonts w:ascii="Arial" w:hAnsi="Arial" w:cs="Arial"/>
                <w:sz w:val="28"/>
                <w:szCs w:val="28"/>
              </w:rPr>
            </w:pPr>
            <w:r w:rsidRPr="00FF1EE2">
              <w:rPr>
                <w:rFonts w:ascii="Arial" w:hAnsi="Arial" w:cs="Arial"/>
              </w:rPr>
              <w:t>New Entrants</w:t>
            </w:r>
          </w:p>
        </w:tc>
        <w:tc>
          <w:tcPr>
            <w:tcW w:w="1600" w:type="dxa"/>
            <w:vAlign w:val="center"/>
          </w:tcPr>
          <w:p w14:paraId="47AF1990" w14:textId="77777777" w:rsidR="00B633E7" w:rsidRPr="00FF1EE2" w:rsidRDefault="00000000">
            <w:pPr>
              <w:rPr>
                <w:rFonts w:ascii="Arial" w:hAnsi="Arial" w:cs="Arial"/>
                <w:sz w:val="28"/>
                <w:szCs w:val="28"/>
              </w:rPr>
            </w:pPr>
            <w:r w:rsidRPr="00FF1EE2">
              <w:rPr>
                <w:rFonts w:ascii="Arial" w:hAnsi="Arial" w:cs="Arial"/>
              </w:rPr>
              <w:t>3 Low</w:t>
            </w:r>
          </w:p>
        </w:tc>
        <w:tc>
          <w:tcPr>
            <w:tcW w:w="6600" w:type="dxa"/>
            <w:vAlign w:val="center"/>
          </w:tcPr>
          <w:p w14:paraId="2374943D" w14:textId="77777777" w:rsidR="00B633E7" w:rsidRPr="00FF1EE2" w:rsidRDefault="00000000">
            <w:pPr>
              <w:rPr>
                <w:rFonts w:ascii="Arial" w:hAnsi="Arial" w:cs="Arial"/>
                <w:sz w:val="28"/>
                <w:szCs w:val="28"/>
              </w:rPr>
            </w:pPr>
            <w:r w:rsidRPr="00FF1EE2">
              <w:rPr>
                <w:rFonts w:ascii="Arial" w:hAnsi="Arial" w:cs="Arial"/>
              </w:rPr>
              <w:t>High barriers in sensors, optics, autofocus algorithms, brand trust, lens ecosystems</w:t>
            </w:r>
          </w:p>
        </w:tc>
      </w:tr>
    </w:tbl>
    <w:p w14:paraId="04F2A092" w14:textId="77777777" w:rsidR="00B633E7" w:rsidRPr="00FF1EE2" w:rsidRDefault="00000000">
      <w:pPr>
        <w:pStyle w:val="Heading2"/>
        <w:spacing w:before="220" w:after="120"/>
        <w:rPr>
          <w:rFonts w:ascii="Arial" w:hAnsi="Arial" w:cs="Arial"/>
          <w:sz w:val="32"/>
          <w:szCs w:val="32"/>
        </w:rPr>
      </w:pPr>
      <w:bookmarkStart w:id="29" w:name="_Toc237446183"/>
      <w:r w:rsidRPr="00FF1EE2">
        <w:rPr>
          <w:rFonts w:ascii="Arial" w:hAnsi="Arial" w:cs="Arial"/>
          <w:sz w:val="32"/>
          <w:szCs w:val="32"/>
        </w:rPr>
        <w:t>Appendix D – SWOT Detailed</w:t>
      </w:r>
      <w:bookmarkEnd w:id="29"/>
    </w:p>
    <w:p w14:paraId="6B06B197"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Strengths: 29.9% Japan full-frame mirrorless share (BCN Ranking, 2026); global-shutter sensor first-mover (Sony Electronics, 2023); 80+ native E-mount lenses plus third-party depth; group R&amp;D and financial capacity.</w:t>
      </w:r>
    </w:p>
    <w:p w14:paraId="7AD7E2AA"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Weaknesses: ET&amp;S segment sales and profit both fell in the fiscal year ended March 2026 (Sony Group Corporation, 2026); premium pricing narrows addressable market; broad/overlapping model range; contestable Japan lead (Digital Camera World, 2025).</w:t>
      </w:r>
    </w:p>
    <w:p w14:paraId="471F9ADA"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Opportunities: mirrorless unit and value growth (CIPA, 2026); creator-economy demand; mainstream AI-assisted photography; underused cross-business creator workflows.</w:t>
      </w:r>
    </w:p>
    <w:p w14:paraId="22848A38"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Threats: Canon's global unit dominance; Nikon's pricing-led share gains; smartphone substitution; discretionary-spending pressure evidenced in segment results (Sony Group Corporation, 2026).</w:t>
      </w:r>
    </w:p>
    <w:p w14:paraId="51B744D5" w14:textId="77777777" w:rsidR="00B633E7" w:rsidRPr="00FF1EE2" w:rsidRDefault="00000000">
      <w:pPr>
        <w:pStyle w:val="Heading2"/>
        <w:spacing w:before="220" w:after="120"/>
        <w:rPr>
          <w:rFonts w:ascii="Arial" w:hAnsi="Arial" w:cs="Arial"/>
          <w:sz w:val="32"/>
          <w:szCs w:val="32"/>
        </w:rPr>
      </w:pPr>
      <w:bookmarkStart w:id="30" w:name="_Toc237446184"/>
      <w:r w:rsidRPr="00FF1EE2">
        <w:rPr>
          <w:rFonts w:ascii="Arial" w:hAnsi="Arial" w:cs="Arial"/>
          <w:sz w:val="32"/>
          <w:szCs w:val="32"/>
        </w:rPr>
        <w:t>Appendix E – Balanced Scorecard</w:t>
      </w:r>
      <w:bookmarkEnd w:id="30"/>
    </w:p>
    <w:p w14:paraId="7ED88BF2"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Financial: camera/lens revenue growth, lens-attachment rate, average selling price, ET&amp;S operating margin.</w:t>
      </w:r>
    </w:p>
    <w:p w14:paraId="547DCAAF"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lastRenderedPageBreak/>
        <w:t>Customer: satisfaction, NPS, creator retention, service quality, new-user 90-day retention.</w:t>
      </w:r>
    </w:p>
    <w:p w14:paraId="78D57A81"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Internal: product-development speed, firmware cadence and quality, service turnaround, supply availability.</w:t>
      </w:r>
    </w:p>
    <w:p w14:paraId="30C9AC63"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Learning and Growth: R&amp;D and AI/software capability, cross-business collaboration, creator-community insight, employee development.</w:t>
      </w:r>
    </w:p>
    <w:p w14:paraId="43E71FAA" w14:textId="77777777" w:rsidR="00B633E7" w:rsidRPr="00FF1EE2" w:rsidRDefault="00000000">
      <w:pPr>
        <w:pStyle w:val="Heading2"/>
        <w:spacing w:before="220" w:after="120"/>
        <w:rPr>
          <w:rFonts w:ascii="Arial" w:hAnsi="Arial" w:cs="Arial"/>
          <w:sz w:val="32"/>
          <w:szCs w:val="32"/>
        </w:rPr>
      </w:pPr>
      <w:bookmarkStart w:id="31" w:name="_Toc237446185"/>
      <w:r w:rsidRPr="00FF1EE2">
        <w:rPr>
          <w:rFonts w:ascii="Arial" w:hAnsi="Arial" w:cs="Arial"/>
          <w:sz w:val="32"/>
          <w:szCs w:val="32"/>
        </w:rPr>
        <w:t>Appendix F – Ansoff Matrix</w:t>
      </w:r>
      <w:bookmarkEnd w:id="31"/>
    </w:p>
    <w:p w14:paraId="14B6A476"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Market Penetration (primary, low-moderate risk): creator education, trade-ins, customer communities.</w:t>
      </w:r>
    </w:p>
    <w:p w14:paraId="3DD00554"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Product Development (secondary, moderate risk): AI-assisted imaging, hybrid photo-video bodies, creator software tools.</w:t>
      </w:r>
    </w:p>
    <w:p w14:paraId="706945C6"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Market Development (moderate risk): new creator and professional-use segments within Japan.</w:t>
      </w:r>
    </w:p>
    <w:p w14:paraId="11A6AA1A"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Diversification (higher risk, pilot only): adjacent creative technologies via Sony Pictures/Music/PlayStation, pursued only after core initiatives (R1-R4) prove successful.</w:t>
      </w:r>
    </w:p>
    <w:p w14:paraId="41D873F3" w14:textId="77777777" w:rsidR="00B633E7" w:rsidRPr="00FF1EE2" w:rsidRDefault="00000000">
      <w:pPr>
        <w:pStyle w:val="Heading2"/>
        <w:spacing w:before="220" w:after="120"/>
        <w:rPr>
          <w:rFonts w:ascii="Arial" w:hAnsi="Arial" w:cs="Arial"/>
          <w:sz w:val="32"/>
          <w:szCs w:val="32"/>
        </w:rPr>
      </w:pPr>
      <w:bookmarkStart w:id="32" w:name="_Toc237446186"/>
      <w:r w:rsidRPr="00FF1EE2">
        <w:rPr>
          <w:rFonts w:ascii="Arial" w:hAnsi="Arial" w:cs="Arial"/>
          <w:sz w:val="32"/>
          <w:szCs w:val="32"/>
        </w:rPr>
        <w:t>Appendix G – Implementation Roadmap</w:t>
      </w:r>
      <w:bookmarkEnd w:id="32"/>
    </w:p>
    <w:p w14:paraId="27E4F637"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Year 1: creator education, trade-in pilot, AI usability improvements, customer research; track lens-attachment rate and new-user retention.</w:t>
      </w:r>
    </w:p>
    <w:p w14:paraId="15C653A8"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Year 2: scale successful creator programmes, expand circular-camera services, pilot first cross-business creator initiative.</w:t>
      </w:r>
    </w:p>
    <w:p w14:paraId="748405EE"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Year 3: evaluate performance against financial, customer, internal-process and learning KPIs; reallocate investment towards the highest-return recommendations.</w:t>
      </w:r>
    </w:p>
    <w:p w14:paraId="07E47A9E" w14:textId="77777777" w:rsidR="00B633E7" w:rsidRPr="00FF1EE2" w:rsidRDefault="00000000">
      <w:pPr>
        <w:pStyle w:val="Heading2"/>
        <w:spacing w:before="220" w:after="120"/>
        <w:rPr>
          <w:rFonts w:ascii="Arial" w:hAnsi="Arial" w:cs="Arial"/>
          <w:sz w:val="32"/>
          <w:szCs w:val="32"/>
        </w:rPr>
      </w:pPr>
      <w:bookmarkStart w:id="33" w:name="_Toc237446187"/>
      <w:r w:rsidRPr="00FF1EE2">
        <w:rPr>
          <w:rFonts w:ascii="Arial" w:hAnsi="Arial" w:cs="Arial"/>
          <w:sz w:val="32"/>
          <w:szCs w:val="32"/>
        </w:rPr>
        <w:t xml:space="preserve">Appendix H – </w:t>
      </w:r>
      <w:proofErr w:type="spellStart"/>
      <w:r w:rsidRPr="00FF1EE2">
        <w:rPr>
          <w:rFonts w:ascii="Arial" w:hAnsi="Arial" w:cs="Arial"/>
          <w:sz w:val="32"/>
          <w:szCs w:val="32"/>
        </w:rPr>
        <w:t>SAFe</w:t>
      </w:r>
      <w:proofErr w:type="spellEnd"/>
      <w:r w:rsidRPr="00FF1EE2">
        <w:rPr>
          <w:rFonts w:ascii="Arial" w:hAnsi="Arial" w:cs="Arial"/>
          <w:sz w:val="32"/>
          <w:szCs w:val="32"/>
        </w:rPr>
        <w:t xml:space="preserve"> Evaluation Detail</w:t>
      </w:r>
      <w:bookmarkEnd w:id="33"/>
    </w:p>
    <w:p w14:paraId="45853CC0" w14:textId="61381360" w:rsidR="00B633E7" w:rsidRPr="00FF1EE2" w:rsidRDefault="00000000" w:rsidP="00B07E4F">
      <w:pPr>
        <w:spacing w:after="160" w:line="276" w:lineRule="auto"/>
        <w:jc w:val="both"/>
        <w:rPr>
          <w:rFonts w:ascii="Arial" w:hAnsi="Arial" w:cs="Arial"/>
          <w:sz w:val="28"/>
          <w:szCs w:val="28"/>
        </w:rPr>
      </w:pPr>
      <w:r w:rsidRPr="00FF1EE2">
        <w:rPr>
          <w:rFonts w:ascii="Arial" w:hAnsi="Arial" w:cs="Arial"/>
          <w:sz w:val="28"/>
          <w:szCs w:val="28"/>
        </w:rPr>
        <w:t xml:space="preserve">See Table 3 (Section 4.4) for the summary </w:t>
      </w:r>
      <w:proofErr w:type="spellStart"/>
      <w:r w:rsidRPr="00FF1EE2">
        <w:rPr>
          <w:rFonts w:ascii="Arial" w:hAnsi="Arial" w:cs="Arial"/>
          <w:sz w:val="28"/>
          <w:szCs w:val="28"/>
        </w:rPr>
        <w:t>SAFe</w:t>
      </w:r>
      <w:proofErr w:type="spellEnd"/>
      <w:r w:rsidRPr="00FF1EE2">
        <w:rPr>
          <w:rFonts w:ascii="Arial" w:hAnsi="Arial" w:cs="Arial"/>
          <w:sz w:val="28"/>
          <w:szCs w:val="28"/>
        </w:rPr>
        <w:t xml:space="preserve"> evaluation of all five recommendations against Suitability, Acceptability and Feasibility (Johnson et al., 2020).</w:t>
      </w:r>
    </w:p>
    <w:p w14:paraId="23787CF9" w14:textId="77777777" w:rsidR="00B633E7" w:rsidRPr="00FF1EE2" w:rsidRDefault="00000000">
      <w:pPr>
        <w:pStyle w:val="Heading1"/>
        <w:rPr>
          <w:rFonts w:ascii="Arial" w:hAnsi="Arial" w:cs="Arial"/>
          <w:sz w:val="36"/>
          <w:szCs w:val="36"/>
        </w:rPr>
      </w:pPr>
      <w:bookmarkStart w:id="34" w:name="_Toc237446188"/>
      <w:r w:rsidRPr="00FF1EE2">
        <w:rPr>
          <w:rFonts w:ascii="Arial" w:hAnsi="Arial" w:cs="Arial"/>
          <w:sz w:val="36"/>
          <w:szCs w:val="36"/>
        </w:rPr>
        <w:lastRenderedPageBreak/>
        <w:t>References – Harvard Style</w:t>
      </w:r>
      <w:bookmarkEnd w:id="34"/>
    </w:p>
    <w:p w14:paraId="605F3386" w14:textId="035CC08E"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Amateur Photographer (2026) Sony dominates Canon and Nikon in the mirrorless camera market for the third year running. Available at: </w:t>
      </w:r>
      <w:hyperlink r:id="rId10" w:history="1">
        <w:r w:rsidRPr="00FF1EE2">
          <w:rPr>
            <w:rStyle w:val="Hyperlink"/>
            <w:rFonts w:ascii="Arial" w:hAnsi="Arial" w:cs="Arial"/>
            <w:sz w:val="28"/>
            <w:szCs w:val="28"/>
          </w:rPr>
          <w:t>https://amateurphotographer.com/latest/photo-news/sony-dominates-canon-and-nikon-in-the-mirrorless-camera-market-for-the-third-year-running/</w:t>
        </w:r>
      </w:hyperlink>
    </w:p>
    <w:p w14:paraId="3F487811"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Ansoff, H.I. (1957) 'Strategies for diversification', Harvard Business Review, 35(5), pp. 113-124.</w:t>
      </w:r>
    </w:p>
    <w:p w14:paraId="5ECB6F7E" w14:textId="6358C503" w:rsidR="00FF1EE2" w:rsidRPr="00FF1EE2" w:rsidRDefault="00000000">
      <w:pPr>
        <w:spacing w:after="160" w:line="276" w:lineRule="auto"/>
        <w:jc w:val="both"/>
        <w:rPr>
          <w:rFonts w:ascii="Arial" w:hAnsi="Arial" w:cs="Arial"/>
          <w:sz w:val="28"/>
          <w:szCs w:val="28"/>
        </w:rPr>
      </w:pPr>
      <w:r w:rsidRPr="00FF1EE2">
        <w:rPr>
          <w:rFonts w:ascii="Arial" w:hAnsi="Arial" w:cs="Arial"/>
          <w:sz w:val="28"/>
          <w:szCs w:val="28"/>
        </w:rPr>
        <w:t>Barney, J. (1991) 'Firm resources and sustained competitive advantage', Journal of Management, 17(1), pp. 99-120.</w:t>
      </w:r>
      <w:r w:rsidR="00FF1EE2">
        <w:rPr>
          <w:rFonts w:ascii="Arial" w:hAnsi="Arial" w:cs="Arial"/>
          <w:sz w:val="28"/>
          <w:szCs w:val="28"/>
        </w:rPr>
        <w:t xml:space="preserve"> </w:t>
      </w:r>
      <w:hyperlink r:id="rId11" w:history="1">
        <w:r w:rsidR="00FF1EE2" w:rsidRPr="00FF1EE2">
          <w:rPr>
            <w:rStyle w:val="Hyperlink"/>
            <w:rFonts w:ascii="Arial" w:hAnsi="Arial" w:cs="Arial"/>
            <w:sz w:val="28"/>
            <w:szCs w:val="28"/>
          </w:rPr>
          <w:t>https://www.scirp.org/reference/referencespapers?referenceid=3078000</w:t>
        </w:r>
      </w:hyperlink>
    </w:p>
    <w:p w14:paraId="71111394" w14:textId="32098E88"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Capture (2026) The photography resurgence is real: global camera sales hit another milestone. Available at: </w:t>
      </w:r>
      <w:hyperlink r:id="rId12" w:history="1">
        <w:r w:rsidRPr="00FF1EE2">
          <w:rPr>
            <w:rStyle w:val="Hyperlink"/>
            <w:rFonts w:ascii="Arial" w:hAnsi="Arial" w:cs="Arial"/>
            <w:sz w:val="28"/>
            <w:szCs w:val="28"/>
          </w:rPr>
          <w:t>https://www.capturemag.com.au/news/the-photography-resurgence-is-real-global-camera-sales-hit-another-milestone</w:t>
        </w:r>
      </w:hyperlink>
    </w:p>
    <w:p w14:paraId="37291618" w14:textId="16762188"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CIPA – Camera &amp; Imaging Products Association (2026) 2025 shipment statistics for digital cameras and interchangeable lenses, reported via </w:t>
      </w:r>
      <w:proofErr w:type="spellStart"/>
      <w:r w:rsidRPr="00FF1EE2">
        <w:rPr>
          <w:rFonts w:ascii="Arial" w:hAnsi="Arial" w:cs="Arial"/>
          <w:sz w:val="28"/>
          <w:szCs w:val="28"/>
        </w:rPr>
        <w:t>PetaPixel</w:t>
      </w:r>
      <w:proofErr w:type="spellEnd"/>
      <w:r w:rsidRPr="00FF1EE2">
        <w:rPr>
          <w:rFonts w:ascii="Arial" w:hAnsi="Arial" w:cs="Arial"/>
          <w:sz w:val="28"/>
          <w:szCs w:val="28"/>
        </w:rPr>
        <w:t xml:space="preserve"> and </w:t>
      </w:r>
      <w:proofErr w:type="spellStart"/>
      <w:r w:rsidRPr="00FF1EE2">
        <w:rPr>
          <w:rFonts w:ascii="Arial" w:hAnsi="Arial" w:cs="Arial"/>
          <w:sz w:val="28"/>
          <w:szCs w:val="28"/>
        </w:rPr>
        <w:t>DPReview</w:t>
      </w:r>
      <w:proofErr w:type="spellEnd"/>
      <w:r w:rsidRPr="00FF1EE2">
        <w:rPr>
          <w:rFonts w:ascii="Arial" w:hAnsi="Arial" w:cs="Arial"/>
          <w:sz w:val="28"/>
          <w:szCs w:val="28"/>
        </w:rPr>
        <w:t xml:space="preserve">. Available at: </w:t>
      </w:r>
      <w:hyperlink r:id="rId13" w:history="1">
        <w:r w:rsidRPr="00FF1EE2">
          <w:rPr>
            <w:rStyle w:val="Hyperlink"/>
            <w:rFonts w:ascii="Arial" w:hAnsi="Arial" w:cs="Arial"/>
            <w:sz w:val="28"/>
            <w:szCs w:val="28"/>
          </w:rPr>
          <w:t>https://petapixel.com/2026/02/03/camera-shipments-increased-for-consecutive-years-for-the-first-time-in-nearly-20-years/</w:t>
        </w:r>
      </w:hyperlink>
    </w:p>
    <w:p w14:paraId="3E415DD3" w14:textId="75DFCAB8"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Digital Camera World (2025) Kodak tops compact camera charts, Canon reigns for DSLR sales, and Sony dominates mirrorless market in Japan H1 2025. Available at: </w:t>
      </w:r>
      <w:hyperlink r:id="rId14" w:history="1">
        <w:r w:rsidRPr="00FF1EE2">
          <w:rPr>
            <w:rStyle w:val="Hyperlink"/>
            <w:rFonts w:ascii="Arial" w:hAnsi="Arial" w:cs="Arial"/>
            <w:sz w:val="28"/>
            <w:szCs w:val="28"/>
          </w:rPr>
          <w:t>https://www.digitalcameraworld.com/cameras/kodak-tops-compact-camera-charts-canon-reigns-for-dslr-sales-and-sony-dominates-mirrorless-market-in-japan-h1-2025</w:t>
        </w:r>
      </w:hyperlink>
    </w:p>
    <w:p w14:paraId="6CB94FF3" w14:textId="1D15573B"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Freeman, R.E. (1984) Strategic Management: A Stakeholder Approach. Boston: Pitman.</w:t>
      </w:r>
      <w:r w:rsidR="00533CCC" w:rsidRPr="00533CCC">
        <w:t xml:space="preserve"> </w:t>
      </w:r>
      <w:hyperlink r:id="rId15" w:history="1">
        <w:r w:rsidR="00533CCC" w:rsidRPr="00533CCC">
          <w:rPr>
            <w:rStyle w:val="Hyperlink"/>
            <w:rFonts w:ascii="Arial" w:hAnsi="Arial" w:cs="Arial"/>
            <w:sz w:val="28"/>
            <w:szCs w:val="28"/>
          </w:rPr>
          <w:t>https://www.scirp.org/reference/referencespapers?referenceid=1209107</w:t>
        </w:r>
      </w:hyperlink>
    </w:p>
    <w:p w14:paraId="1C3D177D" w14:textId="519FACEE"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Gibbs, G. (1988) Learning by Doing: A Guide to Teaching and Learning Methods. Oxford: Oxford Polytechnic.</w:t>
      </w:r>
      <w:r w:rsidR="00533CCC" w:rsidRPr="00533CCC">
        <w:t xml:space="preserve"> </w:t>
      </w:r>
      <w:hyperlink r:id="rId16" w:history="1">
        <w:r w:rsidR="00533CCC" w:rsidRPr="00533CCC">
          <w:rPr>
            <w:rStyle w:val="Hyperlink"/>
            <w:rFonts w:ascii="Arial" w:hAnsi="Arial" w:cs="Arial"/>
            <w:sz w:val="28"/>
            <w:szCs w:val="28"/>
          </w:rPr>
          <w:t>https://cir.nii.ac.jp/crid/1571417125052979584</w:t>
        </w:r>
      </w:hyperlink>
    </w:p>
    <w:p w14:paraId="6EBAD3C6" w14:textId="04997D56"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lastRenderedPageBreak/>
        <w:t xml:space="preserve">Johnson, G., Whittington, R. and Scholes, K. (2020) Exploring Strategy. 12th </w:t>
      </w:r>
      <w:proofErr w:type="spellStart"/>
      <w:r w:rsidRPr="00FF1EE2">
        <w:rPr>
          <w:rFonts w:ascii="Arial" w:hAnsi="Arial" w:cs="Arial"/>
          <w:sz w:val="28"/>
          <w:szCs w:val="28"/>
        </w:rPr>
        <w:t>edn</w:t>
      </w:r>
      <w:proofErr w:type="spellEnd"/>
      <w:r w:rsidRPr="00FF1EE2">
        <w:rPr>
          <w:rFonts w:ascii="Arial" w:hAnsi="Arial" w:cs="Arial"/>
          <w:sz w:val="28"/>
          <w:szCs w:val="28"/>
        </w:rPr>
        <w:t>. Harlow: Pearson.</w:t>
      </w:r>
      <w:r w:rsidR="00533CCC">
        <w:rPr>
          <w:rFonts w:ascii="Arial" w:hAnsi="Arial" w:cs="Arial"/>
          <w:sz w:val="28"/>
          <w:szCs w:val="28"/>
        </w:rPr>
        <w:t xml:space="preserve"> </w:t>
      </w:r>
      <w:hyperlink r:id="rId17" w:history="1">
        <w:r w:rsidR="00533CCC" w:rsidRPr="00533CCC">
          <w:rPr>
            <w:rStyle w:val="Hyperlink"/>
            <w:rFonts w:ascii="Arial" w:hAnsi="Arial" w:cs="Arial"/>
            <w:sz w:val="28"/>
            <w:szCs w:val="28"/>
          </w:rPr>
          <w:t>https://www.researchgate.net/publication/341152003_Exploring_Strategy_12th_edition</w:t>
        </w:r>
      </w:hyperlink>
    </w:p>
    <w:p w14:paraId="105B4A12"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Kaplan, R.S. and Norton, D.P. (1992) 'The Balanced Scorecard – Measures that Drive Performance', Harvard Business Review, 70(1), pp. 71-79.</w:t>
      </w:r>
    </w:p>
    <w:p w14:paraId="193540AD" w14:textId="5A5C8F3D" w:rsidR="00B633E7" w:rsidRPr="00FF1EE2" w:rsidRDefault="00000000">
      <w:pPr>
        <w:spacing w:after="160" w:line="276" w:lineRule="auto"/>
        <w:jc w:val="both"/>
        <w:rPr>
          <w:rFonts w:ascii="Arial" w:hAnsi="Arial" w:cs="Arial"/>
          <w:sz w:val="28"/>
          <w:szCs w:val="28"/>
        </w:rPr>
      </w:pPr>
      <w:proofErr w:type="spellStart"/>
      <w:r w:rsidRPr="00FF1EE2">
        <w:rPr>
          <w:rFonts w:ascii="Arial" w:hAnsi="Arial" w:cs="Arial"/>
          <w:sz w:val="28"/>
          <w:szCs w:val="28"/>
        </w:rPr>
        <w:t>PhotoWorkout</w:t>
      </w:r>
      <w:proofErr w:type="spellEnd"/>
      <w:r w:rsidRPr="00FF1EE2">
        <w:rPr>
          <w:rFonts w:ascii="Arial" w:hAnsi="Arial" w:cs="Arial"/>
          <w:sz w:val="28"/>
          <w:szCs w:val="28"/>
        </w:rPr>
        <w:t xml:space="preserve"> (2026) Camera Market Shares 2025: Canon's Quiet Monopoly, Sony's Hidden Game, and What 2026 Looks Like. Available at: </w:t>
      </w:r>
      <w:hyperlink r:id="rId18" w:history="1">
        <w:r w:rsidRPr="00FF1EE2">
          <w:rPr>
            <w:rStyle w:val="Hyperlink"/>
            <w:rFonts w:ascii="Arial" w:hAnsi="Arial" w:cs="Arial"/>
            <w:sz w:val="28"/>
            <w:szCs w:val="28"/>
          </w:rPr>
          <w:t>https://www.photoworkout.com/camera-market-shares-2025-2026/</w:t>
        </w:r>
      </w:hyperlink>
    </w:p>
    <w:p w14:paraId="2AFEDFCD"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Porter, M.E. (1980) Competitive Strategy. New York: Free Press.</w:t>
      </w:r>
    </w:p>
    <w:p w14:paraId="0EDC82BC" w14:textId="5B62BF95"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Sony Electronics (2023) Sony Electronics Releases the Alpha 9 III; the World's First Full-Frame Camera with a Global Shutter System. Available at: </w:t>
      </w:r>
      <w:hyperlink r:id="rId19" w:history="1">
        <w:r w:rsidRPr="00FF1EE2">
          <w:rPr>
            <w:rStyle w:val="Hyperlink"/>
            <w:rFonts w:ascii="Arial" w:hAnsi="Arial" w:cs="Arial"/>
            <w:sz w:val="28"/>
            <w:szCs w:val="28"/>
          </w:rPr>
          <w:t>https://www.prnewswire.com/news-releases/sony-electronics-releases-the-alpha-9-iii-the-worlds-first-full-frame-camera-with-a-global-shutter-systemi-301980040.html</w:t>
        </w:r>
      </w:hyperlink>
    </w:p>
    <w:p w14:paraId="3C900FCF" w14:textId="460354F6"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Sony Group Corporation (2022) Sony accelerates target to achieve a zero environmental footprint by ten years. Available at: </w:t>
      </w:r>
      <w:hyperlink r:id="rId20" w:history="1">
        <w:r w:rsidRPr="00FF1EE2">
          <w:rPr>
            <w:rStyle w:val="Hyperlink"/>
            <w:rFonts w:ascii="Arial" w:hAnsi="Arial" w:cs="Arial"/>
            <w:sz w:val="28"/>
            <w:szCs w:val="28"/>
          </w:rPr>
          <w:t>https://www.sony.eu/presscentre/sony-accelerates-target-to-achieve-a-zero-environmental-footprint-by-ten-years</w:t>
        </w:r>
      </w:hyperlink>
    </w:p>
    <w:p w14:paraId="7DBB43CC" w14:textId="58884956"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Sony Group Corporation (2026) Consolidated Financial Results for the Fiscal Year Ended March 31, 2026, reported via Digital Camera World and Investing.com. Available at: </w:t>
      </w:r>
      <w:hyperlink r:id="rId21" w:history="1">
        <w:r w:rsidRPr="00FF1EE2">
          <w:rPr>
            <w:rStyle w:val="Hyperlink"/>
            <w:rFonts w:ascii="Arial" w:hAnsi="Arial" w:cs="Arial"/>
            <w:sz w:val="28"/>
            <w:szCs w:val="28"/>
          </w:rPr>
          <w:t>https://www.digitalcameraworld.com/cameras/sonys-image-sensors-drive-record-us-usd9-6-billion-profits-as-electronics-division-slumps</w:t>
        </w:r>
      </w:hyperlink>
    </w:p>
    <w:p w14:paraId="1424F3E1" w14:textId="77777777"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Teece, D.J., Pisano, G. and </w:t>
      </w:r>
      <w:proofErr w:type="spellStart"/>
      <w:r w:rsidRPr="00FF1EE2">
        <w:rPr>
          <w:rFonts w:ascii="Arial" w:hAnsi="Arial" w:cs="Arial"/>
          <w:sz w:val="28"/>
          <w:szCs w:val="28"/>
        </w:rPr>
        <w:t>Shuen</w:t>
      </w:r>
      <w:proofErr w:type="spellEnd"/>
      <w:r w:rsidRPr="00FF1EE2">
        <w:rPr>
          <w:rFonts w:ascii="Arial" w:hAnsi="Arial" w:cs="Arial"/>
          <w:sz w:val="28"/>
          <w:szCs w:val="28"/>
        </w:rPr>
        <w:t>, A. (1997) 'Dynamic capabilities and strategic management', Strategic Management Journal, 18(7), pp. 509-533.</w:t>
      </w:r>
    </w:p>
    <w:p w14:paraId="68ACC17F" w14:textId="405D268E" w:rsidR="00B633E7" w:rsidRPr="00FF1EE2" w:rsidRDefault="00000000">
      <w:pPr>
        <w:spacing w:after="160" w:line="276" w:lineRule="auto"/>
        <w:jc w:val="both"/>
        <w:rPr>
          <w:rFonts w:ascii="Arial" w:hAnsi="Arial" w:cs="Arial"/>
          <w:sz w:val="28"/>
          <w:szCs w:val="28"/>
        </w:rPr>
      </w:pPr>
      <w:r w:rsidRPr="00FF1EE2">
        <w:rPr>
          <w:rFonts w:ascii="Arial" w:hAnsi="Arial" w:cs="Arial"/>
          <w:sz w:val="28"/>
          <w:szCs w:val="28"/>
        </w:rPr>
        <w:t xml:space="preserve">The </w:t>
      </w:r>
      <w:proofErr w:type="spellStart"/>
      <w:r w:rsidRPr="00FF1EE2">
        <w:rPr>
          <w:rFonts w:ascii="Arial" w:hAnsi="Arial" w:cs="Arial"/>
          <w:sz w:val="28"/>
          <w:szCs w:val="28"/>
        </w:rPr>
        <w:t>Phoblographer</w:t>
      </w:r>
      <w:proofErr w:type="spellEnd"/>
      <w:r w:rsidRPr="00FF1EE2">
        <w:rPr>
          <w:rFonts w:ascii="Arial" w:hAnsi="Arial" w:cs="Arial"/>
          <w:sz w:val="28"/>
          <w:szCs w:val="28"/>
        </w:rPr>
        <w:t xml:space="preserve"> (2025) Nikon Beats Sony and Canon in an Unlikely Way. Available at: </w:t>
      </w:r>
      <w:hyperlink r:id="rId22" w:history="1">
        <w:r w:rsidRPr="00FF1EE2">
          <w:rPr>
            <w:rStyle w:val="Hyperlink"/>
            <w:rFonts w:ascii="Arial" w:hAnsi="Arial" w:cs="Arial"/>
            <w:sz w:val="28"/>
            <w:szCs w:val="28"/>
          </w:rPr>
          <w:t>https://www.thephoblographer.com/2025/05/23/nikon-beats-sony-and-canon-in-an-unlikely-way/</w:t>
        </w:r>
      </w:hyperlink>
    </w:p>
    <w:sectPr w:rsidR="00B633E7" w:rsidRPr="00FF1EE2">
      <w:footerReference w:type="even" r:id="rId23"/>
      <w:footerReference w:type="default" r:id="rId24"/>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79ECD" w14:textId="77777777" w:rsidR="003212B8" w:rsidRDefault="003212B8" w:rsidP="00D838DC">
      <w:r>
        <w:separator/>
      </w:r>
    </w:p>
  </w:endnote>
  <w:endnote w:type="continuationSeparator" w:id="0">
    <w:p w14:paraId="76751FBF" w14:textId="77777777" w:rsidR="003212B8" w:rsidRDefault="003212B8" w:rsidP="00D83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39360007"/>
      <w:docPartObj>
        <w:docPartGallery w:val="Page Numbers (Bottom of Page)"/>
        <w:docPartUnique/>
      </w:docPartObj>
    </w:sdtPr>
    <w:sdtContent>
      <w:p w14:paraId="20BB2537" w14:textId="085BD62D" w:rsidR="00D838DC" w:rsidRDefault="00D838DC" w:rsidP="00F039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2A5C5AA" w14:textId="77777777" w:rsidR="00D838DC" w:rsidRDefault="00D838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7296434"/>
      <w:docPartObj>
        <w:docPartGallery w:val="Page Numbers (Bottom of Page)"/>
        <w:docPartUnique/>
      </w:docPartObj>
    </w:sdtPr>
    <w:sdtContent>
      <w:p w14:paraId="6EE3F0D2" w14:textId="638F2E19" w:rsidR="00D838DC" w:rsidRDefault="00D838DC" w:rsidP="00F039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7FAEA46" w14:textId="77777777" w:rsidR="00D838DC" w:rsidRDefault="00D838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02BDF" w14:textId="77777777" w:rsidR="003212B8" w:rsidRDefault="003212B8" w:rsidP="00D838DC">
      <w:r>
        <w:separator/>
      </w:r>
    </w:p>
  </w:footnote>
  <w:footnote w:type="continuationSeparator" w:id="0">
    <w:p w14:paraId="4C5683F6" w14:textId="77777777" w:rsidR="003212B8" w:rsidRDefault="003212B8" w:rsidP="00D838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8E3086"/>
    <w:multiLevelType w:val="hybridMultilevel"/>
    <w:tmpl w:val="7B20FB7E"/>
    <w:lvl w:ilvl="0" w:tplc="BA4EBADE">
      <w:start w:val="1"/>
      <w:numFmt w:val="bullet"/>
      <w:lvlText w:val="●"/>
      <w:lvlJc w:val="left"/>
      <w:pPr>
        <w:ind w:left="720" w:hanging="360"/>
      </w:pPr>
    </w:lvl>
    <w:lvl w:ilvl="1" w:tplc="6F8EF730">
      <w:start w:val="1"/>
      <w:numFmt w:val="bullet"/>
      <w:lvlText w:val="○"/>
      <w:lvlJc w:val="left"/>
      <w:pPr>
        <w:ind w:left="1440" w:hanging="360"/>
      </w:pPr>
    </w:lvl>
    <w:lvl w:ilvl="2" w:tplc="B8D0AED6">
      <w:start w:val="1"/>
      <w:numFmt w:val="bullet"/>
      <w:lvlText w:val="■"/>
      <w:lvlJc w:val="left"/>
      <w:pPr>
        <w:ind w:left="2160" w:hanging="360"/>
      </w:pPr>
    </w:lvl>
    <w:lvl w:ilvl="3" w:tplc="D0DABF5E">
      <w:start w:val="1"/>
      <w:numFmt w:val="bullet"/>
      <w:lvlText w:val="●"/>
      <w:lvlJc w:val="left"/>
      <w:pPr>
        <w:ind w:left="2880" w:hanging="360"/>
      </w:pPr>
    </w:lvl>
    <w:lvl w:ilvl="4" w:tplc="24BA579E">
      <w:start w:val="1"/>
      <w:numFmt w:val="bullet"/>
      <w:lvlText w:val="○"/>
      <w:lvlJc w:val="left"/>
      <w:pPr>
        <w:ind w:left="3600" w:hanging="360"/>
      </w:pPr>
    </w:lvl>
    <w:lvl w:ilvl="5" w:tplc="C4826878">
      <w:start w:val="1"/>
      <w:numFmt w:val="bullet"/>
      <w:lvlText w:val="■"/>
      <w:lvlJc w:val="left"/>
      <w:pPr>
        <w:ind w:left="4320" w:hanging="360"/>
      </w:pPr>
    </w:lvl>
    <w:lvl w:ilvl="6" w:tplc="3E42C770">
      <w:start w:val="1"/>
      <w:numFmt w:val="bullet"/>
      <w:lvlText w:val="●"/>
      <w:lvlJc w:val="left"/>
      <w:pPr>
        <w:ind w:left="5040" w:hanging="360"/>
      </w:pPr>
    </w:lvl>
    <w:lvl w:ilvl="7" w:tplc="97D8BF8C">
      <w:start w:val="1"/>
      <w:numFmt w:val="bullet"/>
      <w:lvlText w:val="●"/>
      <w:lvlJc w:val="left"/>
      <w:pPr>
        <w:ind w:left="5760" w:hanging="360"/>
      </w:pPr>
    </w:lvl>
    <w:lvl w:ilvl="8" w:tplc="CEFC5782">
      <w:start w:val="1"/>
      <w:numFmt w:val="bullet"/>
      <w:lvlText w:val="●"/>
      <w:lvlJc w:val="left"/>
      <w:pPr>
        <w:ind w:left="6480" w:hanging="360"/>
      </w:pPr>
    </w:lvl>
  </w:abstractNum>
  <w:num w:numId="1" w16cid:durableId="12828478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3E7"/>
    <w:rsid w:val="001121BF"/>
    <w:rsid w:val="003212B8"/>
    <w:rsid w:val="00533CCC"/>
    <w:rsid w:val="007B66BA"/>
    <w:rsid w:val="00B07E4F"/>
    <w:rsid w:val="00B633E7"/>
    <w:rsid w:val="00D612F1"/>
    <w:rsid w:val="00D838DC"/>
    <w:rsid w:val="00F06268"/>
    <w:rsid w:val="00FF1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2B5FC6"/>
  <w15:docId w15:val="{ABC58458-263C-FB44-9747-8DF145DD7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50"/>
      <w:outlineLvl w:val="0"/>
    </w:pPr>
    <w:rPr>
      <w:b/>
      <w:bCs/>
      <w:color w:val="1A3C6E"/>
      <w:sz w:val="30"/>
      <w:szCs w:val="30"/>
    </w:rPr>
  </w:style>
  <w:style w:type="paragraph" w:styleId="Heading2">
    <w:name w:val="heading 2"/>
    <w:uiPriority w:val="9"/>
    <w:unhideWhenUsed/>
    <w:qFormat/>
    <w:pPr>
      <w:outlineLvl w:val="1"/>
    </w:pPr>
    <w:rPr>
      <w:b/>
      <w:bCs/>
      <w:color w:val="1A3C6E"/>
      <w:sz w:val="26"/>
      <w:szCs w:val="26"/>
    </w:rPr>
  </w:style>
  <w:style w:type="paragraph" w:styleId="Heading3">
    <w:name w:val="heading 3"/>
    <w:uiPriority w:val="9"/>
    <w:semiHidden/>
    <w:unhideWhenUsed/>
    <w:qFormat/>
    <w:pPr>
      <w:outlineLvl w:val="2"/>
    </w:pPr>
    <w:rPr>
      <w:b/>
      <w:bCs/>
      <w:i/>
      <w:iCs/>
      <w:color w:val="333333"/>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7B66BA"/>
    <w:pPr>
      <w:spacing w:after="100"/>
    </w:pPr>
  </w:style>
  <w:style w:type="paragraph" w:styleId="TOC2">
    <w:name w:val="toc 2"/>
    <w:basedOn w:val="Normal"/>
    <w:next w:val="Normal"/>
    <w:autoRedefine/>
    <w:uiPriority w:val="39"/>
    <w:unhideWhenUsed/>
    <w:rsid w:val="007B66BA"/>
    <w:pPr>
      <w:spacing w:after="100"/>
      <w:ind w:left="220"/>
    </w:pPr>
  </w:style>
  <w:style w:type="paragraph" w:styleId="BodyText">
    <w:name w:val="Body Text"/>
    <w:basedOn w:val="Normal"/>
    <w:link w:val="BodyTextChar"/>
    <w:uiPriority w:val="1"/>
    <w:qFormat/>
    <w:rsid w:val="00D612F1"/>
    <w:pPr>
      <w:widowControl w:val="0"/>
      <w:autoSpaceDE w:val="0"/>
      <w:autoSpaceDN w:val="0"/>
      <w:ind w:left="360"/>
      <w:jc w:val="both"/>
    </w:pPr>
    <w:rPr>
      <w:rFonts w:ascii="Arial MT" w:eastAsia="Arial MT" w:hAnsi="Arial MT" w:cs="Arial MT"/>
      <w:sz w:val="24"/>
      <w:szCs w:val="24"/>
      <w:lang w:val="en-US" w:eastAsia="en-US"/>
    </w:rPr>
  </w:style>
  <w:style w:type="character" w:customStyle="1" w:styleId="BodyTextChar">
    <w:name w:val="Body Text Char"/>
    <w:basedOn w:val="DefaultParagraphFont"/>
    <w:link w:val="BodyText"/>
    <w:uiPriority w:val="1"/>
    <w:rsid w:val="00D612F1"/>
    <w:rPr>
      <w:rFonts w:ascii="Arial MT" w:eastAsia="Arial MT" w:hAnsi="Arial MT" w:cs="Arial MT"/>
      <w:sz w:val="24"/>
      <w:szCs w:val="24"/>
      <w:lang w:val="en-US" w:eastAsia="en-US"/>
    </w:rPr>
  </w:style>
  <w:style w:type="character" w:styleId="UnresolvedMention">
    <w:name w:val="Unresolved Mention"/>
    <w:basedOn w:val="DefaultParagraphFont"/>
    <w:uiPriority w:val="99"/>
    <w:semiHidden/>
    <w:unhideWhenUsed/>
    <w:rsid w:val="00FF1EE2"/>
    <w:rPr>
      <w:color w:val="605E5C"/>
      <w:shd w:val="clear" w:color="auto" w:fill="E1DFDD"/>
    </w:rPr>
  </w:style>
  <w:style w:type="paragraph" w:styleId="Header">
    <w:name w:val="header"/>
    <w:basedOn w:val="Normal"/>
    <w:link w:val="HeaderChar"/>
    <w:uiPriority w:val="99"/>
    <w:unhideWhenUsed/>
    <w:rsid w:val="00D838DC"/>
    <w:pPr>
      <w:tabs>
        <w:tab w:val="center" w:pos="4513"/>
        <w:tab w:val="right" w:pos="9026"/>
      </w:tabs>
    </w:pPr>
  </w:style>
  <w:style w:type="character" w:customStyle="1" w:styleId="HeaderChar">
    <w:name w:val="Header Char"/>
    <w:basedOn w:val="DefaultParagraphFont"/>
    <w:link w:val="Header"/>
    <w:uiPriority w:val="99"/>
    <w:rsid w:val="00D838DC"/>
  </w:style>
  <w:style w:type="paragraph" w:styleId="Footer">
    <w:name w:val="footer"/>
    <w:basedOn w:val="Normal"/>
    <w:link w:val="FooterChar"/>
    <w:uiPriority w:val="99"/>
    <w:unhideWhenUsed/>
    <w:rsid w:val="00D838DC"/>
    <w:pPr>
      <w:tabs>
        <w:tab w:val="center" w:pos="4513"/>
        <w:tab w:val="right" w:pos="9026"/>
      </w:tabs>
    </w:pPr>
  </w:style>
  <w:style w:type="character" w:customStyle="1" w:styleId="FooterChar">
    <w:name w:val="Footer Char"/>
    <w:basedOn w:val="DefaultParagraphFont"/>
    <w:link w:val="Footer"/>
    <w:uiPriority w:val="99"/>
    <w:rsid w:val="00D838DC"/>
  </w:style>
  <w:style w:type="character" w:styleId="PageNumber">
    <w:name w:val="page number"/>
    <w:basedOn w:val="DefaultParagraphFont"/>
    <w:uiPriority w:val="99"/>
    <w:semiHidden/>
    <w:unhideWhenUsed/>
    <w:rsid w:val="00D83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etapixel.com/2026/02/03/camera-shipments-increased-for-consecutive-years-for-the-first-time-in-nearly-20-years/" TargetMode="External"/><Relationship Id="rId18" Type="http://schemas.openxmlformats.org/officeDocument/2006/relationships/hyperlink" Target="https://www.photoworkout.com/camera-market-shares-2025-2026/"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digitalcameraworld.com/cameras/sonys-image-sensors-drive-record-us-usd9-6-billion-profits-as-electronics-division-slumps" TargetMode="External"/><Relationship Id="rId7" Type="http://schemas.openxmlformats.org/officeDocument/2006/relationships/image" Target="media/image1.png"/><Relationship Id="rId12" Type="http://schemas.openxmlformats.org/officeDocument/2006/relationships/hyperlink" Target="https://www.capturemag.com.au/news/the-photography-resurgence-is-real-global-camera-sales-hit-another-milestone" TargetMode="External"/><Relationship Id="rId17" Type="http://schemas.openxmlformats.org/officeDocument/2006/relationships/hyperlink" Target="https://www.researchgate.net/publication/341152003_Exploring_Strategy_12th_editio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ir.nii.ac.jp/crid/1571417125052979584" TargetMode="External"/><Relationship Id="rId20" Type="http://schemas.openxmlformats.org/officeDocument/2006/relationships/hyperlink" Target="https://www.sony.eu/presscentre/sony-accelerates-target-to-achieve-a-zero-environmental-footprint-by-ten-yea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rp.org/reference/referencespapers?referenceid=3078000"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scirp.org/reference/referencespapers?referenceid=1209107" TargetMode="External"/><Relationship Id="rId23" Type="http://schemas.openxmlformats.org/officeDocument/2006/relationships/footer" Target="footer1.xml"/><Relationship Id="rId10" Type="http://schemas.openxmlformats.org/officeDocument/2006/relationships/hyperlink" Target="https://amateurphotographer.com/latest/photo-news/sony-dominates-canon-and-nikon-in-the-mirrorless-camera-market-for-the-third-year-running/" TargetMode="External"/><Relationship Id="rId19" Type="http://schemas.openxmlformats.org/officeDocument/2006/relationships/hyperlink" Target="https://www.prnewswire.com/news-releases/sony-electronics-releases-the-alpha-9-iii-the-worlds-first-full-frame-camera-with-a-global-shutter-systemi-301980040.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igitalcameraworld.com/cameras/kodak-tops-compact-camera-charts-canon-reigns-for-dslr-sales-and-sony-dominates-mirrorless-market-in-japan-h1-2025" TargetMode="External"/><Relationship Id="rId22" Type="http://schemas.openxmlformats.org/officeDocument/2006/relationships/hyperlink" Target="https://www.thephoblographer.com/2025/05/23/nikon-beats-sony-and-canon-in-an-unlikely-w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30</Pages>
  <Words>8428</Words>
  <Characters>48045</Characters>
  <Application>Microsoft Office Word</Application>
  <DocSecurity>0</DocSecurity>
  <Lines>400</Lines>
  <Paragraphs>112</Paragraphs>
  <ScaleCrop>false</ScaleCrop>
  <Company/>
  <LinksUpToDate>false</LinksUpToDate>
  <CharactersWithSpaces>56361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Patel, Krina (2025)</cp:lastModifiedBy>
  <cp:revision>8</cp:revision>
  <dcterms:created xsi:type="dcterms:W3CDTF">2026-08-12T09:32:00Z</dcterms:created>
  <dcterms:modified xsi:type="dcterms:W3CDTF">2026-08-12T11:26:00Z</dcterms:modified>
</cp:coreProperties>
</file>