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C97BA" w14:textId="77777777" w:rsidR="00ED1049" w:rsidRPr="0056541D" w:rsidRDefault="00ED1049" w:rsidP="003B25BF">
      <w:pPr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4058AD2" w14:textId="27A13B25" w:rsidR="00ED1049" w:rsidRPr="0056541D" w:rsidRDefault="005F02D7" w:rsidP="003B25BF">
      <w:pPr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56541D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56F51C6E" wp14:editId="3C3A677F">
            <wp:simplePos x="0" y="0"/>
            <wp:positionH relativeFrom="margin">
              <wp:posOffset>83820</wp:posOffset>
            </wp:positionH>
            <wp:positionV relativeFrom="paragraph">
              <wp:posOffset>251460</wp:posOffset>
            </wp:positionV>
            <wp:extent cx="3575050" cy="1257300"/>
            <wp:effectExtent l="0" t="0" r="0" b="0"/>
            <wp:wrapSquare wrapText="bothSides"/>
            <wp:docPr id="193300602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AB6260" w14:textId="77777777" w:rsidR="00ED1049" w:rsidRPr="0056541D" w:rsidRDefault="00ED1049" w:rsidP="003B25BF">
      <w:pPr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0E9A64F" w14:textId="77777777" w:rsidR="00ED1049" w:rsidRPr="0056541D" w:rsidRDefault="00ED1049" w:rsidP="003B25BF">
      <w:pPr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7E9E0FB1" w14:textId="77777777" w:rsidR="00ED1049" w:rsidRPr="0056541D" w:rsidRDefault="00ED1049" w:rsidP="003B25BF">
      <w:pPr>
        <w:spacing w:line="360" w:lineRule="auto"/>
        <w:ind w:left="426"/>
        <w:rPr>
          <w:rFonts w:ascii="Arial" w:hAnsi="Arial" w:cs="Arial"/>
        </w:rPr>
      </w:pPr>
    </w:p>
    <w:p w14:paraId="10CD0831" w14:textId="77777777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</w:rPr>
      </w:pPr>
    </w:p>
    <w:p w14:paraId="24C00244" w14:textId="11795759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56541D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56541D">
        <w:rPr>
          <w:rFonts w:ascii="Arial" w:hAnsi="Arial" w:cs="Arial"/>
          <w:sz w:val="28"/>
          <w:szCs w:val="28"/>
          <w:lang w:val="nl-NL"/>
        </w:rPr>
        <w:t>:</w:t>
      </w:r>
      <w:r w:rsidR="005D5D7C" w:rsidRPr="0056541D">
        <w:rPr>
          <w:rFonts w:ascii="Arial" w:hAnsi="Arial" w:cs="Arial"/>
          <w:sz w:val="28"/>
          <w:szCs w:val="28"/>
          <w:lang w:val="nl-NL"/>
        </w:rPr>
        <w:t xml:space="preserve"> Binta Drammeh</w:t>
      </w:r>
    </w:p>
    <w:p w14:paraId="7523A299" w14:textId="2C30E665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56541D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56541D">
        <w:rPr>
          <w:rFonts w:ascii="Arial" w:hAnsi="Arial" w:cs="Arial"/>
          <w:sz w:val="28"/>
          <w:szCs w:val="28"/>
          <w:lang w:val="nl-NL"/>
        </w:rPr>
        <w:t>:</w:t>
      </w:r>
      <w:r w:rsidR="005D5D7C" w:rsidRPr="0056541D">
        <w:rPr>
          <w:rFonts w:ascii="Arial" w:hAnsi="Arial" w:cs="Arial"/>
          <w:sz w:val="28"/>
          <w:szCs w:val="28"/>
          <w:lang w:val="nl-NL"/>
        </w:rPr>
        <w:t>2317261</w:t>
      </w:r>
    </w:p>
    <w:p w14:paraId="7321B4C0" w14:textId="77777777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6F201C9D" w14:textId="25FFBCC0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56541D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56541D">
        <w:rPr>
          <w:rFonts w:ascii="Arial" w:hAnsi="Arial" w:cs="Arial"/>
          <w:sz w:val="28"/>
          <w:szCs w:val="28"/>
          <w:lang w:val="nl-NL"/>
        </w:rPr>
        <w:t xml:space="preserve">: </w:t>
      </w:r>
      <w:r w:rsidR="005D5D7C" w:rsidRPr="0056541D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shd w:val="clear" w:color="auto" w:fill="FFFFFF"/>
        </w:rPr>
        <w:t>Empowering the Older Person</w:t>
      </w:r>
      <w:r w:rsidR="005D5D7C" w:rsidRPr="0056541D">
        <w:rPr>
          <w:rFonts w:ascii="Arial" w:hAnsi="Arial" w:cs="Arial"/>
          <w:b/>
          <w:bCs/>
          <w:color w:val="1D2125"/>
          <w:sz w:val="28"/>
          <w:szCs w:val="28"/>
          <w:shd w:val="clear" w:color="auto" w:fill="FFFFFF"/>
        </w:rPr>
        <w:t>.</w:t>
      </w:r>
    </w:p>
    <w:p w14:paraId="3DF69E68" w14:textId="42B9E8AB" w:rsidR="00ED1049" w:rsidRPr="0056541D" w:rsidRDefault="00ED104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56541D">
        <w:rPr>
          <w:rFonts w:ascii="Arial" w:hAnsi="Arial" w:cs="Arial"/>
          <w:b/>
          <w:bCs/>
          <w:sz w:val="28"/>
          <w:szCs w:val="28"/>
        </w:rPr>
        <w:t>Module code</w:t>
      </w:r>
      <w:r w:rsidRPr="0056541D">
        <w:rPr>
          <w:rFonts w:ascii="Arial" w:hAnsi="Arial" w:cs="Arial"/>
          <w:sz w:val="28"/>
          <w:szCs w:val="28"/>
        </w:rPr>
        <w:t>:</w:t>
      </w:r>
      <w:r w:rsidR="005D5D7C" w:rsidRPr="0056541D">
        <w:rPr>
          <w:rFonts w:ascii="Arial" w:hAnsi="Arial" w:cs="Arial"/>
          <w:sz w:val="28"/>
          <w:szCs w:val="28"/>
        </w:rPr>
        <w:t xml:space="preserve"> </w:t>
      </w:r>
      <w:r w:rsidR="005D5D7C" w:rsidRPr="0056541D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shd w:val="clear" w:color="auto" w:fill="FFFFFF"/>
        </w:rPr>
        <w:t>BMHP6027</w:t>
      </w:r>
    </w:p>
    <w:p w14:paraId="3927E0DC" w14:textId="36E300FF" w:rsidR="00ED1049" w:rsidRPr="0056541D" w:rsidRDefault="00FB49B9" w:rsidP="003B25BF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56541D">
        <w:rPr>
          <w:rFonts w:ascii="Arial" w:hAnsi="Arial" w:cs="Arial"/>
          <w:b/>
          <w:bCs/>
          <w:sz w:val="28"/>
          <w:szCs w:val="28"/>
        </w:rPr>
        <w:t>Lecturer</w:t>
      </w:r>
      <w:r w:rsidR="006D2642" w:rsidRPr="0056541D">
        <w:rPr>
          <w:rFonts w:ascii="Arial" w:hAnsi="Arial" w:cs="Arial"/>
          <w:b/>
          <w:bCs/>
          <w:sz w:val="28"/>
          <w:szCs w:val="28"/>
        </w:rPr>
        <w:t>’s</w:t>
      </w:r>
      <w:r w:rsidR="00ED1049" w:rsidRPr="0056541D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 w:rsidRPr="0056541D">
        <w:rPr>
          <w:rFonts w:ascii="Arial" w:hAnsi="Arial" w:cs="Arial"/>
          <w:sz w:val="28"/>
          <w:szCs w:val="28"/>
        </w:rPr>
        <w:t>:</w:t>
      </w:r>
      <w:r w:rsidR="003B25BF" w:rsidRPr="0056541D">
        <w:rPr>
          <w:rFonts w:ascii="Arial" w:hAnsi="Arial" w:cs="Arial"/>
          <w:sz w:val="28"/>
          <w:szCs w:val="28"/>
        </w:rPr>
        <w:t xml:space="preserve"> </w:t>
      </w:r>
      <w:r w:rsidR="003B25BF" w:rsidRPr="0056541D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shd w:val="clear" w:color="auto" w:fill="FFFFFF"/>
        </w:rPr>
        <w:t>Arif Ahmed</w:t>
      </w:r>
    </w:p>
    <w:p w14:paraId="49EA3309" w14:textId="77777777" w:rsidR="00ED1049" w:rsidRPr="0056541D" w:rsidRDefault="00ED1049" w:rsidP="003B25BF">
      <w:pPr>
        <w:spacing w:line="360" w:lineRule="auto"/>
        <w:rPr>
          <w:rFonts w:ascii="Arial" w:hAnsi="Arial" w:cs="Arial"/>
          <w:sz w:val="28"/>
          <w:szCs w:val="28"/>
        </w:rPr>
      </w:pPr>
    </w:p>
    <w:p w14:paraId="38B4B550" w14:textId="77777777" w:rsidR="00CC0A8F" w:rsidRPr="0056541D" w:rsidRDefault="00CC0A8F" w:rsidP="003B25BF">
      <w:pPr>
        <w:spacing w:line="360" w:lineRule="auto"/>
        <w:rPr>
          <w:rFonts w:ascii="Arial" w:hAnsi="Arial" w:cs="Arial"/>
        </w:rPr>
      </w:pPr>
      <w:r w:rsidRPr="0056541D">
        <w:rPr>
          <w:rFonts w:ascii="Arial" w:hAnsi="Arial" w:cs="Arial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30"/>
        <w:gridCol w:w="416"/>
        <w:gridCol w:w="4497"/>
        <w:gridCol w:w="360"/>
        <w:gridCol w:w="4587"/>
      </w:tblGrid>
      <w:tr w:rsidR="00346FFA" w:rsidRPr="0056541D" w14:paraId="0CB75655" w14:textId="77777777" w:rsidTr="00EB6F36">
        <w:trPr>
          <w:trHeight w:val="2393"/>
          <w:jc w:val="center"/>
        </w:trPr>
        <w:tc>
          <w:tcPr>
            <w:tcW w:w="4534" w:type="dxa"/>
          </w:tcPr>
          <w:p w14:paraId="079C9E20" w14:textId="44AC7324" w:rsidR="00EB6F36" w:rsidRPr="0056541D" w:rsidRDefault="005F02D7" w:rsidP="003B25BF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6541D">
              <w:rPr>
                <w:rFonts w:ascii="Arial" w:hAnsi="Arial" w:cs="Arial"/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359CE7F8" wp14:editId="65A34C21">
                      <wp:extent cx="304800" cy="304800"/>
                      <wp:effectExtent l="0" t="0" r="0" b="0"/>
                      <wp:docPr id="959515718" name="Rectangl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D7B971" id="Rectangl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E6ADFDC" w14:textId="38038A6A" w:rsidR="00EB6F36" w:rsidRPr="0056541D" w:rsidRDefault="00BA719F" w:rsidP="003B25BF">
            <w:pPr>
              <w:tabs>
                <w:tab w:val="left" w:pos="960"/>
              </w:tabs>
              <w:spacing w:line="360" w:lineRule="auto"/>
              <w:rPr>
                <w:rFonts w:ascii="Arial" w:hAnsi="Arial" w:cs="Arial"/>
                <w:noProof/>
              </w:rPr>
            </w:pPr>
            <w:r w:rsidRPr="0056541D">
              <w:rPr>
                <w:rFonts w:ascii="Arial" w:hAnsi="Arial" w:cs="Arial"/>
                <w:noProof/>
              </w:rPr>
              <w:tab/>
            </w:r>
          </w:p>
          <w:p w14:paraId="6D34B2C5" w14:textId="6E188C66" w:rsidR="00346FFA" w:rsidRPr="0056541D" w:rsidRDefault="005F02D7" w:rsidP="003B25BF">
            <w:pPr>
              <w:spacing w:line="360" w:lineRule="auto"/>
              <w:rPr>
                <w:rFonts w:ascii="Arial" w:hAnsi="Arial" w:cs="Arial"/>
              </w:rPr>
            </w:pPr>
            <w:r w:rsidRPr="0056541D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3674CBE0" wp14:editId="33D0D8C3">
                      <wp:extent cx="304800" cy="304800"/>
                      <wp:effectExtent l="0" t="0" r="0" b="0"/>
                      <wp:docPr id="524195617" name="Rectangl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AB28F8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6541D">
              <w:rPr>
                <w:rFonts w:ascii="Arial" w:hAnsi="Arial" w:cs="Arial"/>
                <w:noProof/>
              </w:rPr>
              <w:drawing>
                <wp:inline distT="0" distB="0" distL="0" distR="0" wp14:anchorId="2CF81A12" wp14:editId="6539505F">
                  <wp:extent cx="2834640" cy="2255520"/>
                  <wp:effectExtent l="0" t="0" r="0" b="0"/>
                  <wp:docPr id="14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91FC6B" w14:textId="77777777" w:rsidR="000900D2" w:rsidRPr="0056541D" w:rsidRDefault="000900D2" w:rsidP="003B25BF">
            <w:pPr>
              <w:spacing w:line="360" w:lineRule="auto"/>
              <w:rPr>
                <w:rFonts w:ascii="Arial" w:hAnsi="Arial" w:cs="Arial"/>
              </w:rPr>
            </w:pPr>
          </w:p>
          <w:p w14:paraId="051AB12D" w14:textId="591C6E50" w:rsidR="000900D2" w:rsidRPr="0056541D" w:rsidRDefault="000900D2" w:rsidP="003B25BF">
            <w:pPr>
              <w:tabs>
                <w:tab w:val="left" w:pos="1128"/>
              </w:tabs>
              <w:spacing w:line="360" w:lineRule="auto"/>
              <w:rPr>
                <w:rFonts w:ascii="Arial" w:hAnsi="Arial" w:cs="Arial"/>
              </w:rPr>
            </w:pPr>
            <w:r w:rsidRPr="0056541D">
              <w:rPr>
                <w:rFonts w:ascii="Arial" w:hAnsi="Arial" w:cs="Arial"/>
              </w:rPr>
              <w:t>This model highlights that promoting health, participation and security is essential for supporting independence and empowerment in older people. However, inequalities in access to services may limit its effectiveness.</w:t>
            </w:r>
          </w:p>
        </w:tc>
        <w:tc>
          <w:tcPr>
            <w:tcW w:w="416" w:type="dxa"/>
            <w:vMerge w:val="restart"/>
          </w:tcPr>
          <w:p w14:paraId="6C0BABF0" w14:textId="77777777" w:rsidR="00346FFA" w:rsidRPr="0056541D" w:rsidRDefault="00346FFA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16D016EB" w14:textId="66C5B1E9" w:rsidR="00B67824" w:rsidRPr="0056541D" w:rsidRDefault="00CA0404" w:rsidP="003B25BF">
            <w:pPr>
              <w:pStyle w:val="Heading1"/>
              <w:spacing w:line="360" w:lineRule="auto"/>
              <w:rPr>
                <w:rStyle w:val="Heading1Char"/>
                <w:rFonts w:ascii="Arial" w:hAnsi="Arial" w:cs="Arial"/>
                <w:b/>
                <w:szCs w:val="28"/>
              </w:rPr>
            </w:pPr>
            <w:r w:rsidRPr="0056541D">
              <w:rPr>
                <w:rFonts w:ascii="Arial" w:hAnsi="Arial" w:cs="Arial"/>
                <w:szCs w:val="28"/>
              </w:rPr>
              <w:t xml:space="preserve">Care, Empowerment and Support Needs of Older </w:t>
            </w:r>
            <w:proofErr w:type="spellStart"/>
            <w:r w:rsidRPr="0056541D">
              <w:rPr>
                <w:rFonts w:ascii="Arial" w:hAnsi="Arial" w:cs="Arial"/>
                <w:szCs w:val="28"/>
              </w:rPr>
              <w:t>Peopl</w:t>
            </w:r>
            <w:proofErr w:type="spellEnd"/>
          </w:p>
          <w:p w14:paraId="704501BE" w14:textId="77777777" w:rsidR="00CA0404" w:rsidRPr="0056541D" w:rsidRDefault="00CA0404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Older people have complex and interconnected needs that are essential for maintaining independence and quality of life.</w:t>
            </w:r>
          </w:p>
          <w:p w14:paraId="2260DB66" w14:textId="2EBA01B4" w:rsidR="00CA0404" w:rsidRPr="0056541D" w:rsidRDefault="00CA0404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Physical needs</w:t>
            </w:r>
            <w:r w:rsidR="004E19B6">
              <w:rPr>
                <w:rStyle w:val="Strong"/>
                <w:rFonts w:ascii="Arial" w:hAnsi="Arial" w:cs="Arial"/>
                <w:sz w:val="22"/>
                <w:szCs w:val="22"/>
              </w:rPr>
              <w:t xml:space="preserve">. </w:t>
            </w:r>
            <w:r w:rsidR="004E19B6" w:rsidRPr="004E19B6">
              <w:rPr>
                <w:rFonts w:ascii="Arial" w:hAnsi="Arial" w:cs="Arial"/>
                <w:sz w:val="22"/>
                <w:szCs w:val="22"/>
              </w:rPr>
              <w:t>I</w:t>
            </w:r>
            <w:r w:rsidRPr="0056541D">
              <w:rPr>
                <w:rFonts w:ascii="Arial" w:hAnsi="Arial" w:cs="Arial"/>
                <w:sz w:val="22"/>
                <w:szCs w:val="22"/>
              </w:rPr>
              <w:t>nclude managing chronic conditions, mobility, and frailty (Clegg et al., 2013). However, increasing demand means services are often overstretched, limiting effective support.</w:t>
            </w:r>
          </w:p>
          <w:p w14:paraId="78CD97D1" w14:textId="4921DF9A" w:rsidR="00CA0404" w:rsidRPr="0056541D" w:rsidRDefault="00CA0404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Psychological needs</w:t>
            </w: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.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19B6">
              <w:rPr>
                <w:rFonts w:ascii="Arial" w:hAnsi="Arial" w:cs="Arial"/>
                <w:sz w:val="22"/>
                <w:szCs w:val="22"/>
              </w:rPr>
              <w:t>S</w:t>
            </w:r>
            <w:r w:rsidRPr="0056541D">
              <w:rPr>
                <w:rFonts w:ascii="Arial" w:hAnsi="Arial" w:cs="Arial"/>
                <w:sz w:val="22"/>
                <w:szCs w:val="22"/>
              </w:rPr>
              <w:t>uch as dementia, depression, and anxiety are common, yet mental health services for older adults remain underdeveloped (NICE, 2021).</w:t>
            </w:r>
          </w:p>
          <w:p w14:paraId="02461CDF" w14:textId="18485BB9" w:rsidR="00CA0404" w:rsidRPr="0056541D" w:rsidRDefault="00CA0404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Social needs</w:t>
            </w:r>
            <w:r w:rsidRPr="0056541D">
              <w:rPr>
                <w:rFonts w:ascii="Arial" w:hAnsi="Arial" w:cs="Arial"/>
                <w:sz w:val="22"/>
                <w:szCs w:val="22"/>
              </w:rPr>
              <w:t>.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19B6">
              <w:rPr>
                <w:rFonts w:ascii="Arial" w:hAnsi="Arial" w:cs="Arial"/>
                <w:sz w:val="22"/>
                <w:szCs w:val="22"/>
              </w:rPr>
              <w:t>I</w:t>
            </w:r>
            <w:r w:rsidRPr="0056541D">
              <w:rPr>
                <w:rFonts w:ascii="Arial" w:hAnsi="Arial" w:cs="Arial"/>
                <w:sz w:val="22"/>
                <w:szCs w:val="22"/>
              </w:rPr>
              <w:t>ncluding reducing loneliness and isolation, are critical for wellbeing (Gardiner et al., 2018). Despite this, access to community support is inconsistent.</w:t>
            </w:r>
          </w:p>
          <w:p w14:paraId="56CE58DF" w14:textId="77777777" w:rsidR="00CA0404" w:rsidRPr="0056541D" w:rsidRDefault="00CA0404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 xml:space="preserve">Empowerment focuses on maintaining </w:t>
            </w:r>
            <w:r w:rsidRPr="0056541D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independence, choice, and dignity</w:t>
            </w:r>
            <w:r w:rsidRPr="005654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However, structural issues such as funding constraints and workforce shortages </w:t>
            </w:r>
            <w:r w:rsidRPr="0056541D">
              <w:rPr>
                <w:rFonts w:ascii="Arial" w:hAnsi="Arial" w:cs="Arial"/>
                <w:sz w:val="22"/>
                <w:szCs w:val="22"/>
              </w:rPr>
              <w:lastRenderedPageBreak/>
              <w:t>reduce the ability of services to fully support these needs.</w:t>
            </w:r>
          </w:p>
          <w:p w14:paraId="480BEB3F" w14:textId="73BA9C40" w:rsidR="00EB6F36" w:rsidRPr="0056541D" w:rsidRDefault="00EB6F36" w:rsidP="003B25B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0C4C9A5E" w14:textId="77777777" w:rsidR="00346FFA" w:rsidRPr="0056541D" w:rsidRDefault="00346FFA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BDE799B" w14:textId="2F8073B1" w:rsidR="00346FFA" w:rsidRPr="0056541D" w:rsidRDefault="005F02D7" w:rsidP="003B25BF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6541D">
              <w:rPr>
                <w:rFonts w:ascii="Arial" w:hAnsi="Arial" w:cs="Arial"/>
                <w:noProof/>
              </w:rPr>
              <w:drawing>
                <wp:inline distT="0" distB="0" distL="0" distR="0" wp14:anchorId="162E22E2" wp14:editId="7257DB2E">
                  <wp:extent cx="2811780" cy="2865120"/>
                  <wp:effectExtent l="0" t="0" r="0" b="0"/>
                  <wp:docPr id="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780" cy="286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4124C8" w14:textId="77777777" w:rsidR="00AF2AD6" w:rsidRPr="0056541D" w:rsidRDefault="00AF2AD6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  <w:p w14:paraId="71CAD0C0" w14:textId="14080DA5" w:rsidR="00AF2AD6" w:rsidRPr="0056541D" w:rsidRDefault="00AF2AD6" w:rsidP="003B25BF">
            <w:pPr>
              <w:spacing w:line="360" w:lineRule="auto"/>
              <w:rPr>
                <w:rFonts w:ascii="Arial" w:hAnsi="Arial" w:cs="Arial"/>
              </w:rPr>
            </w:pPr>
            <w:r w:rsidRPr="0056541D">
              <w:rPr>
                <w:rStyle w:val="Strong"/>
                <w:rFonts w:ascii="Arial" w:hAnsi="Arial" w:cs="Arial"/>
                <w:sz w:val="28"/>
                <w:szCs w:val="28"/>
              </w:rPr>
              <w:t>Integrated Care Approach (UK)</w:t>
            </w:r>
            <w:r w:rsidRPr="0056541D">
              <w:rPr>
                <w:rFonts w:ascii="Arial" w:hAnsi="Arial" w:cs="Arial"/>
              </w:rPr>
              <w:br/>
              <w:t>Combines health care, social care and community support to promote independence in older people.</w:t>
            </w:r>
            <w:r w:rsidRPr="0056541D">
              <w:rPr>
                <w:rFonts w:ascii="Arial" w:hAnsi="Arial" w:cs="Arial"/>
              </w:rPr>
              <w:br/>
              <w:t>However, funding pressures and inconsistent implementation limit its effectiveness.</w:t>
            </w:r>
          </w:p>
        </w:tc>
      </w:tr>
      <w:tr w:rsidR="00346FFA" w:rsidRPr="0056541D" w14:paraId="65550E53" w14:textId="77777777" w:rsidTr="00EB6F36">
        <w:trPr>
          <w:trHeight w:val="272"/>
          <w:jc w:val="center"/>
        </w:trPr>
        <w:tc>
          <w:tcPr>
            <w:tcW w:w="4534" w:type="dxa"/>
          </w:tcPr>
          <w:p w14:paraId="7077A2AA" w14:textId="77777777" w:rsidR="00346FFA" w:rsidRPr="0056541D" w:rsidRDefault="00346FFA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8A83EE8" w14:textId="77777777" w:rsidR="00346FFA" w:rsidRPr="0056541D" w:rsidRDefault="00346FFA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29821A88" w14:textId="77777777" w:rsidR="00346FFA" w:rsidRPr="0056541D" w:rsidRDefault="00346FFA" w:rsidP="003B25BF">
            <w:pPr>
              <w:spacing w:line="360" w:lineRule="auto"/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7F409B7C" w14:textId="77777777" w:rsidR="00346FFA" w:rsidRPr="0056541D" w:rsidRDefault="00346FFA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6C99DA35" w14:textId="77777777" w:rsidR="00346FFA" w:rsidRPr="0056541D" w:rsidRDefault="00346FFA" w:rsidP="003B25BF">
            <w:pPr>
              <w:pStyle w:val="NoSpacing"/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56541D" w14:paraId="400A4B2F" w14:textId="77777777" w:rsidTr="00EB6F36">
        <w:trPr>
          <w:trHeight w:val="483"/>
          <w:jc w:val="center"/>
        </w:trPr>
        <w:tc>
          <w:tcPr>
            <w:tcW w:w="4534" w:type="dxa"/>
            <w:vMerge w:val="restart"/>
          </w:tcPr>
          <w:p w14:paraId="2AA03C2D" w14:textId="77777777" w:rsidR="00B721C2" w:rsidRPr="0056541D" w:rsidRDefault="00B721C2" w:rsidP="003B25BF">
            <w:pPr>
              <w:spacing w:before="100" w:beforeAutospacing="1" w:after="100" w:afterAutospacing="1" w:line="360" w:lineRule="auto"/>
              <w:outlineLvl w:val="2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6541D">
              <w:rPr>
                <w:rFonts w:ascii="Arial" w:hAnsi="Arial" w:cs="Arial"/>
                <w:b/>
                <w:bCs/>
                <w:sz w:val="28"/>
                <w:szCs w:val="28"/>
              </w:rPr>
              <w:t>Introduction to Ageing and</w:t>
            </w:r>
            <w:r w:rsidRPr="0056541D">
              <w:rPr>
                <w:rFonts w:ascii="Arial" w:hAnsi="Arial" w:cs="Arial"/>
                <w:b/>
                <w:bCs/>
              </w:rPr>
              <w:t xml:space="preserve"> </w:t>
            </w:r>
            <w:r w:rsidRPr="0056541D">
              <w:rPr>
                <w:rFonts w:ascii="Arial" w:hAnsi="Arial" w:cs="Arial"/>
                <w:b/>
                <w:bCs/>
                <w:sz w:val="28"/>
                <w:szCs w:val="28"/>
              </w:rPr>
              <w:t>Empowerment</w:t>
            </w:r>
            <w:r w:rsidRPr="0056541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  <w:p w14:paraId="6AC97ADD" w14:textId="6C8BAC6E" w:rsidR="00B721C2" w:rsidRPr="00B721C2" w:rsidRDefault="00CA0404" w:rsidP="003B25BF">
            <w:pPr>
              <w:spacing w:before="100" w:beforeAutospacing="1" w:after="100" w:afterAutospacing="1" w:line="360" w:lineRule="auto"/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en-GB"/>
              </w:rPr>
            </w:pPr>
            <w:r w:rsidRPr="0056541D"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en-GB"/>
              </w:rPr>
              <w:t>Introduction</w:t>
            </w:r>
          </w:p>
          <w:p w14:paraId="4E7B53CA" w14:textId="77777777" w:rsidR="00B721C2" w:rsidRPr="00B721C2" w:rsidRDefault="00B721C2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B721C2">
              <w:rPr>
                <w:rFonts w:ascii="Arial" w:eastAsia="Times New Roman" w:hAnsi="Arial" w:cs="Arial"/>
                <w:lang w:val="en-GB" w:eastAsia="en-GB"/>
              </w:rPr>
              <w:t>The ageing population in the UK is rapidly increasing, with over 11 million people aged 65 and over (19% of the population) (ONS, 2023). This places growing pressure on health and social care services.</w:t>
            </w:r>
          </w:p>
          <w:p w14:paraId="6C4A4E9D" w14:textId="77777777" w:rsidR="00B721C2" w:rsidRPr="00B721C2" w:rsidRDefault="00B721C2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B721C2">
              <w:rPr>
                <w:rFonts w:ascii="Arial" w:eastAsia="Times New Roman" w:hAnsi="Arial" w:cs="Arial"/>
                <w:lang w:val="en-GB" w:eastAsia="en-GB"/>
              </w:rPr>
              <w:t>Older people often experience complex physical, psychological and social needs, making effective care and support essential. Empowerment focuses on maintaining independence, autonomy and quality of life (WHO, 2015).</w:t>
            </w:r>
          </w:p>
          <w:p w14:paraId="79B6BBE4" w14:textId="29F0E0DA" w:rsidR="00B721C2" w:rsidRPr="00B721C2" w:rsidRDefault="00B721C2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</w:p>
          <w:p w14:paraId="562F6598" w14:textId="66D10FC3" w:rsidR="00EB6F36" w:rsidRPr="0056541D" w:rsidRDefault="00EB6F36" w:rsidP="003B25BF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7359665C" w14:textId="77777777" w:rsidR="004642F0" w:rsidRPr="0056541D" w:rsidRDefault="004642F0" w:rsidP="003B25BF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47B8D813" w14:textId="77777777" w:rsidR="004642F0" w:rsidRPr="0056541D" w:rsidRDefault="004642F0" w:rsidP="003B25BF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19462619" w14:textId="77777777" w:rsidR="004642F0" w:rsidRPr="0056541D" w:rsidRDefault="004642F0" w:rsidP="003B25BF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333054B7" w14:textId="670845D0" w:rsidR="00B67824" w:rsidRPr="0056541D" w:rsidRDefault="00AF2AD6" w:rsidP="003B25BF">
            <w:pPr>
              <w:pStyle w:val="Heading1"/>
              <w:spacing w:line="360" w:lineRule="auto"/>
              <w:rPr>
                <w:rFonts w:ascii="Arial" w:hAnsi="Arial" w:cs="Arial"/>
                <w:szCs w:val="28"/>
              </w:rPr>
            </w:pPr>
            <w:r w:rsidRPr="004E19B6">
              <w:rPr>
                <w:rFonts w:ascii="Arial" w:hAnsi="Arial" w:cs="Arial"/>
                <w:szCs w:val="28"/>
              </w:rPr>
              <w:t>Challenges to Independence</w:t>
            </w:r>
            <w:r w:rsidRPr="0056541D">
              <w:rPr>
                <w:rFonts w:ascii="Arial" w:hAnsi="Arial" w:cs="Arial"/>
                <w:szCs w:val="28"/>
              </w:rPr>
              <w:t xml:space="preserve"> and </w:t>
            </w:r>
          </w:p>
          <w:p w14:paraId="0BEF1F48" w14:textId="24D4D54F" w:rsidR="00512D3F" w:rsidRPr="0056541D" w:rsidRDefault="00512D3F" w:rsidP="003B25BF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56541D">
              <w:rPr>
                <w:rFonts w:ascii="Arial" w:hAnsi="Arial" w:cs="Arial"/>
                <w:b/>
                <w:sz w:val="28"/>
                <w:szCs w:val="28"/>
              </w:rPr>
              <w:t>Functional Ability</w:t>
            </w:r>
          </w:p>
          <w:p w14:paraId="0398DA85" w14:textId="77777777" w:rsidR="00512D3F" w:rsidRPr="0056541D" w:rsidRDefault="00512D3F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Older people face several challenges that affect their ability to remain independent and maintain functional ability.</w:t>
            </w:r>
          </w:p>
          <w:p w14:paraId="1A03C5EF" w14:textId="309CFBAB" w:rsidR="00512D3F" w:rsidRPr="0056541D" w:rsidRDefault="00512D3F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Physical challenges</w:t>
            </w:r>
            <w:r w:rsidR="004E19B6">
              <w:t>. S</w:t>
            </w:r>
            <w:r w:rsidRPr="0056541D">
              <w:rPr>
                <w:rFonts w:ascii="Arial" w:hAnsi="Arial" w:cs="Arial"/>
                <w:sz w:val="22"/>
                <w:szCs w:val="22"/>
              </w:rPr>
              <w:t>uch as frailty, chronic illness and reduced mobility can limit daily activities (Clegg et al., 2013).</w:t>
            </w:r>
          </w:p>
          <w:p w14:paraId="1DCD1C58" w14:textId="45D8197F" w:rsidR="00512D3F" w:rsidRPr="0056541D" w:rsidRDefault="00512D3F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 xml:space="preserve">Psychological </w:t>
            </w:r>
            <w:r w:rsidR="004E19B6" w:rsidRPr="0056541D">
              <w:rPr>
                <w:rStyle w:val="Strong"/>
                <w:rFonts w:ascii="Arial" w:hAnsi="Arial" w:cs="Arial"/>
                <w:sz w:val="22"/>
                <w:szCs w:val="22"/>
              </w:rPr>
              <w:t>challenges</w:t>
            </w:r>
            <w:r w:rsidR="004E19B6">
              <w:t>.</w:t>
            </w:r>
            <w:r w:rsidR="004E19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19B6" w:rsidRPr="0056541D">
              <w:rPr>
                <w:rFonts w:ascii="Arial" w:hAnsi="Arial" w:cs="Arial"/>
                <w:sz w:val="22"/>
                <w:szCs w:val="22"/>
              </w:rPr>
              <w:t>Including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 dementia, depression and anxiety, can reduce confidence and decision-making ability (NICE, 2021).</w:t>
            </w:r>
          </w:p>
          <w:p w14:paraId="60C5307C" w14:textId="6DAD39AF" w:rsidR="00512D3F" w:rsidRPr="0056541D" w:rsidRDefault="00512D3F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 xml:space="preserve">Social </w:t>
            </w:r>
            <w:r w:rsidR="004E19B6" w:rsidRPr="0056541D">
              <w:rPr>
                <w:rStyle w:val="Strong"/>
                <w:rFonts w:ascii="Arial" w:hAnsi="Arial" w:cs="Arial"/>
                <w:sz w:val="22"/>
                <w:szCs w:val="22"/>
              </w:rPr>
              <w:t>challenges</w:t>
            </w:r>
            <w:r w:rsidR="004E19B6">
              <w:rPr>
                <w:rStyle w:val="Strong"/>
                <w:rFonts w:ascii="Arial" w:hAnsi="Arial" w:cs="Arial"/>
                <w:sz w:val="22"/>
                <w:szCs w:val="22"/>
              </w:rPr>
              <w:t>.</w:t>
            </w:r>
            <w:r w:rsidR="004E19B6" w:rsidRPr="0056541D">
              <w:rPr>
                <w:rFonts w:ascii="Arial" w:hAnsi="Arial" w:cs="Arial"/>
                <w:sz w:val="22"/>
                <w:szCs w:val="22"/>
              </w:rPr>
              <w:t xml:space="preserve"> Such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 as loneliness and isolation are common and negatively impact wellbeing (Gardiner et al., 2018).</w:t>
            </w:r>
          </w:p>
          <w:p w14:paraId="055B9F38" w14:textId="23CEA077" w:rsidR="00512D3F" w:rsidRPr="0056541D" w:rsidRDefault="0056541D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2"/>
                <w:szCs w:val="22"/>
              </w:rPr>
              <w:t>Digital exclusion</w:t>
            </w:r>
            <w:r w:rsidR="004E19B6">
              <w:rPr>
                <w:rStyle w:val="Strong"/>
                <w:rFonts w:ascii="Arial" w:hAnsi="Arial" w:cs="Arial"/>
                <w:sz w:val="22"/>
                <w:szCs w:val="22"/>
              </w:rPr>
              <w:t>.</w:t>
            </w:r>
            <w:r w:rsidR="00512D3F" w:rsidRPr="005654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19B6">
              <w:rPr>
                <w:rFonts w:ascii="Arial" w:hAnsi="Arial" w:cs="Arial"/>
                <w:sz w:val="22"/>
                <w:szCs w:val="22"/>
              </w:rPr>
              <w:t>A</w:t>
            </w:r>
            <w:r w:rsidR="00512D3F" w:rsidRPr="0056541D">
              <w:rPr>
                <w:rFonts w:ascii="Arial" w:hAnsi="Arial" w:cs="Arial"/>
                <w:sz w:val="22"/>
                <w:szCs w:val="22"/>
              </w:rPr>
              <w:t>lso limits access to services, particularly with the increasing use of technology in healthcare.</w:t>
            </w:r>
          </w:p>
          <w:p w14:paraId="6FE18A95" w14:textId="7AF5052F" w:rsidR="00512D3F" w:rsidRPr="0056541D" w:rsidRDefault="00512D3F" w:rsidP="003B25BF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41D">
              <w:rPr>
                <w:rStyle w:val="Strong"/>
                <w:rFonts w:ascii="Arial" w:hAnsi="Arial" w:cs="Arial"/>
                <w:sz w:val="28"/>
                <w:szCs w:val="28"/>
              </w:rPr>
              <w:t>Critical Insight</w:t>
            </w:r>
            <w:r w:rsidRPr="0056541D">
              <w:rPr>
                <w:rFonts w:ascii="Arial" w:hAnsi="Arial" w:cs="Arial"/>
                <w:sz w:val="22"/>
                <w:szCs w:val="22"/>
              </w:rPr>
              <w:br/>
              <w:t xml:space="preserve">These challenges highlight that maintaining independence is not only an individual issue </w:t>
            </w:r>
            <w:r w:rsidRPr="0056541D">
              <w:rPr>
                <w:rFonts w:ascii="Arial" w:hAnsi="Arial" w:cs="Arial"/>
                <w:sz w:val="22"/>
                <w:szCs w:val="22"/>
              </w:rPr>
              <w:lastRenderedPageBreak/>
              <w:t>but is influenced by wider social and structural factors.</w:t>
            </w:r>
          </w:p>
          <w:p w14:paraId="22322C7D" w14:textId="5D75601C" w:rsidR="00512D3F" w:rsidRPr="004E19B6" w:rsidRDefault="004E19B6" w:rsidP="003B25BF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</w:t>
            </w:r>
            <w:r w:rsidR="00512D3F" w:rsidRPr="0056541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Recommendations </w:t>
            </w:r>
          </w:p>
          <w:p w14:paraId="581176F0" w14:textId="5A593875" w:rsidR="0022251A" w:rsidRPr="0056541D" w:rsidRDefault="0022251A" w:rsidP="003B25BF">
            <w:pPr>
              <w:pStyle w:val="NormalWeb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Increase funding for social care to address workforce shortages</w:t>
            </w:r>
          </w:p>
          <w:p w14:paraId="310CC56E" w14:textId="77777777" w:rsidR="0022251A" w:rsidRPr="0056541D" w:rsidRDefault="0022251A" w:rsidP="003B25BF">
            <w:pPr>
              <w:pStyle w:val="NormalWeb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Improve digital inclusion through training and access to technology</w:t>
            </w:r>
          </w:p>
          <w:p w14:paraId="51FEEA8C" w14:textId="77777777" w:rsidR="0022251A" w:rsidRPr="0056541D" w:rsidRDefault="0022251A" w:rsidP="003B25BF">
            <w:pPr>
              <w:pStyle w:val="NormalWeb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Expand person-centred care to promote independence, choice and dignity</w:t>
            </w:r>
          </w:p>
          <w:p w14:paraId="3B78D1AE" w14:textId="77777777" w:rsidR="0022251A" w:rsidRPr="0056541D" w:rsidRDefault="0022251A" w:rsidP="003B25BF">
            <w:pPr>
              <w:pStyle w:val="NormalWeb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Strengthen community-based services to reduce loneliness and isolation</w:t>
            </w:r>
          </w:p>
          <w:p w14:paraId="2510CB5E" w14:textId="7E32A6DF" w:rsidR="0022251A" w:rsidRPr="0056541D" w:rsidRDefault="0022251A" w:rsidP="003B25BF">
            <w:pPr>
              <w:pStyle w:val="NormalWeb"/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Fonts w:ascii="Arial" w:hAnsi="Arial" w:cs="Arial"/>
                <w:sz w:val="22"/>
                <w:szCs w:val="22"/>
              </w:rPr>
              <w:t>These improvements would enhance</w:t>
            </w:r>
            <w:r w:rsidRPr="005654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541D">
              <w:rPr>
                <w:rFonts w:ascii="Arial" w:hAnsi="Arial" w:cs="Arial"/>
                <w:sz w:val="22"/>
                <w:szCs w:val="22"/>
              </w:rPr>
              <w:t>independence and quality of life for older people</w:t>
            </w:r>
          </w:p>
          <w:p w14:paraId="02169EBC" w14:textId="2A6812FD" w:rsidR="0022251A" w:rsidRPr="0056541D" w:rsidRDefault="0022251A" w:rsidP="003B25BF">
            <w:pPr>
              <w:pStyle w:val="NormalWeb"/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56541D">
              <w:rPr>
                <w:rStyle w:val="Strong"/>
                <w:rFonts w:ascii="Arial" w:hAnsi="Arial" w:cs="Arial"/>
                <w:sz w:val="28"/>
                <w:szCs w:val="28"/>
              </w:rPr>
              <w:t>Conclusion</w:t>
            </w:r>
            <w:r w:rsidRPr="0056541D">
              <w:rPr>
                <w:rFonts w:ascii="Arial" w:hAnsi="Arial" w:cs="Arial"/>
                <w:sz w:val="22"/>
                <w:szCs w:val="22"/>
              </w:rPr>
              <w:br/>
              <w:t xml:space="preserve">Older people require integrated and person-centred support to maintain independence and wellbeing. While UK services aim to promote empowerment, limitations in funding, </w:t>
            </w:r>
            <w:r w:rsidRPr="0056541D">
              <w:rPr>
                <w:rFonts w:ascii="Arial" w:hAnsi="Arial" w:cs="Arial"/>
                <w:sz w:val="22"/>
                <w:szCs w:val="22"/>
              </w:rPr>
              <w:lastRenderedPageBreak/>
              <w:t>access and implementation reduce effectiveness. Addressing these challenges is essential to ensure equitable and sustainable care.</w:t>
            </w:r>
          </w:p>
          <w:p w14:paraId="38D43537" w14:textId="3263DEEE" w:rsidR="00B67824" w:rsidRPr="0056541D" w:rsidRDefault="00B67824" w:rsidP="003B25B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56541D" w14:paraId="23FBF4EC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65F33080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D9883F4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1F0AFF3C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03EE613D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6B151CBA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56541D" w14:paraId="3A08099D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13EFC433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7046906C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44BD6DFD" w14:textId="77777777" w:rsidR="005C629B" w:rsidRPr="005C629B" w:rsidRDefault="005C629B" w:rsidP="003B25BF">
            <w:pPr>
              <w:spacing w:before="100" w:beforeAutospacing="1" w:after="100" w:afterAutospacing="1" w:line="360" w:lineRule="auto"/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en-GB"/>
              </w:rPr>
              <w:t>Effectiveness of UK Policies, Interventions and Theoretical Approaches</w:t>
            </w:r>
          </w:p>
          <w:p w14:paraId="7D793EFB" w14:textId="77777777" w:rsidR="005C629B" w:rsidRPr="005C629B" w:rsidRDefault="005C629B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lang w:val="en-GB" w:eastAsia="en-GB"/>
              </w:rPr>
              <w:t>UK policies and interventions aim to support older people’s independence and wellbeing.</w:t>
            </w:r>
          </w:p>
          <w:p w14:paraId="2F7225A3" w14:textId="77777777" w:rsidR="005C629B" w:rsidRPr="005C629B" w:rsidRDefault="005C629B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lang w:val="en-GB" w:eastAsia="en-GB"/>
              </w:rPr>
              <w:t>The Care Act 2014 promotes person-centred care and independence. However, funding constraints and workforce shortages limit its effectiveness in practice. The NHS</w:t>
            </w:r>
            <w:r w:rsidRPr="005C629B">
              <w:rPr>
                <w:rFonts w:ascii="Arial" w:eastAsia="Times New Roman" w:hAnsi="Arial" w:cs="Arial"/>
                <w:b/>
                <w:bCs/>
                <w:lang w:val="en-GB" w:eastAsia="en-GB"/>
              </w:rPr>
              <w:t xml:space="preserve"> </w:t>
            </w:r>
            <w:r w:rsidRPr="005C629B">
              <w:rPr>
                <w:rFonts w:ascii="Arial" w:eastAsia="Times New Roman" w:hAnsi="Arial" w:cs="Arial"/>
                <w:lang w:val="en-GB" w:eastAsia="en-GB"/>
              </w:rPr>
              <w:t>Long Term Plan (2019</w:t>
            </w:r>
            <w:r w:rsidRPr="005C629B">
              <w:rPr>
                <w:rFonts w:ascii="Arial" w:eastAsia="Times New Roman" w:hAnsi="Arial" w:cs="Arial"/>
                <w:b/>
                <w:bCs/>
                <w:lang w:val="en-GB" w:eastAsia="en-GB"/>
              </w:rPr>
              <w:t>)</w:t>
            </w:r>
            <w:r w:rsidRPr="005C629B">
              <w:rPr>
                <w:rFonts w:ascii="Arial" w:eastAsia="Times New Roman" w:hAnsi="Arial" w:cs="Arial"/>
                <w:lang w:val="en-GB" w:eastAsia="en-GB"/>
              </w:rPr>
              <w:t xml:space="preserve"> focuses on integrated, community-based care, but implementation remains inconsistent across regions.</w:t>
            </w:r>
          </w:p>
          <w:p w14:paraId="491A9AD5" w14:textId="7CE50ECD" w:rsidR="005C629B" w:rsidRPr="005C629B" w:rsidRDefault="005C629B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lang w:val="en-GB" w:eastAsia="en-GB"/>
              </w:rPr>
              <w:t>Activity Theory (Havighurst, 1961)</w:t>
            </w:r>
            <w:r w:rsidR="0056541D">
              <w:rPr>
                <w:rFonts w:ascii="Arial" w:eastAsia="Times New Roman" w:hAnsi="Arial" w:cs="Arial"/>
                <w:lang w:val="en-GB" w:eastAsia="en-GB"/>
              </w:rPr>
              <w:t>.</w:t>
            </w:r>
            <w:r w:rsidRPr="005C629B">
              <w:rPr>
                <w:rFonts w:ascii="Arial" w:eastAsia="Times New Roman" w:hAnsi="Arial" w:cs="Arial"/>
                <w:lang w:val="en-GB" w:eastAsia="en-GB"/>
              </w:rPr>
              <w:t xml:space="preserve"> suggests that remaining socially active improves wellbeing and supports successful ageing. This aligns with UK policies promoting independence, although </w:t>
            </w:r>
            <w:r w:rsidRPr="005C629B">
              <w:rPr>
                <w:rFonts w:ascii="Arial" w:eastAsia="Times New Roman" w:hAnsi="Arial" w:cs="Arial"/>
                <w:lang w:val="en-GB" w:eastAsia="en-GB"/>
              </w:rPr>
              <w:lastRenderedPageBreak/>
              <w:t>not all older adults can remain active due to health limitations.</w:t>
            </w:r>
          </w:p>
          <w:p w14:paraId="1CB2B533" w14:textId="77777777" w:rsidR="005C629B" w:rsidRPr="005C629B" w:rsidRDefault="005C629B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lang w:val="en-GB" w:eastAsia="en-GB"/>
              </w:rPr>
              <w:t>In contrast, Disengagement Theory (Cumming and Henry, 1961) argues that withdrawal from society is a natural part of ageing. However, this theory is widely criticised for reducing empowerment and promoting passivity.</w:t>
            </w:r>
          </w:p>
          <w:p w14:paraId="0EDE1483" w14:textId="545FAE84" w:rsidR="005C629B" w:rsidRPr="005C629B" w:rsidRDefault="005C629B" w:rsidP="003B25B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</w:p>
          <w:p w14:paraId="4EEA1A38" w14:textId="3E68E254" w:rsidR="005C629B" w:rsidRPr="005C629B" w:rsidRDefault="005C629B" w:rsidP="003B25BF">
            <w:pPr>
              <w:spacing w:after="0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5C629B">
              <w:rPr>
                <w:rFonts w:ascii="Arial" w:eastAsia="Times New Roman" w:hAnsi="Arial" w:cs="Arial"/>
                <w:lang w:val="en-GB" w:eastAsia="en-GB"/>
              </w:rPr>
              <w:pict w14:anchorId="41588F2B">
                <v:rect id="_x0000_i1168" style="width:0;height:1.5pt" o:hralign="center" o:hrstd="t" o:hr="t" fillcolor="#a0a0a0" stroked="f"/>
              </w:pict>
            </w:r>
          </w:p>
          <w:p w14:paraId="768E9E48" w14:textId="35F20036" w:rsidR="00EB6F36" w:rsidRPr="0056541D" w:rsidRDefault="00EB6F36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85B1B74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A390F2D" w14:textId="77777777" w:rsidR="004642F0" w:rsidRPr="0056541D" w:rsidRDefault="004642F0" w:rsidP="003B25B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165A4D3" w14:textId="77777777" w:rsidR="00B67824" w:rsidRPr="0056541D" w:rsidRDefault="00B67824" w:rsidP="003B25BF">
      <w:pPr>
        <w:spacing w:line="360" w:lineRule="auto"/>
        <w:rPr>
          <w:rFonts w:ascii="Arial" w:hAnsi="Arial" w:cs="Arial"/>
        </w:rPr>
      </w:pPr>
    </w:p>
    <w:p w14:paraId="08D04F09" w14:textId="1EE9E759" w:rsidR="0022251A" w:rsidRPr="0056541D" w:rsidRDefault="0022251A" w:rsidP="003B25B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179392" w14:textId="77777777" w:rsidR="005D5D7C" w:rsidRPr="005D5D7C" w:rsidRDefault="005D5D7C" w:rsidP="003B25BF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val="en-GB" w:eastAsia="en-GB"/>
        </w:rPr>
      </w:pPr>
      <w:r w:rsidRPr="005D5D7C">
        <w:rPr>
          <w:rFonts w:ascii="Arial" w:eastAsia="Times New Roman" w:hAnsi="Arial" w:cs="Arial"/>
          <w:b/>
          <w:bCs/>
          <w:kern w:val="36"/>
          <w:sz w:val="28"/>
          <w:szCs w:val="28"/>
          <w:lang w:val="en-GB" w:eastAsia="en-GB"/>
        </w:rPr>
        <w:t>References</w:t>
      </w:r>
    </w:p>
    <w:p w14:paraId="4D851630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Age UK (2023)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Later Life in the United Kingdom</w:t>
      </w:r>
      <w:r w:rsidRPr="005D5D7C">
        <w:rPr>
          <w:rFonts w:ascii="Arial" w:eastAsia="Times New Roman" w:hAnsi="Arial" w:cs="Arial"/>
          <w:lang w:val="en-GB" w:eastAsia="en-GB"/>
        </w:rPr>
        <w:t xml:space="preserve">. London: Age UK. Available at: </w:t>
      </w:r>
      <w:hyperlink r:id="rId15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https://www.ageuk.org.uk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05B11A97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Clegg, A., Young, J., Iliffe, S., Rikkert, M.O. and Rockwood, K. (2013) ‘Frailty in elderly people’,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The Lancet</w:t>
      </w:r>
      <w:r w:rsidRPr="005D5D7C">
        <w:rPr>
          <w:rFonts w:ascii="Arial" w:eastAsia="Times New Roman" w:hAnsi="Arial" w:cs="Arial"/>
          <w:lang w:val="en-GB" w:eastAsia="en-GB"/>
        </w:rPr>
        <w:t>, 381(9868), pp. 752–762.</w:t>
      </w:r>
    </w:p>
    <w:p w14:paraId="7655BC96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Department of Health and Social Care (2014)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Care Act 2014</w:t>
      </w:r>
      <w:r w:rsidRPr="005D5D7C">
        <w:rPr>
          <w:rFonts w:ascii="Arial" w:eastAsia="Times New Roman" w:hAnsi="Arial" w:cs="Arial"/>
          <w:lang w:val="en-GB" w:eastAsia="en-GB"/>
        </w:rPr>
        <w:t xml:space="preserve">. London: HMSO. Available at: </w:t>
      </w:r>
      <w:hyperlink r:id="rId16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https://www.legislation.gov.uk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5230CD5D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lastRenderedPageBreak/>
        <w:t xml:space="preserve">Department of Health and Social Care (2019)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NHS Long Term Plan</w:t>
      </w:r>
      <w:r w:rsidRPr="005D5D7C">
        <w:rPr>
          <w:rFonts w:ascii="Arial" w:eastAsia="Times New Roman" w:hAnsi="Arial" w:cs="Arial"/>
          <w:lang w:val="en-GB" w:eastAsia="en-GB"/>
        </w:rPr>
        <w:t xml:space="preserve">. London: HMSO. Available at: </w:t>
      </w:r>
      <w:hyperlink r:id="rId17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https://www.longtermplan.nhs.uk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354340D4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Digital Health UK (2022)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Technology and older adults report</w:t>
      </w:r>
      <w:r w:rsidRPr="005D5D7C">
        <w:rPr>
          <w:rFonts w:ascii="Arial" w:eastAsia="Times New Roman" w:hAnsi="Arial" w:cs="Arial"/>
          <w:lang w:val="en-GB" w:eastAsia="en-GB"/>
        </w:rPr>
        <w:t xml:space="preserve">. Available at: </w:t>
      </w:r>
      <w:hyperlink r:id="rId18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https://www.digitalhealth.net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701AC8E6" w14:textId="32D6DEBE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Gardiner, C, Geldenhuys, G. and Gott, M. (2018) ‘Interventions to reduce social isolation and loneliness’,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Health &amp; Social Care in the Community</w:t>
      </w:r>
      <w:r w:rsidRPr="005D5D7C">
        <w:rPr>
          <w:rFonts w:ascii="Arial" w:eastAsia="Times New Roman" w:hAnsi="Arial" w:cs="Arial"/>
          <w:lang w:val="en-GB" w:eastAsia="en-GB"/>
        </w:rPr>
        <w:t>, 26(2), pp. 147–157.</w:t>
      </w:r>
    </w:p>
    <w:p w14:paraId="4E9A0F1F" w14:textId="3829B88E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>Greenhalgh, T, Wherton, J, Papoutsi, C., Lynch, J, Hughes, G, A’Court, C, Hinder</w:t>
      </w:r>
      <w:r w:rsidRPr="0056541D">
        <w:rPr>
          <w:rFonts w:ascii="Arial" w:eastAsia="Times New Roman" w:hAnsi="Arial" w:cs="Arial"/>
          <w:lang w:val="en-GB" w:eastAsia="en-GB"/>
        </w:rPr>
        <w:t>,</w:t>
      </w:r>
      <w:r w:rsidRPr="005D5D7C">
        <w:rPr>
          <w:rFonts w:ascii="Arial" w:eastAsia="Times New Roman" w:hAnsi="Arial" w:cs="Arial"/>
          <w:lang w:val="en-GB" w:eastAsia="en-GB"/>
        </w:rPr>
        <w:t xml:space="preserve"> Fahy, N</w:t>
      </w:r>
      <w:r w:rsidRPr="0056541D">
        <w:rPr>
          <w:rFonts w:ascii="Arial" w:eastAsia="Times New Roman" w:hAnsi="Arial" w:cs="Arial"/>
          <w:lang w:val="en-GB" w:eastAsia="en-GB"/>
        </w:rPr>
        <w:t>,</w:t>
      </w:r>
      <w:r w:rsidRPr="005D5D7C">
        <w:rPr>
          <w:rFonts w:ascii="Arial" w:eastAsia="Times New Roman" w:hAnsi="Arial" w:cs="Arial"/>
          <w:lang w:val="en-GB" w:eastAsia="en-GB"/>
        </w:rPr>
        <w:t xml:space="preserve"> Procter, R. and Shaw, S. (2017) ‘Beyond adoption of digital health and care technologies’,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BMJ</w:t>
      </w:r>
      <w:r w:rsidRPr="005D5D7C">
        <w:rPr>
          <w:rFonts w:ascii="Arial" w:eastAsia="Times New Roman" w:hAnsi="Arial" w:cs="Arial"/>
          <w:lang w:val="en-GB" w:eastAsia="en-GB"/>
        </w:rPr>
        <w:t>, 358, j3453.</w:t>
      </w:r>
    </w:p>
    <w:p w14:paraId="074303F0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NHS England (2022)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Ageing Well Programme</w:t>
      </w:r>
      <w:r w:rsidRPr="005D5D7C">
        <w:rPr>
          <w:rFonts w:ascii="Arial" w:eastAsia="Times New Roman" w:hAnsi="Arial" w:cs="Arial"/>
          <w:lang w:val="en-GB" w:eastAsia="en-GB"/>
        </w:rPr>
        <w:t xml:space="preserve">. Available at: </w:t>
      </w:r>
      <w:hyperlink r:id="rId19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https://www.england.nhs.uk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30FAC257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NICE (2021)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Older people: independence and mental wellbeing</w:t>
      </w:r>
      <w:r w:rsidRPr="005D5D7C">
        <w:rPr>
          <w:rFonts w:ascii="Arial" w:eastAsia="Times New Roman" w:hAnsi="Arial" w:cs="Arial"/>
          <w:lang w:val="en-GB" w:eastAsia="en-GB"/>
        </w:rPr>
        <w:t xml:space="preserve">. Available at: </w:t>
      </w:r>
      <w:hyperlink r:id="rId20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https://www.nice.org.uk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1EFE4745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Office for National Statistics (2023)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Overview of the UK population</w:t>
      </w:r>
      <w:r w:rsidRPr="005D5D7C">
        <w:rPr>
          <w:rFonts w:ascii="Arial" w:eastAsia="Times New Roman" w:hAnsi="Arial" w:cs="Arial"/>
          <w:lang w:val="en-GB" w:eastAsia="en-GB"/>
        </w:rPr>
        <w:t xml:space="preserve">. Available at: </w:t>
      </w:r>
      <w:hyperlink r:id="rId21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https://www.ons.gov.uk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1C00D65E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Powell, J. (2020) ‘Social care and older people’,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Journal of Social Policy</w:t>
      </w:r>
      <w:r w:rsidRPr="005D5D7C">
        <w:rPr>
          <w:rFonts w:ascii="Arial" w:eastAsia="Times New Roman" w:hAnsi="Arial" w:cs="Arial"/>
          <w:lang w:val="en-GB" w:eastAsia="en-GB"/>
        </w:rPr>
        <w:t>, 49(2), pp. 345–362.</w:t>
      </w:r>
    </w:p>
    <w:p w14:paraId="672CA5BE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Public Health England (2019)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Health Profile for England</w:t>
      </w:r>
      <w:r w:rsidRPr="005D5D7C">
        <w:rPr>
          <w:rFonts w:ascii="Arial" w:eastAsia="Times New Roman" w:hAnsi="Arial" w:cs="Arial"/>
          <w:lang w:val="en-GB" w:eastAsia="en-GB"/>
        </w:rPr>
        <w:t xml:space="preserve">. Available at: </w:t>
      </w:r>
      <w:hyperlink r:id="rId22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https://www.gov.uk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36DF62CF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Sixsmith, A. (2013)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Technologies for Active Aging</w:t>
      </w:r>
      <w:r w:rsidRPr="005D5D7C">
        <w:rPr>
          <w:rFonts w:ascii="Arial" w:eastAsia="Times New Roman" w:hAnsi="Arial" w:cs="Arial"/>
          <w:lang w:val="en-GB" w:eastAsia="en-GB"/>
        </w:rPr>
        <w:t>. New York: Springer.</w:t>
      </w:r>
    </w:p>
    <w:p w14:paraId="32DE718C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Victor, C. (2018)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Ageing, Health and Care</w:t>
      </w:r>
      <w:r w:rsidRPr="005D5D7C">
        <w:rPr>
          <w:rFonts w:ascii="Arial" w:eastAsia="Times New Roman" w:hAnsi="Arial" w:cs="Arial"/>
          <w:lang w:val="en-GB" w:eastAsia="en-GB"/>
        </w:rPr>
        <w:t>. Bristol: Policy Press.</w:t>
      </w:r>
    </w:p>
    <w:p w14:paraId="1AB6D33D" w14:textId="77777777" w:rsidR="005D5D7C" w:rsidRPr="005D5D7C" w:rsidRDefault="005D5D7C" w:rsidP="003B25BF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GB"/>
        </w:rPr>
      </w:pPr>
      <w:r w:rsidRPr="005D5D7C">
        <w:rPr>
          <w:rFonts w:ascii="Arial" w:eastAsia="Times New Roman" w:hAnsi="Arial" w:cs="Arial"/>
          <w:lang w:val="en-GB" w:eastAsia="en-GB"/>
        </w:rPr>
        <w:t xml:space="preserve">World Health Organization (2015) </w:t>
      </w:r>
      <w:r w:rsidRPr="005D5D7C">
        <w:rPr>
          <w:rFonts w:ascii="Arial" w:eastAsia="Times New Roman" w:hAnsi="Arial" w:cs="Arial"/>
          <w:i/>
          <w:iCs/>
          <w:lang w:val="en-GB" w:eastAsia="en-GB"/>
        </w:rPr>
        <w:t>World Report on Ageing and Health</w:t>
      </w:r>
      <w:r w:rsidRPr="005D5D7C">
        <w:rPr>
          <w:rFonts w:ascii="Arial" w:eastAsia="Times New Roman" w:hAnsi="Arial" w:cs="Arial"/>
          <w:lang w:val="en-GB" w:eastAsia="en-GB"/>
        </w:rPr>
        <w:t xml:space="preserve">. Geneva: WHO. Available at: </w:t>
      </w:r>
      <w:hyperlink r:id="rId23" w:tgtFrame="_new" w:history="1">
        <w:r w:rsidRPr="005D5D7C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https://www.who.int</w:t>
        </w:r>
      </w:hyperlink>
      <w:r w:rsidRPr="005D5D7C">
        <w:rPr>
          <w:rFonts w:ascii="Arial" w:eastAsia="Times New Roman" w:hAnsi="Arial" w:cs="Arial"/>
          <w:lang w:val="en-GB" w:eastAsia="en-GB"/>
        </w:rPr>
        <w:t xml:space="preserve"> (Accessed: 20 March 2026).</w:t>
      </w:r>
    </w:p>
    <w:p w14:paraId="137115DC" w14:textId="3A74B255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4605F47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30341623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5942138E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24"/>
      <w:headerReference w:type="first" r:id="rId25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E10A5" w14:textId="77777777" w:rsidR="0067642A" w:rsidRDefault="0067642A" w:rsidP="00D210FA">
      <w:pPr>
        <w:spacing w:after="0"/>
      </w:pPr>
      <w:r>
        <w:separator/>
      </w:r>
    </w:p>
  </w:endnote>
  <w:endnote w:type="continuationSeparator" w:id="0">
    <w:p w14:paraId="6432EDFC" w14:textId="77777777" w:rsidR="0067642A" w:rsidRDefault="0067642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85AD" w14:textId="77777777" w:rsidR="0067642A" w:rsidRDefault="0067642A" w:rsidP="00D210FA">
      <w:pPr>
        <w:spacing w:after="0"/>
      </w:pPr>
      <w:r>
        <w:separator/>
      </w:r>
    </w:p>
  </w:footnote>
  <w:footnote w:type="continuationSeparator" w:id="0">
    <w:p w14:paraId="2993EB10" w14:textId="77777777" w:rsidR="0067642A" w:rsidRDefault="0067642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41BF5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C2202" w14:textId="77777777" w:rsidR="008B0F18" w:rsidRDefault="008B0F18">
    <w:pPr>
      <w:pStyle w:val="Header"/>
    </w:pPr>
  </w:p>
  <w:p w14:paraId="6CC1B40A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E50D1"/>
    <w:multiLevelType w:val="hybridMultilevel"/>
    <w:tmpl w:val="70280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7F4753A"/>
    <w:multiLevelType w:val="hybridMultilevel"/>
    <w:tmpl w:val="29702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63BBD"/>
    <w:multiLevelType w:val="multilevel"/>
    <w:tmpl w:val="F6FE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8510D0"/>
    <w:multiLevelType w:val="hybridMultilevel"/>
    <w:tmpl w:val="62FCC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26E4C"/>
    <w:multiLevelType w:val="hybridMultilevel"/>
    <w:tmpl w:val="306C1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728135">
    <w:abstractNumId w:val="2"/>
  </w:num>
  <w:num w:numId="2" w16cid:durableId="1683971920">
    <w:abstractNumId w:val="1"/>
  </w:num>
  <w:num w:numId="3" w16cid:durableId="1243225222">
    <w:abstractNumId w:val="10"/>
  </w:num>
  <w:num w:numId="4" w16cid:durableId="1943997199">
    <w:abstractNumId w:val="11"/>
  </w:num>
  <w:num w:numId="5" w16cid:durableId="1853907441">
    <w:abstractNumId w:val="5"/>
  </w:num>
  <w:num w:numId="6" w16cid:durableId="542907771">
    <w:abstractNumId w:val="4"/>
  </w:num>
  <w:num w:numId="7" w16cid:durableId="470709037">
    <w:abstractNumId w:val="8"/>
  </w:num>
  <w:num w:numId="8" w16cid:durableId="2054578733">
    <w:abstractNumId w:val="6"/>
  </w:num>
  <w:num w:numId="9" w16cid:durableId="264046109">
    <w:abstractNumId w:val="3"/>
  </w:num>
  <w:num w:numId="10" w16cid:durableId="1081368028">
    <w:abstractNumId w:val="0"/>
  </w:num>
  <w:num w:numId="11" w16cid:durableId="1660231147">
    <w:abstractNumId w:val="9"/>
  </w:num>
  <w:num w:numId="12" w16cid:durableId="12917443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22DB"/>
    <w:rsid w:val="00023293"/>
    <w:rsid w:val="00061977"/>
    <w:rsid w:val="00073A5E"/>
    <w:rsid w:val="0008782A"/>
    <w:rsid w:val="000900D2"/>
    <w:rsid w:val="000A065A"/>
    <w:rsid w:val="000E2F62"/>
    <w:rsid w:val="00106FC5"/>
    <w:rsid w:val="00120DEC"/>
    <w:rsid w:val="00123C19"/>
    <w:rsid w:val="00127F31"/>
    <w:rsid w:val="001A672F"/>
    <w:rsid w:val="001C55B6"/>
    <w:rsid w:val="001D6CC4"/>
    <w:rsid w:val="00206405"/>
    <w:rsid w:val="0022251A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92CF6"/>
    <w:rsid w:val="003A3069"/>
    <w:rsid w:val="003B25BF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645F8"/>
    <w:rsid w:val="00490037"/>
    <w:rsid w:val="004E19B6"/>
    <w:rsid w:val="004F5917"/>
    <w:rsid w:val="00500564"/>
    <w:rsid w:val="0051102B"/>
    <w:rsid w:val="00512D3F"/>
    <w:rsid w:val="00517812"/>
    <w:rsid w:val="0056541D"/>
    <w:rsid w:val="005838BC"/>
    <w:rsid w:val="005B57E1"/>
    <w:rsid w:val="005C629B"/>
    <w:rsid w:val="005D5D7C"/>
    <w:rsid w:val="005E3A5A"/>
    <w:rsid w:val="005E61E0"/>
    <w:rsid w:val="005F02D7"/>
    <w:rsid w:val="005F0F31"/>
    <w:rsid w:val="006024ED"/>
    <w:rsid w:val="0061793F"/>
    <w:rsid w:val="0062123A"/>
    <w:rsid w:val="00634071"/>
    <w:rsid w:val="006605F8"/>
    <w:rsid w:val="006676A1"/>
    <w:rsid w:val="0067642A"/>
    <w:rsid w:val="006833BD"/>
    <w:rsid w:val="006D2642"/>
    <w:rsid w:val="006E2D42"/>
    <w:rsid w:val="00720FEE"/>
    <w:rsid w:val="00764B6F"/>
    <w:rsid w:val="007709A2"/>
    <w:rsid w:val="007C7319"/>
    <w:rsid w:val="007D43B3"/>
    <w:rsid w:val="007E7754"/>
    <w:rsid w:val="007F20B4"/>
    <w:rsid w:val="007F525E"/>
    <w:rsid w:val="0082695D"/>
    <w:rsid w:val="0083044C"/>
    <w:rsid w:val="00847CFA"/>
    <w:rsid w:val="0085182D"/>
    <w:rsid w:val="00867E5F"/>
    <w:rsid w:val="008709F5"/>
    <w:rsid w:val="00877A91"/>
    <w:rsid w:val="00884E86"/>
    <w:rsid w:val="008927FF"/>
    <w:rsid w:val="008A5FA5"/>
    <w:rsid w:val="008A75AB"/>
    <w:rsid w:val="008B0F18"/>
    <w:rsid w:val="008D6C80"/>
    <w:rsid w:val="008E3921"/>
    <w:rsid w:val="0090027B"/>
    <w:rsid w:val="0090088E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844D6"/>
    <w:rsid w:val="00AB1210"/>
    <w:rsid w:val="00AB770D"/>
    <w:rsid w:val="00AF2088"/>
    <w:rsid w:val="00AF2AD6"/>
    <w:rsid w:val="00AF5FB0"/>
    <w:rsid w:val="00B0080A"/>
    <w:rsid w:val="00B0538C"/>
    <w:rsid w:val="00B37AB8"/>
    <w:rsid w:val="00B418DE"/>
    <w:rsid w:val="00B47FE7"/>
    <w:rsid w:val="00B67824"/>
    <w:rsid w:val="00B721C2"/>
    <w:rsid w:val="00BA719F"/>
    <w:rsid w:val="00BB3B63"/>
    <w:rsid w:val="00BE15BA"/>
    <w:rsid w:val="00C20ED0"/>
    <w:rsid w:val="00C348A8"/>
    <w:rsid w:val="00C46111"/>
    <w:rsid w:val="00C54E50"/>
    <w:rsid w:val="00C83332"/>
    <w:rsid w:val="00C95E04"/>
    <w:rsid w:val="00CA0404"/>
    <w:rsid w:val="00CC0A8F"/>
    <w:rsid w:val="00CC24B6"/>
    <w:rsid w:val="00CD3A64"/>
    <w:rsid w:val="00CE08CD"/>
    <w:rsid w:val="00D05B4C"/>
    <w:rsid w:val="00D0664A"/>
    <w:rsid w:val="00D210FA"/>
    <w:rsid w:val="00D30F1D"/>
    <w:rsid w:val="00D57231"/>
    <w:rsid w:val="00D62DF6"/>
    <w:rsid w:val="00D87B48"/>
    <w:rsid w:val="00D91203"/>
    <w:rsid w:val="00D94FD1"/>
    <w:rsid w:val="00DA07FA"/>
    <w:rsid w:val="00DC00BD"/>
    <w:rsid w:val="00DD6F63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26713"/>
    <w:rsid w:val="00F37523"/>
    <w:rsid w:val="00F50168"/>
    <w:rsid w:val="00F50D34"/>
    <w:rsid w:val="00F61360"/>
    <w:rsid w:val="00FB49B9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99CDF"/>
  <w14:defaultImageDpi w14:val="32767"/>
  <w15:chartTrackingRefBased/>
  <w15:docId w15:val="{53EF6D36-0F96-4F73-A830-8D9F7A9F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BA719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qFormat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19F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CA040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digitalhealth.net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ons.gov.uk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longtermplan.nhs.uk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" TargetMode="External"/><Relationship Id="rId20" Type="http://schemas.openxmlformats.org/officeDocument/2006/relationships/hyperlink" Target="https://www.nice.org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ageuk.org.uk" TargetMode="External"/><Relationship Id="rId23" Type="http://schemas.openxmlformats.org/officeDocument/2006/relationships/hyperlink" Target="https://www.who.int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england.nhs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www.gov.uk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2564A4-8617-431B-A6C5-B6E46660443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5</TotalTime>
  <Pages>7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Binta Drammeh</cp:lastModifiedBy>
  <cp:revision>2</cp:revision>
  <dcterms:created xsi:type="dcterms:W3CDTF">2026-03-20T13:46:00Z</dcterms:created>
  <dcterms:modified xsi:type="dcterms:W3CDTF">2026-03-20T13:46:00Z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