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4047CA" w14:textId="77777777" w:rsidR="001120C6" w:rsidRDefault="001120C6" w:rsidP="001120C6">
      <w:r>
        <w:t>“Let them see and judge which has the most force: the vow a father makes on behalf of his son, or the vow a son makes on his own behalf, especially when it is a vow of something better. Let your servant and law giver, Benedict, judge which is the more in order, a vow made for a child when it is too young to know anything about it, or the vow he makes afterwards when he is of an age to speak for himself. However, there was no doubt that the boy was only promised to Cluny without any formal oblation, for the petition prescribed in the Rule was not made by his parents, nor was the hand bound in the altar cloth and offering made before witnesses.”</w:t>
      </w:r>
    </w:p>
    <w:p w14:paraId="580EE26E" w14:textId="77777777" w:rsidR="001120C6" w:rsidRDefault="001120C6" w:rsidP="001120C6">
      <w:r>
        <w:tab/>
        <w:t>(Bernard, Letter to Robert)</w:t>
      </w:r>
    </w:p>
    <w:p w14:paraId="4E116BD4" w14:textId="77777777" w:rsidR="001120C6" w:rsidRDefault="001120C6" w:rsidP="001120C6">
      <w:r>
        <w:t>Bernard of Clairvaux was an influential monk in the Cistercian Order and Abbot of Clairvaux. The letter is written in 1119 to Bernard's nephew who had begged him to allow him to join the order but was stopped by Bernard until he was of age two years later, but after joining was persuaded to return to Cluny due to an oath made by his parents as a child. The crux of the matter is, the battle of oaths between Robert as a child oblate of Cluny and a vow he made to the Cistercians himself. The letter dictates that Robert has an oath to the Cistercian Order and by leaving to Cluny he is breaking that oath and will be therefore, condemned by God. The letter indicates Bernard's anger, "and full of hurt pride"</w:t>
      </w:r>
      <w:r>
        <w:rPr>
          <w:rStyle w:val="FootnoteReference"/>
        </w:rPr>
        <w:footnoteReference w:id="1"/>
      </w:r>
      <w:r>
        <w:t xml:space="preserve"> at this development particularly towards his nephew as well as the Cluniac's who persuaded him. </w:t>
      </w:r>
    </w:p>
    <w:p w14:paraId="0D628401" w14:textId="77777777" w:rsidR="001120C6" w:rsidRDefault="001120C6" w:rsidP="001120C6">
      <w:r>
        <w:t>The rivalry between the Cluniac's and the Cistercians can be seen in Bernard's other writings as in the Apologia which was written in 1125. In this, he details his critiques of the Cluniac Order and therefore, presenting how the Cistercians were the superior Order. The anger from Bernard seems to also stem towards the prior of Cluny for seducing Robert away and being a, "wolf in sheep's clothing",</w:t>
      </w:r>
      <w:r>
        <w:rPr>
          <w:rStyle w:val="FootnoteReference"/>
        </w:rPr>
        <w:footnoteReference w:id="2"/>
      </w:r>
      <w:r>
        <w:t xml:space="preserve"> which is Bernard making a bible reference from Mathew 7:15, therefore, implying the Cluniac's are sinners pretending to be holy men. This rivalry seems to stem from the Cluniac's and the Cistercians being some of the biggest orders in the twelfth century and the Cistercians overtaking the Cluniac's in popularity. The rivalry also stems from the fact that the founders left the Cluniac abbey of </w:t>
      </w:r>
      <w:proofErr w:type="spellStart"/>
      <w:r>
        <w:t>Molesome</w:t>
      </w:r>
      <w:proofErr w:type="spellEnd"/>
      <w:r>
        <w:t xml:space="preserve"> and due to the oath made by the first abbot of Citeaux they had to return.  The writings in the </w:t>
      </w:r>
      <w:r w:rsidRPr="0003219D">
        <w:rPr>
          <w:i/>
        </w:rPr>
        <w:t>Apologia</w:t>
      </w:r>
      <w:r>
        <w:t xml:space="preserve"> can be seen to present the anger and betrayal that Bernard still felt at Robert's leaving. Even in the letter, the rivalry can be seen as Bernard describes the vow made to Clairvaux "a vow of something better",</w:t>
      </w:r>
      <w:r>
        <w:rPr>
          <w:rStyle w:val="FootnoteReference"/>
        </w:rPr>
        <w:footnoteReference w:id="3"/>
      </w:r>
      <w:r>
        <w:t xml:space="preserve"> therefore, presenting that he thinks the vow made to Clairvaux is more important than that made to Cluny. </w:t>
      </w:r>
      <w:bookmarkStart w:id="0" w:name="_GoBack"/>
      <w:bookmarkEnd w:id="0"/>
    </w:p>
    <w:p w14:paraId="176EC1A1" w14:textId="32717978" w:rsidR="001120C6" w:rsidRDefault="001120C6" w:rsidP="001120C6">
      <w:r>
        <w:t>The vow is important as it is a sacred vow therefore breaking it is unholy. The argument which Bernard makes is that it was his parents who made the vow and not Robert, however, because Robert himself made a vow to Clairvaux he is therefore expected to uphold it. It is interesting the vow supposedly made by Roberts parents as a child oblate as historian Bruno James describes oblation as an "informal expression of purpose".</w:t>
      </w:r>
      <w:r>
        <w:rPr>
          <w:rStyle w:val="FootnoteReference"/>
        </w:rPr>
        <w:footnoteReference w:id="4"/>
      </w:r>
      <w:r>
        <w:t xml:space="preserve"> Therefore, Cluny did not need to take Robert as Bernard states in this letter that they took the land but not the boy.</w:t>
      </w:r>
      <w:r>
        <w:rPr>
          <w:rStyle w:val="FootnoteReference"/>
        </w:rPr>
        <w:footnoteReference w:id="5"/>
      </w:r>
      <w:r>
        <w:t xml:space="preserve"> This is because child oblates did not necessarily always go into the church when they c</w:t>
      </w:r>
      <w:r w:rsidR="005F1205">
        <w:t>a</w:t>
      </w:r>
      <w:r>
        <w:t>me of age as they were given a choice</w:t>
      </w:r>
      <w:r w:rsidR="005F1205">
        <w:t xml:space="preserve">, </w:t>
      </w:r>
      <w:r>
        <w:t xml:space="preserve">whether they stayed in the Order or not. As Terrance G </w:t>
      </w:r>
      <w:proofErr w:type="spellStart"/>
      <w:r>
        <w:t>Kardong</w:t>
      </w:r>
      <w:proofErr w:type="spellEnd"/>
      <w:r>
        <w:t xml:space="preserve">, points out evidence suggests that "at that time, parents could enrol a son in the clerical order at a young age, but at age eighteen the </w:t>
      </w:r>
      <w:r>
        <w:lastRenderedPageBreak/>
        <w:t>boy had to make a choice: he could choose celibacy and major orders, or he could choose marriage and minor orders".</w:t>
      </w:r>
      <w:r>
        <w:rPr>
          <w:rStyle w:val="FootnoteReference"/>
        </w:rPr>
        <w:footnoteReference w:id="6"/>
      </w:r>
      <w:r>
        <w:t xml:space="preserve"> Also, as stated previously Bernard viewed Clairvaux as superior to Cluny therefore</w:t>
      </w:r>
      <w:r w:rsidR="00F0623B">
        <w:t>,</w:t>
      </w:r>
      <w:r>
        <w:t xml:space="preserve"> the vow made to the Cistercians he argues holds more precedent and therefore has more right to be upheld. Furthermore, concerning the vow Bernard says that "nor was the hand bound in the altar cloth and offering made before witnesses",</w:t>
      </w:r>
      <w:r>
        <w:rPr>
          <w:rStyle w:val="FootnoteReference"/>
        </w:rPr>
        <w:footnoteReference w:id="7"/>
      </w:r>
      <w:r>
        <w:t xml:space="preserve"> presenting how the vow was not a formal vow like James says and therefore showing that the vow does not have legal precedence as it was not performed as the Rule of St Benedict dictates it should. </w:t>
      </w:r>
      <w:r w:rsidR="0003219D">
        <w:t>The vow is also seen to hold less standing as Bernard says</w:t>
      </w:r>
      <w:r w:rsidR="00707B5C">
        <w:t>,</w:t>
      </w:r>
      <w:r w:rsidR="0003219D">
        <w:t xml:space="preserve"> "a vow made for a child when it is too young to know anything about it, or the vow he makes afterwards when he is of an age to speak for himself"</w:t>
      </w:r>
      <w:r w:rsidR="00707B5C">
        <w:t>,</w:t>
      </w:r>
      <w:r w:rsidR="0003219D">
        <w:rPr>
          <w:rStyle w:val="FootnoteReference"/>
        </w:rPr>
        <w:footnoteReference w:id="8"/>
      </w:r>
      <w:r w:rsidR="0003219D">
        <w:t xml:space="preserve"> presenting that Robert was too young to make a binding vow</w:t>
      </w:r>
      <w:r w:rsidR="00707B5C">
        <w:t>,</w:t>
      </w:r>
      <w:r w:rsidR="0003219D">
        <w:t xml:space="preserve"> but since he was of age when he made the vow in Clairvaux he is</w:t>
      </w:r>
      <w:r w:rsidR="00707B5C">
        <w:t>,</w:t>
      </w:r>
      <w:r w:rsidR="0003219D">
        <w:t xml:space="preserve"> </w:t>
      </w:r>
      <w:r w:rsidR="00707B5C">
        <w:t>therefore, obliged to carry it out as he had full knowledge of what the vow was and meant when he made it</w:t>
      </w:r>
      <w:r w:rsidR="0003219D">
        <w:t xml:space="preserve">. Therefore, Bernard is portraying how the way that the Cistercians follow the rule of St Benedict is better than how the monks of Cluny follow the Rule.  </w:t>
      </w:r>
      <w:r>
        <w:t xml:space="preserve">Therefore, another indication that Cluny is in fact not following the Rule of St Benedict as they should further proving the Cistercian supremacy. </w:t>
      </w:r>
    </w:p>
    <w:p w14:paraId="0C648429" w14:textId="5768969E" w:rsidR="007529EF" w:rsidRDefault="001120C6" w:rsidP="001120C6">
      <w:r>
        <w:t>In conclusion, this extract provides a look into the rivalry between the Cluniac's and the Cistercians as well as highlighting a great loss to Bernard of Clairvaux, as he lost one of his own to the Cluniac's. Bernard also presents the Cluniac's as beneath the Cistercians as they do not follow the Rule as they did not provide a proper ceremony of oblation for Robert and yet, they claim his as their own. The extract also provides the importance of a vow in the church as "Let your servant and law giver, Benedict, judge which is the more in order"</w:t>
      </w:r>
      <w:r>
        <w:rPr>
          <w:rStyle w:val="FootnoteReference"/>
        </w:rPr>
        <w:footnoteReference w:id="9"/>
      </w:r>
      <w:r>
        <w:t xml:space="preserve"> implying that Robert shall be punished for not upholding the vow to the Cistercians.  </w:t>
      </w:r>
      <w:r w:rsidR="00F0623B">
        <w:t xml:space="preserve">This also provides context for other works of Bernard like the </w:t>
      </w:r>
      <w:r w:rsidR="00F0623B" w:rsidRPr="00F0623B">
        <w:rPr>
          <w:i/>
        </w:rPr>
        <w:t>Apologia</w:t>
      </w:r>
      <w:r w:rsidR="00F0623B">
        <w:t xml:space="preserve"> where he also criticises the Cluniac’s and their way of life. </w:t>
      </w:r>
      <w:r>
        <w:t xml:space="preserve">  </w:t>
      </w:r>
    </w:p>
    <w:p w14:paraId="3E6FE354" w14:textId="77777777" w:rsidR="007529EF" w:rsidRDefault="007529EF" w:rsidP="001120C6"/>
    <w:p w14:paraId="2228D413" w14:textId="77777777" w:rsidR="004E2ADF" w:rsidRDefault="004E2ADF" w:rsidP="001120C6">
      <w:pPr>
        <w:rPr>
          <w:b/>
          <w:u w:val="single"/>
        </w:rPr>
      </w:pPr>
    </w:p>
    <w:p w14:paraId="63E1AAF7" w14:textId="77777777" w:rsidR="004E2ADF" w:rsidRDefault="004E2ADF" w:rsidP="001120C6">
      <w:pPr>
        <w:rPr>
          <w:b/>
          <w:u w:val="single"/>
        </w:rPr>
      </w:pPr>
    </w:p>
    <w:p w14:paraId="425C3794" w14:textId="77777777" w:rsidR="004E2ADF" w:rsidRDefault="004E2ADF" w:rsidP="001120C6">
      <w:pPr>
        <w:rPr>
          <w:b/>
          <w:u w:val="single"/>
        </w:rPr>
      </w:pPr>
    </w:p>
    <w:p w14:paraId="385F949C" w14:textId="66CD0107" w:rsidR="007529EF" w:rsidRPr="00576EF7" w:rsidRDefault="007529EF" w:rsidP="001120C6">
      <w:pPr>
        <w:rPr>
          <w:b/>
          <w:u w:val="single"/>
        </w:rPr>
      </w:pPr>
      <w:r w:rsidRPr="00576EF7">
        <w:rPr>
          <w:b/>
          <w:u w:val="single"/>
        </w:rPr>
        <w:t>Bibliography:</w:t>
      </w:r>
      <w:r w:rsidR="001120C6" w:rsidRPr="00576EF7">
        <w:rPr>
          <w:b/>
          <w:u w:val="single"/>
        </w:rPr>
        <w:t xml:space="preserve">      </w:t>
      </w:r>
    </w:p>
    <w:p w14:paraId="2ED29ED0" w14:textId="5B3108F0" w:rsidR="007529EF" w:rsidRPr="00576EF7" w:rsidRDefault="007529EF" w:rsidP="001120C6">
      <w:pPr>
        <w:rPr>
          <w:b/>
          <w:u w:val="single"/>
        </w:rPr>
      </w:pPr>
      <w:r w:rsidRPr="00576EF7">
        <w:rPr>
          <w:b/>
          <w:u w:val="single"/>
        </w:rPr>
        <w:t xml:space="preserve">Primary Sources: </w:t>
      </w:r>
    </w:p>
    <w:p w14:paraId="0330D6A1" w14:textId="49B89D5A" w:rsidR="004B59D4" w:rsidRPr="004B59D4" w:rsidRDefault="004B59D4" w:rsidP="001120C6">
      <w:r>
        <w:t xml:space="preserve">Bernard of Clairvaux, </w:t>
      </w:r>
      <w:r w:rsidRPr="004B59D4">
        <w:rPr>
          <w:i/>
        </w:rPr>
        <w:t>The Letters of St Bernard of Clairvaux</w:t>
      </w:r>
      <w:r>
        <w:rPr>
          <w:i/>
        </w:rPr>
        <w:t xml:space="preserve">, </w:t>
      </w:r>
      <w:r>
        <w:t xml:space="preserve">ed. trans by Bruno S. James, (Gloucestershire: Sutton Publishing Ltd, 1998).  </w:t>
      </w:r>
    </w:p>
    <w:p w14:paraId="6FDC755D" w14:textId="77777777" w:rsidR="007529EF" w:rsidRPr="00576EF7" w:rsidRDefault="007529EF" w:rsidP="001120C6">
      <w:pPr>
        <w:rPr>
          <w:b/>
          <w:u w:val="single"/>
        </w:rPr>
      </w:pPr>
      <w:r w:rsidRPr="00576EF7">
        <w:rPr>
          <w:b/>
          <w:u w:val="single"/>
        </w:rPr>
        <w:t xml:space="preserve">Secondary sources: </w:t>
      </w:r>
    </w:p>
    <w:p w14:paraId="7D1A8C69" w14:textId="77777777" w:rsidR="007529EF" w:rsidRDefault="007529EF" w:rsidP="001120C6">
      <w:r w:rsidRPr="007529EF">
        <w:t>Evans</w:t>
      </w:r>
      <w:r>
        <w:t>,</w:t>
      </w:r>
      <w:r w:rsidRPr="007529EF">
        <w:t xml:space="preserve"> Rosemary</w:t>
      </w:r>
      <w:r>
        <w:t>,</w:t>
      </w:r>
      <w:r w:rsidRPr="007529EF">
        <w:t xml:space="preserve"> Gillian, </w:t>
      </w:r>
      <w:r w:rsidRPr="007529EF">
        <w:rPr>
          <w:i/>
        </w:rPr>
        <w:t>Bernard of Clairvaux</w:t>
      </w:r>
      <w:r w:rsidRPr="007529EF">
        <w:t>, (Oxford: Oxford University Press, 2000)</w:t>
      </w:r>
      <w:r>
        <w:t xml:space="preserve">.  </w:t>
      </w:r>
    </w:p>
    <w:p w14:paraId="7E89A1A2" w14:textId="77777777" w:rsidR="007529EF" w:rsidRDefault="007529EF" w:rsidP="001120C6">
      <w:r>
        <w:t xml:space="preserve">James, S. Bruno, </w:t>
      </w:r>
      <w:r w:rsidRPr="007529EF">
        <w:rPr>
          <w:i/>
        </w:rPr>
        <w:t>Saint Bernard of Clairvaux</w:t>
      </w:r>
      <w:r>
        <w:t>, (Manchester: Manchester University Press, 1957).</w:t>
      </w:r>
    </w:p>
    <w:p w14:paraId="010AD00C" w14:textId="77777777" w:rsidR="007529EF" w:rsidRDefault="007529EF" w:rsidP="001120C6">
      <w:proofErr w:type="spellStart"/>
      <w:r w:rsidRPr="007529EF">
        <w:t>Kardong</w:t>
      </w:r>
      <w:proofErr w:type="spellEnd"/>
      <w:r>
        <w:t>,</w:t>
      </w:r>
      <w:r w:rsidRPr="007529EF">
        <w:t xml:space="preserve"> G.</w:t>
      </w:r>
      <w:r>
        <w:t xml:space="preserve"> </w:t>
      </w:r>
      <w:r w:rsidRPr="007529EF">
        <w:t xml:space="preserve">Terrence, </w:t>
      </w:r>
      <w:r w:rsidRPr="004B59D4">
        <w:rPr>
          <w:i/>
        </w:rPr>
        <w:t>Benedict's Rule: A Translation and Commentary</w:t>
      </w:r>
      <w:r w:rsidRPr="007529EF">
        <w:t>, (Minnesota: Liturgical Press, 1996)</w:t>
      </w:r>
      <w:r>
        <w:t>.</w:t>
      </w:r>
    </w:p>
    <w:sectPr w:rsidR="007529E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114D40" w14:textId="77777777" w:rsidR="00454191" w:rsidRDefault="00454191" w:rsidP="001120C6">
      <w:pPr>
        <w:spacing w:after="0" w:line="240" w:lineRule="auto"/>
      </w:pPr>
      <w:r>
        <w:separator/>
      </w:r>
    </w:p>
  </w:endnote>
  <w:endnote w:type="continuationSeparator" w:id="0">
    <w:p w14:paraId="294BA4EC" w14:textId="77777777" w:rsidR="00454191" w:rsidRDefault="00454191" w:rsidP="001120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BDB16C" w14:textId="77777777" w:rsidR="00454191" w:rsidRDefault="00454191" w:rsidP="001120C6">
      <w:pPr>
        <w:spacing w:after="0" w:line="240" w:lineRule="auto"/>
      </w:pPr>
      <w:r>
        <w:separator/>
      </w:r>
    </w:p>
  </w:footnote>
  <w:footnote w:type="continuationSeparator" w:id="0">
    <w:p w14:paraId="12A38A34" w14:textId="77777777" w:rsidR="00454191" w:rsidRDefault="00454191" w:rsidP="001120C6">
      <w:pPr>
        <w:spacing w:after="0" w:line="240" w:lineRule="auto"/>
      </w:pPr>
      <w:r>
        <w:continuationSeparator/>
      </w:r>
    </w:p>
  </w:footnote>
  <w:footnote w:id="1">
    <w:p w14:paraId="77D27ED0" w14:textId="77777777" w:rsidR="001120C6" w:rsidRDefault="001120C6">
      <w:pPr>
        <w:pStyle w:val="FootnoteText"/>
      </w:pPr>
      <w:r>
        <w:rPr>
          <w:rStyle w:val="FootnoteReference"/>
        </w:rPr>
        <w:footnoteRef/>
      </w:r>
      <w:r>
        <w:t xml:space="preserve"> Gillian Rosemary Evans, </w:t>
      </w:r>
      <w:r w:rsidRPr="003725B2">
        <w:rPr>
          <w:i/>
        </w:rPr>
        <w:t>Bernard of Clairvaux</w:t>
      </w:r>
      <w:r>
        <w:t>, (Oxford: Oxford University Press, 2000), p.10.</w:t>
      </w:r>
    </w:p>
  </w:footnote>
  <w:footnote w:id="2">
    <w:p w14:paraId="6157F8A8" w14:textId="218BD1DA" w:rsidR="001120C6" w:rsidRDefault="001120C6">
      <w:pPr>
        <w:pStyle w:val="FootnoteText"/>
      </w:pPr>
      <w:r>
        <w:rPr>
          <w:rStyle w:val="FootnoteReference"/>
        </w:rPr>
        <w:footnoteRef/>
      </w:r>
      <w:r>
        <w:t xml:space="preserve"> </w:t>
      </w:r>
      <w:r w:rsidR="00331ACE" w:rsidRPr="00331ACE">
        <w:t xml:space="preserve">Bernard of Clairvaux, </w:t>
      </w:r>
      <w:r w:rsidR="00331ACE" w:rsidRPr="003725B2">
        <w:rPr>
          <w:i/>
        </w:rPr>
        <w:t>The Letters of St Bernard of Clairvaux</w:t>
      </w:r>
      <w:r w:rsidR="00331ACE" w:rsidRPr="00331ACE">
        <w:t>, ed. trans by Bruno S. James, (Gloucestershire: Sutton Publishing Ltd, 1998)</w:t>
      </w:r>
      <w:r w:rsidR="00331ACE">
        <w:t xml:space="preserve"> p.3</w:t>
      </w:r>
      <w:r w:rsidR="00331ACE" w:rsidRPr="00331ACE">
        <w:t xml:space="preserve">.  </w:t>
      </w:r>
    </w:p>
  </w:footnote>
  <w:footnote w:id="3">
    <w:p w14:paraId="06EB320E" w14:textId="46EBEDAB" w:rsidR="001120C6" w:rsidRDefault="001120C6">
      <w:pPr>
        <w:pStyle w:val="FootnoteText"/>
      </w:pPr>
      <w:r>
        <w:rPr>
          <w:rStyle w:val="FootnoteReference"/>
        </w:rPr>
        <w:footnoteRef/>
      </w:r>
      <w:r>
        <w:t xml:space="preserve"> </w:t>
      </w:r>
      <w:r w:rsidR="003725B2" w:rsidRPr="003725B2">
        <w:rPr>
          <w:i/>
        </w:rPr>
        <w:t>Ibid</w:t>
      </w:r>
      <w:r w:rsidR="003725B2">
        <w:t xml:space="preserve"> p. 6. </w:t>
      </w:r>
    </w:p>
  </w:footnote>
  <w:footnote w:id="4">
    <w:p w14:paraId="07EC0194" w14:textId="6CE21325" w:rsidR="001120C6" w:rsidRDefault="001120C6" w:rsidP="003725B2">
      <w:r>
        <w:rPr>
          <w:rStyle w:val="FootnoteReference"/>
        </w:rPr>
        <w:footnoteRef/>
      </w:r>
      <w:r w:rsidR="003725B2" w:rsidRPr="003725B2">
        <w:rPr>
          <w:sz w:val="20"/>
          <w:szCs w:val="20"/>
        </w:rPr>
        <w:t xml:space="preserve">James, S. Bruno, </w:t>
      </w:r>
      <w:r w:rsidR="003725B2" w:rsidRPr="003725B2">
        <w:rPr>
          <w:i/>
          <w:sz w:val="20"/>
          <w:szCs w:val="20"/>
        </w:rPr>
        <w:t>Saint Bernard of Clairvaux</w:t>
      </w:r>
      <w:r w:rsidR="003725B2" w:rsidRPr="003725B2">
        <w:rPr>
          <w:sz w:val="20"/>
          <w:szCs w:val="20"/>
        </w:rPr>
        <w:t>, (Manchester: Manchester University Press, 1957)</w:t>
      </w:r>
      <w:r w:rsidRPr="003725B2">
        <w:rPr>
          <w:sz w:val="20"/>
          <w:szCs w:val="20"/>
        </w:rPr>
        <w:t>, p. 34.</w:t>
      </w:r>
    </w:p>
  </w:footnote>
  <w:footnote w:id="5">
    <w:p w14:paraId="040550FA" w14:textId="5D28D09E" w:rsidR="001120C6" w:rsidRDefault="001120C6">
      <w:pPr>
        <w:pStyle w:val="FootnoteText"/>
      </w:pPr>
      <w:r>
        <w:rPr>
          <w:rStyle w:val="FootnoteReference"/>
        </w:rPr>
        <w:footnoteRef/>
      </w:r>
      <w:r>
        <w:t xml:space="preserve"> </w:t>
      </w:r>
      <w:r w:rsidR="003725B2" w:rsidRPr="003725B2">
        <w:t>Bernard of Clairvaux</w:t>
      </w:r>
      <w:r w:rsidR="003725B2">
        <w:t>,</w:t>
      </w:r>
      <w:r w:rsidR="003725B2" w:rsidRPr="003725B2">
        <w:t xml:space="preserve"> </w:t>
      </w:r>
      <w:r w:rsidR="003725B2" w:rsidRPr="003725B2">
        <w:rPr>
          <w:i/>
        </w:rPr>
        <w:t>The Letters</w:t>
      </w:r>
      <w:r w:rsidR="003725B2">
        <w:rPr>
          <w:i/>
        </w:rPr>
        <w:t xml:space="preserve">, </w:t>
      </w:r>
      <w:r w:rsidR="003725B2">
        <w:t xml:space="preserve">p.6.  </w:t>
      </w:r>
    </w:p>
  </w:footnote>
  <w:footnote w:id="6">
    <w:p w14:paraId="5B0041DD" w14:textId="77777777" w:rsidR="001120C6" w:rsidRDefault="001120C6">
      <w:pPr>
        <w:pStyle w:val="FootnoteText"/>
      </w:pPr>
      <w:r>
        <w:rPr>
          <w:rStyle w:val="FootnoteReference"/>
        </w:rPr>
        <w:footnoteRef/>
      </w:r>
      <w:r>
        <w:t xml:space="preserve"> Terrence G. </w:t>
      </w:r>
      <w:proofErr w:type="spellStart"/>
      <w:r>
        <w:t>Kardong</w:t>
      </w:r>
      <w:proofErr w:type="spellEnd"/>
      <w:r>
        <w:t xml:space="preserve">, </w:t>
      </w:r>
      <w:r w:rsidRPr="003725B2">
        <w:rPr>
          <w:i/>
        </w:rPr>
        <w:t>Benedict's Rule: A Translation and Commentary</w:t>
      </w:r>
      <w:r>
        <w:t>, (Minnesota: Liturgical Press, 1996) p. 492.</w:t>
      </w:r>
    </w:p>
  </w:footnote>
  <w:footnote w:id="7">
    <w:p w14:paraId="33EB9A38" w14:textId="4D84294A" w:rsidR="001120C6" w:rsidRPr="003725B2" w:rsidRDefault="001120C6">
      <w:pPr>
        <w:pStyle w:val="FootnoteText"/>
      </w:pPr>
      <w:r>
        <w:rPr>
          <w:rStyle w:val="FootnoteReference"/>
        </w:rPr>
        <w:footnoteRef/>
      </w:r>
      <w:r>
        <w:t xml:space="preserve"> </w:t>
      </w:r>
      <w:r w:rsidR="003725B2" w:rsidRPr="003725B2">
        <w:t>Bernard of Clairvaux</w:t>
      </w:r>
      <w:r w:rsidR="003725B2">
        <w:t>,</w:t>
      </w:r>
      <w:r w:rsidR="003725B2" w:rsidRPr="003725B2">
        <w:t xml:space="preserve"> </w:t>
      </w:r>
      <w:r w:rsidR="003725B2" w:rsidRPr="003725B2">
        <w:rPr>
          <w:i/>
        </w:rPr>
        <w:t>The Letters</w:t>
      </w:r>
      <w:r w:rsidR="003725B2">
        <w:rPr>
          <w:i/>
        </w:rPr>
        <w:t xml:space="preserve">, </w:t>
      </w:r>
      <w:r w:rsidR="003725B2">
        <w:t>p.6.</w:t>
      </w:r>
    </w:p>
  </w:footnote>
  <w:footnote w:id="8">
    <w:p w14:paraId="70883580" w14:textId="313D87BF" w:rsidR="0003219D" w:rsidRDefault="0003219D" w:rsidP="0003219D">
      <w:pPr>
        <w:pStyle w:val="FootnoteText"/>
      </w:pPr>
      <w:r>
        <w:rPr>
          <w:rStyle w:val="FootnoteReference"/>
        </w:rPr>
        <w:footnoteRef/>
      </w:r>
      <w:r>
        <w:t xml:space="preserve"> </w:t>
      </w:r>
      <w:r w:rsidR="003725B2" w:rsidRPr="003725B2">
        <w:rPr>
          <w:i/>
        </w:rPr>
        <w:t>Ibid.</w:t>
      </w:r>
    </w:p>
  </w:footnote>
  <w:footnote w:id="9">
    <w:p w14:paraId="34796391" w14:textId="231FEFFF" w:rsidR="001120C6" w:rsidRDefault="001120C6">
      <w:pPr>
        <w:pStyle w:val="FootnoteText"/>
      </w:pPr>
      <w:r>
        <w:rPr>
          <w:rStyle w:val="FootnoteReference"/>
        </w:rPr>
        <w:footnoteRef/>
      </w:r>
      <w:r>
        <w:t xml:space="preserve"> </w:t>
      </w:r>
      <w:r w:rsidR="003725B2" w:rsidRPr="003725B2">
        <w:rPr>
          <w:i/>
        </w:rPr>
        <w:t>Ibi</w:t>
      </w:r>
      <w:r w:rsidR="003725B2">
        <w:rPr>
          <w:i/>
        </w:rPr>
        <w:t>d.</w:t>
      </w:r>
      <w:r w:rsidR="00F0676A">
        <w:rPr>
          <w:i/>
        </w:rP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rM0NzQ0NbQwMDUzNjFS0lEKTi0uzszPAykwrAUAg9fltSwAAAA="/>
  </w:docVars>
  <w:rsids>
    <w:rsidRoot w:val="001120C6"/>
    <w:rsid w:val="0003219D"/>
    <w:rsid w:val="001120C6"/>
    <w:rsid w:val="002B6DD4"/>
    <w:rsid w:val="00331ACE"/>
    <w:rsid w:val="00353F51"/>
    <w:rsid w:val="00366DCA"/>
    <w:rsid w:val="003725B2"/>
    <w:rsid w:val="0043406E"/>
    <w:rsid w:val="00446351"/>
    <w:rsid w:val="00454191"/>
    <w:rsid w:val="004B59D4"/>
    <w:rsid w:val="004E2ADF"/>
    <w:rsid w:val="00576EF7"/>
    <w:rsid w:val="005F1205"/>
    <w:rsid w:val="00707B5C"/>
    <w:rsid w:val="007529EF"/>
    <w:rsid w:val="00984145"/>
    <w:rsid w:val="00AA5BD5"/>
    <w:rsid w:val="00CB0E25"/>
    <w:rsid w:val="00D9184F"/>
    <w:rsid w:val="00F0623B"/>
    <w:rsid w:val="00F0676A"/>
    <w:rsid w:val="00FE43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29F04E"/>
  <w15:chartTrackingRefBased/>
  <w15:docId w15:val="{865C3870-57BE-49D1-9744-7DABB98F1C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120C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120C6"/>
    <w:rPr>
      <w:sz w:val="20"/>
      <w:szCs w:val="20"/>
    </w:rPr>
  </w:style>
  <w:style w:type="character" w:styleId="FootnoteReference">
    <w:name w:val="footnote reference"/>
    <w:basedOn w:val="DefaultParagraphFont"/>
    <w:uiPriority w:val="99"/>
    <w:semiHidden/>
    <w:unhideWhenUsed/>
    <w:rsid w:val="001120C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4" ma:contentTypeDescription="Create a new document." ma:contentTypeScope="" ma:versionID="e1be1d1f5e2becc0db143a565cba548b">
  <xsd:schema xmlns:xsd="http://www.w3.org/2001/XMLSchema" xmlns:xs="http://www.w3.org/2001/XMLSchema" xmlns:p="http://schemas.microsoft.com/office/2006/metadata/properties" xmlns:ns3="e5b087ed-fd45-4b48-bae7-5ede8327259a" targetNamespace="http://schemas.microsoft.com/office/2006/metadata/properties" ma:root="true" ma:fieldsID="29cd5b74f8a56cf0db44b07be56d70dd"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A03E33-4B84-472B-BD1B-853E45EF8AC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8524871-12D7-4119-BD0F-C212B9740332}">
  <ds:schemaRefs>
    <ds:schemaRef ds:uri="http://schemas.microsoft.com/sharepoint/v3/contenttype/forms"/>
  </ds:schemaRefs>
</ds:datastoreItem>
</file>

<file path=customXml/itemProps3.xml><?xml version="1.0" encoding="utf-8"?>
<ds:datastoreItem xmlns:ds="http://schemas.openxmlformats.org/officeDocument/2006/customXml" ds:itemID="{B62F0820-AB82-4F67-8D6B-3816B62AE9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A3D2E18-E875-49AC-A133-4482B2A759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931</Words>
  <Characters>5310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Beynon (1701550)</dc:creator>
  <cp:keywords/>
  <dc:description/>
  <cp:lastModifiedBy>Gemma Beynon</cp:lastModifiedBy>
  <cp:revision>2</cp:revision>
  <dcterms:created xsi:type="dcterms:W3CDTF">2020-02-23T22:40:00Z</dcterms:created>
  <dcterms:modified xsi:type="dcterms:W3CDTF">2020-02-23T22:40:00Z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