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CA902F8">
      <w:pPr>
        <w:pStyle w:val="7"/>
        <w:keepNext w:val="0"/>
        <w:keepLines w:val="0"/>
        <w:widowControl/>
        <w:suppressLineNumbers w:val="0"/>
        <w:spacing w:line="240" w:lineRule="auto"/>
        <w:ind w:firstLine="964" w:firstLineChars="200"/>
        <w:jc w:val="center"/>
        <w:rPr>
          <w:rFonts w:hint="default" w:ascii="Times New Roman" w:hAnsi="Times New Roman" w:cs="Times New Roman"/>
          <w:b/>
          <w:bCs w:val="0"/>
          <w:color w:val="auto"/>
          <w:sz w:val="48"/>
          <w:szCs w:val="48"/>
          <w:highlight w:val="none"/>
        </w:rPr>
      </w:pPr>
      <w:r>
        <w:rPr>
          <w:rStyle w:val="10"/>
          <w:rFonts w:hint="default" w:ascii="Times New Roman" w:hAnsi="Times New Roman" w:cs="Times New Roman"/>
          <w:b/>
          <w:bCs w:val="0"/>
          <w:color w:val="auto"/>
          <w:sz w:val="48"/>
          <w:szCs w:val="48"/>
          <w:highlight w:val="none"/>
        </w:rPr>
        <w:t>The Critical Period Hypothesis in Second Language Learning: A Comparison of Children and Adults and Implications for Teaching</w:t>
      </w:r>
    </w:p>
    <w:p w14:paraId="3C190D74">
      <w:pPr>
        <w:pStyle w:val="2"/>
        <w:numPr>
          <w:ilvl w:val="0"/>
          <w:numId w:val="1"/>
        </w:numPr>
        <w:bidi w:val="0"/>
        <w:rPr>
          <w:rFonts w:hint="default" w:ascii="Times New Roman" w:hAnsi="Times New Roman" w:cs="Times New Roman"/>
        </w:rPr>
      </w:pPr>
      <w:r>
        <w:rPr>
          <w:rFonts w:hint="default" w:ascii="Times New Roman" w:hAnsi="Times New Roman" w:cs="Times New Roman"/>
        </w:rPr>
        <w:t>Introduction</w:t>
      </w:r>
    </w:p>
    <w:p w14:paraId="09F2B34D">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Second Language Acquisition (SLA) has long been a central topic in applied linguistics, education, and cognitive science. Among the many factors that influence how a language is learned, </w:t>
      </w:r>
      <w:r>
        <w:rPr>
          <w:rStyle w:val="10"/>
          <w:rFonts w:hint="default" w:ascii="Times New Roman" w:hAnsi="Times New Roman" w:cs="Times New Roman"/>
          <w:b w:val="0"/>
          <w:bCs/>
          <w:color w:val="auto"/>
          <w:sz w:val="24"/>
          <w:szCs w:val="24"/>
          <w:highlight w:val="none"/>
        </w:rPr>
        <w:t>age is widely recognised as one of the most significant</w:t>
      </w:r>
      <w:r>
        <w:rPr>
          <w:rFonts w:hint="default" w:ascii="Times New Roman" w:hAnsi="Times New Roman" w:cs="Times New Roman"/>
          <w:b w:val="0"/>
          <w:bCs/>
          <w:color w:val="auto"/>
          <w:sz w:val="24"/>
          <w:szCs w:val="24"/>
          <w:highlight w:val="none"/>
        </w:rPr>
        <w:t>. Whether in naturalistic settings or classroom-based instruction, age appears to shape the trajectory of language learning, the strategies employed by learners, and the outcomes they achieve. It is widely believed that age plays a significant role in second language acquisition, particularly in areas such as pronunciation and grammatical development.</w:t>
      </w:r>
    </w:p>
    <w:p w14:paraId="39E7E6B8">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One of the most influential frameworks for understanding the role of age in language learning is the </w:t>
      </w:r>
      <w:r>
        <w:rPr>
          <w:rStyle w:val="10"/>
          <w:rFonts w:hint="default" w:ascii="Times New Roman" w:hAnsi="Times New Roman" w:cs="Times New Roman"/>
          <w:b w:val="0"/>
          <w:bCs/>
          <w:color w:val="auto"/>
          <w:sz w:val="24"/>
          <w:szCs w:val="24"/>
          <w:highlight w:val="none"/>
        </w:rPr>
        <w:t>Critical Period Hypothesis (CPH)</w:t>
      </w:r>
      <w:r>
        <w:rPr>
          <w:rFonts w:hint="default" w:ascii="Times New Roman" w:hAnsi="Times New Roman" w:cs="Times New Roman"/>
          <w:b w:val="0"/>
          <w:bCs/>
          <w:color w:val="auto"/>
          <w:sz w:val="24"/>
          <w:szCs w:val="24"/>
          <w:highlight w:val="none"/>
        </w:rPr>
        <w:t>. Originally proposed to explain first language acquisition, CPH suggests that there exists a biologically determined window during which the brain is especially receptive to language input. Language acquired during this period is more likely to reach native-like proficiency, while language exposure beyond this period may lead to less optimal outcomes. Over time, researchers have extended this hypothesis to second language learning, where it has become a subject of considerable debate—especially concerning whether and how age restricts language learning in adulthood.</w:t>
      </w:r>
    </w:p>
    <w:p w14:paraId="1623C292">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As the body of empirical research has grown, it has become clear that </w:t>
      </w:r>
      <w:r>
        <w:rPr>
          <w:rStyle w:val="10"/>
          <w:rFonts w:hint="default" w:ascii="Times New Roman" w:hAnsi="Times New Roman" w:cs="Times New Roman"/>
          <w:b w:val="0"/>
          <w:bCs/>
          <w:color w:val="auto"/>
          <w:sz w:val="24"/>
          <w:szCs w:val="24"/>
          <w:highlight w:val="none"/>
        </w:rPr>
        <w:t>age interacts with a range of other variables</w:t>
      </w:r>
      <w:r>
        <w:rPr>
          <w:rFonts w:hint="default" w:ascii="Times New Roman" w:hAnsi="Times New Roman" w:cs="Times New Roman"/>
          <w:b w:val="0"/>
          <w:bCs/>
          <w:color w:val="auto"/>
          <w:sz w:val="24"/>
          <w:szCs w:val="24"/>
          <w:highlight w:val="none"/>
        </w:rPr>
        <w:t>—such as input quality, exposure duration, motivation, and instructional methods. Moreover, child and adult learners demonstrate distinct cognitive and emotional characteristics, leading them to approach language learning in different ways. These differences make comparative studies between L2 children and adults particularly valuable in testing and refining the assumptions of CPH.</w:t>
      </w:r>
    </w:p>
    <w:p w14:paraId="2D77546F">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This </w:t>
      </w:r>
      <w:r>
        <w:rPr>
          <w:rFonts w:hint="default" w:ascii="Times New Roman" w:hAnsi="Times New Roman" w:cs="Times New Roman"/>
          <w:b w:val="0"/>
          <w:bCs/>
          <w:color w:val="auto"/>
          <w:sz w:val="24"/>
          <w:szCs w:val="24"/>
          <w:highlight w:val="none"/>
          <w:lang w:val="en-US" w:eastAsia="zh-CN"/>
        </w:rPr>
        <w:t xml:space="preserve">article </w:t>
      </w:r>
      <w:r>
        <w:rPr>
          <w:rFonts w:hint="default" w:ascii="Times New Roman" w:hAnsi="Times New Roman" w:cs="Times New Roman"/>
          <w:b w:val="0"/>
          <w:bCs/>
          <w:color w:val="auto"/>
          <w:sz w:val="24"/>
          <w:szCs w:val="24"/>
          <w:highlight w:val="none"/>
        </w:rPr>
        <w:t xml:space="preserve">explores the Critical Period Hypothesis (CPH), compares L2 learning in children and adults, and considers implications for classroom practice. Specifically, the </w:t>
      </w:r>
      <w:r>
        <w:rPr>
          <w:rFonts w:hint="default" w:ascii="Times New Roman" w:hAnsi="Times New Roman" w:cs="Times New Roman"/>
          <w:b w:val="0"/>
          <w:bCs/>
          <w:color w:val="auto"/>
          <w:sz w:val="24"/>
          <w:szCs w:val="24"/>
          <w:highlight w:val="none"/>
          <w:lang w:val="en-US" w:eastAsia="zh-CN"/>
        </w:rPr>
        <w:t xml:space="preserve">article </w:t>
      </w:r>
      <w:r>
        <w:rPr>
          <w:rFonts w:hint="default" w:ascii="Times New Roman" w:hAnsi="Times New Roman" w:cs="Times New Roman"/>
          <w:b w:val="0"/>
          <w:bCs/>
          <w:color w:val="auto"/>
          <w:sz w:val="24"/>
          <w:szCs w:val="24"/>
          <w:highlight w:val="none"/>
        </w:rPr>
        <w:t>begins by outlining the origins and development of CPH, followed by a discussion of empirical studies that examine how age affects different domains of language learning—namely, pronunciation, grammar, and vocabulary acquisition. The final section reflects on how these findings can inform pedagogical decisions and contribute to more age-responsive language instruction.</w:t>
      </w:r>
    </w:p>
    <w:p w14:paraId="5F0C4845">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By examining the intersection of age, language learning, and educational practice, this study seeks to provide insights for teachers, curriculum designers, and policymakers aiming to optimise language instruction across different age groups.</w:t>
      </w:r>
    </w:p>
    <w:p w14:paraId="51B7D5D3">
      <w:pPr>
        <w:pStyle w:val="2"/>
        <w:numPr>
          <w:ilvl w:val="0"/>
          <w:numId w:val="1"/>
        </w:numPr>
        <w:bidi w:val="0"/>
        <w:rPr>
          <w:rFonts w:hint="default" w:ascii="Times New Roman" w:hAnsi="Times New Roman" w:cs="Times New Roman"/>
        </w:rPr>
      </w:pPr>
      <w:r>
        <w:rPr>
          <w:rFonts w:hint="default" w:ascii="Times New Roman" w:hAnsi="Times New Roman" w:cs="Times New Roman"/>
        </w:rPr>
        <w:t>Defining the Critical Period Hypothesis (CPH)</w:t>
      </w:r>
    </w:p>
    <w:p w14:paraId="5F770D37">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 xml:space="preserve">Basic </w:t>
      </w:r>
      <w:r>
        <w:rPr>
          <w:rFonts w:hint="default" w:ascii="Times New Roman" w:hAnsi="Times New Roman" w:cs="Times New Roman"/>
          <w:lang w:val="en-US" w:eastAsia="zh-CN"/>
        </w:rPr>
        <w:t>D</w:t>
      </w:r>
      <w:r>
        <w:rPr>
          <w:rFonts w:hint="default" w:ascii="Times New Roman" w:hAnsi="Times New Roman" w:cs="Times New Roman"/>
        </w:rPr>
        <w:t>efinition of CPH</w:t>
      </w:r>
    </w:p>
    <w:p w14:paraId="6E3693CF">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eastAsia="宋体" w:cs="Times New Roman"/>
          <w:b w:val="0"/>
          <w:bCs/>
          <w:color w:val="auto"/>
          <w:sz w:val="24"/>
          <w:szCs w:val="24"/>
          <w:highlight w:val="none"/>
        </w:rPr>
      </w:pPr>
      <w:r>
        <w:rPr>
          <w:rFonts w:hint="default" w:ascii="Times New Roman" w:hAnsi="Times New Roman" w:cs="Times New Roman"/>
          <w:b w:val="0"/>
          <w:bCs/>
          <w:color w:val="auto"/>
          <w:sz w:val="24"/>
          <w:szCs w:val="24"/>
          <w:highlight w:val="none"/>
        </w:rPr>
        <w:t>The Critical Period Hypothesis (CPH), first proposed by Lenneberg (1967), suggests that language acquisition is constrained by biological factors related to brain development. According to this hypothesis, there exists a limited window during which the human brain is particularly receptive to language input, making language learning especially effective in early childhood. This period is believed to end around the onset of puberty, as the brain undergoes lateralisation and loses some of its neural plasticity. Lenneberg argued that the ability to acquire language “occurs most easily and fully during a biologically determined period” (Lenneberg, 1967, p. 176), especially in areas such as pronunciation and grammatical competence.</w:t>
      </w:r>
    </w:p>
    <w:p w14:paraId="6392B87D">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Re-evaluating the Scope of the Critical Period Hypothesis</w:t>
      </w:r>
    </w:p>
    <w:p w14:paraId="4F8B1B30">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A substantial body of research supports the view that second language acquisition is also subject to critical period effects, particularly in the domains of pronunciation and grammar. Learners who begin acquiring a second language early in life are generally more likely to develop native-like pronunciation, whereas adult learners often retain a foreign accent even after prolonged exposure (Flege, Yeni-Komshian and Liu, 1999; Oyama, 1976). Similarly, studies on grammatical competence have demonstrated that early arrivals tend to perform better on grammaticality judgement tasks, closely resembling native speaker norms (Johnson and Newport, 1989).</w:t>
      </w:r>
    </w:p>
    <w:p w14:paraId="7EAA205E">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However, it is increasingly recognised that different components of language are affected by age to varying degrees. Lightbown and Spada (2013) observe that although younger learners typically achieve more native-like pronunciation, adult learners may outperform them in terms of early learning speed, particularly in vocabulary acquisition and structured classroom tasks. This suggests that the influence of age is not uniform across all aspects of language learning. As such, the Critical Period Hypothesis should be interpreted with greater nuance, taking into account the variability across linguistic domains.</w:t>
      </w:r>
    </w:p>
    <w:p w14:paraId="0389D869">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Current Interpretations of the Critical Period</w:t>
      </w:r>
    </w:p>
    <w:p w14:paraId="003EF427">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In recent years, a growing body of research has moved towards a more nuanced understanding of the Critical Period Hypothesis (CPH), suggesting that language learning capacity does not abruptly end at a specific age. Instead, it tends to decline gradually over time, with different linguistic domains showing varying degrees of sensitivity to age.</w:t>
      </w:r>
    </w:p>
    <w:p w14:paraId="222B4773">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One notable example is the large-scale study by Hartshorne, Tenenbaum and Pinker (2018), which found that the ability to acquire grammar begins to decrease gradually after adolescence. However, this decline is not immediate or absolute, indicating that meaningful language learning can still occur well beyond the early years, particularly when supported by structured instruction and strong learner motivation.</w:t>
      </w:r>
    </w:p>
    <w:p w14:paraId="3BE2E0A7">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eastAsia="宋体" w:cs="Times New Roman"/>
          <w:b w:val="0"/>
          <w:bCs/>
          <w:strike/>
          <w:dstrike w:val="0"/>
          <w:color w:val="auto"/>
          <w:sz w:val="24"/>
          <w:szCs w:val="24"/>
          <w:highlight w:val="none"/>
        </w:rPr>
      </w:pPr>
      <w:r>
        <w:rPr>
          <w:rFonts w:hint="default" w:ascii="Times New Roman" w:hAnsi="Times New Roman" w:cs="Times New Roman"/>
          <w:b w:val="0"/>
          <w:bCs/>
          <w:color w:val="auto"/>
          <w:sz w:val="24"/>
          <w:szCs w:val="24"/>
          <w:highlight w:val="none"/>
        </w:rPr>
        <w:t>From a theoretical standpoint, Singleton (2005) cautioned against interpreting the CPH as a rigid age-related cut-off. Rather, he proposed that the effects of age on language acquisition should be seen as part of a broader phenomenon shaped by multiple variables, including motivation, input, and individual learner differences. As a result, recent interpretations of the CPH tend to frame it as a flexible, domain-sensitive period rather than a fixed biological boundary.</w:t>
      </w:r>
    </w:p>
    <w:p w14:paraId="720069EC">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Section Summary</w:t>
      </w:r>
    </w:p>
    <w:p w14:paraId="0AB708E7">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In summary, the Critical Period Hypothesis remains a key theoretical framework for understanding the relationship between age and language learning. It highlights the increased neurocognitive readiness for language acquisition during early life stages, particularly in phonology and grammar. However, it is now widely acknowledged that age alone does not determine the ultimate success of second language acquisition.</w:t>
      </w:r>
    </w:p>
    <w:p w14:paraId="5379A85B">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strike/>
          <w:dstrike w:val="0"/>
          <w:color w:val="auto"/>
          <w:sz w:val="24"/>
          <w:szCs w:val="24"/>
          <w:highlight w:val="none"/>
        </w:rPr>
      </w:pPr>
      <w:r>
        <w:rPr>
          <w:rFonts w:hint="default" w:ascii="Times New Roman" w:hAnsi="Times New Roman" w:cs="Times New Roman"/>
          <w:b w:val="0"/>
          <w:bCs/>
          <w:color w:val="auto"/>
          <w:sz w:val="24"/>
          <w:szCs w:val="24"/>
          <w:highlight w:val="none"/>
        </w:rPr>
        <w:t>Contemporary research tends to adopt a more flexible interpretation of age effects, viewing the critical period not as a strict cut-off point but rather as a general developmental tendency. This perspective recognises that while age may influence the ease of acquisition in certain domains, it interacts with a range of other factors—such as the quality and quantity of language input, learner motivation, social context, and instructional approaches—that collectively shape language learning outcomes. As such, many scholars now conceptualise the critical period as a sensitive window, rather than a rigid boundary between success and failure.</w:t>
      </w:r>
    </w:p>
    <w:p w14:paraId="3D09EEB7">
      <w:pPr>
        <w:pStyle w:val="2"/>
        <w:numPr>
          <w:ilvl w:val="0"/>
          <w:numId w:val="1"/>
        </w:numPr>
        <w:bidi w:val="0"/>
        <w:rPr>
          <w:rFonts w:hint="default" w:ascii="Times New Roman" w:hAnsi="Times New Roman" w:cs="Times New Roman"/>
        </w:rPr>
      </w:pPr>
      <w:r>
        <w:rPr>
          <w:rFonts w:hint="default" w:ascii="Times New Roman" w:hAnsi="Times New Roman" w:cs="Times New Roman"/>
        </w:rPr>
        <w:t>Studies Comparing L2 Children and L2</w:t>
      </w:r>
      <w:r>
        <w:rPr>
          <w:rFonts w:hint="default" w:ascii="Times New Roman" w:hAnsi="Times New Roman" w:cs="Times New Roman"/>
          <w:lang w:val="en-US" w:eastAsia="zh-CN"/>
        </w:rPr>
        <w:t xml:space="preserve"> </w:t>
      </w:r>
      <w:r>
        <w:rPr>
          <w:rFonts w:hint="default" w:ascii="Times New Roman" w:hAnsi="Times New Roman" w:cs="Times New Roman"/>
        </w:rPr>
        <w:t>Adults</w:t>
      </w:r>
    </w:p>
    <w:p w14:paraId="7483A557">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Pronunciation</w:t>
      </w:r>
    </w:p>
    <w:p w14:paraId="790B6991">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Pronunciation is widely recognised as one of the linguistic domains most strongly affected by age, and thus often cited in support of the Critical Period Hypothesis (CPH). Compared to other aspects of language, such as vocabulary or syntax, the acquisition of phonological features appears to rely more heavily on the neural plasticity available during early developmental stages. As a result, child learners are generally more likely to attain native-like pronunciation, especially when exposed to the second language at a young age.</w:t>
      </w:r>
    </w:p>
    <w:p w14:paraId="52ECE4B1">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A landmark study by Oyama (1976) demonstrated that Italian immigrants who arrived in the United States during early childhood exhibited significantly better pronunciation than those who arrived after puberty. Her findings revealed a clear correlation between age of arrival and phonological attainment, reinforcing the idea that pronunciation is particularly sensitive to age-related constraints.</w:t>
      </w:r>
    </w:p>
    <w:p w14:paraId="1709555D">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Similarly, Flege, Yeni-Komshian and Liu (1999) found that although some adult learners achieved relatively high pronunciation scores, the youngest participants were the most likely to demonstrate near-native accent patterns. This suggests that while adults may improve their pronunciation through intensive effort, the limits imposed by age may prevent full native-like attainment.</w:t>
      </w:r>
    </w:p>
    <w:p w14:paraId="424F6E11">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Patkowski (1990) added further weight to this argument by noting that late learners rarely sound native-like in their pronunciation, regardless of the amount of exposure they receive. He argued that “late learners were less likely to sound native-like regardless of the length of exposure,” highlighting the persistent impact of age even in immersive environments.</w:t>
      </w:r>
    </w:p>
    <w:p w14:paraId="19F9DD9D">
      <w:pPr>
        <w:pStyle w:val="7"/>
        <w:keepNext w:val="0"/>
        <w:keepLines w:val="0"/>
        <w:widowControl/>
        <w:suppressLineNumbers w:val="0"/>
        <w:spacing w:before="0" w:beforeAutospacing="1" w:after="0" w:afterAutospacing="1" w:line="240" w:lineRule="auto"/>
        <w:ind w:left="0" w:right="0" w:firstLine="480" w:firstLineChars="200"/>
        <w:jc w:val="left"/>
        <w:rPr>
          <w:rStyle w:val="11"/>
          <w:rFonts w:hint="default" w:ascii="Times New Roman" w:hAnsi="Times New Roman" w:eastAsia="宋体" w:cs="Times New Roman"/>
          <w:b w:val="0"/>
          <w:bCs/>
          <w:strike/>
          <w:dstrike w:val="0"/>
          <w:color w:val="auto"/>
          <w:sz w:val="24"/>
          <w:szCs w:val="24"/>
          <w:highlight w:val="none"/>
        </w:rPr>
      </w:pPr>
      <w:r>
        <w:rPr>
          <w:rFonts w:hint="default" w:ascii="Times New Roman" w:hAnsi="Times New Roman" w:cs="Times New Roman"/>
          <w:b w:val="0"/>
          <w:bCs/>
          <w:color w:val="auto"/>
          <w:sz w:val="24"/>
          <w:szCs w:val="24"/>
          <w:highlight w:val="none"/>
        </w:rPr>
        <w:t>Taken together, these studies suggest that phonological acquisition is among the strongest empirical supports for the Critical Period Hypothesis. Children exposed to a second language during early life stages benefit from heightened neurological receptivity, while adult learners tend to retain a foreign accent despite long-term exposure.</w:t>
      </w:r>
    </w:p>
    <w:p w14:paraId="2D545A27">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Grammar</w:t>
      </w:r>
    </w:p>
    <w:p w14:paraId="656D0EBC">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In the domain of second language grammar acquisition, age has been consistently identified as a key influencing factor. Numerous studies suggest a strong negative correlation between age and grammatical attainment, particularly in environments where input is natural rather than explicitly taught.</w:t>
      </w:r>
    </w:p>
    <w:p w14:paraId="0857090C">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One of the most widely cited studies in this area is that of Johnson and Newport (1989), who investigated Korean and Chinese learners of English. Their findings demonstrated a clear pattern: the older the learners were at the time of arrival in the United States, the less accurate they were in grammaticality judgement tasks. This age-related decline in performance provided robust empirical support for the Critical Period Hypothesis, especially in the area of grammar learning.</w:t>
      </w:r>
    </w:p>
    <w:p w14:paraId="6B2B847E">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However, other studies have shown that adult learners can compensate for this disadvantage through formal instruction. DeKeyser (2000) argued that adults are better equipped to benefit from explicit grammar teaching due to their advanced cognitive maturity and metalinguistic awareness. In rule-based grammatical tests, adult learners often perform well when provided with structured input and opportunities for conscious learning.</w:t>
      </w:r>
    </w:p>
    <w:p w14:paraId="6B6937E3">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Moreover, Bialystok and Hakuta (1999) pointed out that while younger learners tend to acquire grammar implicitly, adult learners can also achieve success if they receive sufficient exposure, maintain motivation, and are taught effectively. This suggests that although age affects how grammar is learned, it does not entirely limit what can be learned—success depends on the interaction of age with other important variables.</w:t>
      </w:r>
    </w:p>
    <w:p w14:paraId="2D91A974">
      <w:pPr>
        <w:keepNext w:val="0"/>
        <w:keepLines w:val="0"/>
        <w:widowControl/>
        <w:suppressLineNumbers w:val="0"/>
        <w:spacing w:line="240" w:lineRule="auto"/>
        <w:ind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eastAsia="宋体" w:cs="Times New Roman"/>
          <w:b w:val="0"/>
          <w:bCs/>
          <w:color w:val="auto"/>
          <w:sz w:val="24"/>
          <w:szCs w:val="24"/>
          <w:highlight w:val="none"/>
        </w:rPr>
        <w:t>Thus, while age clearly influences grammatical development, it is not an insurmountable barrier, and appropriate instructional conditions can enable adult learners to achieve strong outcomes.</w:t>
      </w:r>
    </w:p>
    <w:p w14:paraId="4342C552">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Vocabulary and Overall Speed</w:t>
      </w:r>
    </w:p>
    <w:p w14:paraId="0FE94721">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In the area of vocabulary acquisition and overall learning speed, adult learners often demonstrate certain advantages during the initial stages of second language learning. Compared to children, adults benefit from greater cognitive maturity and a wider range of learning strategies, which allow them to process explicit information more effectively—particularly in structured instructional settings.</w:t>
      </w:r>
    </w:p>
    <w:p w14:paraId="1E10EBF2">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For example, Snow and Hoefnagel-Höhle (1978) found that adults outperformed children in early vocabulary and comprehension tasks, suggesting that their cognitive readiness enables more efficient short-term gains. This observation is echoed by Lightbown and Spada (2013), who noted that older learners often make faster progress at the beginning of language learning, especially in classroom environments with clear instructional guidance.</w:t>
      </w:r>
    </w:p>
    <w:p w14:paraId="026FAEB6">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However, initial speed does not necessarily translate into long-term success. As Muñoz (2006) observed, early starters—such as children exposed to a second language from a young age—may eventually surpass adult learners in ultimate attainment, particularly in fluency and intuitive language use, provided that they receive consistent and prolonged exposure to the language.</w:t>
      </w:r>
    </w:p>
    <w:p w14:paraId="2A8A35DE">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In sum, while adults may enjoy a faster start in vocabulary acquisition and initial comprehension, long-term success in second language learning depends more heavily on continuous exposure, meaningful communication, and the quality of learning conditions.</w:t>
      </w:r>
    </w:p>
    <w:p w14:paraId="33DDBD2B">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Section Summary</w:t>
      </w:r>
    </w:p>
    <w:p w14:paraId="52EC9860">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strike/>
          <w:dstrike w:val="0"/>
          <w:color w:val="auto"/>
          <w:sz w:val="24"/>
          <w:szCs w:val="24"/>
          <w:highlight w:val="none"/>
        </w:rPr>
      </w:pPr>
      <w:r>
        <w:rPr>
          <w:rFonts w:hint="default" w:ascii="Times New Roman" w:hAnsi="Times New Roman" w:cs="Times New Roman"/>
          <w:b w:val="0"/>
          <w:bCs/>
          <w:color w:val="auto"/>
          <w:sz w:val="24"/>
          <w:szCs w:val="24"/>
          <w:highlight w:val="none"/>
        </w:rPr>
        <w:t>In summary, empirical research indicates that age affects different aspects of second language acquisition in varying ways. Phonological development appears to be most sensitive to age, with younger learners showing a clear advantage in attaining native-like pronunciation. Grammatical acquisition is also influenced by age, although adult learners may compensate through explicit instruction and strategic learning. In contrast, vocabulary learning and initial language processing speed often favour adults in the early stages, but younger learners may eventually outperform their older counterparts with prolonged exposure and consistent use. These findings suggest that the Critical Period Hypothesis applies unevenly across language domains and that language acquisition is shaped by a complex interplay of cognitive, instructional, and experiential factors. The next section will explore the similarities and differences between child and adult learners more holistically, and consider the implications for pedagogical practice.</w:t>
      </w:r>
    </w:p>
    <w:p w14:paraId="3E8271DE">
      <w:pPr>
        <w:pStyle w:val="2"/>
        <w:numPr>
          <w:ilvl w:val="0"/>
          <w:numId w:val="1"/>
        </w:numPr>
        <w:bidi w:val="0"/>
        <w:rPr>
          <w:rFonts w:hint="default" w:ascii="Times New Roman" w:hAnsi="Times New Roman" w:cs="Times New Roman"/>
        </w:rPr>
      </w:pPr>
      <w:r>
        <w:rPr>
          <w:rFonts w:hint="default" w:ascii="Times New Roman" w:hAnsi="Times New Roman" w:cs="Times New Roman"/>
        </w:rPr>
        <w:t xml:space="preserve">Similarities and Differences </w:t>
      </w:r>
      <w:r>
        <w:rPr>
          <w:rFonts w:hint="default" w:ascii="Times New Roman" w:hAnsi="Times New Roman" w:cs="Times New Roman"/>
          <w:lang w:val="en-US" w:eastAsia="zh-CN"/>
        </w:rPr>
        <w:t>b</w:t>
      </w:r>
      <w:r>
        <w:rPr>
          <w:rFonts w:hint="default" w:ascii="Times New Roman" w:hAnsi="Times New Roman" w:cs="Times New Roman"/>
        </w:rPr>
        <w:t>etween L2 Children and L2</w:t>
      </w:r>
      <w:r>
        <w:rPr>
          <w:rFonts w:hint="default" w:ascii="Times New Roman" w:hAnsi="Times New Roman" w:cs="Times New Roman"/>
          <w:lang w:val="en-US" w:eastAsia="zh-CN"/>
        </w:rPr>
        <w:t xml:space="preserve"> </w:t>
      </w:r>
      <w:r>
        <w:rPr>
          <w:rFonts w:hint="default" w:ascii="Times New Roman" w:hAnsi="Times New Roman" w:cs="Times New Roman"/>
        </w:rPr>
        <w:t>Adults</w:t>
      </w:r>
    </w:p>
    <w:p w14:paraId="164F2D88">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Existing research has made it clear that both children and adults are capable of successfully acquiring a second language, provided that they have access to suitable learning conditions and support. However, the pathways through which they achieve this goal, as well as the learning strategies and challenges they encounter, differ in meaningful ways. The previous section reviewed empirical studies on pronunciation, grammar, and vocabulary acquisition, illustrating how age interacts with different aspects of language learning.</w:t>
      </w:r>
    </w:p>
    <w:p w14:paraId="00CA59C6">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Building on those findings, the present section does not aim to repeat individual studies. Instead, it seeks to synthesise this knowledge by identifying key similarities and differences between child and adult learners in second language acquisition. By comparing the two groups in terms of cognitive characteristics, affective factors, and how they process linguistic input, we can develop a more comprehensive understanding of age-related influences and lay the groundwork for pedagogical considerations in later discussion.</w:t>
      </w:r>
    </w:p>
    <w:p w14:paraId="2707EB2A">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 xml:space="preserve">Similarities </w:t>
      </w:r>
      <w:r>
        <w:rPr>
          <w:rFonts w:hint="default" w:ascii="Times New Roman" w:hAnsi="Times New Roman" w:cs="Times New Roman"/>
          <w:lang w:val="en-US" w:eastAsia="zh-CN"/>
        </w:rPr>
        <w:t>b</w:t>
      </w:r>
      <w:r>
        <w:rPr>
          <w:rFonts w:hint="default" w:ascii="Times New Roman" w:hAnsi="Times New Roman" w:cs="Times New Roman"/>
        </w:rPr>
        <w:t>etween L2 Children and L2</w:t>
      </w:r>
      <w:r>
        <w:rPr>
          <w:rFonts w:hint="default" w:ascii="Times New Roman" w:hAnsi="Times New Roman" w:cs="Times New Roman"/>
          <w:lang w:val="en-US" w:eastAsia="zh-CN"/>
        </w:rPr>
        <w:t xml:space="preserve"> </w:t>
      </w:r>
      <w:r>
        <w:rPr>
          <w:rFonts w:hint="default" w:ascii="Times New Roman" w:hAnsi="Times New Roman" w:cs="Times New Roman"/>
        </w:rPr>
        <w:t>Adults</w:t>
      </w:r>
    </w:p>
    <w:p w14:paraId="1A9ECE98">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Despite the well-documented differences associated with age, research has shown that L2 children and adults share several important characteristics in the language learning process. Recognising these commonalities is essential for understanding the foundational principles of second language acquisition.</w:t>
      </w:r>
    </w:p>
    <w:p w14:paraId="25A6523C">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One key similarity is the universal need for </w:t>
      </w:r>
      <w:r>
        <w:rPr>
          <w:rStyle w:val="10"/>
          <w:rFonts w:hint="default" w:ascii="Times New Roman" w:hAnsi="Times New Roman" w:cs="Times New Roman"/>
          <w:b w:val="0"/>
          <w:bCs/>
          <w:color w:val="auto"/>
          <w:sz w:val="24"/>
          <w:szCs w:val="24"/>
          <w:highlight w:val="none"/>
        </w:rPr>
        <w:t>comprehensible input</w:t>
      </w:r>
      <w:r>
        <w:rPr>
          <w:rFonts w:hint="default" w:ascii="Times New Roman" w:hAnsi="Times New Roman" w:cs="Times New Roman"/>
          <w:b w:val="0"/>
          <w:bCs/>
          <w:color w:val="auto"/>
          <w:sz w:val="24"/>
          <w:szCs w:val="24"/>
          <w:highlight w:val="none"/>
        </w:rPr>
        <w:t>. According to Krashen’s (1982) Input Hypothesis, language acquisition is facilitated when learners are exposed to input that is understandable but contains slightly more advanced language than they currently produce. This principle applies across age groups and has been widely supported by empirical studies.</w:t>
      </w:r>
    </w:p>
    <w:p w14:paraId="76F28EE7">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Another shared factor is the </w:t>
      </w:r>
      <w:r>
        <w:rPr>
          <w:rStyle w:val="10"/>
          <w:rFonts w:hint="default" w:ascii="Times New Roman" w:hAnsi="Times New Roman" w:cs="Times New Roman"/>
          <w:b w:val="0"/>
          <w:bCs/>
          <w:color w:val="auto"/>
          <w:sz w:val="24"/>
          <w:szCs w:val="24"/>
          <w:highlight w:val="none"/>
        </w:rPr>
        <w:t>influence of affective variables</w:t>
      </w:r>
      <w:r>
        <w:rPr>
          <w:rFonts w:hint="default" w:ascii="Times New Roman" w:hAnsi="Times New Roman" w:cs="Times New Roman"/>
          <w:b w:val="0"/>
          <w:bCs/>
          <w:color w:val="auto"/>
          <w:sz w:val="24"/>
          <w:szCs w:val="24"/>
          <w:highlight w:val="none"/>
        </w:rPr>
        <w:t>. As Lightbown and Spada (2013) point out, factors such as motivation, attitude, and confidence significantly shape the success of language learning. These emotional and psychological elements are critical not only for adult learners but also for children, influencing their level of engagement and persistence.</w:t>
      </w:r>
    </w:p>
    <w:p w14:paraId="595B024A">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Finally, </w:t>
      </w:r>
      <w:r>
        <w:rPr>
          <w:rStyle w:val="10"/>
          <w:rFonts w:hint="default" w:ascii="Times New Roman" w:hAnsi="Times New Roman" w:cs="Times New Roman"/>
          <w:b w:val="0"/>
          <w:bCs/>
          <w:color w:val="auto"/>
          <w:sz w:val="24"/>
          <w:szCs w:val="24"/>
          <w:highlight w:val="none"/>
        </w:rPr>
        <w:t>long-term exposure to the target language</w:t>
      </w:r>
      <w:r>
        <w:rPr>
          <w:rFonts w:hint="default" w:ascii="Times New Roman" w:hAnsi="Times New Roman" w:cs="Times New Roman"/>
          <w:b w:val="0"/>
          <w:bCs/>
          <w:color w:val="auto"/>
          <w:sz w:val="24"/>
          <w:szCs w:val="24"/>
          <w:highlight w:val="none"/>
        </w:rPr>
        <w:t xml:space="preserve"> plays a crucial role for both groups. Short-term instruction alone is rarely sufficient to produce lasting language development. Rather, consistent and meaningful use of the target language over time is necessary to reinforce structures and promote internalisation. Both children and adults benefit from opportunities to interact with the language in diverse and authentic contexts.</w:t>
      </w:r>
    </w:p>
    <w:p w14:paraId="566EC984">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Recent perspectives in second language acquisition research have also emphasised the </w:t>
      </w:r>
      <w:r>
        <w:rPr>
          <w:rStyle w:val="10"/>
          <w:rFonts w:hint="default" w:ascii="Times New Roman" w:hAnsi="Times New Roman" w:cs="Times New Roman"/>
          <w:b w:val="0"/>
          <w:bCs/>
          <w:color w:val="auto"/>
          <w:sz w:val="24"/>
          <w:szCs w:val="24"/>
          <w:highlight w:val="none"/>
        </w:rPr>
        <w:t>shared cognitive foundations</w:t>
      </w:r>
      <w:r>
        <w:rPr>
          <w:rFonts w:hint="default" w:ascii="Times New Roman" w:hAnsi="Times New Roman" w:cs="Times New Roman"/>
          <w:b w:val="0"/>
          <w:bCs/>
          <w:color w:val="auto"/>
          <w:sz w:val="24"/>
          <w:szCs w:val="24"/>
          <w:highlight w:val="none"/>
        </w:rPr>
        <w:t xml:space="preserve"> between child and adult learners. Although their processing routes may differ, both groups rely on pattern recognition abilities and the mapping between form and meaning when acquiring new language input. As Ellis (2005) suggests, the core mechanisms underlying language acquisition are broadly similar across ages, even if they are activated through different learning experiences and strategies.</w:t>
      </w:r>
      <w:r>
        <w:rPr>
          <w:rFonts w:hint="default" w:ascii="Times New Roman" w:hAnsi="Times New Roman" w:cs="Times New Roman"/>
          <w:b w:val="0"/>
          <w:bCs/>
          <w:color w:val="auto"/>
          <w:sz w:val="24"/>
          <w:szCs w:val="24"/>
          <w:highlight w:val="none"/>
        </w:rPr>
        <w:br w:type="textWrapping"/>
      </w:r>
      <w:r>
        <w:rPr>
          <w:rFonts w:hint="default" w:ascii="Times New Roman" w:hAnsi="Times New Roman" w:cs="Times New Roman"/>
          <w:b w:val="0"/>
          <w:bCs/>
          <w:color w:val="auto"/>
          <w:sz w:val="24"/>
          <w:szCs w:val="24"/>
          <w:highlight w:val="none"/>
        </w:rPr>
        <w:t>Thus, while learning trajectories and instructional needs may vary, the fundamental conditions and cognitive mechanisms that support second language acquisition remain largely consistent across age groups, offering a shared foundation for pedagogical practice.</w:t>
      </w:r>
    </w:p>
    <w:p w14:paraId="1793558F">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 xml:space="preserve">Differences </w:t>
      </w:r>
      <w:r>
        <w:rPr>
          <w:rFonts w:hint="default" w:ascii="Times New Roman" w:hAnsi="Times New Roman" w:cs="Times New Roman"/>
          <w:lang w:val="en-US" w:eastAsia="zh-CN"/>
        </w:rPr>
        <w:t>b</w:t>
      </w:r>
      <w:r>
        <w:rPr>
          <w:rFonts w:hint="default" w:ascii="Times New Roman" w:hAnsi="Times New Roman" w:cs="Times New Roman"/>
        </w:rPr>
        <w:t>etween L2 Children and L2</w:t>
      </w:r>
      <w:r>
        <w:rPr>
          <w:rFonts w:hint="default" w:ascii="Times New Roman" w:hAnsi="Times New Roman" w:cs="Times New Roman"/>
          <w:lang w:val="en-US" w:eastAsia="zh-CN"/>
        </w:rPr>
        <w:t xml:space="preserve"> </w:t>
      </w:r>
      <w:r>
        <w:rPr>
          <w:rFonts w:hint="default" w:ascii="Times New Roman" w:hAnsi="Times New Roman" w:cs="Times New Roman"/>
        </w:rPr>
        <w:t>Adults</w:t>
      </w:r>
    </w:p>
    <w:p w14:paraId="23C7E061">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While both children and adults have the potential to acquire a second language successfully, they differ in systematic ways across cognitive, affective, and behavioural dimensions. These differences are not merely the result of age in isolation, but rather emerge from the complex interaction between age and other variables such as learning environment, motivation, cognitive development, and instructional support.</w:t>
      </w:r>
    </w:p>
    <w:p w14:paraId="1570DBCC">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Style w:val="10"/>
          <w:rFonts w:hint="default" w:ascii="Times New Roman" w:hAnsi="Times New Roman" w:cs="Times New Roman"/>
          <w:b w:val="0"/>
          <w:bCs/>
          <w:color w:val="auto"/>
          <w:sz w:val="24"/>
          <w:szCs w:val="24"/>
          <w:highlight w:val="none"/>
        </w:rPr>
        <w:t>Pronunciation</w:t>
      </w:r>
      <w:r>
        <w:rPr>
          <w:rFonts w:hint="default" w:ascii="Times New Roman" w:hAnsi="Times New Roman" w:cs="Times New Roman"/>
          <w:b w:val="0"/>
          <w:bCs/>
          <w:color w:val="auto"/>
          <w:sz w:val="24"/>
          <w:szCs w:val="24"/>
          <w:highlight w:val="none"/>
        </w:rPr>
        <w:t xml:space="preserve"> is often cited as the area most strongly influenced by age. Children are less affected by interference from their first language and exhibit higher phonological sensitivity, allowing them to acquire near-native accents more easily. Adults, on the other hand, tend to rely more on conscious control when learning pronunciation, which may limit their ability to fully adapt to native-like speech patterns. This is likely due in part to neurobiological factors such as reduced plasticity, but it also reflects the cognitive strategies that adult learners prefer.</w:t>
      </w:r>
    </w:p>
    <w:p w14:paraId="3A6983DF">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In the </w:t>
      </w:r>
      <w:r>
        <w:rPr>
          <w:rStyle w:val="10"/>
          <w:rFonts w:hint="default" w:ascii="Times New Roman" w:hAnsi="Times New Roman" w:cs="Times New Roman"/>
          <w:b w:val="0"/>
          <w:bCs/>
          <w:color w:val="auto"/>
          <w:sz w:val="24"/>
          <w:szCs w:val="24"/>
          <w:highlight w:val="none"/>
        </w:rPr>
        <w:t>domain of grammar</w:t>
      </w:r>
      <w:r>
        <w:rPr>
          <w:rFonts w:hint="default" w:ascii="Times New Roman" w:hAnsi="Times New Roman" w:cs="Times New Roman"/>
          <w:b w:val="0"/>
          <w:bCs/>
          <w:color w:val="auto"/>
          <w:sz w:val="24"/>
          <w:szCs w:val="24"/>
          <w:highlight w:val="none"/>
        </w:rPr>
        <w:t>, children typically learn implicitly through exposure, gradually absorbing linguistic patterns without overt instruction. Adults, in contrast, often engage more successfully with explicit grammar instruction, drawing on their metalinguistic awareness and logical reasoning abilities. While this can be an advantage in certain instructional settings, it may also introduce processing difficulties if rule-based learning becomes overly rigid or detached from communicative use.</w:t>
      </w:r>
    </w:p>
    <w:p w14:paraId="47EA64B1">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When it comes to </w:t>
      </w:r>
      <w:r>
        <w:rPr>
          <w:rStyle w:val="10"/>
          <w:rFonts w:hint="default" w:ascii="Times New Roman" w:hAnsi="Times New Roman" w:cs="Times New Roman"/>
          <w:b w:val="0"/>
          <w:bCs/>
          <w:color w:val="auto"/>
          <w:sz w:val="24"/>
          <w:szCs w:val="24"/>
          <w:highlight w:val="none"/>
        </w:rPr>
        <w:t>vocabulary acquisition and initial progress</w:t>
      </w:r>
      <w:r>
        <w:rPr>
          <w:rFonts w:hint="default" w:ascii="Times New Roman" w:hAnsi="Times New Roman" w:cs="Times New Roman"/>
          <w:b w:val="0"/>
          <w:bCs/>
          <w:color w:val="auto"/>
          <w:sz w:val="24"/>
          <w:szCs w:val="24"/>
          <w:highlight w:val="none"/>
        </w:rPr>
        <w:t>, adults often exhibit faster short-term gains due to their advanced memory systems and focused learning strategies. However, long-term success—particularly in areas such as fluency and idiomatic use—often favours child learners, who benefit from extensive and immersive exposure over time. In this sense, adult learners tend to start fast but plateau early, whereas children may start slower but achieve more native-like competence in the long run.</w:t>
      </w:r>
    </w:p>
    <w:p w14:paraId="4D348B17">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Style w:val="10"/>
          <w:rFonts w:hint="default" w:ascii="Times New Roman" w:hAnsi="Times New Roman" w:cs="Times New Roman"/>
          <w:b w:val="0"/>
          <w:bCs/>
          <w:color w:val="auto"/>
          <w:sz w:val="24"/>
          <w:szCs w:val="24"/>
          <w:highlight w:val="none"/>
        </w:rPr>
        <w:t>Affective variables</w:t>
      </w:r>
      <w:r>
        <w:rPr>
          <w:rFonts w:hint="default" w:ascii="Times New Roman" w:hAnsi="Times New Roman" w:cs="Times New Roman"/>
          <w:b w:val="0"/>
          <w:bCs/>
          <w:color w:val="auto"/>
          <w:sz w:val="24"/>
          <w:szCs w:val="24"/>
          <w:highlight w:val="none"/>
        </w:rPr>
        <w:t xml:space="preserve"> also differ significantly. Adults are more susceptible to anxiety, embarrassment, and self-consciousness in language learning, which can inhibit active participation. Children, by contrast, are typically more spontaneous and less inhibited, making them more likely to engage in meaningful language use without fear of mistakes.</w:t>
      </w:r>
    </w:p>
    <w:p w14:paraId="50A5DB29">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Contemporary perspectives have moved away from rigid age-bound interpretations of these differences. </w:t>
      </w:r>
      <w:r>
        <w:rPr>
          <w:rStyle w:val="10"/>
          <w:rFonts w:hint="default" w:ascii="Times New Roman" w:hAnsi="Times New Roman" w:cs="Times New Roman"/>
          <w:b w:val="0"/>
          <w:bCs/>
          <w:color w:val="auto"/>
          <w:sz w:val="24"/>
          <w:szCs w:val="24"/>
          <w:highlight w:val="none"/>
        </w:rPr>
        <w:t>Dynamic models of age effects</w:t>
      </w:r>
      <w:r>
        <w:rPr>
          <w:rFonts w:hint="default" w:ascii="Times New Roman" w:hAnsi="Times New Roman" w:cs="Times New Roman"/>
          <w:b w:val="0"/>
          <w:bCs/>
          <w:color w:val="auto"/>
          <w:sz w:val="24"/>
          <w:szCs w:val="24"/>
          <w:highlight w:val="none"/>
        </w:rPr>
        <w:t xml:space="preserve"> suggest that age interacts with other cognitive, emotional, and contextual factors to shape individual learning trajectories. For example, Birdsong (2018) argues that although neural plasticity may decline with age, adults compensate with greater adaptability and control over their learning strategies. This view reframes age not as a constraint, but as a variable influencing how learning is best supported across different stages of life.</w:t>
      </w:r>
    </w:p>
    <w:p w14:paraId="0B29623E">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Ultimately, age-related differences should not be seen as determining whether a learner can succeed, but rather as shaping </w:t>
      </w:r>
      <w:r>
        <w:rPr>
          <w:rStyle w:val="10"/>
          <w:rFonts w:hint="default" w:ascii="Times New Roman" w:hAnsi="Times New Roman" w:cs="Times New Roman"/>
          <w:b w:val="0"/>
          <w:bCs/>
          <w:color w:val="auto"/>
          <w:sz w:val="24"/>
          <w:szCs w:val="24"/>
          <w:highlight w:val="none"/>
        </w:rPr>
        <w:t>how they learn</w:t>
      </w:r>
      <w:r>
        <w:rPr>
          <w:rFonts w:hint="default" w:ascii="Times New Roman" w:hAnsi="Times New Roman" w:cs="Times New Roman"/>
          <w:b w:val="0"/>
          <w:bCs/>
          <w:color w:val="auto"/>
          <w:sz w:val="24"/>
          <w:szCs w:val="24"/>
          <w:highlight w:val="none"/>
        </w:rPr>
        <w:t xml:space="preserve">, </w:t>
      </w:r>
      <w:r>
        <w:rPr>
          <w:rStyle w:val="10"/>
          <w:rFonts w:hint="default" w:ascii="Times New Roman" w:hAnsi="Times New Roman" w:cs="Times New Roman"/>
          <w:b w:val="0"/>
          <w:bCs/>
          <w:color w:val="auto"/>
          <w:sz w:val="24"/>
          <w:szCs w:val="24"/>
          <w:highlight w:val="none"/>
        </w:rPr>
        <w:t>what kinds of support they need</w:t>
      </w:r>
      <w:r>
        <w:rPr>
          <w:rFonts w:hint="default" w:ascii="Times New Roman" w:hAnsi="Times New Roman" w:cs="Times New Roman"/>
          <w:b w:val="0"/>
          <w:bCs/>
          <w:color w:val="auto"/>
          <w:sz w:val="24"/>
          <w:szCs w:val="24"/>
          <w:highlight w:val="none"/>
        </w:rPr>
        <w:t xml:space="preserve">, and </w:t>
      </w:r>
      <w:r>
        <w:rPr>
          <w:rStyle w:val="10"/>
          <w:rFonts w:hint="default" w:ascii="Times New Roman" w:hAnsi="Times New Roman" w:cs="Times New Roman"/>
          <w:b w:val="0"/>
          <w:bCs/>
          <w:color w:val="auto"/>
          <w:sz w:val="24"/>
          <w:szCs w:val="24"/>
          <w:highlight w:val="none"/>
        </w:rPr>
        <w:t>how learning mechanisms function differently across age groups</w:t>
      </w:r>
      <w:r>
        <w:rPr>
          <w:rFonts w:hint="default" w:ascii="Times New Roman" w:hAnsi="Times New Roman" w:cs="Times New Roman"/>
          <w:b w:val="0"/>
          <w:bCs/>
          <w:color w:val="auto"/>
          <w:sz w:val="24"/>
          <w:szCs w:val="24"/>
          <w:highlight w:val="none"/>
        </w:rPr>
        <w:t>.</w:t>
      </w:r>
    </w:p>
    <w:p w14:paraId="129AC525">
      <w:pPr>
        <w:pStyle w:val="2"/>
        <w:numPr>
          <w:ilvl w:val="0"/>
          <w:numId w:val="1"/>
        </w:numPr>
        <w:bidi w:val="0"/>
        <w:rPr>
          <w:rFonts w:hint="default" w:ascii="Times New Roman" w:hAnsi="Times New Roman" w:cs="Times New Roman"/>
        </w:rPr>
      </w:pPr>
      <w:r>
        <w:rPr>
          <w:rFonts w:hint="default" w:ascii="Times New Roman" w:hAnsi="Times New Roman" w:cs="Times New Roman"/>
        </w:rPr>
        <w:t>Pedagogical Implications</w:t>
      </w:r>
    </w:p>
    <w:p w14:paraId="69E49D69">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 xml:space="preserve">Second </w:t>
      </w:r>
      <w:r>
        <w:rPr>
          <w:rFonts w:hint="default" w:ascii="Times New Roman" w:hAnsi="Times New Roman" w:cs="Times New Roman"/>
          <w:lang w:val="en-US" w:eastAsia="zh-CN"/>
        </w:rPr>
        <w:t>L</w:t>
      </w:r>
      <w:r>
        <w:rPr>
          <w:rFonts w:hint="default" w:ascii="Times New Roman" w:hAnsi="Times New Roman" w:cs="Times New Roman"/>
        </w:rPr>
        <w:t xml:space="preserve">anguage </w:t>
      </w:r>
      <w:r>
        <w:rPr>
          <w:rFonts w:hint="default" w:ascii="Times New Roman" w:hAnsi="Times New Roman" w:cs="Times New Roman"/>
          <w:lang w:val="en-US" w:eastAsia="zh-CN"/>
        </w:rPr>
        <w:t>T</w:t>
      </w:r>
      <w:r>
        <w:rPr>
          <w:rFonts w:hint="default" w:ascii="Times New Roman" w:hAnsi="Times New Roman" w:cs="Times New Roman"/>
        </w:rPr>
        <w:t xml:space="preserve">eaching for </w:t>
      </w:r>
      <w:r>
        <w:rPr>
          <w:rFonts w:hint="default" w:ascii="Times New Roman" w:hAnsi="Times New Roman" w:cs="Times New Roman"/>
          <w:lang w:val="en-US" w:eastAsia="zh-CN"/>
        </w:rPr>
        <w:t>C</w:t>
      </w:r>
      <w:r>
        <w:rPr>
          <w:rFonts w:hint="default" w:ascii="Times New Roman" w:hAnsi="Times New Roman" w:cs="Times New Roman"/>
        </w:rPr>
        <w:t>hildren</w:t>
      </w:r>
    </w:p>
    <w:p w14:paraId="0EA08197">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When designing second language instruction for children, it is essential to consider their cognitive development and the way they naturally acquire language. Research suggests that young learners rely heavily on </w:t>
      </w:r>
      <w:r>
        <w:rPr>
          <w:rStyle w:val="10"/>
          <w:rFonts w:hint="default" w:ascii="Times New Roman" w:hAnsi="Times New Roman" w:cs="Times New Roman"/>
          <w:b w:val="0"/>
          <w:bCs/>
          <w:color w:val="auto"/>
          <w:sz w:val="24"/>
          <w:szCs w:val="24"/>
          <w:highlight w:val="none"/>
        </w:rPr>
        <w:t>implicit learning mechanisms</w:t>
      </w:r>
      <w:r>
        <w:rPr>
          <w:rFonts w:hint="default" w:ascii="Times New Roman" w:hAnsi="Times New Roman" w:cs="Times New Roman"/>
          <w:b w:val="0"/>
          <w:bCs/>
          <w:color w:val="auto"/>
          <w:sz w:val="24"/>
          <w:szCs w:val="24"/>
          <w:highlight w:val="none"/>
        </w:rPr>
        <w:t xml:space="preserve"> and benefit most from </w:t>
      </w:r>
      <w:r>
        <w:rPr>
          <w:rStyle w:val="10"/>
          <w:rFonts w:hint="default" w:ascii="Times New Roman" w:hAnsi="Times New Roman" w:cs="Times New Roman"/>
          <w:b w:val="0"/>
          <w:bCs/>
          <w:color w:val="auto"/>
          <w:sz w:val="24"/>
          <w:szCs w:val="24"/>
          <w:highlight w:val="none"/>
        </w:rPr>
        <w:t>naturalistic exposure</w:t>
      </w:r>
      <w:r>
        <w:rPr>
          <w:rFonts w:hint="default" w:ascii="Times New Roman" w:hAnsi="Times New Roman" w:cs="Times New Roman"/>
          <w:b w:val="0"/>
          <w:bCs/>
          <w:color w:val="auto"/>
          <w:sz w:val="24"/>
          <w:szCs w:val="24"/>
          <w:highlight w:val="none"/>
        </w:rPr>
        <w:t xml:space="preserve"> to the target language rather than from formal grammar instruction or decontextualised drills.</w:t>
      </w:r>
    </w:p>
    <w:p w14:paraId="7966C7FB">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One key principle is the use of </w:t>
      </w:r>
      <w:r>
        <w:rPr>
          <w:rStyle w:val="10"/>
          <w:rFonts w:hint="default" w:ascii="Times New Roman" w:hAnsi="Times New Roman" w:cs="Times New Roman"/>
          <w:b w:val="0"/>
          <w:bCs/>
          <w:color w:val="auto"/>
          <w:sz w:val="24"/>
          <w:szCs w:val="24"/>
          <w:highlight w:val="none"/>
        </w:rPr>
        <w:t>play-based, story-driven, and interactive activities</w:t>
      </w:r>
      <w:r>
        <w:rPr>
          <w:rFonts w:hint="default" w:ascii="Times New Roman" w:hAnsi="Times New Roman" w:cs="Times New Roman"/>
          <w:b w:val="0"/>
          <w:bCs/>
          <w:color w:val="auto"/>
          <w:sz w:val="24"/>
          <w:szCs w:val="24"/>
          <w:highlight w:val="none"/>
        </w:rPr>
        <w:t>. These approaches engage children's attention, foster enjoyment, and—most importantly—provide rich, comprehensible input in a low-anxiety environment. According to Krashen (1982), access to meaningful and understandable language input, delivered in emotionally safe settings, is crucial for successful language acquisition in early childhood.</w:t>
      </w:r>
    </w:p>
    <w:p w14:paraId="450418E9">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In terms of skill development, </w:t>
      </w:r>
      <w:r>
        <w:rPr>
          <w:rStyle w:val="10"/>
          <w:rFonts w:hint="default" w:ascii="Times New Roman" w:hAnsi="Times New Roman" w:cs="Times New Roman"/>
          <w:b w:val="0"/>
          <w:bCs/>
          <w:color w:val="auto"/>
          <w:sz w:val="24"/>
          <w:szCs w:val="24"/>
          <w:highlight w:val="none"/>
        </w:rPr>
        <w:t>listening and speaking should be prioritised over reading and writing</w:t>
      </w:r>
      <w:r>
        <w:rPr>
          <w:rFonts w:hint="default" w:ascii="Times New Roman" w:hAnsi="Times New Roman" w:cs="Times New Roman"/>
          <w:b w:val="0"/>
          <w:bCs/>
          <w:color w:val="auto"/>
          <w:sz w:val="24"/>
          <w:szCs w:val="24"/>
          <w:highlight w:val="none"/>
        </w:rPr>
        <w:t>, especially in the initial stages. Since young children are still developing literacy and abstract reasoning skills, premature emphasis on writing or grammar accuracy can hinder natural language development. As Lightbown and Spada (2013) point out, oral interaction in meaningful contexts—rather than correction-focused tasks—better supports language growth for young learners.</w:t>
      </w:r>
    </w:p>
    <w:p w14:paraId="7F09B8D8">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Moreover, teachers should avoid </w:t>
      </w:r>
      <w:r>
        <w:rPr>
          <w:rStyle w:val="10"/>
          <w:rFonts w:hint="default" w:ascii="Times New Roman" w:hAnsi="Times New Roman" w:cs="Times New Roman"/>
          <w:b w:val="0"/>
          <w:bCs/>
          <w:color w:val="auto"/>
          <w:sz w:val="24"/>
          <w:szCs w:val="24"/>
          <w:highlight w:val="none"/>
        </w:rPr>
        <w:t>premature focus on grammatical accuracy</w:t>
      </w:r>
      <w:r>
        <w:rPr>
          <w:rFonts w:hint="default" w:ascii="Times New Roman" w:hAnsi="Times New Roman" w:cs="Times New Roman"/>
          <w:b w:val="0"/>
          <w:bCs/>
          <w:color w:val="auto"/>
          <w:sz w:val="24"/>
          <w:szCs w:val="24"/>
          <w:highlight w:val="none"/>
        </w:rPr>
        <w:t xml:space="preserve"> or introducing metalinguistic terminology. Children are unlikely to benefit from direct rule explanation at early stages; instead, they acquire grammatical structures gradually through repeated exposure and meaningful use. In this regard, it has been suggested that “for young learners, language should be presented in context-rich, engaging environments that encourage natural communication” (Lightbown and Spada, 2013).</w:t>
      </w:r>
    </w:p>
    <w:p w14:paraId="1821DC85">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strike/>
          <w:dstrike w:val="0"/>
          <w:color w:val="auto"/>
          <w:sz w:val="24"/>
          <w:szCs w:val="24"/>
          <w:highlight w:val="none"/>
        </w:rPr>
      </w:pPr>
      <w:r>
        <w:rPr>
          <w:rFonts w:hint="default" w:ascii="Times New Roman" w:hAnsi="Times New Roman" w:cs="Times New Roman"/>
          <w:b w:val="0"/>
          <w:bCs/>
          <w:color w:val="auto"/>
          <w:sz w:val="24"/>
          <w:szCs w:val="24"/>
          <w:highlight w:val="none"/>
        </w:rPr>
        <w:t xml:space="preserve">In sum, effective second language instruction for children should </w:t>
      </w:r>
      <w:r>
        <w:rPr>
          <w:rStyle w:val="10"/>
          <w:rFonts w:hint="default" w:ascii="Times New Roman" w:hAnsi="Times New Roman" w:cs="Times New Roman"/>
          <w:b w:val="0"/>
          <w:bCs/>
          <w:color w:val="auto"/>
          <w:sz w:val="24"/>
          <w:szCs w:val="24"/>
          <w:highlight w:val="none"/>
        </w:rPr>
        <w:t>de-emphasise explicit grammar teaching and written exercises</w:t>
      </w:r>
      <w:r>
        <w:rPr>
          <w:rFonts w:hint="default" w:ascii="Times New Roman" w:hAnsi="Times New Roman" w:cs="Times New Roman"/>
          <w:b w:val="0"/>
          <w:bCs/>
          <w:color w:val="auto"/>
          <w:sz w:val="24"/>
          <w:szCs w:val="24"/>
          <w:highlight w:val="none"/>
        </w:rPr>
        <w:t xml:space="preserve"> in favour of immersive, playful, and communicative learning experiences. Activities such as storytelling, role play, songs, and games not only promote enjoyment and motivation but also create the kinds of authentic communicative contexts in which implicit learning thrives.</w:t>
      </w:r>
    </w:p>
    <w:p w14:paraId="02038CC2">
      <w:pPr>
        <w:pStyle w:val="2"/>
        <w:numPr>
          <w:ilvl w:val="1"/>
          <w:numId w:val="1"/>
        </w:numPr>
        <w:bidi w:val="0"/>
        <w:ind w:left="567" w:leftChars="0" w:hanging="567" w:firstLineChars="0"/>
        <w:rPr>
          <w:rFonts w:hint="default" w:ascii="Times New Roman" w:hAnsi="Times New Roman" w:cs="Times New Roman"/>
          <w:lang w:val="en-US" w:eastAsia="zh-CN"/>
        </w:rPr>
      </w:pPr>
      <w:r>
        <w:rPr>
          <w:rFonts w:hint="default" w:ascii="Times New Roman" w:hAnsi="Times New Roman" w:cs="Times New Roman"/>
        </w:rPr>
        <w:t xml:space="preserve">Second </w:t>
      </w:r>
      <w:r>
        <w:rPr>
          <w:rFonts w:hint="default" w:ascii="Times New Roman" w:hAnsi="Times New Roman" w:cs="Times New Roman"/>
          <w:lang w:val="en-US" w:eastAsia="zh-CN"/>
        </w:rPr>
        <w:t>L</w:t>
      </w:r>
      <w:r>
        <w:rPr>
          <w:rFonts w:hint="default" w:ascii="Times New Roman" w:hAnsi="Times New Roman" w:cs="Times New Roman"/>
        </w:rPr>
        <w:t xml:space="preserve">anguage </w:t>
      </w:r>
      <w:r>
        <w:rPr>
          <w:rFonts w:hint="default" w:ascii="Times New Roman" w:hAnsi="Times New Roman" w:cs="Times New Roman"/>
          <w:lang w:val="en-US" w:eastAsia="zh-CN"/>
        </w:rPr>
        <w:t>T</w:t>
      </w:r>
      <w:r>
        <w:rPr>
          <w:rFonts w:hint="default" w:ascii="Times New Roman" w:hAnsi="Times New Roman" w:cs="Times New Roman"/>
        </w:rPr>
        <w:t xml:space="preserve">eaching for </w:t>
      </w:r>
      <w:r>
        <w:rPr>
          <w:rFonts w:hint="default" w:ascii="Times New Roman" w:hAnsi="Times New Roman" w:cs="Times New Roman"/>
          <w:lang w:val="en-US" w:eastAsia="zh-CN"/>
        </w:rPr>
        <w:t>Adults</w:t>
      </w:r>
    </w:p>
    <w:p w14:paraId="74743745">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In contrast to young learners, adult second language learners tend to rely more on </w:t>
      </w:r>
      <w:r>
        <w:rPr>
          <w:rStyle w:val="10"/>
          <w:rFonts w:hint="default" w:ascii="Times New Roman" w:hAnsi="Times New Roman" w:cs="Times New Roman"/>
          <w:b w:val="0"/>
          <w:bCs/>
          <w:color w:val="auto"/>
          <w:sz w:val="24"/>
          <w:szCs w:val="24"/>
          <w:highlight w:val="none"/>
        </w:rPr>
        <w:t>explicit learning strategies</w:t>
      </w:r>
      <w:r>
        <w:rPr>
          <w:rFonts w:hint="default" w:ascii="Times New Roman" w:hAnsi="Times New Roman" w:cs="Times New Roman"/>
          <w:b w:val="0"/>
          <w:bCs/>
          <w:color w:val="auto"/>
          <w:sz w:val="24"/>
          <w:szCs w:val="24"/>
          <w:highlight w:val="none"/>
        </w:rPr>
        <w:t xml:space="preserve"> and perform well in structured learning environments with clearly defined objectives. This preference reflects their advanced cognitive abilities, greater self-regulation skills, and strong goal orientation.</w:t>
      </w:r>
    </w:p>
    <w:p w14:paraId="73A0915E">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A key instructional consideration is to </w:t>
      </w:r>
      <w:r>
        <w:rPr>
          <w:rStyle w:val="10"/>
          <w:rFonts w:hint="default" w:ascii="Times New Roman" w:hAnsi="Times New Roman" w:cs="Times New Roman"/>
          <w:b w:val="0"/>
          <w:bCs/>
          <w:color w:val="auto"/>
          <w:sz w:val="24"/>
          <w:szCs w:val="24"/>
          <w:highlight w:val="none"/>
        </w:rPr>
        <w:t>establish clear learning goals</w:t>
      </w:r>
      <w:r>
        <w:rPr>
          <w:rFonts w:hint="default" w:ascii="Times New Roman" w:hAnsi="Times New Roman" w:cs="Times New Roman"/>
          <w:b w:val="0"/>
          <w:bCs/>
          <w:color w:val="auto"/>
          <w:sz w:val="24"/>
          <w:szCs w:val="24"/>
          <w:highlight w:val="none"/>
        </w:rPr>
        <w:t xml:space="preserve"> and connect them to real-world communicative needs. Adult learners often seek to understand the relevance and applicability of what they are learning. Clarifying how grammatical structures, vocabulary, and functions will be used in actual communication helps to enhance motivation and provides a sense of purpose and direction in the learning process.</w:t>
      </w:r>
    </w:p>
    <w:p w14:paraId="6E02D3B6">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Another important element is </w:t>
      </w:r>
      <w:r>
        <w:rPr>
          <w:rStyle w:val="10"/>
          <w:rFonts w:hint="default" w:ascii="Times New Roman" w:hAnsi="Times New Roman" w:cs="Times New Roman"/>
          <w:b w:val="0"/>
          <w:bCs/>
          <w:color w:val="auto"/>
          <w:sz w:val="24"/>
          <w:szCs w:val="24"/>
          <w:highlight w:val="none"/>
        </w:rPr>
        <w:t>explicit grammar instruction</w:t>
      </w:r>
      <w:r>
        <w:rPr>
          <w:rFonts w:hint="default" w:ascii="Times New Roman" w:hAnsi="Times New Roman" w:cs="Times New Roman"/>
          <w:b w:val="0"/>
          <w:bCs/>
          <w:color w:val="auto"/>
          <w:sz w:val="24"/>
          <w:szCs w:val="24"/>
          <w:highlight w:val="none"/>
        </w:rPr>
        <w:t>. As Lightbown and Spada (2013) argue, adult learners benefit significantly from direct explanations of grammar rules, particularly in mastering complex linguistic forms such as verb tenses, word order, and agreement. More importantly, this explicit knowledge should be followed by communicative tasks that encourage application. In their words, “Adult learners benefit from clear explanations of grammar rules and opportunities to apply them in communication” (Lightbown and Spada, 2013).</w:t>
      </w:r>
    </w:p>
    <w:p w14:paraId="2F2108EF">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Furthermore, </w:t>
      </w:r>
      <w:r>
        <w:rPr>
          <w:rStyle w:val="10"/>
          <w:rFonts w:hint="default" w:ascii="Times New Roman" w:hAnsi="Times New Roman" w:cs="Times New Roman"/>
          <w:b w:val="0"/>
          <w:bCs/>
          <w:color w:val="auto"/>
          <w:sz w:val="24"/>
          <w:szCs w:val="24"/>
          <w:highlight w:val="none"/>
        </w:rPr>
        <w:t>opportunities for communicative practice</w:t>
      </w:r>
      <w:r>
        <w:rPr>
          <w:rFonts w:hint="default" w:ascii="Times New Roman" w:hAnsi="Times New Roman" w:cs="Times New Roman"/>
          <w:b w:val="0"/>
          <w:bCs/>
          <w:color w:val="auto"/>
          <w:sz w:val="24"/>
          <w:szCs w:val="24"/>
          <w:highlight w:val="none"/>
        </w:rPr>
        <w:t xml:space="preserve"> are essential. While adults may understand grammatical rules cognitively, they often struggle to apply them fluently without practice. Structured output tasks—such as role-plays, information-gap activities, or problem-solving discussions—enable learners to integrate form and meaning in real-time, helping to transform declarative knowledge into procedural fluency.</w:t>
      </w:r>
    </w:p>
    <w:p w14:paraId="52330760">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In addition, adult learners should be encouraged to develop </w:t>
      </w:r>
      <w:r>
        <w:rPr>
          <w:rStyle w:val="10"/>
          <w:rFonts w:hint="default" w:ascii="Times New Roman" w:hAnsi="Times New Roman" w:cs="Times New Roman"/>
          <w:b w:val="0"/>
          <w:bCs/>
          <w:color w:val="auto"/>
          <w:sz w:val="24"/>
          <w:szCs w:val="24"/>
          <w:highlight w:val="none"/>
        </w:rPr>
        <w:t>metacognitive strategies</w:t>
      </w:r>
      <w:r>
        <w:rPr>
          <w:rFonts w:hint="default" w:ascii="Times New Roman" w:hAnsi="Times New Roman" w:cs="Times New Roman"/>
          <w:b w:val="0"/>
          <w:bCs/>
          <w:color w:val="auto"/>
          <w:sz w:val="24"/>
          <w:szCs w:val="24"/>
          <w:highlight w:val="none"/>
        </w:rPr>
        <w:t>, such as goal setting, self-monitoring, and self-evaluation. These strategies enhance both autonomy and effectiveness in learning and can support learners in managing the emotional and motivational aspects of language study.</w:t>
      </w:r>
    </w:p>
    <w:p w14:paraId="365E0DA4">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In summary, effective instruction for adults combines </w:t>
      </w:r>
      <w:r>
        <w:rPr>
          <w:rStyle w:val="10"/>
          <w:rFonts w:hint="default" w:ascii="Times New Roman" w:hAnsi="Times New Roman" w:cs="Times New Roman"/>
          <w:b w:val="0"/>
          <w:bCs/>
          <w:color w:val="auto"/>
          <w:sz w:val="24"/>
          <w:szCs w:val="24"/>
          <w:highlight w:val="none"/>
        </w:rPr>
        <w:t>explicit instruction with meaningful practice</w:t>
      </w:r>
      <w:r>
        <w:rPr>
          <w:rFonts w:hint="default" w:ascii="Times New Roman" w:hAnsi="Times New Roman" w:cs="Times New Roman"/>
          <w:b w:val="0"/>
          <w:bCs/>
          <w:color w:val="auto"/>
          <w:sz w:val="24"/>
          <w:szCs w:val="24"/>
          <w:highlight w:val="none"/>
        </w:rPr>
        <w:t>, offering a balance between rule-focused learning and real-world language use. This dual focus supports both grammatical accuracy and communicative competence, aligning with the cognitive strengths and learning preferences of adult learners.</w:t>
      </w:r>
    </w:p>
    <w:p w14:paraId="61092EB6">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 xml:space="preserve">Principles for Second </w:t>
      </w:r>
      <w:r>
        <w:rPr>
          <w:rFonts w:hint="default" w:ascii="Times New Roman" w:hAnsi="Times New Roman" w:cs="Times New Roman"/>
          <w:lang w:val="en-US" w:eastAsia="zh-CN"/>
        </w:rPr>
        <w:t>L</w:t>
      </w:r>
      <w:r>
        <w:rPr>
          <w:rFonts w:hint="default" w:ascii="Times New Roman" w:hAnsi="Times New Roman" w:cs="Times New Roman"/>
        </w:rPr>
        <w:t>anguage</w:t>
      </w:r>
      <w:r>
        <w:rPr>
          <w:rFonts w:hint="default" w:ascii="Times New Roman" w:hAnsi="Times New Roman" w:cs="Times New Roman"/>
          <w:lang w:val="en-US" w:eastAsia="zh-CN"/>
        </w:rPr>
        <w:t xml:space="preserve"> </w:t>
      </w:r>
      <w:r>
        <w:rPr>
          <w:rFonts w:hint="default" w:ascii="Times New Roman" w:hAnsi="Times New Roman" w:cs="Times New Roman"/>
        </w:rPr>
        <w:t>Teaching Across Age Groups</w:t>
      </w:r>
    </w:p>
    <w:p w14:paraId="64763938">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While second language learners of different ages vary in their cognitive development, emotional needs, and learning styles, language teaching should not be rigidly divided along age lines. In increasingly diverse learning contexts, there is a growing need for educators, curriculum designers, and policymakers to identify </w:t>
      </w:r>
      <w:r>
        <w:rPr>
          <w:rStyle w:val="10"/>
          <w:rFonts w:hint="default" w:ascii="Times New Roman" w:hAnsi="Times New Roman" w:cs="Times New Roman"/>
          <w:b w:val="0"/>
          <w:bCs/>
          <w:color w:val="auto"/>
          <w:sz w:val="24"/>
          <w:szCs w:val="24"/>
          <w:highlight w:val="none"/>
        </w:rPr>
        <w:t>universal teaching principles</w:t>
      </w:r>
      <w:r>
        <w:rPr>
          <w:rFonts w:hint="default" w:ascii="Times New Roman" w:hAnsi="Times New Roman" w:cs="Times New Roman"/>
          <w:b w:val="0"/>
          <w:bCs/>
          <w:color w:val="auto"/>
          <w:sz w:val="24"/>
          <w:szCs w:val="24"/>
          <w:highlight w:val="none"/>
        </w:rPr>
        <w:t xml:space="preserve"> that support learners across age groups and enhance the overall quality of instruction.</w:t>
      </w:r>
    </w:p>
    <w:p w14:paraId="0977E9CD">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One essential principle is the </w:t>
      </w:r>
      <w:r>
        <w:rPr>
          <w:rStyle w:val="10"/>
          <w:rFonts w:hint="default" w:ascii="Times New Roman" w:hAnsi="Times New Roman" w:cs="Times New Roman"/>
          <w:b w:val="0"/>
          <w:bCs/>
          <w:color w:val="auto"/>
          <w:sz w:val="24"/>
          <w:szCs w:val="24"/>
          <w:highlight w:val="none"/>
        </w:rPr>
        <w:t>creation of low-anxiety, highly interactive learning environments</w:t>
      </w:r>
      <w:r>
        <w:rPr>
          <w:rFonts w:hint="default" w:ascii="Times New Roman" w:hAnsi="Times New Roman" w:cs="Times New Roman"/>
          <w:b w:val="0"/>
          <w:bCs/>
          <w:color w:val="auto"/>
          <w:sz w:val="24"/>
          <w:szCs w:val="24"/>
          <w:highlight w:val="none"/>
        </w:rPr>
        <w:t>. Regardless of age, language learners are susceptible to anxiety and fear of making mistakes. A supportive and non-punitive classroom atmosphere helps learners take risks, express themselves freely, and stay engaged. Teachers should treat language learning as a process of exploration and encourage participation through positive reinforcement rather than correction-based discouragement.</w:t>
      </w:r>
    </w:p>
    <w:p w14:paraId="6A77E4D7">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Another core idea is the emphasis on </w:t>
      </w:r>
      <w:r>
        <w:rPr>
          <w:rStyle w:val="10"/>
          <w:rFonts w:hint="default" w:ascii="Times New Roman" w:hAnsi="Times New Roman" w:cs="Times New Roman"/>
          <w:b w:val="0"/>
          <w:bCs/>
          <w:color w:val="auto"/>
          <w:sz w:val="24"/>
          <w:szCs w:val="24"/>
          <w:highlight w:val="none"/>
        </w:rPr>
        <w:t>meaning before form</w:t>
      </w:r>
      <w:r>
        <w:rPr>
          <w:rFonts w:hint="default" w:ascii="Times New Roman" w:hAnsi="Times New Roman" w:cs="Times New Roman"/>
          <w:b w:val="0"/>
          <w:bCs/>
          <w:color w:val="auto"/>
          <w:sz w:val="24"/>
          <w:szCs w:val="24"/>
          <w:highlight w:val="none"/>
        </w:rPr>
        <w:t>. While grammatical knowledge is important, the primary purpose of language is communication. Instruction should centre on real-world meaning and embed language structures into authentic tasks such as role plays, simulations, or problem-solving activities. This approach enables learners to develop language competence through meaningful use, not isolated rule memorisation.</w:t>
      </w:r>
    </w:p>
    <w:p w14:paraId="24277346">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Equally important is the </w:t>
      </w:r>
      <w:r>
        <w:rPr>
          <w:rStyle w:val="10"/>
          <w:rFonts w:hint="default" w:ascii="Times New Roman" w:hAnsi="Times New Roman" w:cs="Times New Roman"/>
          <w:b w:val="0"/>
          <w:bCs/>
          <w:color w:val="auto"/>
          <w:sz w:val="24"/>
          <w:szCs w:val="24"/>
          <w:highlight w:val="none"/>
        </w:rPr>
        <w:t>balance between comprehensible input and opportunities for output</w:t>
      </w:r>
      <w:r>
        <w:rPr>
          <w:rFonts w:hint="default" w:ascii="Times New Roman" w:hAnsi="Times New Roman" w:cs="Times New Roman"/>
          <w:b w:val="0"/>
          <w:bCs/>
          <w:color w:val="auto"/>
          <w:sz w:val="24"/>
          <w:szCs w:val="24"/>
          <w:highlight w:val="none"/>
        </w:rPr>
        <w:t>. Exposure to understandable language is essential for acquisition, but output—both spoken and written—is critical for reinforcing and refining language knowledge. Teachers should design tasks that incorporate active production, such as discussions, presentations, and writing assignments, fostering an interactive cycle of input and output.</w:t>
      </w:r>
    </w:p>
    <w:p w14:paraId="2786399E">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Finally, learners of all ages benefit from </w:t>
      </w:r>
      <w:r>
        <w:rPr>
          <w:rStyle w:val="10"/>
          <w:rFonts w:hint="default" w:ascii="Times New Roman" w:hAnsi="Times New Roman" w:cs="Times New Roman"/>
          <w:b w:val="0"/>
          <w:bCs/>
          <w:color w:val="auto"/>
          <w:sz w:val="24"/>
          <w:szCs w:val="24"/>
          <w:highlight w:val="none"/>
        </w:rPr>
        <w:t>active participation and self-regulation</w:t>
      </w:r>
      <w:r>
        <w:rPr>
          <w:rFonts w:hint="default" w:ascii="Times New Roman" w:hAnsi="Times New Roman" w:cs="Times New Roman"/>
          <w:b w:val="0"/>
          <w:bCs/>
          <w:color w:val="auto"/>
          <w:sz w:val="24"/>
          <w:szCs w:val="24"/>
          <w:highlight w:val="none"/>
        </w:rPr>
        <w:t>. Those who set goals, monitor their progress, and reflect on their learning tend to be more motivated and effective. Instructional strategies that promote autonomy—such as goal-setting, peer collaboration, and self-assessment—can help learners engage more deeply with language content and develop lifelong learning skills.</w:t>
      </w:r>
    </w:p>
    <w:p w14:paraId="0C680298">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In sum, effective language teaching should strike a balance between adapting to learner differences and adhering to </w:t>
      </w:r>
      <w:r>
        <w:rPr>
          <w:rStyle w:val="10"/>
          <w:rFonts w:hint="default" w:ascii="Times New Roman" w:hAnsi="Times New Roman" w:cs="Times New Roman"/>
          <w:b w:val="0"/>
          <w:bCs/>
          <w:color w:val="auto"/>
          <w:sz w:val="24"/>
          <w:szCs w:val="24"/>
          <w:highlight w:val="none"/>
        </w:rPr>
        <w:t>core principles that support all learners</w:t>
      </w:r>
      <w:r>
        <w:rPr>
          <w:rFonts w:hint="default" w:ascii="Times New Roman" w:hAnsi="Times New Roman" w:cs="Times New Roman"/>
          <w:b w:val="0"/>
          <w:bCs/>
          <w:color w:val="auto"/>
          <w:sz w:val="24"/>
          <w:szCs w:val="24"/>
          <w:highlight w:val="none"/>
        </w:rPr>
        <w:t>. By grounding instruction in participation, meaning, interaction, and learner agency, educators can foster inclusive and dynamic learning environments where second language acquisition can thrive—regardless of age.</w:t>
      </w:r>
    </w:p>
    <w:p w14:paraId="53D11516">
      <w:pPr>
        <w:pStyle w:val="2"/>
        <w:numPr>
          <w:ilvl w:val="1"/>
          <w:numId w:val="1"/>
        </w:numPr>
        <w:bidi w:val="0"/>
        <w:ind w:left="567" w:leftChars="0" w:hanging="567" w:firstLineChars="0"/>
        <w:rPr>
          <w:rFonts w:hint="default" w:ascii="Times New Roman" w:hAnsi="Times New Roman" w:cs="Times New Roman"/>
        </w:rPr>
      </w:pPr>
      <w:r>
        <w:rPr>
          <w:rFonts w:hint="default" w:ascii="Times New Roman" w:hAnsi="Times New Roman" w:cs="Times New Roman"/>
        </w:rPr>
        <w:t>Summary of Pedagogical Implications</w:t>
      </w:r>
    </w:p>
    <w:p w14:paraId="6AB62D3B">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The analysis of instructional needs for children and adult second language learners highlights that, while their learning styles and cognitive preferences differ significantly, effective teaching for both groups must begin with a careful understanding of learner characteristics.</w:t>
      </w:r>
    </w:p>
    <w:p w14:paraId="6D8A900E">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For young learners, language acquisition is driven primarily by </w:t>
      </w:r>
      <w:r>
        <w:rPr>
          <w:rStyle w:val="10"/>
          <w:rFonts w:hint="default" w:ascii="Times New Roman" w:hAnsi="Times New Roman" w:cs="Times New Roman"/>
          <w:b w:val="0"/>
          <w:bCs/>
          <w:color w:val="auto"/>
          <w:sz w:val="24"/>
          <w:szCs w:val="24"/>
          <w:highlight w:val="none"/>
        </w:rPr>
        <w:t>implicit learning mechanisms</w:t>
      </w:r>
      <w:r>
        <w:rPr>
          <w:rFonts w:hint="default" w:ascii="Times New Roman" w:hAnsi="Times New Roman" w:cs="Times New Roman"/>
          <w:b w:val="0"/>
          <w:bCs/>
          <w:color w:val="auto"/>
          <w:sz w:val="24"/>
          <w:szCs w:val="24"/>
          <w:highlight w:val="none"/>
        </w:rPr>
        <w:t xml:space="preserve">. They benefit most from </w:t>
      </w:r>
      <w:r>
        <w:rPr>
          <w:rStyle w:val="10"/>
          <w:rFonts w:hint="default" w:ascii="Times New Roman" w:hAnsi="Times New Roman" w:cs="Times New Roman"/>
          <w:b w:val="0"/>
          <w:bCs/>
          <w:color w:val="auto"/>
          <w:sz w:val="24"/>
          <w:szCs w:val="24"/>
          <w:highlight w:val="none"/>
        </w:rPr>
        <w:t>playful, interactive, and immersive environments</w:t>
      </w:r>
      <w:r>
        <w:rPr>
          <w:rFonts w:hint="default" w:ascii="Times New Roman" w:hAnsi="Times New Roman" w:cs="Times New Roman"/>
          <w:b w:val="0"/>
          <w:bCs/>
          <w:color w:val="auto"/>
          <w:sz w:val="24"/>
          <w:szCs w:val="24"/>
          <w:highlight w:val="none"/>
        </w:rPr>
        <w:t xml:space="preserve"> where communication occurs naturally and meaningfully. Instruction should focus on </w:t>
      </w:r>
      <w:r>
        <w:rPr>
          <w:rStyle w:val="10"/>
          <w:rFonts w:hint="default" w:ascii="Times New Roman" w:hAnsi="Times New Roman" w:cs="Times New Roman"/>
          <w:b w:val="0"/>
          <w:bCs/>
          <w:color w:val="auto"/>
          <w:sz w:val="24"/>
          <w:szCs w:val="24"/>
          <w:highlight w:val="none"/>
        </w:rPr>
        <w:t>listening and speaking activities</w:t>
      </w:r>
      <w:r>
        <w:rPr>
          <w:rFonts w:hint="default" w:ascii="Times New Roman" w:hAnsi="Times New Roman" w:cs="Times New Roman"/>
          <w:b w:val="0"/>
          <w:bCs/>
          <w:color w:val="auto"/>
          <w:sz w:val="24"/>
          <w:szCs w:val="24"/>
          <w:highlight w:val="none"/>
        </w:rPr>
        <w:t>, minimising early emphasis on written forms or grammatical accuracy. Premature exposure to metalinguistic explanations may interfere with the natural development of their internal language system.</w:t>
      </w:r>
    </w:p>
    <w:p w14:paraId="2787698A">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In contrast, adult learners rely more on </w:t>
      </w:r>
      <w:r>
        <w:rPr>
          <w:rStyle w:val="10"/>
          <w:rFonts w:hint="default" w:ascii="Times New Roman" w:hAnsi="Times New Roman" w:cs="Times New Roman"/>
          <w:b w:val="0"/>
          <w:bCs/>
          <w:color w:val="auto"/>
          <w:sz w:val="24"/>
          <w:szCs w:val="24"/>
          <w:highlight w:val="none"/>
        </w:rPr>
        <w:t>explicit learning strategies</w:t>
      </w:r>
      <w:r>
        <w:rPr>
          <w:rFonts w:hint="default" w:ascii="Times New Roman" w:hAnsi="Times New Roman" w:cs="Times New Roman"/>
          <w:b w:val="0"/>
          <w:bCs/>
          <w:color w:val="auto"/>
          <w:sz w:val="24"/>
          <w:szCs w:val="24"/>
          <w:highlight w:val="none"/>
        </w:rPr>
        <w:t xml:space="preserve">. They are often motivated by clear objectives and perform well when instruction includes </w:t>
      </w:r>
      <w:r>
        <w:rPr>
          <w:rStyle w:val="10"/>
          <w:rFonts w:hint="default" w:ascii="Times New Roman" w:hAnsi="Times New Roman" w:cs="Times New Roman"/>
          <w:b w:val="0"/>
          <w:bCs/>
          <w:color w:val="auto"/>
          <w:sz w:val="24"/>
          <w:szCs w:val="24"/>
          <w:highlight w:val="none"/>
        </w:rPr>
        <w:t>direct explanations of grammar rules</w:t>
      </w:r>
      <w:r>
        <w:rPr>
          <w:rFonts w:hint="default" w:ascii="Times New Roman" w:hAnsi="Times New Roman" w:cs="Times New Roman"/>
          <w:b w:val="0"/>
          <w:bCs/>
          <w:color w:val="auto"/>
          <w:sz w:val="24"/>
          <w:szCs w:val="24"/>
          <w:highlight w:val="none"/>
        </w:rPr>
        <w:t xml:space="preserve"> and structured opportunities for </w:t>
      </w:r>
      <w:r>
        <w:rPr>
          <w:rStyle w:val="10"/>
          <w:rFonts w:hint="default" w:ascii="Times New Roman" w:hAnsi="Times New Roman" w:cs="Times New Roman"/>
          <w:b w:val="0"/>
          <w:bCs/>
          <w:color w:val="auto"/>
          <w:sz w:val="24"/>
          <w:szCs w:val="24"/>
          <w:highlight w:val="none"/>
        </w:rPr>
        <w:t>real-world communication</w:t>
      </w:r>
      <w:r>
        <w:rPr>
          <w:rFonts w:hint="default" w:ascii="Times New Roman" w:hAnsi="Times New Roman" w:cs="Times New Roman"/>
          <w:b w:val="0"/>
          <w:bCs/>
          <w:color w:val="auto"/>
          <w:sz w:val="24"/>
          <w:szCs w:val="24"/>
          <w:highlight w:val="none"/>
        </w:rPr>
        <w:t>. Their cognitive strengths—such as abstract reasoning and metacognition—make them receptive to goal-oriented learning environments that integrate analysis with practical use.</w:t>
      </w:r>
    </w:p>
    <w:p w14:paraId="665264AB">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Nevertheless, effective language instruction must go beyond addressing age-specific needs and recognise the </w:t>
      </w:r>
      <w:r>
        <w:rPr>
          <w:rStyle w:val="10"/>
          <w:rFonts w:hint="default" w:ascii="Times New Roman" w:hAnsi="Times New Roman" w:cs="Times New Roman"/>
          <w:b w:val="0"/>
          <w:bCs/>
          <w:color w:val="auto"/>
          <w:sz w:val="24"/>
          <w:szCs w:val="24"/>
          <w:highlight w:val="none"/>
        </w:rPr>
        <w:t>universal conditions that support language learning across age groups</w:t>
      </w:r>
      <w:r>
        <w:rPr>
          <w:rFonts w:hint="default" w:ascii="Times New Roman" w:hAnsi="Times New Roman" w:cs="Times New Roman"/>
          <w:b w:val="0"/>
          <w:bCs/>
          <w:color w:val="auto"/>
          <w:sz w:val="24"/>
          <w:szCs w:val="24"/>
          <w:highlight w:val="none"/>
        </w:rPr>
        <w:t>. Regardless of learners’ age, successful acquisition relies on comprehensible input, meaningful opportunities for output, emotional engagement, and active cognitive involvement. Instructional design should combine universal pedagogical principles with learner-sensitive adaptations, ensuring flexibility while maintaining a high standard of effectiveness.</w:t>
      </w:r>
    </w:p>
    <w:p w14:paraId="57AAE8D2">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In conclusion, second language teaching should respect cognitive and developmental differences while also building on core principles such as </w:t>
      </w:r>
      <w:r>
        <w:rPr>
          <w:rStyle w:val="10"/>
          <w:rFonts w:hint="default" w:ascii="Times New Roman" w:hAnsi="Times New Roman" w:cs="Times New Roman"/>
          <w:b w:val="0"/>
          <w:bCs/>
          <w:color w:val="auto"/>
          <w:sz w:val="24"/>
          <w:szCs w:val="24"/>
          <w:highlight w:val="none"/>
        </w:rPr>
        <w:t>meaning-focused instruction, low-anxiety interaction, balanced input-output practice, and learner autonomy</w:t>
      </w:r>
      <w:r>
        <w:rPr>
          <w:rFonts w:hint="default" w:ascii="Times New Roman" w:hAnsi="Times New Roman" w:cs="Times New Roman"/>
          <w:b w:val="0"/>
          <w:bCs/>
          <w:color w:val="auto"/>
          <w:sz w:val="24"/>
          <w:szCs w:val="24"/>
          <w:highlight w:val="none"/>
        </w:rPr>
        <w:t>. By identifying common foundations within diversity, and adapting strategies to meet individual needs, educators can create inclusive and dynamic environments that foster sustained progress for learners of all ages.</w:t>
      </w:r>
    </w:p>
    <w:p w14:paraId="46C1DCD6">
      <w:pPr>
        <w:pStyle w:val="2"/>
        <w:numPr>
          <w:ilvl w:val="0"/>
          <w:numId w:val="1"/>
        </w:numPr>
        <w:bidi w:val="0"/>
        <w:rPr>
          <w:rFonts w:hint="default" w:ascii="Times New Roman" w:hAnsi="Times New Roman" w:cs="Times New Roman"/>
        </w:rPr>
      </w:pPr>
      <w:r>
        <w:rPr>
          <w:rFonts w:hint="default" w:ascii="Times New Roman" w:hAnsi="Times New Roman" w:cs="Times New Roman"/>
        </w:rPr>
        <w:t>Conclusion</w:t>
      </w:r>
    </w:p>
    <w:p w14:paraId="6AB0C71A">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 xml:space="preserve">This </w:t>
      </w:r>
      <w:r>
        <w:rPr>
          <w:rFonts w:hint="default" w:ascii="Times New Roman" w:hAnsi="Times New Roman" w:cs="Times New Roman"/>
          <w:b w:val="0"/>
          <w:bCs/>
          <w:color w:val="auto"/>
          <w:sz w:val="24"/>
          <w:szCs w:val="24"/>
          <w:highlight w:val="none"/>
          <w:lang w:val="en-US" w:eastAsia="zh-CN"/>
        </w:rPr>
        <w:t xml:space="preserve">article </w:t>
      </w:r>
      <w:r>
        <w:rPr>
          <w:rFonts w:hint="default" w:ascii="Times New Roman" w:hAnsi="Times New Roman" w:cs="Times New Roman"/>
          <w:b w:val="0"/>
          <w:bCs/>
          <w:color w:val="auto"/>
          <w:sz w:val="24"/>
          <w:szCs w:val="24"/>
          <w:highlight w:val="none"/>
        </w:rPr>
        <w:t>has explored how age affects second language acquisition, with a particular focus on the differences and similarities between children and adult learners. Overall, age appears to play a notable role in certain aspects of language learning, particularly in pronunciation and grammar. Children tend to acquire these elements more naturally and often come closer to native-like proficiency, which can be linked to their developmental stage and heightened sensitivity to language input.</w:t>
      </w:r>
    </w:p>
    <w:p w14:paraId="104EE7F1">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However, age alone does not determine success in learning a second language. Adult learners may face challenges in areas such as accent and implicit grammar learning, but they bring different strengths to the process. Their ability to analyse, organise, and reflect on language enables them to learn efficiently when provided with clear instruction and structured support. With enough exposure and consistent effort, adults can achieve a high level of competence.</w:t>
      </w:r>
    </w:p>
    <w:p w14:paraId="32E13218">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Increasingly, language learning is viewed as the result of multiple interacting factors rather than as a process limited or defined by age. Motivation, emotional readiness, learning opportunities, and instructional methods all contribute to shaping the language learning journey. This perspective encourages a more flexible understanding of how language acquisition works and challenges the notion that there is a strict age threshold for success.</w:t>
      </w:r>
    </w:p>
    <w:p w14:paraId="269556D0">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From a teaching perspective, this means that instruction should be responsive to the learner's age-related needs and learning styles. For younger learners, language learning should be embedded in play, storytelling, and meaningful interaction. For adult learners, instruction should be more explicit, goal-oriented, and balanced with opportunities for communication and practice. Effective teaching goes beyond categorising learners by age; it involves designing learning experiences that align with their individual strengths, challenges, and goals.</w:t>
      </w:r>
    </w:p>
    <w:p w14:paraId="573F3893">
      <w:pPr>
        <w:pStyle w:val="7"/>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color w:val="auto"/>
          <w:sz w:val="24"/>
          <w:szCs w:val="24"/>
          <w:highlight w:val="none"/>
        </w:rPr>
      </w:pPr>
      <w:r>
        <w:rPr>
          <w:rFonts w:hint="default" w:ascii="Times New Roman" w:hAnsi="Times New Roman" w:cs="Times New Roman"/>
          <w:b w:val="0"/>
          <w:bCs/>
          <w:color w:val="auto"/>
          <w:sz w:val="24"/>
          <w:szCs w:val="24"/>
          <w:highlight w:val="none"/>
        </w:rPr>
        <w:t>In conclusion, successful language learning is not the result of age alone. It emerges from the dynamic interaction of individual ability, instructional approach, and the learning environment. Recognising this complexity can help educators and learners make informed choices and create supportive conditions for meaningful and long-lasting language development.</w:t>
      </w:r>
    </w:p>
    <w:p w14:paraId="29792990">
      <w:pPr>
        <w:pStyle w:val="2"/>
        <w:numPr>
          <w:ilvl w:val="0"/>
          <w:numId w:val="0"/>
        </w:numPr>
        <w:bidi w:val="0"/>
        <w:ind w:leftChars="0"/>
        <w:outlineLvl w:val="0"/>
        <w:rPr>
          <w:rFonts w:hint="default" w:ascii="Times New Roman" w:hAnsi="Times New Roman" w:cs="Times New Roman"/>
          <w:lang w:val="en-US" w:eastAsia="zh-CN"/>
        </w:rPr>
      </w:pPr>
      <w:r>
        <w:rPr>
          <w:rFonts w:hint="default" w:ascii="Times New Roman" w:hAnsi="Times New Roman" w:cs="Times New Roman"/>
          <w:lang w:val="en-US" w:eastAsia="zh-CN"/>
        </w:rPr>
        <w:t>Refe</w:t>
      </w:r>
      <w:r>
        <w:rPr>
          <w:rFonts w:hint="eastAsia" w:ascii="Times New Roman" w:hAnsi="Times New Roman" w:cs="Times New Roman"/>
          <w:lang w:val="en-US" w:eastAsia="zh-CN"/>
        </w:rPr>
        <w:t>r</w:t>
      </w:r>
      <w:bookmarkStart w:id="0" w:name="_GoBack"/>
      <w:bookmarkEnd w:id="0"/>
      <w:r>
        <w:rPr>
          <w:rFonts w:hint="default" w:ascii="Times New Roman" w:hAnsi="Times New Roman" w:cs="Times New Roman"/>
          <w:lang w:val="en-US" w:eastAsia="zh-CN"/>
        </w:rPr>
        <w:t xml:space="preserve">ences </w:t>
      </w:r>
    </w:p>
    <w:p w14:paraId="430848B8">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Bialystok, E. and Hakuta, K. (1999) </w:t>
      </w:r>
      <w:r>
        <w:rPr>
          <w:rStyle w:val="11"/>
          <w:rFonts w:hint="default" w:ascii="Times New Roman" w:hAnsi="Times New Roman" w:cs="Times New Roman"/>
        </w:rPr>
        <w:t>In Other Words: The Science and Psychology of Second-Language Acquisition</w:t>
      </w:r>
      <w:r>
        <w:rPr>
          <w:rFonts w:hint="default" w:ascii="Times New Roman" w:hAnsi="Times New Roman" w:cs="Times New Roman"/>
        </w:rPr>
        <w:t>. New York: Basic Books.</w:t>
      </w:r>
    </w:p>
    <w:p w14:paraId="4588CF51">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Birdsong, D. (2018) ‘Plasticity, variability and age in second language acquisition and bilingualism’, </w:t>
      </w:r>
      <w:r>
        <w:rPr>
          <w:rStyle w:val="11"/>
          <w:rFonts w:hint="default" w:ascii="Times New Roman" w:hAnsi="Times New Roman" w:cs="Times New Roman"/>
        </w:rPr>
        <w:t>Frontiers in Psychology</w:t>
      </w:r>
      <w:r>
        <w:rPr>
          <w:rFonts w:hint="default" w:ascii="Times New Roman" w:hAnsi="Times New Roman" w:cs="Times New Roman"/>
        </w:rPr>
        <w:t>, 9, Article 81. doi:10.3389/fpsyg.2018.00081</w:t>
      </w:r>
    </w:p>
    <w:p w14:paraId="5136060F">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DeKeyser, R. (2000) ‘The robustness of critical period effects in second language acquisition’, </w:t>
      </w:r>
      <w:r>
        <w:rPr>
          <w:rStyle w:val="11"/>
          <w:rFonts w:hint="default" w:ascii="Times New Roman" w:hAnsi="Times New Roman" w:cs="Times New Roman"/>
        </w:rPr>
        <w:t>Studies in Second Language Acquisition</w:t>
      </w:r>
      <w:r>
        <w:rPr>
          <w:rFonts w:hint="default" w:ascii="Times New Roman" w:hAnsi="Times New Roman" w:cs="Times New Roman"/>
        </w:rPr>
        <w:t>, 22(4), pp. 499–533.</w:t>
      </w:r>
    </w:p>
    <w:p w14:paraId="3ACE1212">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Ellis, R. (2005) </w:t>
      </w:r>
      <w:r>
        <w:rPr>
          <w:rStyle w:val="11"/>
          <w:rFonts w:hint="default" w:ascii="Times New Roman" w:hAnsi="Times New Roman" w:cs="Times New Roman"/>
        </w:rPr>
        <w:t>Instructed Second Language Acquisition: A Literature Review</w:t>
      </w:r>
      <w:r>
        <w:rPr>
          <w:rFonts w:hint="default" w:ascii="Times New Roman" w:hAnsi="Times New Roman" w:cs="Times New Roman"/>
        </w:rPr>
        <w:t>. Wellington: Ministry of Education.</w:t>
      </w:r>
    </w:p>
    <w:p w14:paraId="1411CFA4">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Flege, J. E., Yeni-Komshian, G. H. and Liu, S. (1999) ‘Age constraints on second-language acquisition’, </w:t>
      </w:r>
      <w:r>
        <w:rPr>
          <w:rStyle w:val="11"/>
          <w:rFonts w:hint="default" w:ascii="Times New Roman" w:hAnsi="Times New Roman" w:cs="Times New Roman"/>
        </w:rPr>
        <w:t>Journal of Memory and Language</w:t>
      </w:r>
      <w:r>
        <w:rPr>
          <w:rFonts w:hint="default" w:ascii="Times New Roman" w:hAnsi="Times New Roman" w:cs="Times New Roman"/>
        </w:rPr>
        <w:t>, 41(1), pp. 78–104.</w:t>
      </w:r>
    </w:p>
    <w:p w14:paraId="4BA9E3C0">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Johnson, J. S. and Newport, E. L. (1989) ‘Critical period effects in second language learning: The influence of maturational state on the acquisition of English as a second language’, </w:t>
      </w:r>
      <w:r>
        <w:rPr>
          <w:rStyle w:val="11"/>
          <w:rFonts w:hint="default" w:ascii="Times New Roman" w:hAnsi="Times New Roman" w:cs="Times New Roman"/>
        </w:rPr>
        <w:t>Cognitive Psychology</w:t>
      </w:r>
      <w:r>
        <w:rPr>
          <w:rFonts w:hint="default" w:ascii="Times New Roman" w:hAnsi="Times New Roman" w:cs="Times New Roman"/>
        </w:rPr>
        <w:t>, 21(1), pp. 60–99.</w:t>
      </w:r>
    </w:p>
    <w:p w14:paraId="02D2F9CA">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Krashen, S. (1982) </w:t>
      </w:r>
      <w:r>
        <w:rPr>
          <w:rStyle w:val="11"/>
          <w:rFonts w:hint="default" w:ascii="Times New Roman" w:hAnsi="Times New Roman" w:cs="Times New Roman"/>
        </w:rPr>
        <w:t>Principles and Practice in Second Language Acquisition</w:t>
      </w:r>
      <w:r>
        <w:rPr>
          <w:rFonts w:hint="default" w:ascii="Times New Roman" w:hAnsi="Times New Roman" w:cs="Times New Roman"/>
        </w:rPr>
        <w:t>. Oxford: Pergamon.</w:t>
      </w:r>
    </w:p>
    <w:p w14:paraId="19B5A44A">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Lenneberg, E.H. (1967) </w:t>
      </w:r>
      <w:r>
        <w:rPr>
          <w:rStyle w:val="11"/>
          <w:rFonts w:hint="default" w:ascii="Times New Roman" w:hAnsi="Times New Roman" w:cs="Times New Roman"/>
        </w:rPr>
        <w:t>Biological Foundations of Language</w:t>
      </w:r>
      <w:r>
        <w:rPr>
          <w:rFonts w:hint="default" w:ascii="Times New Roman" w:hAnsi="Times New Roman" w:cs="Times New Roman"/>
        </w:rPr>
        <w:t>. New York: Wiley.</w:t>
      </w:r>
    </w:p>
    <w:p w14:paraId="28B894BE">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Lightbown, P. M. and Spada, N. (2013) </w:t>
      </w:r>
      <w:r>
        <w:rPr>
          <w:rStyle w:val="11"/>
          <w:rFonts w:hint="default" w:ascii="Times New Roman" w:hAnsi="Times New Roman" w:cs="Times New Roman"/>
        </w:rPr>
        <w:t>How Languages are Learned</w:t>
      </w:r>
      <w:r>
        <w:rPr>
          <w:rFonts w:hint="default" w:ascii="Times New Roman" w:hAnsi="Times New Roman" w:cs="Times New Roman"/>
        </w:rPr>
        <w:t>. 4th edn. Oxford: Oxford University Press.</w:t>
      </w:r>
    </w:p>
    <w:p w14:paraId="2956A648">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Muñoz, C. (2006) ‘The effects of age on foreign language learning: The BAF project’, in Muñoz, C. (ed.) </w:t>
      </w:r>
      <w:r>
        <w:rPr>
          <w:rStyle w:val="11"/>
          <w:rFonts w:hint="default" w:ascii="Times New Roman" w:hAnsi="Times New Roman" w:cs="Times New Roman"/>
        </w:rPr>
        <w:t>Age and the Rate of Foreign Language Learning</w:t>
      </w:r>
      <w:r>
        <w:rPr>
          <w:rFonts w:hint="default" w:ascii="Times New Roman" w:hAnsi="Times New Roman" w:cs="Times New Roman"/>
        </w:rPr>
        <w:t>. Clevedon: Multilingual Matters, pp. 1–40.</w:t>
      </w:r>
    </w:p>
    <w:p w14:paraId="4532CA0B">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Oyama, S. (1976) ‘A sensitive period for the acquisition of a nonnative phonological system’, </w:t>
      </w:r>
      <w:r>
        <w:rPr>
          <w:rStyle w:val="11"/>
          <w:rFonts w:hint="default" w:ascii="Times New Roman" w:hAnsi="Times New Roman" w:cs="Times New Roman"/>
        </w:rPr>
        <w:t>Journal of Psycholinguistic Research</w:t>
      </w:r>
      <w:r>
        <w:rPr>
          <w:rFonts w:hint="default" w:ascii="Times New Roman" w:hAnsi="Times New Roman" w:cs="Times New Roman"/>
        </w:rPr>
        <w:t>, 5(3), pp. 261–283.</w:t>
      </w:r>
    </w:p>
    <w:p w14:paraId="25A743BD">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Patkowski, M. S. (1990) ‘Age and accent in a second language: A reply to James Emil Flege’, </w:t>
      </w:r>
      <w:r>
        <w:rPr>
          <w:rStyle w:val="11"/>
          <w:rFonts w:hint="default" w:ascii="Times New Roman" w:hAnsi="Times New Roman" w:cs="Times New Roman"/>
        </w:rPr>
        <w:t>Applied Linguistics</w:t>
      </w:r>
      <w:r>
        <w:rPr>
          <w:rFonts w:hint="default" w:ascii="Times New Roman" w:hAnsi="Times New Roman" w:cs="Times New Roman"/>
        </w:rPr>
        <w:t>, 11(1), pp. 73–89.</w:t>
      </w:r>
    </w:p>
    <w:p w14:paraId="124D5A68">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rPr>
      </w:pPr>
      <w:r>
        <w:rPr>
          <w:rFonts w:hint="default" w:ascii="Times New Roman" w:hAnsi="Times New Roman" w:cs="Times New Roman"/>
        </w:rPr>
        <w:t xml:space="preserve">Singleton, D. (2005) ‘The Critical Period Hypothesis: A coat of many colours’, </w:t>
      </w:r>
      <w:r>
        <w:rPr>
          <w:rStyle w:val="11"/>
          <w:rFonts w:hint="default" w:ascii="Times New Roman" w:hAnsi="Times New Roman" w:cs="Times New Roman"/>
        </w:rPr>
        <w:t>International Review of Applied Linguistics in Language Teaching</w:t>
      </w:r>
      <w:r>
        <w:rPr>
          <w:rFonts w:hint="default" w:ascii="Times New Roman" w:hAnsi="Times New Roman" w:cs="Times New Roman"/>
        </w:rPr>
        <w:t>, 43(4), pp. 269–285.</w:t>
      </w:r>
    </w:p>
    <w:p w14:paraId="40E88478">
      <w:pPr>
        <w:pStyle w:val="7"/>
        <w:keepNext w:val="0"/>
        <w:keepLines w:val="0"/>
        <w:widowControl/>
        <w:suppressLineNumbers w:val="0"/>
        <w:spacing w:before="0" w:beforeAutospacing="1" w:after="0" w:afterAutospacing="1"/>
        <w:ind w:left="0" w:right="0" w:firstLine="480" w:firstLineChars="200"/>
        <w:rPr>
          <w:rFonts w:hint="default" w:ascii="Times New Roman" w:hAnsi="Times New Roman" w:cs="Times New Roman"/>
          <w:lang w:val="en-US" w:eastAsia="zh-CN"/>
        </w:rPr>
      </w:pPr>
      <w:r>
        <w:rPr>
          <w:rFonts w:hint="default" w:ascii="Times New Roman" w:hAnsi="Times New Roman" w:cs="Times New Roman"/>
        </w:rPr>
        <w:t xml:space="preserve">Snow, C. E. and Hoefnagel-Höhle, M. (1978) ‘The critical period for language acquisition: Evidence from second language learning’, </w:t>
      </w:r>
      <w:r>
        <w:rPr>
          <w:rStyle w:val="11"/>
          <w:rFonts w:hint="default" w:ascii="Times New Roman" w:hAnsi="Times New Roman" w:cs="Times New Roman"/>
        </w:rPr>
        <w:t>Child Development</w:t>
      </w:r>
      <w:r>
        <w:rPr>
          <w:rFonts w:hint="default" w:ascii="Times New Roman" w:hAnsi="Times New Roman" w:cs="Times New Roman"/>
        </w:rPr>
        <w:t>, 49(4), pp. 1114–1128.</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47AF7A3"/>
    <w:multiLevelType w:val="multilevel"/>
    <w:tmpl w:val="247AF7A3"/>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834606E"/>
    <w:rsid w:val="01752A24"/>
    <w:rsid w:val="01DC4A0E"/>
    <w:rsid w:val="04EB21F1"/>
    <w:rsid w:val="074A3038"/>
    <w:rsid w:val="075C73C2"/>
    <w:rsid w:val="0884185B"/>
    <w:rsid w:val="08D51B22"/>
    <w:rsid w:val="0A5B2FD2"/>
    <w:rsid w:val="0AD81455"/>
    <w:rsid w:val="0CB92237"/>
    <w:rsid w:val="0D2A6A2B"/>
    <w:rsid w:val="0D7F491C"/>
    <w:rsid w:val="0F68615A"/>
    <w:rsid w:val="0FAF7EE0"/>
    <w:rsid w:val="11DD41AA"/>
    <w:rsid w:val="13E63206"/>
    <w:rsid w:val="143B34BC"/>
    <w:rsid w:val="172A4CF6"/>
    <w:rsid w:val="192A4B7F"/>
    <w:rsid w:val="19632832"/>
    <w:rsid w:val="198B6966"/>
    <w:rsid w:val="1B0E3EDC"/>
    <w:rsid w:val="22C2718E"/>
    <w:rsid w:val="249C5741"/>
    <w:rsid w:val="2587487A"/>
    <w:rsid w:val="27E92A9C"/>
    <w:rsid w:val="28C07BBC"/>
    <w:rsid w:val="28D23530"/>
    <w:rsid w:val="29D1340E"/>
    <w:rsid w:val="29D40C59"/>
    <w:rsid w:val="2A3D0548"/>
    <w:rsid w:val="2D903E0E"/>
    <w:rsid w:val="2DAF3E40"/>
    <w:rsid w:val="2F152201"/>
    <w:rsid w:val="30645EE3"/>
    <w:rsid w:val="314E0830"/>
    <w:rsid w:val="3286217F"/>
    <w:rsid w:val="34687E1F"/>
    <w:rsid w:val="360A2438"/>
    <w:rsid w:val="3653029E"/>
    <w:rsid w:val="36A52284"/>
    <w:rsid w:val="36EE59D9"/>
    <w:rsid w:val="37AE4374"/>
    <w:rsid w:val="38493580"/>
    <w:rsid w:val="38504B4D"/>
    <w:rsid w:val="3AAD086C"/>
    <w:rsid w:val="3E12017E"/>
    <w:rsid w:val="3EF94F1B"/>
    <w:rsid w:val="431240F6"/>
    <w:rsid w:val="4496596D"/>
    <w:rsid w:val="46FA3F26"/>
    <w:rsid w:val="477261B2"/>
    <w:rsid w:val="479339B6"/>
    <w:rsid w:val="47E3378E"/>
    <w:rsid w:val="49E53666"/>
    <w:rsid w:val="4BEC7D92"/>
    <w:rsid w:val="4CDA19A5"/>
    <w:rsid w:val="53EC3CF7"/>
    <w:rsid w:val="54125F78"/>
    <w:rsid w:val="54B47A94"/>
    <w:rsid w:val="55B35025"/>
    <w:rsid w:val="567C6706"/>
    <w:rsid w:val="58904160"/>
    <w:rsid w:val="58EB7030"/>
    <w:rsid w:val="5D5F3CEB"/>
    <w:rsid w:val="5DC6470A"/>
    <w:rsid w:val="5DCE143B"/>
    <w:rsid w:val="5F46445D"/>
    <w:rsid w:val="60C07B37"/>
    <w:rsid w:val="60E139A0"/>
    <w:rsid w:val="610572F8"/>
    <w:rsid w:val="61C22912"/>
    <w:rsid w:val="626A28CA"/>
    <w:rsid w:val="644C72E7"/>
    <w:rsid w:val="64B968AF"/>
    <w:rsid w:val="6502048C"/>
    <w:rsid w:val="68DC4DE2"/>
    <w:rsid w:val="69035A7B"/>
    <w:rsid w:val="6A6E5F0E"/>
    <w:rsid w:val="6CCD2BD9"/>
    <w:rsid w:val="712544A4"/>
    <w:rsid w:val="73D12B6F"/>
    <w:rsid w:val="73E16AAC"/>
    <w:rsid w:val="74C163BC"/>
    <w:rsid w:val="7834606E"/>
    <w:rsid w:val="79013BC1"/>
    <w:rsid w:val="791D56CF"/>
    <w:rsid w:val="7A19426B"/>
    <w:rsid w:val="7C7F1F07"/>
    <w:rsid w:val="7F2C67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qFormat="1"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6">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Emphasis"/>
    <w:basedOn w:val="9"/>
    <w:qFormat/>
    <w:uiPriority w:val="0"/>
    <w:rPr>
      <w:i/>
    </w:rPr>
  </w:style>
  <w:style w:type="character" w:styleId="12">
    <w:name w:val="HTML Code"/>
    <w:basedOn w:val="9"/>
    <w:qFormat/>
    <w:uiPriority w:val="0"/>
    <w:rPr>
      <w:rFonts w:ascii="Courier New" w:hAnsi="Courier New"/>
      <w:sz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4694</Words>
  <Characters>29514</Characters>
  <Lines>0</Lines>
  <Paragraphs>0</Paragraphs>
  <TotalTime>8</TotalTime>
  <ScaleCrop>false</ScaleCrop>
  <LinksUpToDate>false</LinksUpToDate>
  <CharactersWithSpaces>34103</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2025-04-11T16:45:00Z</dcterms:created>
  <dc:creator>Chérie</dc:creator>
  <cp:lastModifiedBy>Chérie</cp:lastModifiedBy>
  <dcterms:modified xsi:type="dcterms:W3CDTF">2025-04-13T20:15:21Z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7FDE7131375B4D1B892A25B5A6B538B8_13</vt:lpwstr>
  </property>
  <property fmtid="{D5CDD505-2E9C-101B-9397-08002B2CF9AE}" pid="4" name="KSOTemplateDocerSaveRecord">
    <vt:lpwstr>eyJoZGlkIjoiMzBiMTJjNjliNDk4NmY0NzE0NjJhNGU0OGFjOWU3ZTciLCJ1c2VySWQiOiIyMDA2NjgzNjEifQ==</vt:lpwstr>
  </property>
</Properties>
</file>