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5B37E" w14:textId="2B090C2B" w:rsidR="000A1822" w:rsidRDefault="000A1822" w:rsidP="000A1822">
      <w:pPr>
        <w:pStyle w:val="NormalWeb"/>
        <w:spacing w:before="0" w:beforeAutospacing="0" w:after="0" w:afterAutospacing="0"/>
        <w:ind w:left="-180" w:right="-334"/>
      </w:pPr>
      <w:r>
        <w:rPr>
          <w:noProof/>
        </w:rPr>
        <w:drawing>
          <wp:inline distT="0" distB="0" distL="0" distR="0" wp14:anchorId="6FA5A41C" wp14:editId="2A6000A5">
            <wp:extent cx="1816100" cy="730250"/>
            <wp:effectExtent l="0" t="0" r="0" b="0"/>
            <wp:docPr id="159554854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48543" name="Picture 1" descr="A close-up of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6100" cy="730250"/>
                    </a:xfrm>
                    <a:prstGeom prst="rect">
                      <a:avLst/>
                    </a:prstGeom>
                    <a:noFill/>
                    <a:ln>
                      <a:noFill/>
                    </a:ln>
                  </pic:spPr>
                </pic:pic>
              </a:graphicData>
            </a:graphic>
          </wp:inline>
        </w:drawing>
      </w:r>
    </w:p>
    <w:p w14:paraId="4A13C336" w14:textId="77777777" w:rsidR="000A1822" w:rsidRDefault="000A1822" w:rsidP="000A1822">
      <w:pPr>
        <w:pStyle w:val="NormalWeb"/>
        <w:spacing w:before="0" w:beforeAutospacing="0" w:after="0" w:afterAutospacing="0"/>
        <w:ind w:left="-180" w:right="-334"/>
      </w:pPr>
    </w:p>
    <w:p w14:paraId="7334D1AB" w14:textId="77777777" w:rsidR="000A1822" w:rsidRDefault="000A1822" w:rsidP="000A1822">
      <w:pPr>
        <w:pStyle w:val="NormalWeb"/>
        <w:spacing w:before="0" w:beforeAutospacing="0" w:after="0" w:afterAutospacing="0"/>
        <w:ind w:left="-180" w:right="-334"/>
      </w:pPr>
    </w:p>
    <w:p w14:paraId="4C5C9245" w14:textId="77777777" w:rsidR="000A1822" w:rsidRDefault="000A1822" w:rsidP="000A182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664325E" w14:textId="77777777" w:rsidR="000A1822" w:rsidRPr="00230F35" w:rsidRDefault="000A1822" w:rsidP="000A182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CECF6B3" w14:textId="77777777" w:rsidR="000A1822" w:rsidRPr="00230F35" w:rsidRDefault="000A1822" w:rsidP="000A1822">
      <w:pPr>
        <w:rPr>
          <w:rFonts w:ascii="Arial" w:hAnsi="Arial" w:cs="Arial"/>
          <w:sz w:val="28"/>
          <w:szCs w:val="28"/>
          <w:lang w:val="cy-GB"/>
        </w:rPr>
      </w:pPr>
    </w:p>
    <w:p w14:paraId="49C0ED7F" w14:textId="77777777" w:rsidR="000A1822" w:rsidRDefault="000A1822" w:rsidP="000A1822">
      <w:pPr>
        <w:pStyle w:val="Heading3"/>
        <w:jc w:val="center"/>
        <w:rPr>
          <w:lang w:val="cy-GB"/>
        </w:rPr>
      </w:pPr>
      <w:r>
        <w:rPr>
          <w:lang w:val="cy-GB"/>
        </w:rPr>
        <w:t>THIS SHEET MUST BE THE FIRST PAGE OF THE ASSIGNMENT YOU ARE SUBMITTING  (DO NOT SEND AS A SEPARATE FILE)</w:t>
      </w:r>
    </w:p>
    <w:p w14:paraId="0963EB05" w14:textId="77777777" w:rsidR="000A1822" w:rsidRDefault="000A1822" w:rsidP="000A182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409"/>
        <w:gridCol w:w="409"/>
        <w:gridCol w:w="1449"/>
        <w:gridCol w:w="270"/>
        <w:gridCol w:w="1765"/>
      </w:tblGrid>
      <w:tr w:rsidR="000A1822" w:rsidRPr="00230F35" w14:paraId="678F1273" w14:textId="77777777" w:rsidTr="00D93AF9">
        <w:trPr>
          <w:trHeight w:val="614"/>
        </w:trPr>
        <w:tc>
          <w:tcPr>
            <w:tcW w:w="8856" w:type="dxa"/>
            <w:gridSpan w:val="5"/>
          </w:tcPr>
          <w:p w14:paraId="593BD60A" w14:textId="77777777"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A1822" w:rsidRPr="00230F35" w14:paraId="06258981" w14:textId="77777777" w:rsidTr="00D93AF9">
        <w:trPr>
          <w:trHeight w:val="718"/>
        </w:trPr>
        <w:tc>
          <w:tcPr>
            <w:tcW w:w="8856" w:type="dxa"/>
            <w:gridSpan w:val="5"/>
          </w:tcPr>
          <w:p w14:paraId="76C3B74A" w14:textId="20F85CDE" w:rsidR="000A1822"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Sophie Amos</w:t>
            </w:r>
          </w:p>
          <w:p w14:paraId="4D5B9934" w14:textId="77777777" w:rsidR="000A1822" w:rsidRPr="00230F35" w:rsidRDefault="000A1822" w:rsidP="00D93AF9">
            <w:pPr>
              <w:pStyle w:val="NormalWeb"/>
              <w:spacing w:before="0" w:beforeAutospacing="0" w:after="0" w:afterAutospacing="0"/>
              <w:ind w:right="34"/>
              <w:rPr>
                <w:rFonts w:ascii="Arial" w:hAnsi="Arial" w:cs="Arial"/>
                <w:sz w:val="22"/>
                <w:szCs w:val="22"/>
              </w:rPr>
            </w:pPr>
          </w:p>
          <w:p w14:paraId="4E113B87" w14:textId="4547F985"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0A1822">
              <w:rPr>
                <w:rFonts w:ascii="Arial" w:hAnsi="Arial" w:cs="Arial"/>
                <w:sz w:val="22"/>
                <w:szCs w:val="22"/>
              </w:rPr>
              <w:t>2210733@student.uwtsd.ac.uk</w:t>
            </w:r>
          </w:p>
        </w:tc>
      </w:tr>
      <w:tr w:rsidR="000A1822" w:rsidRPr="00230F35" w14:paraId="24BF1497" w14:textId="77777777" w:rsidTr="00D93AF9">
        <w:trPr>
          <w:trHeight w:val="849"/>
        </w:trPr>
        <w:tc>
          <w:tcPr>
            <w:tcW w:w="4788" w:type="dxa"/>
          </w:tcPr>
          <w:p w14:paraId="6918DD12" w14:textId="7AA04CC0"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EB1C87">
              <w:rPr>
                <w:rFonts w:ascii="Arial" w:hAnsi="Arial" w:cs="Arial"/>
              </w:rPr>
              <w:t>HPCA70</w:t>
            </w:r>
            <w:r>
              <w:rPr>
                <w:rFonts w:ascii="Arial" w:hAnsi="Arial" w:cs="Arial"/>
              </w:rPr>
              <w:t>31</w:t>
            </w:r>
          </w:p>
          <w:p w14:paraId="79E5F91E" w14:textId="77777777" w:rsidR="000A1822" w:rsidRPr="00230F35" w:rsidRDefault="000A1822" w:rsidP="00D93AF9">
            <w:pPr>
              <w:pStyle w:val="NormalWeb"/>
              <w:spacing w:before="0" w:beforeAutospacing="0" w:after="0" w:afterAutospacing="0"/>
              <w:ind w:right="34"/>
              <w:rPr>
                <w:rFonts w:ascii="Arial" w:hAnsi="Arial" w:cs="Arial"/>
                <w:sz w:val="22"/>
                <w:szCs w:val="22"/>
              </w:rPr>
            </w:pPr>
          </w:p>
          <w:p w14:paraId="0692DE3A" w14:textId="5FFB2FF2" w:rsidR="000A1822"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0A1822">
              <w:rPr>
                <w:rFonts w:ascii="Arial" w:hAnsi="Arial" w:cs="Arial"/>
                <w:bCs/>
                <w:sz w:val="22"/>
                <w:szCs w:val="22"/>
              </w:rPr>
              <w:t>Astrology, History, Spirit, and Soul</w:t>
            </w:r>
          </w:p>
          <w:p w14:paraId="56857F15" w14:textId="77777777" w:rsidR="000A1822" w:rsidRPr="00230F35" w:rsidRDefault="000A1822" w:rsidP="00D93AF9">
            <w:pPr>
              <w:pStyle w:val="NormalWeb"/>
              <w:spacing w:before="0" w:beforeAutospacing="0" w:after="0" w:afterAutospacing="0"/>
              <w:ind w:right="34"/>
              <w:rPr>
                <w:rFonts w:ascii="Arial" w:hAnsi="Arial" w:cs="Arial"/>
                <w:sz w:val="22"/>
                <w:szCs w:val="22"/>
              </w:rPr>
            </w:pPr>
          </w:p>
        </w:tc>
        <w:tc>
          <w:tcPr>
            <w:tcW w:w="2266" w:type="dxa"/>
            <w:gridSpan w:val="3"/>
          </w:tcPr>
          <w:p w14:paraId="5A693ECA" w14:textId="2D611752"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2210733</w:t>
            </w:r>
          </w:p>
        </w:tc>
        <w:tc>
          <w:tcPr>
            <w:tcW w:w="1802" w:type="dxa"/>
          </w:tcPr>
          <w:p w14:paraId="129AB662" w14:textId="77777777"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4538FC3" w14:textId="3B23068D"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A1822" w:rsidRPr="00230F35" w14:paraId="7C220178" w14:textId="77777777" w:rsidTr="00D93AF9">
        <w:trPr>
          <w:trHeight w:val="1139"/>
        </w:trPr>
        <w:tc>
          <w:tcPr>
            <w:tcW w:w="8856" w:type="dxa"/>
            <w:gridSpan w:val="5"/>
          </w:tcPr>
          <w:p w14:paraId="5185BC25" w14:textId="6B4BF51A"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0A1822">
              <w:rPr>
                <w:rFonts w:ascii="Arial" w:hAnsi="Arial" w:cs="Arial"/>
                <w:sz w:val="22"/>
                <w:szCs w:val="22"/>
              </w:rPr>
              <w:t>A 4500 word essay written on a topic within the subject area</w:t>
            </w:r>
          </w:p>
          <w:p w14:paraId="128FC8BC" w14:textId="77777777" w:rsidR="000A1822" w:rsidRPr="00230F35" w:rsidRDefault="000A1822" w:rsidP="00D93AF9">
            <w:pPr>
              <w:pStyle w:val="NormalWeb"/>
              <w:spacing w:before="0" w:beforeAutospacing="0" w:after="0" w:afterAutospacing="0"/>
              <w:ind w:right="34"/>
              <w:rPr>
                <w:rFonts w:ascii="Arial" w:hAnsi="Arial" w:cs="Arial"/>
                <w:sz w:val="22"/>
                <w:szCs w:val="22"/>
              </w:rPr>
            </w:pPr>
          </w:p>
          <w:p w14:paraId="3114A05A" w14:textId="77777777" w:rsidR="000A1822" w:rsidRDefault="000A1822" w:rsidP="00D93AF9">
            <w:pPr>
              <w:pStyle w:val="NormalWeb"/>
              <w:spacing w:before="0" w:beforeAutospacing="0" w:after="0" w:afterAutospacing="0"/>
              <w:ind w:right="34"/>
              <w:rPr>
                <w:rFonts w:ascii="Arial" w:hAnsi="Arial" w:cs="Arial"/>
                <w:sz w:val="22"/>
                <w:szCs w:val="22"/>
              </w:rPr>
            </w:pPr>
          </w:p>
          <w:p w14:paraId="7F585E2E" w14:textId="2645BCD1"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4</w:t>
            </w:r>
            <w:r w:rsidRPr="000A1822">
              <w:rPr>
                <w:rFonts w:ascii="Arial" w:hAnsi="Arial" w:cs="Arial"/>
                <w:sz w:val="22"/>
                <w:szCs w:val="22"/>
                <w:vertAlign w:val="superscript"/>
              </w:rPr>
              <w:t>th</w:t>
            </w:r>
            <w:r>
              <w:rPr>
                <w:rFonts w:ascii="Arial" w:hAnsi="Arial" w:cs="Arial"/>
                <w:sz w:val="22"/>
                <w:szCs w:val="22"/>
              </w:rPr>
              <w:t xml:space="preserve"> January 2023</w:t>
            </w:r>
          </w:p>
        </w:tc>
      </w:tr>
      <w:tr w:rsidR="000A1822" w:rsidRPr="00230F35" w14:paraId="5E8EA252" w14:textId="77777777" w:rsidTr="00D93AF9">
        <w:trPr>
          <w:trHeight w:val="978"/>
        </w:trPr>
        <w:tc>
          <w:tcPr>
            <w:tcW w:w="8856" w:type="dxa"/>
            <w:gridSpan w:val="5"/>
            <w:tcBorders>
              <w:bottom w:val="single" w:sz="4" w:space="0" w:color="000000"/>
            </w:tcBorders>
          </w:tcPr>
          <w:p w14:paraId="3F9F550D" w14:textId="5EF87EC0" w:rsidR="000A1822" w:rsidRPr="00230F35" w:rsidRDefault="000A1822" w:rsidP="00D93AF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2" w:name="Check15"/>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A1822" w:rsidRPr="00230F35" w14:paraId="4ADD2F5A" w14:textId="77777777" w:rsidTr="00D93AF9">
        <w:trPr>
          <w:trHeight w:val="978"/>
        </w:trPr>
        <w:tc>
          <w:tcPr>
            <w:tcW w:w="8856" w:type="dxa"/>
            <w:gridSpan w:val="5"/>
            <w:shd w:val="clear" w:color="auto" w:fill="D9D9D9"/>
          </w:tcPr>
          <w:p w14:paraId="20F61263" w14:textId="77777777" w:rsidR="000A1822" w:rsidRPr="00230F35"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B2C1757" w14:textId="2B03AF52" w:rsidR="000A1822" w:rsidRDefault="000A1822" w:rsidP="00D93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S.E.AMOS</w:t>
            </w:r>
          </w:p>
          <w:p w14:paraId="3D8A506B" w14:textId="77777777" w:rsidR="000A1822" w:rsidRDefault="000A1822" w:rsidP="00D93AF9">
            <w:pPr>
              <w:pStyle w:val="NormalWeb"/>
              <w:spacing w:before="0" w:beforeAutospacing="0" w:after="0" w:afterAutospacing="0"/>
              <w:ind w:right="34"/>
              <w:rPr>
                <w:rFonts w:ascii="Arial" w:hAnsi="Arial" w:cs="Arial"/>
                <w:sz w:val="22"/>
                <w:szCs w:val="22"/>
              </w:rPr>
            </w:pPr>
          </w:p>
          <w:p w14:paraId="05882100" w14:textId="77777777" w:rsidR="000A1822" w:rsidRDefault="000A1822" w:rsidP="00D93AF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5266BFE9" w14:textId="77777777" w:rsidR="000A1822" w:rsidRPr="00230F35" w:rsidRDefault="000A1822" w:rsidP="00D93AF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A1822" w:rsidRPr="00230F35" w14:paraId="05EF7D27" w14:textId="77777777" w:rsidTr="00D93AF9">
        <w:trPr>
          <w:trHeight w:val="3972"/>
        </w:trPr>
        <w:tc>
          <w:tcPr>
            <w:tcW w:w="8856" w:type="dxa"/>
            <w:gridSpan w:val="5"/>
          </w:tcPr>
          <w:p w14:paraId="226E6424" w14:textId="77777777" w:rsidR="000A1822" w:rsidRDefault="000A1822" w:rsidP="00D93AF9">
            <w:pPr>
              <w:rPr>
                <w:rFonts w:ascii="Arial" w:hAnsi="Arial"/>
                <w:b/>
              </w:rPr>
            </w:pPr>
          </w:p>
          <w:p w14:paraId="000487C2" w14:textId="77777777" w:rsidR="000A1822" w:rsidRPr="00116CE6" w:rsidRDefault="000A1822" w:rsidP="00D93A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42"/>
              <w:gridCol w:w="1534"/>
            </w:tblGrid>
            <w:tr w:rsidR="000A1822" w:rsidRPr="00116CE6" w14:paraId="7C833BA5" w14:textId="77777777" w:rsidTr="00D93AF9">
              <w:tc>
                <w:tcPr>
                  <w:tcW w:w="6970" w:type="dxa"/>
                </w:tcPr>
                <w:p w14:paraId="48D8C650" w14:textId="77777777" w:rsidR="000A1822" w:rsidRPr="00116CE6" w:rsidRDefault="000A1822" w:rsidP="00D93AF9">
                  <w:pPr>
                    <w:rPr>
                      <w:rFonts w:ascii="Arial" w:hAnsi="Arial"/>
                      <w:sz w:val="20"/>
                      <w:szCs w:val="20"/>
                    </w:rPr>
                  </w:pPr>
                </w:p>
                <w:p w14:paraId="3F3CC4AE" w14:textId="77777777" w:rsidR="000A1822" w:rsidRPr="00116CE6" w:rsidRDefault="000A1822" w:rsidP="00D93A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5211D8" w14:textId="77777777" w:rsidR="000A1822" w:rsidRPr="00116CE6" w:rsidRDefault="000A1822" w:rsidP="00D93AF9">
                  <w:pPr>
                    <w:rPr>
                      <w:rFonts w:ascii="Arial" w:hAnsi="Arial"/>
                      <w:sz w:val="20"/>
                      <w:szCs w:val="20"/>
                    </w:rPr>
                  </w:pPr>
                </w:p>
              </w:tc>
            </w:tr>
            <w:tr w:rsidR="000A1822" w:rsidRPr="00116CE6" w14:paraId="55F5DFD0" w14:textId="77777777" w:rsidTr="00D93AF9">
              <w:tc>
                <w:tcPr>
                  <w:tcW w:w="6970" w:type="dxa"/>
                </w:tcPr>
                <w:p w14:paraId="51942147" w14:textId="77777777" w:rsidR="000A1822" w:rsidRPr="00116CE6" w:rsidRDefault="000A1822" w:rsidP="00D93AF9">
                  <w:pPr>
                    <w:rPr>
                      <w:rFonts w:ascii="Arial" w:hAnsi="Arial"/>
                      <w:sz w:val="20"/>
                      <w:szCs w:val="20"/>
                    </w:rPr>
                  </w:pPr>
                </w:p>
                <w:p w14:paraId="3ACD6FD8" w14:textId="77777777" w:rsidR="000A1822" w:rsidRPr="00116CE6" w:rsidRDefault="000A1822" w:rsidP="00D93A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6487D25" w14:textId="77777777" w:rsidR="000A1822" w:rsidRPr="00116CE6" w:rsidRDefault="000A1822" w:rsidP="00D93AF9">
                  <w:pPr>
                    <w:rPr>
                      <w:rFonts w:ascii="Arial" w:hAnsi="Arial"/>
                      <w:sz w:val="20"/>
                      <w:szCs w:val="20"/>
                    </w:rPr>
                  </w:pPr>
                </w:p>
              </w:tc>
            </w:tr>
            <w:tr w:rsidR="000A1822" w:rsidRPr="00116CE6" w14:paraId="7351DC06" w14:textId="77777777" w:rsidTr="00D93AF9">
              <w:tc>
                <w:tcPr>
                  <w:tcW w:w="6970" w:type="dxa"/>
                </w:tcPr>
                <w:p w14:paraId="549813A4" w14:textId="77777777" w:rsidR="000A1822" w:rsidRPr="00116CE6" w:rsidRDefault="000A1822" w:rsidP="00D93AF9">
                  <w:pPr>
                    <w:rPr>
                      <w:rFonts w:ascii="Arial" w:hAnsi="Arial"/>
                      <w:sz w:val="20"/>
                      <w:szCs w:val="20"/>
                    </w:rPr>
                  </w:pPr>
                </w:p>
                <w:p w14:paraId="693655B0" w14:textId="77777777" w:rsidR="000A1822" w:rsidRPr="00116CE6" w:rsidRDefault="000A1822" w:rsidP="00D93AF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4823C58" w14:textId="77777777" w:rsidR="000A1822" w:rsidRPr="00116CE6" w:rsidRDefault="000A1822" w:rsidP="00D93AF9">
                  <w:pPr>
                    <w:rPr>
                      <w:rFonts w:ascii="Arial" w:hAnsi="Arial"/>
                      <w:sz w:val="20"/>
                      <w:szCs w:val="20"/>
                    </w:rPr>
                  </w:pPr>
                </w:p>
              </w:tc>
            </w:tr>
            <w:tr w:rsidR="000A1822" w:rsidRPr="00116CE6" w14:paraId="1748EB15" w14:textId="77777777" w:rsidTr="00D93AF9">
              <w:tc>
                <w:tcPr>
                  <w:tcW w:w="6970" w:type="dxa"/>
                </w:tcPr>
                <w:p w14:paraId="2672CD24" w14:textId="77777777" w:rsidR="000A1822" w:rsidRDefault="000A1822" w:rsidP="00D93AF9">
                  <w:pPr>
                    <w:rPr>
                      <w:rFonts w:ascii="Arial" w:hAnsi="Arial"/>
                      <w:sz w:val="20"/>
                      <w:szCs w:val="20"/>
                    </w:rPr>
                  </w:pPr>
                </w:p>
                <w:p w14:paraId="1D349467" w14:textId="77777777" w:rsidR="000A1822" w:rsidRPr="00022345" w:rsidRDefault="000A1822" w:rsidP="00D93AF9">
                  <w:pPr>
                    <w:rPr>
                      <w:rFonts w:ascii="Arial" w:hAnsi="Arial"/>
                      <w:b/>
                      <w:sz w:val="20"/>
                      <w:szCs w:val="20"/>
                    </w:rPr>
                  </w:pPr>
                  <w:r w:rsidRPr="00022345">
                    <w:rPr>
                      <w:rFonts w:ascii="Arial" w:hAnsi="Arial"/>
                      <w:b/>
                      <w:sz w:val="20"/>
                      <w:szCs w:val="20"/>
                    </w:rPr>
                    <w:t>Final Mark</w:t>
                  </w:r>
                </w:p>
                <w:p w14:paraId="052E0159" w14:textId="77777777" w:rsidR="000A1822" w:rsidRPr="00116CE6" w:rsidRDefault="000A1822" w:rsidP="00D93AF9">
                  <w:pPr>
                    <w:rPr>
                      <w:rFonts w:ascii="Arial" w:hAnsi="Arial"/>
                      <w:sz w:val="20"/>
                      <w:szCs w:val="20"/>
                    </w:rPr>
                  </w:pPr>
                </w:p>
              </w:tc>
              <w:tc>
                <w:tcPr>
                  <w:tcW w:w="1660" w:type="dxa"/>
                </w:tcPr>
                <w:p w14:paraId="50F66336" w14:textId="77777777" w:rsidR="000A1822" w:rsidRPr="00116CE6" w:rsidRDefault="000A1822" w:rsidP="00D93AF9">
                  <w:pPr>
                    <w:rPr>
                      <w:rFonts w:ascii="Arial" w:hAnsi="Arial"/>
                      <w:sz w:val="20"/>
                      <w:szCs w:val="20"/>
                    </w:rPr>
                  </w:pPr>
                </w:p>
              </w:tc>
            </w:tr>
          </w:tbl>
          <w:p w14:paraId="636F3DA6" w14:textId="77777777" w:rsidR="000A1822" w:rsidRDefault="000A1822" w:rsidP="00D93AF9">
            <w:pPr>
              <w:pStyle w:val="NormalWeb"/>
              <w:spacing w:before="0" w:beforeAutospacing="0" w:after="0" w:afterAutospacing="0"/>
              <w:ind w:left="142" w:right="34"/>
              <w:rPr>
                <w:rFonts w:ascii="Arial" w:hAnsi="Arial" w:cs="Arial"/>
                <w:b/>
                <w:sz w:val="22"/>
                <w:szCs w:val="22"/>
              </w:rPr>
            </w:pPr>
          </w:p>
          <w:p w14:paraId="3D9CEBE9" w14:textId="77777777" w:rsidR="000A1822" w:rsidRPr="00230F35" w:rsidRDefault="000A1822" w:rsidP="00D93AF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1324FB" w14:textId="77777777" w:rsidR="000A1822" w:rsidRDefault="000A1822" w:rsidP="00D93AF9">
            <w:pPr>
              <w:pStyle w:val="NormalWeb"/>
              <w:spacing w:before="0" w:beforeAutospacing="0" w:after="0" w:afterAutospacing="0"/>
              <w:rPr>
                <w:rFonts w:ascii="Arial" w:hAnsi="Arial" w:cs="Arial"/>
                <w:b/>
                <w:sz w:val="22"/>
                <w:szCs w:val="22"/>
              </w:rPr>
            </w:pPr>
          </w:p>
          <w:p w14:paraId="217E9B22" w14:textId="77777777" w:rsidR="000A1822" w:rsidRDefault="000A1822" w:rsidP="00D93AF9">
            <w:pPr>
              <w:pStyle w:val="NormalWeb"/>
              <w:spacing w:before="0" w:beforeAutospacing="0" w:after="0" w:afterAutospacing="0"/>
              <w:rPr>
                <w:rFonts w:ascii="Arial" w:hAnsi="Arial" w:cs="Arial"/>
                <w:b/>
                <w:sz w:val="22"/>
                <w:szCs w:val="22"/>
              </w:rPr>
            </w:pPr>
          </w:p>
          <w:p w14:paraId="11123B0D" w14:textId="77777777" w:rsidR="000A1822" w:rsidRDefault="000A1822" w:rsidP="00D93AF9">
            <w:pPr>
              <w:pStyle w:val="NormalWeb"/>
              <w:spacing w:before="0" w:beforeAutospacing="0" w:after="0" w:afterAutospacing="0"/>
              <w:rPr>
                <w:rFonts w:ascii="Arial" w:hAnsi="Arial" w:cs="Arial"/>
                <w:b/>
                <w:sz w:val="22"/>
                <w:szCs w:val="22"/>
              </w:rPr>
            </w:pPr>
          </w:p>
          <w:p w14:paraId="03701115" w14:textId="77777777" w:rsidR="000A1822" w:rsidRDefault="000A1822" w:rsidP="00D93AF9">
            <w:pPr>
              <w:pStyle w:val="NormalWeb"/>
              <w:spacing w:before="0" w:beforeAutospacing="0" w:after="0" w:afterAutospacing="0"/>
              <w:rPr>
                <w:rFonts w:ascii="Arial" w:hAnsi="Arial" w:cs="Arial"/>
                <w:b/>
                <w:sz w:val="22"/>
                <w:szCs w:val="22"/>
              </w:rPr>
            </w:pPr>
          </w:p>
          <w:p w14:paraId="7D4BFE4F" w14:textId="77777777" w:rsidR="000A1822" w:rsidRDefault="000A1822" w:rsidP="00D93AF9">
            <w:pPr>
              <w:pStyle w:val="NormalWeb"/>
              <w:spacing w:before="0" w:beforeAutospacing="0" w:after="0" w:afterAutospacing="0"/>
              <w:rPr>
                <w:rFonts w:ascii="Arial" w:hAnsi="Arial" w:cs="Arial"/>
                <w:b/>
                <w:sz w:val="22"/>
                <w:szCs w:val="22"/>
              </w:rPr>
            </w:pPr>
          </w:p>
          <w:p w14:paraId="676818EE" w14:textId="77777777" w:rsidR="000A1822" w:rsidRPr="00230F35" w:rsidRDefault="000A1822" w:rsidP="00D93AF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F914299" w14:textId="77777777" w:rsidR="000A1822" w:rsidRDefault="000A1822" w:rsidP="00D93AF9">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22B49CC9" w14:textId="77777777" w:rsidR="000A1822" w:rsidRPr="00001C3B" w:rsidRDefault="000A1822" w:rsidP="00D93AF9">
            <w:pPr>
              <w:pStyle w:val="NormalWeb"/>
              <w:rPr>
                <w:rFonts w:ascii="Arial" w:hAnsi="Arial" w:cs="Arial"/>
                <w:sz w:val="22"/>
                <w:szCs w:val="22"/>
              </w:rPr>
            </w:pPr>
          </w:p>
        </w:tc>
      </w:tr>
      <w:tr w:rsidR="000A1822" w:rsidRPr="00230F35" w14:paraId="09FD486F" w14:textId="77777777" w:rsidTr="00D93AF9">
        <w:trPr>
          <w:trHeight w:val="492"/>
        </w:trPr>
        <w:tc>
          <w:tcPr>
            <w:tcW w:w="6768" w:type="dxa"/>
            <w:gridSpan w:val="3"/>
          </w:tcPr>
          <w:p w14:paraId="4FA0E223" w14:textId="77777777" w:rsidR="000A1822" w:rsidRPr="00230F35" w:rsidRDefault="000A1822" w:rsidP="00D93AF9">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6A102F8E" w14:textId="77777777" w:rsidR="000A1822" w:rsidRPr="00230F35" w:rsidRDefault="000A1822" w:rsidP="00D93AF9">
            <w:pPr>
              <w:pStyle w:val="NormalWeb"/>
              <w:spacing w:after="0"/>
              <w:ind w:left="142" w:right="34"/>
              <w:rPr>
                <w:rFonts w:ascii="Arial" w:hAnsi="Arial" w:cs="Arial"/>
                <w:sz w:val="22"/>
                <w:szCs w:val="22"/>
              </w:rPr>
            </w:pPr>
            <w:r w:rsidRPr="00230F35">
              <w:rPr>
                <w:rFonts w:ascii="Arial" w:hAnsi="Arial" w:cs="Arial"/>
                <w:sz w:val="22"/>
                <w:szCs w:val="22"/>
              </w:rPr>
              <w:t>Date:</w:t>
            </w:r>
          </w:p>
        </w:tc>
      </w:tr>
      <w:tr w:rsidR="000A1822" w:rsidRPr="002F467C" w14:paraId="113D61C7" w14:textId="77777777" w:rsidTr="00D93AF9">
        <w:tc>
          <w:tcPr>
            <w:tcW w:w="8856" w:type="dxa"/>
            <w:gridSpan w:val="5"/>
          </w:tcPr>
          <w:p w14:paraId="54D088BD" w14:textId="77777777" w:rsidR="000A1822" w:rsidRPr="00230F35" w:rsidRDefault="000A1822" w:rsidP="00D93AF9">
            <w:pPr>
              <w:pStyle w:val="NormalWeb"/>
              <w:spacing w:before="0" w:beforeAutospacing="0" w:after="0" w:afterAutospacing="0"/>
              <w:ind w:right="-334"/>
              <w:rPr>
                <w:rFonts w:ascii="Arial" w:hAnsi="Arial" w:cs="Arial"/>
                <w:bCs/>
                <w:i/>
                <w:sz w:val="22"/>
                <w:szCs w:val="22"/>
              </w:rPr>
            </w:pPr>
          </w:p>
          <w:p w14:paraId="5F1AA043" w14:textId="77777777" w:rsidR="000A1822" w:rsidRPr="00230F35" w:rsidRDefault="000A1822" w:rsidP="00D93AF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830FDF" w14:textId="77777777" w:rsidR="000A1822" w:rsidRPr="00230F35" w:rsidRDefault="000A1822" w:rsidP="00D93AF9">
            <w:pPr>
              <w:pStyle w:val="NormalWeb"/>
              <w:spacing w:before="0" w:beforeAutospacing="0" w:after="0" w:afterAutospacing="0"/>
              <w:ind w:right="-334"/>
              <w:rPr>
                <w:rFonts w:ascii="Arial" w:hAnsi="Arial" w:cs="Arial"/>
                <w:b/>
                <w:bCs/>
                <w:sz w:val="22"/>
                <w:szCs w:val="22"/>
              </w:rPr>
            </w:pPr>
          </w:p>
          <w:p w14:paraId="0E049636"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10351EF"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576B2021"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43BC77D1"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304D60FF"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238EE8D6"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3C87172F"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25913DD1"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4FFD494D"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42F1E8A9" w14:textId="77777777" w:rsidR="000A1822" w:rsidRDefault="000A1822" w:rsidP="00D93AF9">
            <w:pPr>
              <w:pStyle w:val="NormalWeb"/>
              <w:spacing w:before="0" w:beforeAutospacing="0" w:after="0" w:afterAutospacing="0"/>
              <w:ind w:right="-334"/>
              <w:rPr>
                <w:rFonts w:ascii="Arial" w:hAnsi="Arial" w:cs="Arial"/>
                <w:bCs/>
                <w:sz w:val="22"/>
                <w:szCs w:val="22"/>
              </w:rPr>
            </w:pPr>
          </w:p>
          <w:p w14:paraId="5577857E"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65491467"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3FA0A742"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tc>
      </w:tr>
      <w:tr w:rsidR="000A1822" w:rsidRPr="002F467C" w14:paraId="20811CB3" w14:textId="77777777" w:rsidTr="00D93AF9">
        <w:trPr>
          <w:trHeight w:val="720"/>
        </w:trPr>
        <w:tc>
          <w:tcPr>
            <w:tcW w:w="5211" w:type="dxa"/>
            <w:gridSpan w:val="2"/>
          </w:tcPr>
          <w:p w14:paraId="7ADCB7C0"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0824441"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A1822" w:rsidRPr="002F467C" w14:paraId="39B9B6B3" w14:textId="77777777" w:rsidTr="00D93AF9">
        <w:trPr>
          <w:trHeight w:val="720"/>
        </w:trPr>
        <w:tc>
          <w:tcPr>
            <w:tcW w:w="8856" w:type="dxa"/>
            <w:gridSpan w:val="5"/>
          </w:tcPr>
          <w:p w14:paraId="1436C384" w14:textId="77777777" w:rsidR="000A1822" w:rsidRPr="00B34964" w:rsidRDefault="000A1822" w:rsidP="00D93AF9">
            <w:pPr>
              <w:rPr>
                <w:rFonts w:ascii="Arial" w:hAnsi="Arial" w:cs="Arial"/>
                <w:b/>
                <w:sz w:val="22"/>
                <w:szCs w:val="22"/>
              </w:rPr>
            </w:pPr>
            <w:r w:rsidRPr="00B34964">
              <w:rPr>
                <w:rFonts w:ascii="Arial" w:hAnsi="Arial" w:cs="Arial"/>
                <w:b/>
                <w:sz w:val="22"/>
                <w:szCs w:val="22"/>
              </w:rPr>
              <w:t>External Examiner’s comments (if relevant)</w:t>
            </w:r>
          </w:p>
          <w:p w14:paraId="13F75EAF"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13F8127E"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2EEA1C5E"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664F00E6"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7FE26954"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2BEFC815"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28DB9E2E"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0C50084E"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755B57A6" w14:textId="77777777" w:rsidR="000A1822" w:rsidRDefault="000A1822" w:rsidP="00D93AF9">
            <w:pPr>
              <w:pStyle w:val="NormalWeb"/>
              <w:spacing w:before="0" w:beforeAutospacing="0" w:after="0" w:afterAutospacing="0"/>
              <w:ind w:right="-334"/>
              <w:rPr>
                <w:rFonts w:ascii="Arial" w:hAnsi="Arial" w:cs="Arial"/>
                <w:bCs/>
                <w:sz w:val="22"/>
                <w:szCs w:val="22"/>
              </w:rPr>
            </w:pPr>
          </w:p>
          <w:p w14:paraId="4C3E67CD"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p w14:paraId="1120FDEA" w14:textId="77777777" w:rsidR="000A1822" w:rsidRPr="00230F35" w:rsidRDefault="000A1822" w:rsidP="00D93AF9">
            <w:pPr>
              <w:pStyle w:val="NormalWeb"/>
              <w:spacing w:before="0" w:beforeAutospacing="0" w:after="0" w:afterAutospacing="0"/>
              <w:ind w:right="-334"/>
              <w:rPr>
                <w:rFonts w:ascii="Arial" w:hAnsi="Arial" w:cs="Arial"/>
                <w:bCs/>
                <w:sz w:val="22"/>
                <w:szCs w:val="22"/>
              </w:rPr>
            </w:pPr>
          </w:p>
        </w:tc>
      </w:tr>
      <w:tr w:rsidR="000A1822" w:rsidRPr="002F467C" w14:paraId="693507F6" w14:textId="77777777" w:rsidTr="00D93AF9">
        <w:trPr>
          <w:trHeight w:val="720"/>
        </w:trPr>
        <w:tc>
          <w:tcPr>
            <w:tcW w:w="5211" w:type="dxa"/>
            <w:gridSpan w:val="2"/>
          </w:tcPr>
          <w:p w14:paraId="24A2CFD0" w14:textId="77777777" w:rsidR="000A1822" w:rsidRPr="00230F35" w:rsidRDefault="000A1822" w:rsidP="00D93AF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50B2FCA" w14:textId="77777777" w:rsidR="000A1822" w:rsidRPr="00230F35" w:rsidRDefault="000A1822" w:rsidP="00D93AF9">
            <w:pPr>
              <w:rPr>
                <w:rFonts w:ascii="Arial" w:hAnsi="Arial" w:cs="Arial"/>
                <w:sz w:val="22"/>
                <w:szCs w:val="22"/>
              </w:rPr>
            </w:pPr>
            <w:r w:rsidRPr="00230F35">
              <w:rPr>
                <w:rFonts w:ascii="Arial" w:hAnsi="Arial" w:cs="Arial"/>
                <w:sz w:val="22"/>
                <w:szCs w:val="22"/>
              </w:rPr>
              <w:t>Date:</w:t>
            </w:r>
          </w:p>
        </w:tc>
      </w:tr>
    </w:tbl>
    <w:p w14:paraId="327F4F52" w14:textId="77777777" w:rsidR="000A1822" w:rsidRPr="00D67BF8" w:rsidRDefault="000A1822" w:rsidP="000A1822">
      <w:pPr>
        <w:pStyle w:val="NormalWeb"/>
        <w:spacing w:before="0" w:beforeAutospacing="0" w:after="0" w:afterAutospacing="0"/>
        <w:ind w:right="-334"/>
        <w:rPr>
          <w:rFonts w:ascii="Trebuchet MS" w:hAnsi="Trebuchet MS" w:cs="Tahoma"/>
          <w:bCs/>
          <w:sz w:val="24"/>
          <w:szCs w:val="24"/>
        </w:rPr>
      </w:pPr>
    </w:p>
    <w:p w14:paraId="7E3BFA80" w14:textId="77777777" w:rsidR="000A1822" w:rsidRDefault="000A1822">
      <w:pPr>
        <w:sectPr w:rsidR="000A1822" w:rsidSect="000A1822">
          <w:footerReference w:type="default" r:id="rId8"/>
          <w:pgSz w:w="11906" w:h="16838" w:code="9"/>
          <w:pgMar w:top="567" w:right="1797" w:bottom="567" w:left="1797" w:header="567" w:footer="720" w:gutter="0"/>
          <w:pgNumType w:start="1"/>
          <w:cols w:space="720"/>
          <w:docGrid w:linePitch="326"/>
        </w:sectPr>
      </w:pPr>
    </w:p>
    <w:p w14:paraId="236D66AD" w14:textId="77777777" w:rsidR="000A1822" w:rsidRDefault="000A1822" w:rsidP="000A1822">
      <w:pPr>
        <w:spacing w:line="360" w:lineRule="auto"/>
        <w:jc w:val="center"/>
        <w:rPr>
          <w:rFonts w:ascii="Calibri" w:hAnsi="Calibri" w:cs="Calibri"/>
          <w:bCs/>
        </w:rPr>
      </w:pPr>
    </w:p>
    <w:p w14:paraId="634B155D" w14:textId="77777777" w:rsidR="000A1822" w:rsidRDefault="000A1822" w:rsidP="000A1822">
      <w:pPr>
        <w:spacing w:line="360" w:lineRule="auto"/>
        <w:jc w:val="center"/>
        <w:rPr>
          <w:rFonts w:ascii="Calibri" w:hAnsi="Calibri" w:cs="Calibri"/>
          <w:bCs/>
        </w:rPr>
      </w:pPr>
    </w:p>
    <w:p w14:paraId="029C6F14" w14:textId="77777777" w:rsidR="000A1822" w:rsidRDefault="000A1822" w:rsidP="000A1822">
      <w:pPr>
        <w:spacing w:line="360" w:lineRule="auto"/>
        <w:jc w:val="center"/>
        <w:rPr>
          <w:rFonts w:ascii="Calibri" w:hAnsi="Calibri" w:cs="Calibri"/>
          <w:bCs/>
        </w:rPr>
      </w:pPr>
    </w:p>
    <w:p w14:paraId="1F6B4312" w14:textId="77777777" w:rsidR="000A1822" w:rsidRDefault="000A1822" w:rsidP="000A1822">
      <w:pPr>
        <w:spacing w:line="360" w:lineRule="auto"/>
        <w:jc w:val="center"/>
        <w:rPr>
          <w:rFonts w:ascii="Calibri" w:hAnsi="Calibri" w:cs="Calibri"/>
          <w:bCs/>
        </w:rPr>
      </w:pPr>
    </w:p>
    <w:p w14:paraId="158E650E" w14:textId="77777777" w:rsidR="000A1822" w:rsidRDefault="000A1822" w:rsidP="000A1822">
      <w:pPr>
        <w:spacing w:line="360" w:lineRule="auto"/>
        <w:jc w:val="center"/>
        <w:rPr>
          <w:rFonts w:ascii="Calibri" w:hAnsi="Calibri" w:cs="Calibri"/>
          <w:bCs/>
        </w:rPr>
      </w:pPr>
    </w:p>
    <w:p w14:paraId="0987D63B" w14:textId="77777777" w:rsidR="000A1822" w:rsidRDefault="000A1822" w:rsidP="000A1822">
      <w:pPr>
        <w:spacing w:line="360" w:lineRule="auto"/>
        <w:jc w:val="center"/>
        <w:rPr>
          <w:rFonts w:ascii="Calibri" w:hAnsi="Calibri" w:cs="Calibri"/>
          <w:bCs/>
        </w:rPr>
      </w:pPr>
    </w:p>
    <w:p w14:paraId="1329A410" w14:textId="77777777" w:rsidR="000A1822" w:rsidRDefault="000A1822" w:rsidP="000A1822">
      <w:pPr>
        <w:spacing w:line="360" w:lineRule="auto"/>
        <w:jc w:val="center"/>
        <w:rPr>
          <w:rFonts w:ascii="Calibri" w:hAnsi="Calibri" w:cs="Calibri"/>
          <w:bCs/>
        </w:rPr>
      </w:pPr>
    </w:p>
    <w:p w14:paraId="51C2508E" w14:textId="77777777" w:rsidR="000A1822" w:rsidRDefault="000A1822" w:rsidP="000A1822">
      <w:pPr>
        <w:spacing w:line="360" w:lineRule="auto"/>
        <w:jc w:val="center"/>
        <w:rPr>
          <w:rFonts w:ascii="Calibri" w:hAnsi="Calibri" w:cs="Calibri"/>
          <w:bCs/>
        </w:rPr>
      </w:pPr>
    </w:p>
    <w:p w14:paraId="609F1686" w14:textId="77777777" w:rsidR="000A1822" w:rsidRDefault="000A1822" w:rsidP="000A1822">
      <w:pPr>
        <w:spacing w:line="360" w:lineRule="auto"/>
        <w:jc w:val="center"/>
        <w:rPr>
          <w:rFonts w:ascii="Calibri" w:hAnsi="Calibri" w:cs="Calibri"/>
          <w:bCs/>
        </w:rPr>
      </w:pPr>
    </w:p>
    <w:p w14:paraId="152F695E" w14:textId="77777777" w:rsidR="000A1822" w:rsidRDefault="000A1822" w:rsidP="000A1822">
      <w:pPr>
        <w:spacing w:line="360" w:lineRule="auto"/>
        <w:jc w:val="center"/>
        <w:rPr>
          <w:rFonts w:ascii="Calibri" w:hAnsi="Calibri" w:cs="Calibri"/>
          <w:bCs/>
        </w:rPr>
      </w:pPr>
    </w:p>
    <w:p w14:paraId="6A70DF65" w14:textId="77777777" w:rsidR="000A1822" w:rsidRDefault="000A1822" w:rsidP="000A1822">
      <w:pPr>
        <w:spacing w:line="360" w:lineRule="auto"/>
        <w:jc w:val="center"/>
        <w:rPr>
          <w:rFonts w:ascii="Calibri" w:hAnsi="Calibri" w:cs="Calibri"/>
          <w:bCs/>
        </w:rPr>
      </w:pPr>
    </w:p>
    <w:p w14:paraId="66573AA9" w14:textId="77777777" w:rsidR="000A1822" w:rsidRDefault="000A1822" w:rsidP="000A1822">
      <w:pPr>
        <w:spacing w:line="360" w:lineRule="auto"/>
        <w:jc w:val="center"/>
        <w:rPr>
          <w:rFonts w:ascii="Calibri" w:hAnsi="Calibri" w:cs="Calibri"/>
          <w:bCs/>
        </w:rPr>
      </w:pPr>
    </w:p>
    <w:p w14:paraId="37DE98FF" w14:textId="77777777" w:rsidR="000A1822" w:rsidRPr="00293456" w:rsidRDefault="000A1822" w:rsidP="00293456">
      <w:pPr>
        <w:shd w:val="clear" w:color="auto" w:fill="FFFFFF"/>
        <w:spacing w:line="360" w:lineRule="auto"/>
        <w:jc w:val="center"/>
        <w:rPr>
          <w:rFonts w:asciiTheme="minorHAnsi" w:hAnsiTheme="minorHAnsi" w:cstheme="minorHAnsi"/>
          <w:color w:val="000000"/>
        </w:rPr>
      </w:pPr>
      <w:r w:rsidRPr="00293456">
        <w:rPr>
          <w:rFonts w:asciiTheme="minorHAnsi" w:hAnsiTheme="minorHAnsi" w:cstheme="minorHAnsi"/>
          <w:color w:val="000000"/>
        </w:rPr>
        <w:t>Taking one period, or culture critically examine views of the soul on the theory and practice of astrology. Choose ONE of the following: the classical world, Medieval Europe, Renaissance Europe, modern Europe (post 1800), India or China.</w:t>
      </w:r>
    </w:p>
    <w:p w14:paraId="37356818" w14:textId="1A0DCE14" w:rsidR="000A1822" w:rsidRPr="00293456" w:rsidRDefault="000A1822" w:rsidP="00293456">
      <w:pPr>
        <w:spacing w:line="360" w:lineRule="auto"/>
        <w:jc w:val="center"/>
        <w:rPr>
          <w:rFonts w:asciiTheme="minorHAnsi" w:hAnsiTheme="minorHAnsi" w:cstheme="minorHAnsi"/>
        </w:rPr>
      </w:pPr>
      <w:r w:rsidRPr="00293456">
        <w:rPr>
          <w:rFonts w:asciiTheme="minorHAnsi" w:hAnsiTheme="minorHAnsi" w:cstheme="minorHAnsi"/>
        </w:rPr>
        <w:t>HPCA7031 – Essay 2</w:t>
      </w:r>
    </w:p>
    <w:p w14:paraId="16E73A56" w14:textId="77777777" w:rsidR="000A1822" w:rsidRPr="00293456" w:rsidRDefault="000A1822" w:rsidP="00293456">
      <w:pPr>
        <w:spacing w:line="360" w:lineRule="auto"/>
        <w:jc w:val="center"/>
        <w:rPr>
          <w:rFonts w:asciiTheme="minorHAnsi" w:hAnsiTheme="minorHAnsi" w:cstheme="minorHAnsi"/>
          <w:bCs/>
        </w:rPr>
      </w:pPr>
      <w:r w:rsidRPr="00293456">
        <w:rPr>
          <w:rFonts w:asciiTheme="minorHAnsi" w:hAnsiTheme="minorHAnsi" w:cstheme="minorHAnsi"/>
          <w:bCs/>
        </w:rPr>
        <w:t>Sophie Amos 2210733</w:t>
      </w:r>
    </w:p>
    <w:p w14:paraId="3FB5B202" w14:textId="65685690" w:rsidR="000A1822" w:rsidRPr="00293456" w:rsidRDefault="000A1822" w:rsidP="00293456">
      <w:pPr>
        <w:spacing w:line="360" w:lineRule="auto"/>
        <w:jc w:val="center"/>
        <w:rPr>
          <w:rFonts w:asciiTheme="minorHAnsi" w:hAnsiTheme="minorHAnsi" w:cstheme="minorHAnsi"/>
          <w:bCs/>
        </w:rPr>
      </w:pPr>
      <w:r w:rsidRPr="00293456">
        <w:rPr>
          <w:rFonts w:asciiTheme="minorHAnsi" w:hAnsiTheme="minorHAnsi" w:cstheme="minorHAnsi"/>
        </w:rPr>
        <w:t>Word Count:</w:t>
      </w:r>
      <w:r w:rsidR="00B04DB9">
        <w:rPr>
          <w:rFonts w:asciiTheme="minorHAnsi" w:hAnsiTheme="minorHAnsi" w:cstheme="minorHAnsi"/>
        </w:rPr>
        <w:t xml:space="preserve"> 4376</w:t>
      </w:r>
      <w:r w:rsidRPr="00293456">
        <w:rPr>
          <w:rFonts w:asciiTheme="minorHAnsi" w:hAnsiTheme="minorHAnsi" w:cstheme="minorHAnsi"/>
        </w:rPr>
        <w:t xml:space="preserve"> </w:t>
      </w:r>
    </w:p>
    <w:p w14:paraId="6E7760CF" w14:textId="77777777" w:rsidR="00FE59B4" w:rsidRDefault="00FE59B4" w:rsidP="000A1822">
      <w:pPr>
        <w:jc w:val="center"/>
        <w:sectPr w:rsidR="00FE59B4" w:rsidSect="000A1822">
          <w:pgSz w:w="11906" w:h="16838" w:code="9"/>
          <w:pgMar w:top="1440" w:right="1440" w:bottom="1440" w:left="1440" w:header="567" w:footer="720" w:gutter="0"/>
          <w:pgNumType w:start="1"/>
          <w:cols w:space="720"/>
          <w:docGrid w:linePitch="326"/>
        </w:sectPr>
      </w:pPr>
    </w:p>
    <w:p w14:paraId="40099EA9" w14:textId="77777777" w:rsidR="00FE59B4" w:rsidRDefault="00FE59B4" w:rsidP="00FE59B4">
      <w:pPr>
        <w:spacing w:line="360" w:lineRule="auto"/>
        <w:rPr>
          <w:rFonts w:asciiTheme="minorHAnsi" w:hAnsiTheme="minorHAnsi" w:cstheme="minorHAnsi"/>
        </w:rPr>
      </w:pPr>
      <w:r w:rsidRPr="000331B5">
        <w:rPr>
          <w:rFonts w:asciiTheme="minorHAnsi" w:hAnsiTheme="minorHAnsi" w:cstheme="minorHAnsi"/>
        </w:rPr>
        <w:lastRenderedPageBreak/>
        <w:t>This paper provides a critical examination of the concept of the soul, including the theoretical underpinnings and practical applications of astrology, all within the period of Medieval Europe.  During this scholarly discourse, the temporal parameters ascribed to medieval Europe are elucidated, delineating the historical epoch from the 5th century to the culmination of the 15th century. The delineation of this era encompasses those geopolitical entities delineated within the geographical boundaries as presented in the accompanying cartographic representation</w:t>
      </w:r>
      <w:r>
        <w:rPr>
          <w:rStyle w:val="FootnoteReference"/>
          <w:rFonts w:asciiTheme="minorHAnsi" w:hAnsiTheme="minorHAnsi" w:cstheme="minorHAnsi"/>
        </w:rPr>
        <w:footnoteReference w:id="1"/>
      </w:r>
      <w:r w:rsidRPr="000331B5">
        <w:rPr>
          <w:rFonts w:asciiTheme="minorHAnsi" w:hAnsiTheme="minorHAnsi" w:cstheme="minorHAnsi"/>
        </w:rPr>
        <w:t xml:space="preserve"> (See Appendix A).</w:t>
      </w:r>
      <w:r>
        <w:rPr>
          <w:rFonts w:asciiTheme="minorHAnsi" w:hAnsiTheme="minorHAnsi" w:cstheme="minorHAnsi"/>
        </w:rPr>
        <w:t xml:space="preserve"> It has been established that the</w:t>
      </w:r>
      <w:r w:rsidRPr="003542A0">
        <w:rPr>
          <w:rFonts w:asciiTheme="minorHAnsi" w:hAnsiTheme="minorHAnsi" w:cstheme="minorHAnsi"/>
        </w:rPr>
        <w:t xml:space="preserve"> views on the soul were deeply rooted in religious and </w:t>
      </w:r>
      <w:r w:rsidRPr="00B72029">
        <w:rPr>
          <w:rFonts w:asciiTheme="minorHAnsi" w:hAnsiTheme="minorHAnsi" w:cstheme="minorHAnsi"/>
        </w:rPr>
        <w:t>philosophical traditions</w:t>
      </w:r>
      <w:r w:rsidRPr="00B72029">
        <w:rPr>
          <w:rStyle w:val="FootnoteReference"/>
          <w:rFonts w:asciiTheme="minorHAnsi" w:hAnsiTheme="minorHAnsi" w:cstheme="minorHAnsi"/>
        </w:rPr>
        <w:footnoteReference w:id="2"/>
      </w:r>
      <w:r w:rsidRPr="00B72029">
        <w:rPr>
          <w:rFonts w:asciiTheme="minorHAnsi" w:hAnsiTheme="minorHAnsi" w:cstheme="minorHAnsi"/>
        </w:rPr>
        <w:t>, through</w:t>
      </w:r>
      <w:r w:rsidRPr="000331B5">
        <w:rPr>
          <w:rFonts w:asciiTheme="minorHAnsi" w:hAnsiTheme="minorHAnsi" w:cstheme="minorHAnsi"/>
        </w:rPr>
        <w:t xml:space="preserve"> the use of critical and analytical approaches, the intricate interconnections between theological and philosophical discourses will be scrutinised to illuminate the beliefs of the era. </w:t>
      </w:r>
      <w:r w:rsidRPr="003542A0">
        <w:rPr>
          <w:rFonts w:asciiTheme="minorHAnsi" w:hAnsiTheme="minorHAnsi" w:cstheme="minorHAnsi"/>
        </w:rPr>
        <w:t>In medieval Europe, the concept of the soul played a significant role in shaping the theory and practice of astrology</w:t>
      </w:r>
      <w:r>
        <w:rPr>
          <w:rFonts w:asciiTheme="minorHAnsi" w:hAnsiTheme="minorHAnsi" w:cstheme="minorHAnsi"/>
        </w:rPr>
        <w:t xml:space="preserve"> b</w:t>
      </w:r>
      <w:r w:rsidRPr="000331B5">
        <w:rPr>
          <w:rFonts w:asciiTheme="minorHAnsi" w:hAnsiTheme="minorHAnsi" w:cstheme="minorHAnsi"/>
        </w:rPr>
        <w:t>y unravelling the nuanced layers of intellectual inquiry,</w:t>
      </w:r>
      <w:r>
        <w:rPr>
          <w:rFonts w:asciiTheme="minorHAnsi" w:hAnsiTheme="minorHAnsi" w:cstheme="minorHAnsi"/>
        </w:rPr>
        <w:t xml:space="preserve"> including the immortal soul, divine harmony, philosophical influences and links to the inner world,</w:t>
      </w:r>
      <w:r w:rsidRPr="000331B5">
        <w:rPr>
          <w:rFonts w:asciiTheme="minorHAnsi" w:hAnsiTheme="minorHAnsi" w:cstheme="minorHAnsi"/>
        </w:rPr>
        <w:t xml:space="preserve"> the relationship between the soul and the practice of astrology within medieval Europe will be explored. </w:t>
      </w:r>
    </w:p>
    <w:p w14:paraId="34F3C618" w14:textId="77777777" w:rsidR="00FE59B4" w:rsidRDefault="00FE59B4" w:rsidP="00FE59B4"/>
    <w:p w14:paraId="070362F6" w14:textId="77777777" w:rsidR="00FE59B4" w:rsidRPr="00312D0B" w:rsidRDefault="00FE59B4" w:rsidP="00FE59B4">
      <w:pPr>
        <w:spacing w:after="160" w:line="360" w:lineRule="auto"/>
        <w:rPr>
          <w:rFonts w:asciiTheme="minorHAnsi" w:eastAsiaTheme="minorHAnsi" w:hAnsiTheme="minorHAnsi" w:cstheme="minorBidi"/>
          <w:kern w:val="2"/>
          <w:lang w:eastAsia="en-US"/>
          <w14:ligatures w14:val="standardContextual"/>
        </w:rPr>
      </w:pPr>
      <w:r w:rsidRPr="00312D0B">
        <w:rPr>
          <w:rFonts w:asciiTheme="minorHAnsi" w:eastAsiaTheme="minorHAnsi" w:hAnsiTheme="minorHAnsi" w:cstheme="minorBidi"/>
          <w:kern w:val="2"/>
          <w:lang w:eastAsia="en-US"/>
          <w14:ligatures w14:val="standardContextual"/>
        </w:rPr>
        <w:t>Within medieval Europe, the beliefs were deeply influenced by a complex interplay between philosophical and theological ideologies. This led medieval intellects to distinguish and compare dynamics between the corporeal and the divine, giving rise to the notion of dualistic thought and immortality of the soul. This philosophical orientation, profoundly influenced by classical doctrines and Christian theological tenets, forms the crux of medieval speculative inquiries into the nature of the soul</w:t>
      </w:r>
      <w:r w:rsidRPr="00312D0B">
        <w:rPr>
          <w:rFonts w:asciiTheme="minorHAnsi" w:eastAsiaTheme="minorHAnsi" w:hAnsiTheme="minorHAnsi" w:cstheme="minorBidi"/>
          <w:kern w:val="2"/>
          <w:vertAlign w:val="superscript"/>
          <w:lang w:eastAsia="en-US"/>
          <w14:ligatures w14:val="standardContextual"/>
        </w:rPr>
        <w:footnoteReference w:id="3"/>
      </w:r>
      <w:r w:rsidRPr="00312D0B">
        <w:rPr>
          <w:rFonts w:asciiTheme="minorHAnsi" w:eastAsiaTheme="minorHAnsi" w:hAnsiTheme="minorHAnsi" w:cstheme="minorBidi"/>
          <w:kern w:val="2"/>
          <w:lang w:eastAsia="en-US"/>
          <w14:ligatures w14:val="standardContextual"/>
        </w:rPr>
        <w:t>. The roots of the medieval contemplations come from the works of ancient Greek philosophers most notably Plato</w:t>
      </w:r>
      <w:r>
        <w:rPr>
          <w:rFonts w:asciiTheme="minorHAnsi" w:eastAsiaTheme="minorHAnsi" w:hAnsiTheme="minorHAnsi" w:cstheme="minorBidi"/>
          <w:kern w:val="2"/>
          <w:lang w:eastAsia="en-US"/>
          <w14:ligatures w14:val="standardContextual"/>
        </w:rPr>
        <w:t xml:space="preserve"> and Aristotle</w:t>
      </w:r>
      <w:r w:rsidRPr="00312D0B">
        <w:rPr>
          <w:rFonts w:asciiTheme="minorHAnsi" w:eastAsiaTheme="minorHAnsi" w:hAnsiTheme="minorHAnsi" w:cstheme="minorBidi"/>
          <w:kern w:val="2"/>
          <w:lang w:eastAsia="en-US"/>
          <w14:ligatures w14:val="standardContextual"/>
        </w:rPr>
        <w:t xml:space="preserve">.  In Plato’s work the </w:t>
      </w:r>
      <w:r w:rsidRPr="00312D0B">
        <w:rPr>
          <w:rFonts w:asciiTheme="minorHAnsi" w:eastAsiaTheme="minorHAnsi" w:hAnsiTheme="minorHAnsi" w:cstheme="minorBidi"/>
          <w:i/>
          <w:iCs/>
          <w:kern w:val="2"/>
          <w:lang w:eastAsia="en-US"/>
          <w14:ligatures w14:val="standardContextual"/>
        </w:rPr>
        <w:t>Meno </w:t>
      </w:r>
      <w:r w:rsidRPr="00312D0B">
        <w:rPr>
          <w:rFonts w:asciiTheme="minorHAnsi" w:eastAsiaTheme="minorHAnsi" w:hAnsiTheme="minorHAnsi" w:cstheme="minorBidi"/>
          <w:kern w:val="2"/>
          <w:lang w:eastAsia="en-US"/>
          <w14:ligatures w14:val="standardContextual"/>
        </w:rPr>
        <w:t>it has been illustrated that the considerations of the soul’s metaphysical properties take shape:</w:t>
      </w:r>
    </w:p>
    <w:p w14:paraId="27F81B7C" w14:textId="77777777" w:rsidR="00FE59B4" w:rsidRPr="00312D0B" w:rsidRDefault="00FE59B4" w:rsidP="00FE59B4">
      <w:pPr>
        <w:ind w:left="720"/>
        <w:rPr>
          <w:rFonts w:asciiTheme="minorHAnsi" w:eastAsiaTheme="minorHAnsi" w:hAnsiTheme="minorHAnsi" w:cstheme="minorHAnsi"/>
          <w:i/>
          <w:iCs/>
          <w:kern w:val="2"/>
          <w:lang w:eastAsia="en-US"/>
          <w14:ligatures w14:val="standardContextual"/>
        </w:rPr>
      </w:pPr>
      <w:r w:rsidRPr="00312D0B">
        <w:rPr>
          <w:rFonts w:asciiTheme="minorHAnsi" w:eastAsiaTheme="minorHAnsi" w:hAnsiTheme="minorHAnsi" w:cstheme="minorHAnsi"/>
          <w:spacing w:val="-2"/>
          <w:kern w:val="2"/>
          <w:shd w:val="clear" w:color="auto" w:fill="FFFFFF"/>
          <w:lang w:eastAsia="en-US"/>
          <w14:ligatures w14:val="standardContextual"/>
        </w:rPr>
        <w:t>[t]hey say that the soul of man is immortal, and at one time comes to an end, which is called dying, and at another is born again, but never perishes. Consequently one ought to live all one’s life in the utmost holiness</w:t>
      </w:r>
      <w:r w:rsidRPr="00312D0B">
        <w:rPr>
          <w:rFonts w:asciiTheme="minorHAnsi" w:eastAsiaTheme="minorHAnsi" w:hAnsiTheme="minorHAnsi" w:cstheme="minorHAnsi"/>
          <w:spacing w:val="-2"/>
          <w:kern w:val="2"/>
          <w:shd w:val="clear" w:color="auto" w:fill="FFFFFF"/>
          <w:vertAlign w:val="superscript"/>
          <w:lang w:eastAsia="en-US"/>
          <w14:ligatures w14:val="standardContextual"/>
        </w:rPr>
        <w:footnoteReference w:id="4"/>
      </w:r>
      <w:r w:rsidRPr="00312D0B">
        <w:rPr>
          <w:rFonts w:asciiTheme="minorHAnsi" w:eastAsiaTheme="minorHAnsi" w:hAnsiTheme="minorHAnsi" w:cstheme="minorHAnsi"/>
          <w:spacing w:val="-2"/>
          <w:kern w:val="2"/>
          <w:shd w:val="clear" w:color="auto" w:fill="FFFFFF"/>
          <w:lang w:eastAsia="en-US"/>
          <w14:ligatures w14:val="standardContextual"/>
        </w:rPr>
        <w:t>.</w:t>
      </w:r>
    </w:p>
    <w:p w14:paraId="210E6BDF" w14:textId="77777777" w:rsidR="00FE59B4" w:rsidRDefault="00FE59B4" w:rsidP="00FE59B4">
      <w:pPr>
        <w:sectPr w:rsidR="00FE59B4" w:rsidSect="000A1822">
          <w:headerReference w:type="default" r:id="rId9"/>
          <w:pgSz w:w="11906" w:h="16838" w:code="9"/>
          <w:pgMar w:top="1440" w:right="1440" w:bottom="1440" w:left="1440" w:header="567" w:footer="720" w:gutter="0"/>
          <w:pgNumType w:start="1"/>
          <w:cols w:space="720"/>
          <w:docGrid w:linePitch="326"/>
        </w:sectPr>
      </w:pPr>
    </w:p>
    <w:p w14:paraId="414D0043" w14:textId="77777777" w:rsidR="00FE59B4" w:rsidRPr="00312D0B" w:rsidRDefault="00FE59B4" w:rsidP="00FE59B4">
      <w:pPr>
        <w:spacing w:after="160" w:line="360" w:lineRule="auto"/>
        <w:rPr>
          <w:rFonts w:asciiTheme="minorHAnsi" w:eastAsiaTheme="minorHAnsi" w:hAnsiTheme="minorHAnsi" w:cstheme="minorBidi"/>
          <w:kern w:val="2"/>
          <w:lang w:eastAsia="en-US"/>
          <w14:ligatures w14:val="standardContextual"/>
        </w:rPr>
      </w:pPr>
      <w:r w:rsidRPr="00312D0B">
        <w:rPr>
          <w:rFonts w:asciiTheme="minorHAnsi" w:eastAsiaTheme="minorHAnsi" w:hAnsiTheme="minorHAnsi" w:cstheme="minorBidi"/>
          <w:kern w:val="2"/>
          <w:lang w:eastAsia="en-US"/>
          <w14:ligatures w14:val="standardContextual"/>
        </w:rPr>
        <w:lastRenderedPageBreak/>
        <w:t>From this Plato elucidates a dualistic framework of the soul defined as the soul being an autonomous intellectual entity, distinct from being purely an animating force for the human body. Importantly, these dialogues introduce the notion of the soul's intrinsic immortality, a concept that resonates profoundly within medieval speculative discourse. This ideology was shared and expanded upon by Augustine of Hippo</w:t>
      </w:r>
      <w:r w:rsidRPr="00312D0B">
        <w:rPr>
          <w:rFonts w:asciiTheme="minorHAnsi" w:eastAsiaTheme="minorHAnsi" w:hAnsiTheme="minorHAnsi" w:cstheme="minorBidi"/>
          <w:kern w:val="2"/>
          <w:vertAlign w:val="superscript"/>
          <w:lang w:eastAsia="en-US"/>
          <w14:ligatures w14:val="standardContextual"/>
        </w:rPr>
        <w:footnoteReference w:id="5"/>
      </w:r>
      <w:r w:rsidRPr="00312D0B">
        <w:rPr>
          <w:rFonts w:asciiTheme="minorHAnsi" w:eastAsiaTheme="minorHAnsi" w:hAnsiTheme="minorHAnsi" w:cstheme="minorBidi"/>
          <w:kern w:val="2"/>
          <w:lang w:eastAsia="en-US"/>
          <w14:ligatures w14:val="standardContextual"/>
        </w:rPr>
        <w:t>, who espoused to the Medieval European people that:</w:t>
      </w:r>
    </w:p>
    <w:p w14:paraId="420FD14C" w14:textId="77777777" w:rsidR="00FE59B4" w:rsidRPr="00312D0B" w:rsidRDefault="00FE59B4" w:rsidP="00FE59B4">
      <w:pPr>
        <w:spacing w:after="240"/>
        <w:ind w:left="720"/>
        <w:rPr>
          <w:rFonts w:asciiTheme="minorHAnsi" w:eastAsiaTheme="minorHAnsi" w:hAnsiTheme="minorHAnsi" w:cstheme="minorHAnsi"/>
          <w:kern w:val="2"/>
          <w:lang w:eastAsia="en-US"/>
          <w14:ligatures w14:val="standardContextual"/>
        </w:rPr>
      </w:pPr>
      <w:r w:rsidRPr="00312D0B">
        <w:rPr>
          <w:rFonts w:asciiTheme="minorHAnsi" w:eastAsiaTheme="minorHAnsi" w:hAnsiTheme="minorHAnsi" w:cstheme="minorHAnsi"/>
          <w:kern w:val="2"/>
          <w:shd w:val="clear" w:color="auto" w:fill="FFFFFF"/>
          <w:lang w:eastAsia="en-US"/>
          <w14:ligatures w14:val="standardContextual"/>
        </w:rPr>
        <w:t>Since the truth can only exist in an incorporeal substance that is alive, and is inseparably connected with it as with its subject, this incorporeal substance, i.e. the soul, must everlastingly live</w:t>
      </w:r>
      <w:r w:rsidRPr="00312D0B">
        <w:rPr>
          <w:rFonts w:asciiTheme="minorHAnsi" w:eastAsiaTheme="minorHAnsi" w:hAnsiTheme="minorHAnsi" w:cstheme="minorHAnsi"/>
          <w:kern w:val="2"/>
          <w:shd w:val="clear" w:color="auto" w:fill="FFFFFF"/>
          <w:vertAlign w:val="superscript"/>
          <w:lang w:eastAsia="en-US"/>
          <w14:ligatures w14:val="standardContextual"/>
        </w:rPr>
        <w:footnoteReference w:id="6"/>
      </w:r>
      <w:r w:rsidRPr="00312D0B">
        <w:rPr>
          <w:rFonts w:asciiTheme="minorHAnsi" w:eastAsiaTheme="minorHAnsi" w:hAnsiTheme="minorHAnsi" w:cstheme="minorHAnsi"/>
          <w:kern w:val="2"/>
          <w:shd w:val="clear" w:color="auto" w:fill="FFFFFF"/>
          <w:lang w:eastAsia="en-US"/>
          <w14:ligatures w14:val="standardContextual"/>
        </w:rPr>
        <w:t>.</w:t>
      </w:r>
    </w:p>
    <w:p w14:paraId="167C7719" w14:textId="77777777" w:rsidR="00FE59B4" w:rsidRDefault="00FE59B4" w:rsidP="00FE59B4">
      <w:pPr>
        <w:suppressLineNumbers/>
        <w:spacing w:after="160" w:line="360" w:lineRule="auto"/>
        <w:rPr>
          <w:rFonts w:asciiTheme="minorHAnsi" w:eastAsiaTheme="minorHAnsi" w:hAnsiTheme="minorHAnsi" w:cstheme="minorBidi"/>
          <w:kern w:val="2"/>
          <w:lang w:eastAsia="en-US"/>
          <w14:ligatures w14:val="standardContextual"/>
        </w:rPr>
        <w:sectPr w:rsidR="00FE59B4" w:rsidSect="000A1822">
          <w:headerReference w:type="default" r:id="rId10"/>
          <w:pgSz w:w="11906" w:h="16838" w:code="9"/>
          <w:pgMar w:top="1440" w:right="1440" w:bottom="1440" w:left="1440" w:header="567" w:footer="720" w:gutter="0"/>
          <w:pgNumType w:start="1"/>
          <w:cols w:space="720"/>
          <w:docGrid w:linePitch="326"/>
        </w:sectPr>
      </w:pPr>
      <w:r w:rsidRPr="00312D0B">
        <w:rPr>
          <w:rFonts w:asciiTheme="minorHAnsi" w:eastAsiaTheme="minorHAnsi" w:hAnsiTheme="minorHAnsi" w:cstheme="minorBidi"/>
          <w:kern w:val="2"/>
          <w:lang w:eastAsia="en-US"/>
          <w14:ligatures w14:val="standardContextual"/>
        </w:rPr>
        <w:t xml:space="preserve">This concept of the soul was written in Augustine’s work </w:t>
      </w:r>
      <w:r w:rsidRPr="00312D0B">
        <w:rPr>
          <w:rFonts w:asciiTheme="minorHAnsi" w:eastAsiaTheme="minorHAnsi" w:hAnsiTheme="minorHAnsi" w:cstheme="minorBidi"/>
          <w:i/>
          <w:iCs/>
          <w:kern w:val="2"/>
          <w:lang w:eastAsia="en-US"/>
          <w14:ligatures w14:val="standardContextual"/>
        </w:rPr>
        <w:t>Immortality of the Soul</w:t>
      </w:r>
      <w:r w:rsidRPr="00312D0B">
        <w:rPr>
          <w:rFonts w:asciiTheme="minorHAnsi" w:eastAsiaTheme="minorHAnsi" w:hAnsiTheme="minorHAnsi" w:cstheme="minorBidi"/>
          <w:kern w:val="2"/>
          <w:lang w:eastAsia="en-US"/>
          <w14:ligatures w14:val="standardContextual"/>
        </w:rPr>
        <w:t xml:space="preserve"> and demonstrates the work of Plato had influenced medieval ideologies. Theological doctrines of the Catholic Church also played a pivotal role in propagating the dualistic view of the immortal soul. In </w:t>
      </w:r>
      <w:r w:rsidRPr="00312D0B">
        <w:rPr>
          <w:rFonts w:asciiTheme="minorHAnsi" w:eastAsiaTheme="minorHAnsi" w:hAnsiTheme="minorHAnsi" w:cstheme="minorBidi"/>
          <w:i/>
          <w:iCs/>
          <w:kern w:val="2"/>
          <w:lang w:eastAsia="en-US"/>
          <w14:ligatures w14:val="standardContextual"/>
        </w:rPr>
        <w:t>Confessions </w:t>
      </w:r>
      <w:r w:rsidRPr="00312D0B">
        <w:rPr>
          <w:rFonts w:asciiTheme="minorHAnsi" w:eastAsiaTheme="minorHAnsi" w:hAnsiTheme="minorHAnsi" w:cstheme="minorBidi"/>
          <w:kern w:val="2"/>
          <w:lang w:eastAsia="en-US"/>
          <w14:ligatures w14:val="standardContextual"/>
        </w:rPr>
        <w:t>the autobiographical work Augustine espoused the idea of the soul's pre-existence and its ultimate return to God. Whitman</w:t>
      </w:r>
      <w:r w:rsidRPr="00312D0B">
        <w:rPr>
          <w:rFonts w:asciiTheme="minorHAnsi" w:eastAsiaTheme="minorHAnsi" w:hAnsiTheme="minorHAnsi" w:cstheme="minorBidi"/>
          <w:kern w:val="2"/>
          <w:vertAlign w:val="superscript"/>
          <w:lang w:eastAsia="en-US"/>
          <w14:ligatures w14:val="standardContextual"/>
        </w:rPr>
        <w:footnoteReference w:id="7"/>
      </w:r>
      <w:r w:rsidRPr="00312D0B">
        <w:rPr>
          <w:rFonts w:asciiTheme="minorHAnsi" w:eastAsiaTheme="minorHAnsi" w:hAnsiTheme="minorHAnsi" w:cstheme="minorBidi"/>
          <w:kern w:val="2"/>
          <w:lang w:eastAsia="en-US"/>
          <w14:ligatures w14:val="standardContextual"/>
        </w:rPr>
        <w:t xml:space="preserve"> explains that this Augustinian framework deeply influenced medieval Christian thought, by reinforcing the conviction that the soul's destiny extended beyond earthly mortality. This has distinctive links to the works of John Scotus Eriugena, an Irish philosopher of the Middle Ages who expanded these theories using Neoplatonic thought and Christian theology. In Eriugena’s work </w:t>
      </w:r>
      <w:r w:rsidRPr="00312D0B">
        <w:rPr>
          <w:rFonts w:asciiTheme="minorHAnsi" w:eastAsiaTheme="minorHAnsi" w:hAnsiTheme="minorHAnsi" w:cstheme="minorBidi"/>
          <w:i/>
          <w:iCs/>
          <w:kern w:val="2"/>
          <w:lang w:eastAsia="en-US"/>
          <w14:ligatures w14:val="standardContextual"/>
        </w:rPr>
        <w:t>Periphyseon</w:t>
      </w:r>
      <w:r w:rsidRPr="00312D0B">
        <w:rPr>
          <w:rFonts w:asciiTheme="minorHAnsi" w:eastAsiaTheme="minorHAnsi" w:hAnsiTheme="minorHAnsi" w:cstheme="minorBidi"/>
          <w:i/>
          <w:iCs/>
          <w:kern w:val="2"/>
          <w:vertAlign w:val="superscript"/>
          <w:lang w:eastAsia="en-US"/>
          <w14:ligatures w14:val="standardContextual"/>
        </w:rPr>
        <w:footnoteReference w:id="8"/>
      </w:r>
      <w:r w:rsidRPr="00312D0B">
        <w:rPr>
          <w:rFonts w:asciiTheme="minorHAnsi" w:eastAsiaTheme="minorHAnsi" w:hAnsiTheme="minorHAnsi" w:cstheme="minorBidi"/>
          <w:i/>
          <w:iCs/>
          <w:kern w:val="2"/>
          <w:lang w:eastAsia="en-US"/>
          <w14:ligatures w14:val="standardContextual"/>
        </w:rPr>
        <w:t xml:space="preserve"> </w:t>
      </w:r>
      <w:r w:rsidRPr="00312D0B">
        <w:rPr>
          <w:rFonts w:asciiTheme="minorHAnsi" w:eastAsiaTheme="minorHAnsi" w:hAnsiTheme="minorHAnsi" w:cstheme="minorBidi"/>
          <w:kern w:val="2"/>
          <w:lang w:eastAsia="en-US"/>
          <w14:ligatures w14:val="standardContextual"/>
        </w:rPr>
        <w:t xml:space="preserve">it outlines a journey of the soul through different stages of existence. It has been explained that while the soul is initially united with God in a composed state, its journey involves a descent into the material world and a subsequent ascent back to God. It could be alluded that this cyclical journey implies a dualistic tension between the eternal realm of the divine and the transient nature of the created world. Scholars have noted that while Eriugena's dualism is nuanced and incorporates Neoplatonic elements, it is important to recognize that his thought is not a straightforward mind-body dualism and instead, it emphasizes the </w:t>
      </w:r>
    </w:p>
    <w:p w14:paraId="3FF1AAA3" w14:textId="77777777" w:rsidR="00FE59B4" w:rsidRDefault="00FE59B4" w:rsidP="00FE59B4">
      <w:pPr>
        <w:suppressLineNumbers/>
        <w:spacing w:after="160" w:line="360" w:lineRule="auto"/>
        <w:rPr>
          <w:rFonts w:asciiTheme="minorHAnsi" w:eastAsiaTheme="minorHAnsi" w:hAnsiTheme="minorHAnsi" w:cstheme="minorBidi"/>
          <w:kern w:val="2"/>
          <w:lang w:eastAsia="en-US"/>
          <w14:ligatures w14:val="standardContextual"/>
        </w:rPr>
      </w:pPr>
      <w:r w:rsidRPr="00312D0B">
        <w:rPr>
          <w:rFonts w:asciiTheme="minorHAnsi" w:eastAsiaTheme="minorHAnsi" w:hAnsiTheme="minorHAnsi" w:cstheme="minorBidi"/>
          <w:kern w:val="2"/>
          <w:lang w:eastAsia="en-US"/>
          <w14:ligatures w14:val="standardContextual"/>
        </w:rPr>
        <w:lastRenderedPageBreak/>
        <w:t>interconnectedness of all reality within a dynamic, hierarchical framework</w:t>
      </w:r>
      <w:r w:rsidRPr="00312D0B">
        <w:rPr>
          <w:rFonts w:asciiTheme="minorHAnsi" w:eastAsiaTheme="minorHAnsi" w:hAnsiTheme="minorHAnsi" w:cstheme="minorBidi"/>
          <w:kern w:val="2"/>
          <w:vertAlign w:val="superscript"/>
          <w:lang w:eastAsia="en-US"/>
          <w14:ligatures w14:val="standardContextual"/>
        </w:rPr>
        <w:footnoteReference w:id="9"/>
      </w:r>
      <w:r w:rsidRPr="00312D0B">
        <w:rPr>
          <w:rFonts w:asciiTheme="minorHAnsi" w:eastAsiaTheme="minorHAnsi" w:hAnsiTheme="minorHAnsi" w:cstheme="minorBidi"/>
          <w:kern w:val="2"/>
          <w:lang w:eastAsia="en-US"/>
          <w14:ligatures w14:val="standardContextual"/>
        </w:rPr>
        <w:t>. Later medieval thought was greatly influenced by the writings of Eugena, and scholars are still delving into his concepts in the history of philosophy and theology. The dualistic framework posited a fundamental divide between the transient, earthly existence and the enduring, metaphysical realm.  This idea was expressed in several areas of medieval life, influencing social structures and theological doctrines. Particularly Medieval eschatology was profoundly influenced by the dualistic view of the immortal soul, which helped to shape ideas of judgment, heaven, and hell.  Due to the theology and philosophy of Augustine and Eriugena, medieval Christians envisioned a cosmic reckoning where the eternal fate of the soul would be determined, emphasizing the enduring consequences of one's earthly actions</w:t>
      </w:r>
      <w:r w:rsidRPr="00312D0B">
        <w:rPr>
          <w:rFonts w:asciiTheme="minorHAnsi" w:eastAsiaTheme="minorHAnsi" w:hAnsiTheme="minorHAnsi" w:cstheme="minorBidi"/>
          <w:kern w:val="2"/>
          <w:vertAlign w:val="superscript"/>
          <w:lang w:eastAsia="en-US"/>
          <w14:ligatures w14:val="standardContextual"/>
        </w:rPr>
        <w:footnoteReference w:id="10"/>
      </w:r>
      <w:r w:rsidRPr="00312D0B">
        <w:rPr>
          <w:rFonts w:asciiTheme="minorHAnsi" w:eastAsiaTheme="minorHAnsi" w:hAnsiTheme="minorHAnsi" w:cstheme="minorBidi"/>
          <w:kern w:val="2"/>
          <w:lang w:eastAsia="en-US"/>
          <w14:ligatures w14:val="standardContextual"/>
        </w:rPr>
        <w:t xml:space="preserve">. This influence extended to the arts, inspiring depictions of the soul's ascent or descent in medieval literature, art, and drama. </w:t>
      </w:r>
      <w:bookmarkStart w:id="7" w:name="_Hlk154768777"/>
      <w:r w:rsidRPr="00312D0B">
        <w:rPr>
          <w:rFonts w:asciiTheme="minorHAnsi" w:eastAsiaTheme="minorHAnsi" w:hAnsiTheme="minorHAnsi" w:cstheme="minorBidi"/>
          <w:kern w:val="2"/>
          <w:lang w:eastAsia="en-US"/>
          <w14:ligatures w14:val="standardContextual"/>
        </w:rPr>
        <w:t>The dualistic perspective became ingrained and leaked into all areas of life, leaving an enduring legacy which shaped the spiritual, moral and societal dimensions of the era. </w:t>
      </w:r>
      <w:bookmarkEnd w:id="7"/>
    </w:p>
    <w:p w14:paraId="14D6096F" w14:textId="77777777" w:rsidR="00FE59B4" w:rsidRDefault="00FE59B4" w:rsidP="00FE59B4">
      <w:pPr>
        <w:spacing w:line="360" w:lineRule="auto"/>
        <w:rPr>
          <w:rFonts w:asciiTheme="minorHAnsi" w:hAnsiTheme="minorHAnsi" w:cstheme="minorHAnsi"/>
        </w:rPr>
        <w:sectPr w:rsidR="00FE59B4" w:rsidSect="000A1822">
          <w:headerReference w:type="default" r:id="rId11"/>
          <w:pgSz w:w="11906" w:h="16838" w:code="9"/>
          <w:pgMar w:top="1440" w:right="1440" w:bottom="1440" w:left="1440" w:header="567" w:footer="720" w:gutter="0"/>
          <w:pgNumType w:start="1"/>
          <w:cols w:space="720"/>
          <w:docGrid w:linePitch="326"/>
        </w:sectPr>
      </w:pPr>
      <w:r w:rsidRPr="003A5A0D">
        <w:rPr>
          <w:rFonts w:asciiTheme="minorHAnsi" w:hAnsiTheme="minorHAnsi" w:cstheme="minorHAnsi"/>
        </w:rPr>
        <w:t>Throughout medieval Europe, the idea of divine harmony catalysed a profound exploration of the cosmos and the intricate movements of celestial bodies. A perspective that theologians and astrologers found to have significant implications for comprehending the soul, its journey, and its destiny was fostered by this worldview, which was deeply entwined with religious beliefs. Heavily influenced by Christian theology Hildegard of Bingen perceived the cosmos and the soul as a reflective canvas of God's divine order, through her works and visions these theories were espoused. Adamson theorises that Hildegard's perception of the cosmos and soul being intrinsically linked is closer to Plato’s original thoughts than any other medieval theologian and was highly respected</w:t>
      </w:r>
      <w:r w:rsidRPr="003A5A0D">
        <w:rPr>
          <w:rStyle w:val="FootnoteReference"/>
          <w:rFonts w:asciiTheme="minorHAnsi" w:hAnsiTheme="minorHAnsi" w:cstheme="minorHAnsi"/>
        </w:rPr>
        <w:footnoteReference w:id="11"/>
      </w:r>
      <w:r w:rsidRPr="003A5A0D">
        <w:rPr>
          <w:rFonts w:asciiTheme="minorHAnsi" w:hAnsiTheme="minorHAnsi" w:cstheme="minorHAnsi"/>
        </w:rPr>
        <w:t>. With this in mind, it can be alluded that the links between astrology and soul in medieval thought transcended the purely observational, extending into the realms of symbolism and allegory. During medieval Europe, it was common for celestial occurrences to be interpreted as complex symbols that</w:t>
      </w:r>
    </w:p>
    <w:p w14:paraId="06C66E8C" w14:textId="7234B15A" w:rsidR="00FE59B4" w:rsidRDefault="00FE59B4" w:rsidP="00FE59B4">
      <w:pPr>
        <w:spacing w:line="360" w:lineRule="auto"/>
        <w:rPr>
          <w:rFonts w:asciiTheme="minorHAnsi" w:hAnsiTheme="minorHAnsi" w:cstheme="minorHAnsi"/>
        </w:rPr>
      </w:pPr>
      <w:r w:rsidRPr="003A5A0D">
        <w:rPr>
          <w:rFonts w:asciiTheme="minorHAnsi" w:hAnsiTheme="minorHAnsi" w:cstheme="minorHAnsi"/>
        </w:rPr>
        <w:lastRenderedPageBreak/>
        <w:t>implied a connection between the universe and humanity. Guido Bonatti wrote extensively about this connection, known today as the microcosm and macrocosm, espousing that the movements of celestial bodies not only influenced the external world but also intricately shaped the internal world of the human being, including the soul</w:t>
      </w:r>
      <w:r w:rsidRPr="003A5A0D">
        <w:rPr>
          <w:rStyle w:val="FootnoteReference"/>
          <w:rFonts w:asciiTheme="minorHAnsi" w:hAnsiTheme="minorHAnsi" w:cstheme="minorHAnsi"/>
        </w:rPr>
        <w:footnoteReference w:id="12"/>
      </w:r>
      <w:r w:rsidRPr="003A5A0D">
        <w:rPr>
          <w:rFonts w:asciiTheme="minorHAnsi" w:hAnsiTheme="minorHAnsi" w:cstheme="minorHAnsi"/>
        </w:rPr>
        <w:t>. According to this theory, the heavens may have been seen as a map of the stars that directed the path of cosmic and human events, combined religious and moral discourse, and offered a thorough framework for understanding the connection between the universe and the soul. </w:t>
      </w:r>
    </w:p>
    <w:p w14:paraId="3DEA57C7" w14:textId="0962F173" w:rsidR="0067245F" w:rsidRPr="003779F4" w:rsidRDefault="0011212F" w:rsidP="0067245F">
      <w:pPr>
        <w:spacing w:line="360" w:lineRule="auto"/>
        <w:rPr>
          <w:rFonts w:asciiTheme="minorHAnsi" w:hAnsiTheme="minorHAnsi" w:cstheme="minorHAnsi"/>
        </w:rPr>
      </w:pPr>
      <w:r w:rsidRPr="0011212F">
        <w:rPr>
          <w:rFonts w:asciiTheme="minorHAnsi" w:hAnsiTheme="minorHAnsi" w:cstheme="minorHAnsi"/>
        </w:rPr>
        <w:t>In contrast to Plato's dualism, Aristotle's holistic perspective viewed the soul as the</w:t>
      </w:r>
      <w:r>
        <w:rPr>
          <w:rFonts w:asciiTheme="minorHAnsi" w:hAnsiTheme="minorHAnsi" w:cstheme="minorHAnsi"/>
        </w:rPr>
        <w:t xml:space="preserve"> </w:t>
      </w:r>
      <w:r w:rsidR="0067245F" w:rsidRPr="00B71EC7">
        <w:rPr>
          <w:rFonts w:asciiTheme="minorHAnsi" w:hAnsiTheme="minorHAnsi" w:cstheme="minorHAnsi"/>
        </w:rPr>
        <w:t xml:space="preserve">inseparable form of the body, </w:t>
      </w:r>
      <w:r w:rsidR="0067245F" w:rsidRPr="00254211">
        <w:rPr>
          <w:rFonts w:asciiTheme="minorHAnsi" w:hAnsiTheme="minorHAnsi" w:cstheme="minorHAnsi"/>
        </w:rPr>
        <w:t>endowed with distinct faculties</w:t>
      </w:r>
      <w:r w:rsidR="0067245F" w:rsidRPr="00B71EC7">
        <w:rPr>
          <w:rFonts w:asciiTheme="minorHAnsi" w:hAnsiTheme="minorHAnsi" w:cstheme="minorHAnsi"/>
        </w:rPr>
        <w:t xml:space="preserve">. </w:t>
      </w:r>
      <w:r w:rsidR="0067245F" w:rsidRPr="00254211">
        <w:rPr>
          <w:rFonts w:asciiTheme="minorHAnsi" w:hAnsiTheme="minorHAnsi" w:cstheme="minorHAnsi"/>
        </w:rPr>
        <w:t>Aristotle's profound influence extended across various domains, permeating theology, shaping discussions on the soul, and leaving an indelible mark on the intricate world of astrology</w:t>
      </w:r>
      <w:r>
        <w:rPr>
          <w:rFonts w:asciiTheme="minorHAnsi" w:hAnsiTheme="minorHAnsi" w:cstheme="minorHAnsi"/>
        </w:rPr>
        <w:t xml:space="preserve">. </w:t>
      </w:r>
      <w:r w:rsidR="0067245F" w:rsidRPr="00254211">
        <w:rPr>
          <w:rFonts w:asciiTheme="minorHAnsi" w:hAnsiTheme="minorHAnsi" w:cstheme="minorHAnsi"/>
        </w:rPr>
        <w:t xml:space="preserve">Christian theologians of the early medieval period, including Augustine of Hippo, found themselves grappling with the formidable task of harmonizing classical philosophy with their religious worldview. </w:t>
      </w:r>
      <w:r w:rsidR="0067245F" w:rsidRPr="00B71EC7">
        <w:rPr>
          <w:rFonts w:asciiTheme="minorHAnsi" w:hAnsiTheme="minorHAnsi" w:cstheme="minorHAnsi"/>
        </w:rPr>
        <w:t>Aristotle's impact extended across diverse domains, leaving an indelible mark on the intricate interplay between philosophy, theology, and the cosmic understanding of medieval thought.</w:t>
      </w:r>
      <w:r w:rsidR="0067245F">
        <w:rPr>
          <w:rFonts w:asciiTheme="minorHAnsi" w:hAnsiTheme="minorHAnsi" w:cstheme="minorHAnsi"/>
        </w:rPr>
        <w:t xml:space="preserve"> </w:t>
      </w:r>
      <w:r w:rsidR="0067245F" w:rsidRPr="00254211">
        <w:rPr>
          <w:rFonts w:asciiTheme="minorHAnsi" w:hAnsiTheme="minorHAnsi" w:cstheme="minorHAnsi"/>
        </w:rPr>
        <w:t>Academics have suggested that, from the works of Augustine, the religion of Christianity itself was the superior synthesizer between classical philosophy and religion</w:t>
      </w:r>
      <w:r w:rsidR="0067245F" w:rsidRPr="00254211">
        <w:rPr>
          <w:rStyle w:val="FootnoteReference"/>
          <w:rFonts w:asciiTheme="minorHAnsi" w:hAnsiTheme="minorHAnsi" w:cstheme="minorHAnsi"/>
        </w:rPr>
        <w:footnoteReference w:id="13"/>
      </w:r>
      <w:r w:rsidR="0067245F" w:rsidRPr="00254211">
        <w:rPr>
          <w:rFonts w:asciiTheme="minorHAnsi" w:hAnsiTheme="minorHAnsi" w:cstheme="minorHAnsi"/>
        </w:rPr>
        <w:t xml:space="preserve">. A view that arguably is shared within the modern world amongst some. </w:t>
      </w:r>
    </w:p>
    <w:p w14:paraId="236F975C" w14:textId="77777777" w:rsidR="00585BB6" w:rsidRDefault="0067245F" w:rsidP="00585BB6">
      <w:pPr>
        <w:spacing w:line="360" w:lineRule="auto"/>
        <w:rPr>
          <w:rFonts w:asciiTheme="minorHAnsi" w:hAnsiTheme="minorHAnsi" w:cstheme="minorHAnsi"/>
        </w:rPr>
        <w:sectPr w:rsidR="00585BB6" w:rsidSect="000A1822">
          <w:headerReference w:type="default" r:id="rId12"/>
          <w:pgSz w:w="11906" w:h="16838" w:code="9"/>
          <w:pgMar w:top="1440" w:right="1440" w:bottom="1440" w:left="1440" w:header="567" w:footer="720" w:gutter="0"/>
          <w:pgNumType w:start="1"/>
          <w:cols w:space="720"/>
          <w:docGrid w:linePitch="326"/>
        </w:sectPr>
      </w:pPr>
      <w:r w:rsidRPr="003779F4">
        <w:rPr>
          <w:rFonts w:asciiTheme="minorHAnsi" w:hAnsiTheme="minorHAnsi" w:cstheme="minorHAnsi"/>
        </w:rPr>
        <w:t>Thomas Aquinas, a prominent figure in medieval European scholasticism, played a pivotal role as a bridge between Aristotelian philosophies and Christian theology. Born in the 13th century, Aquinas became a leading intellectual luminary, synthesizing the rich tapestry of Aristotle's thought with the tenets of Christian doctrine.</w:t>
      </w:r>
      <w:r w:rsidRPr="00254211">
        <w:rPr>
          <w:rFonts w:asciiTheme="minorHAnsi" w:hAnsiTheme="minorHAnsi" w:cstheme="minorHAnsi"/>
        </w:rPr>
        <w:t xml:space="preserve"> In his monumental work, "Summa Theologica," Aquinas undertook the task of harmonizing Aristotle's notions of the soul with Christian doctrine by suggesting that the soul is a part of the mechanically working of a human. In the work Aquinas explains that the soul is defined into two distinct parts intellect and will elucidating that </w:t>
      </w:r>
      <w:r w:rsidRPr="00254211">
        <w:rPr>
          <w:rFonts w:asciiTheme="minorHAnsi" w:hAnsiTheme="minorHAnsi" w:cstheme="minorHAnsi"/>
          <w:i/>
          <w:iCs/>
        </w:rPr>
        <w:t>the will moves the intellect and all powers of the soul […] to their respective acts</w:t>
      </w:r>
      <w:r w:rsidRPr="00254211">
        <w:rPr>
          <w:rStyle w:val="FootnoteReference"/>
          <w:rFonts w:asciiTheme="minorHAnsi" w:hAnsiTheme="minorHAnsi" w:cstheme="minorHAnsi"/>
          <w:i/>
          <w:iCs/>
        </w:rPr>
        <w:footnoteReference w:id="14"/>
      </w:r>
      <w:r w:rsidRPr="00254211">
        <w:rPr>
          <w:rFonts w:asciiTheme="minorHAnsi" w:hAnsiTheme="minorHAnsi" w:cstheme="minorHAnsi"/>
          <w:i/>
          <w:iCs/>
        </w:rPr>
        <w:t xml:space="preserve">. </w:t>
      </w:r>
      <w:r w:rsidRPr="00254211">
        <w:rPr>
          <w:rFonts w:asciiTheme="minorHAnsi" w:hAnsiTheme="minorHAnsi" w:cstheme="minorHAnsi"/>
        </w:rPr>
        <w:t>It can be suggested from this that the intellect is responsible for th</w:t>
      </w:r>
      <w:r w:rsidR="00585BB6">
        <w:rPr>
          <w:rFonts w:asciiTheme="minorHAnsi" w:hAnsiTheme="minorHAnsi" w:cstheme="minorHAnsi"/>
        </w:rPr>
        <w:t>e</w:t>
      </w:r>
    </w:p>
    <w:p w14:paraId="0B0E702E" w14:textId="77777777" w:rsidR="00585BB6" w:rsidRPr="003779F4" w:rsidRDefault="00585BB6" w:rsidP="00585BB6">
      <w:pPr>
        <w:spacing w:line="360" w:lineRule="auto"/>
        <w:rPr>
          <w:rFonts w:asciiTheme="minorHAnsi" w:hAnsiTheme="minorHAnsi" w:cstheme="minorHAnsi"/>
        </w:rPr>
      </w:pPr>
      <w:r w:rsidRPr="00254211">
        <w:rPr>
          <w:rFonts w:asciiTheme="minorHAnsi" w:hAnsiTheme="minorHAnsi" w:cstheme="minorHAnsi"/>
        </w:rPr>
        <w:lastRenderedPageBreak/>
        <w:t>knowing and understanding and the will is responsible for the act of desiring and choosing. This synthesis emphasized the compatibility of reason and faith, positing the soul as the vita</w:t>
      </w:r>
      <w:r>
        <w:rPr>
          <w:rFonts w:asciiTheme="minorHAnsi" w:hAnsiTheme="minorHAnsi" w:cstheme="minorHAnsi"/>
        </w:rPr>
        <w:t xml:space="preserve"> </w:t>
      </w:r>
      <w:r w:rsidRPr="00254211">
        <w:rPr>
          <w:rFonts w:asciiTheme="minorHAnsi" w:hAnsiTheme="minorHAnsi" w:cstheme="minorHAnsi"/>
        </w:rPr>
        <w:t>principle animating the body, simultaneously its substantial form and the locus of intellectual capacities. The nuanced understanding of human nature that emerged from this synthesis recognized the intricate interplay between reason and divine revelation, touching upon the Aristotelian theory of tripartite division of the soul. Aristotle stated:</w:t>
      </w:r>
    </w:p>
    <w:p w14:paraId="43F23A53" w14:textId="77777777" w:rsidR="00585BB6" w:rsidRPr="00254211" w:rsidRDefault="00585BB6" w:rsidP="00585BB6">
      <w:pPr>
        <w:spacing w:after="240"/>
        <w:ind w:left="360"/>
        <w:rPr>
          <w:rFonts w:asciiTheme="minorHAnsi" w:hAnsiTheme="minorHAnsi" w:cstheme="minorHAnsi"/>
        </w:rPr>
      </w:pPr>
      <w:r w:rsidRPr="00254211">
        <w:rPr>
          <w:rFonts w:asciiTheme="minorHAnsi" w:hAnsiTheme="minorHAnsi" w:cstheme="minorHAnsi"/>
        </w:rPr>
        <w:t>The soul is the cause and first principle of the living body. […] but the soul is equally the cause in each of the three senses [nutritive soul, sensitive soul and rational soul]</w:t>
      </w:r>
      <w:r w:rsidRPr="00254211">
        <w:rPr>
          <w:rStyle w:val="FootnoteReference"/>
          <w:rFonts w:asciiTheme="minorHAnsi" w:hAnsiTheme="minorHAnsi" w:cstheme="minorHAnsi"/>
        </w:rPr>
        <w:footnoteReference w:id="15"/>
      </w:r>
      <w:r w:rsidRPr="00254211">
        <w:rPr>
          <w:rFonts w:asciiTheme="minorHAnsi" w:hAnsiTheme="minorHAnsi" w:cstheme="minorHAnsi"/>
        </w:rPr>
        <w:t xml:space="preserve">. </w:t>
      </w:r>
    </w:p>
    <w:p w14:paraId="074C8699" w14:textId="77777777" w:rsidR="00585BB6" w:rsidRDefault="00585BB6" w:rsidP="00585BB6">
      <w:pPr>
        <w:spacing w:line="360" w:lineRule="auto"/>
        <w:rPr>
          <w:rFonts w:asciiTheme="minorHAnsi" w:hAnsiTheme="minorHAnsi" w:cstheme="minorHAnsi"/>
        </w:rPr>
        <w:sectPr w:rsidR="00585BB6" w:rsidSect="000A1822">
          <w:headerReference w:type="default" r:id="rId13"/>
          <w:pgSz w:w="11906" w:h="16838" w:code="9"/>
          <w:pgMar w:top="1440" w:right="1440" w:bottom="1440" w:left="1440" w:header="567" w:footer="720" w:gutter="0"/>
          <w:pgNumType w:start="1"/>
          <w:cols w:space="720"/>
          <w:docGrid w:linePitch="326"/>
        </w:sectPr>
      </w:pPr>
      <w:r w:rsidRPr="00254211">
        <w:rPr>
          <w:rFonts w:asciiTheme="minorHAnsi" w:hAnsiTheme="minorHAnsi" w:cstheme="minorHAnsi"/>
        </w:rPr>
        <w:t>This classification, with its emphasis on reason as the highest faculty, seamlessly aligned with the medieval concept of the soul's journey towards perfection. Inspired by Aristotle's profound insights, medieval philosophers embarked on explorations of questions regarding the immortality of the soul and its intricate relationship with the divine. The integration of Aristotelian psychology laid a robust foundation for probing moral responsibility, free will, and the ultimate destiny of the human soul in line with medieval European beliefs of Christianity. The blending of astrology, philosophy and theology provided medieval thinkers with a holistic perspective on the interconnections between the celestial and terrestrial realms. Early Christian theology spoke of heaven, hell, angels and the cosmos in their teachings to persuade medieval Europeans into guiding their soul into the ‘correct’ intellectual pathway of divine harmony</w:t>
      </w:r>
      <w:r w:rsidRPr="00254211">
        <w:rPr>
          <w:rStyle w:val="FootnoteReference"/>
          <w:rFonts w:asciiTheme="minorHAnsi" w:hAnsiTheme="minorHAnsi" w:cstheme="minorHAnsi"/>
        </w:rPr>
        <w:footnoteReference w:id="16"/>
      </w:r>
      <w:r w:rsidRPr="00254211">
        <w:rPr>
          <w:rFonts w:asciiTheme="minorHAnsi" w:hAnsiTheme="minorHAnsi" w:cstheme="minorHAnsi"/>
        </w:rPr>
        <w:t xml:space="preserve">. </w:t>
      </w:r>
      <w:r>
        <w:rPr>
          <w:rFonts w:asciiTheme="minorHAnsi" w:hAnsiTheme="minorHAnsi" w:cstheme="minorHAnsi"/>
        </w:rPr>
        <w:t xml:space="preserve">Establishing a clear relationship between the seemingly different areas of belief and knowledge. </w:t>
      </w:r>
      <w:r w:rsidRPr="00254211">
        <w:rPr>
          <w:rFonts w:asciiTheme="minorHAnsi" w:hAnsiTheme="minorHAnsi" w:cstheme="minorHAnsi"/>
        </w:rPr>
        <w:t xml:space="preserve">The interplay of Aristotelian and Neoplatonic ideas exemplifies the interconnectedness and complexity of medieval European thought. Aristotle's ideas, reintroduced through Arabic translations and enriched by the contributions of Islamic scholars, not only shaped theological discourse but also expanded the horizons of astrology, providing a holistic framework that touched upon the profound interrelations between the soul and the cosmic order. </w:t>
      </w:r>
    </w:p>
    <w:p w14:paraId="1DD4586D" w14:textId="77777777" w:rsidR="00585BB6" w:rsidRPr="00534AD9" w:rsidRDefault="00585BB6" w:rsidP="00585BB6">
      <w:pPr>
        <w:spacing w:line="360" w:lineRule="auto"/>
        <w:rPr>
          <w:rFonts w:asciiTheme="minorHAnsi" w:hAnsiTheme="minorHAnsi" w:cstheme="minorHAnsi"/>
        </w:rPr>
      </w:pPr>
      <w:r w:rsidRPr="00534AD9">
        <w:rPr>
          <w:rFonts w:asciiTheme="minorHAnsi" w:hAnsiTheme="minorHAnsi" w:cstheme="minorHAnsi"/>
        </w:rPr>
        <w:lastRenderedPageBreak/>
        <w:t xml:space="preserve">While the church greatly influenced medieval European views, other influencing factors came from science, resulting in medical astrology's development. Astrology was considered a moral and ethical compass connecting the soul's journey to heavenly arrangements. In </w:t>
      </w:r>
      <w:r w:rsidRPr="00534AD9">
        <w:rPr>
          <w:rFonts w:asciiTheme="minorHAnsi" w:hAnsiTheme="minorHAnsi" w:cstheme="minorHAnsi"/>
          <w:i/>
          <w:iCs/>
        </w:rPr>
        <w:t>Adversus Mathemalicos</w:t>
      </w:r>
      <w:r w:rsidRPr="00534AD9">
        <w:rPr>
          <w:rFonts w:asciiTheme="minorHAnsi" w:hAnsiTheme="minorHAnsi" w:cstheme="minorHAnsi"/>
        </w:rPr>
        <w:t> Sextus Empiricus explained how the link between astrology and the human form was intrinsically linked to one another: </w:t>
      </w:r>
    </w:p>
    <w:p w14:paraId="5401981E" w14:textId="77777777" w:rsidR="00585BB6" w:rsidRPr="00534AD9" w:rsidRDefault="00585BB6" w:rsidP="00585BB6">
      <w:pPr>
        <w:spacing w:after="240"/>
        <w:ind w:left="720"/>
        <w:rPr>
          <w:rFonts w:asciiTheme="minorHAnsi" w:hAnsiTheme="minorHAnsi" w:cstheme="minorHAnsi"/>
        </w:rPr>
      </w:pPr>
      <w:r w:rsidRPr="00534AD9">
        <w:rPr>
          <w:rFonts w:asciiTheme="minorHAnsi" w:hAnsiTheme="minorHAnsi" w:cstheme="minorHAnsi"/>
        </w:rPr>
        <w:t>if any of the stars [i.e. planets] which are malilicent at the time of nativity is in any of these signs it produces an imperfection in the part which bears the same name</w:t>
      </w:r>
      <w:r w:rsidRPr="00534AD9">
        <w:rPr>
          <w:rStyle w:val="FootnoteReference"/>
          <w:rFonts w:asciiTheme="minorHAnsi" w:hAnsiTheme="minorHAnsi" w:cstheme="minorHAnsi"/>
        </w:rPr>
        <w:footnoteReference w:id="17"/>
      </w:r>
      <w:r w:rsidRPr="00534AD9">
        <w:rPr>
          <w:rFonts w:asciiTheme="minorHAnsi" w:hAnsiTheme="minorHAnsi" w:cstheme="minorHAnsi"/>
        </w:rPr>
        <w:t>.</w:t>
      </w:r>
    </w:p>
    <w:p w14:paraId="1415B3E3" w14:textId="77777777" w:rsidR="00585BB6" w:rsidRDefault="00585BB6" w:rsidP="00585BB6">
      <w:pPr>
        <w:spacing w:line="360" w:lineRule="auto"/>
        <w:rPr>
          <w:rFonts w:asciiTheme="minorHAnsi" w:hAnsiTheme="minorHAnsi" w:cstheme="minorHAnsi"/>
        </w:rPr>
        <w:sectPr w:rsidR="00585BB6" w:rsidSect="000A1822">
          <w:headerReference w:type="default" r:id="rId14"/>
          <w:pgSz w:w="11906" w:h="16838" w:code="9"/>
          <w:pgMar w:top="1440" w:right="1440" w:bottom="1440" w:left="1440" w:header="567" w:footer="720" w:gutter="0"/>
          <w:pgNumType w:start="1"/>
          <w:cols w:space="720"/>
          <w:docGrid w:linePitch="326"/>
        </w:sectPr>
      </w:pPr>
      <w:r w:rsidRPr="00534AD9">
        <w:rPr>
          <w:rFonts w:asciiTheme="minorHAnsi" w:hAnsiTheme="minorHAnsi" w:cstheme="minorHAnsi"/>
        </w:rPr>
        <w:t>From this, it can be deduced that the planets and the human body have an undeniable link. A concept which was further built upon by Priscillian, a Christian theologian, who taught that the body was apportioned among the signs of the zodiac and that the soul was divided among the twelve patriarchs</w:t>
      </w:r>
      <w:r w:rsidRPr="00534AD9">
        <w:rPr>
          <w:rStyle w:val="FootnoteReference"/>
          <w:rFonts w:asciiTheme="minorHAnsi" w:hAnsiTheme="minorHAnsi" w:cstheme="minorHAnsi"/>
        </w:rPr>
        <w:footnoteReference w:id="18"/>
      </w:r>
      <w:r w:rsidRPr="00534AD9">
        <w:rPr>
          <w:rFonts w:asciiTheme="minorHAnsi" w:hAnsiTheme="minorHAnsi" w:cstheme="minorHAnsi"/>
        </w:rPr>
        <w:t>. Thus, introducing the concept of the ‘Zodiac Man’ to the medieval European school of thought. A visual representation of the integration of astrology and medical practices, the soul being at the heart of the belief system. The soul's connection to the cosmos was considered an integral aspect of overall well-being and celestial configurations were thought to impact the soul's harmony with the body, leading to imbalances that manifested as physical ailments. Academics have postulated that these systems of celestial-terrestrial interrelation stem from the Four Humors rooted in Ancient Greek practice and theorised by Hippocrates</w:t>
      </w:r>
      <w:r w:rsidRPr="00534AD9">
        <w:rPr>
          <w:rStyle w:val="FootnoteReference"/>
          <w:rFonts w:asciiTheme="minorHAnsi" w:hAnsiTheme="minorHAnsi" w:cstheme="minorHAnsi"/>
        </w:rPr>
        <w:footnoteReference w:id="19"/>
      </w:r>
      <w:r w:rsidRPr="00534AD9">
        <w:rPr>
          <w:rFonts w:asciiTheme="minorHAnsi" w:hAnsiTheme="minorHAnsi" w:cstheme="minorHAnsi"/>
        </w:rPr>
        <w:t xml:space="preserve">. This theory can be further supported in the </w:t>
      </w:r>
      <w:r w:rsidRPr="00534AD9">
        <w:rPr>
          <w:rFonts w:asciiTheme="minorHAnsi" w:hAnsiTheme="minorHAnsi" w:cstheme="minorHAnsi"/>
          <w:i/>
          <w:iCs/>
        </w:rPr>
        <w:t xml:space="preserve">Nature of Man </w:t>
      </w:r>
      <w:r w:rsidRPr="00534AD9">
        <w:rPr>
          <w:rFonts w:asciiTheme="minorHAnsi" w:hAnsiTheme="minorHAnsi" w:cstheme="minorHAnsi"/>
        </w:rPr>
        <w:t>authored by Hippocrates, as he states that the four seasons of the year and the four primary qualities of the human body (hot, cold, moist and dry) correspond to the four elements (fire, air, water and earth) and to the four humors, which in turn connect to a sign of the zodiac</w:t>
      </w:r>
      <w:r w:rsidRPr="00534AD9">
        <w:rPr>
          <w:rStyle w:val="FootnoteReference"/>
          <w:rFonts w:asciiTheme="minorHAnsi" w:hAnsiTheme="minorHAnsi" w:cstheme="minorHAnsi"/>
        </w:rPr>
        <w:footnoteReference w:id="20"/>
      </w:r>
      <w:r w:rsidRPr="00534AD9">
        <w:rPr>
          <w:rFonts w:asciiTheme="minorHAnsi" w:hAnsiTheme="minorHAnsi" w:cstheme="minorHAnsi"/>
        </w:rPr>
        <w:t xml:space="preserve">. This was a theory which made its way into medieval European thought and practitioners of medical astrology, as found in the compilation of </w:t>
      </w:r>
      <w:r w:rsidRPr="00534AD9">
        <w:rPr>
          <w:rFonts w:asciiTheme="minorHAnsi" w:hAnsiTheme="minorHAnsi" w:cstheme="minorHAnsi"/>
          <w:i/>
          <w:iCs/>
        </w:rPr>
        <w:t xml:space="preserve">Fasciculus Medicinae. </w:t>
      </w:r>
      <w:r w:rsidRPr="00534AD9">
        <w:rPr>
          <w:rFonts w:asciiTheme="minorHAnsi" w:hAnsiTheme="minorHAnsi" w:cstheme="minorHAnsi"/>
        </w:rPr>
        <w:t xml:space="preserve">It has been alluded that the medieval medical works tended to acknowledge the interconnectedness of soul and the universe, and concepts of the four humors in their </w:t>
      </w:r>
    </w:p>
    <w:p w14:paraId="0045E991" w14:textId="77777777" w:rsidR="00585BB6" w:rsidRPr="00534AD9" w:rsidRDefault="00585BB6" w:rsidP="00585BB6">
      <w:pPr>
        <w:spacing w:line="360" w:lineRule="auto"/>
        <w:rPr>
          <w:rFonts w:asciiTheme="minorHAnsi" w:hAnsiTheme="minorHAnsi" w:cstheme="minorHAnsi"/>
        </w:rPr>
      </w:pPr>
      <w:r w:rsidRPr="00534AD9">
        <w:rPr>
          <w:rFonts w:asciiTheme="minorHAnsi" w:hAnsiTheme="minorHAnsi" w:cstheme="minorHAnsi"/>
        </w:rPr>
        <w:lastRenderedPageBreak/>
        <w:t>medical practices as the well-being of the soul was considered crucial for overall health</w:t>
      </w:r>
      <w:r w:rsidRPr="00534AD9">
        <w:rPr>
          <w:rStyle w:val="FootnoteReference"/>
          <w:rFonts w:asciiTheme="minorHAnsi" w:hAnsiTheme="minorHAnsi" w:cstheme="minorHAnsi"/>
        </w:rPr>
        <w:footnoteReference w:id="21"/>
      </w:r>
      <w:r w:rsidRPr="00534AD9">
        <w:rPr>
          <w:rFonts w:asciiTheme="minorHAnsi" w:hAnsiTheme="minorHAnsi" w:cstheme="minorHAnsi"/>
        </w:rPr>
        <w:t>. It can be concluded that practitioners of the time may have believed that by understanding the cosmic influences on the soul was not merely a metaphysical concept, but a dynamic force intertwined with the celestial ballet, shaping the health and vitality of the individual.</w:t>
      </w:r>
      <w:r>
        <w:rPr>
          <w:rFonts w:asciiTheme="minorHAnsi" w:hAnsiTheme="minorHAnsi" w:cstheme="minorHAnsi"/>
        </w:rPr>
        <w:t xml:space="preserve"> </w:t>
      </w:r>
      <w:r w:rsidRPr="00534AD9">
        <w:rPr>
          <w:rFonts w:asciiTheme="minorHAnsi" w:hAnsiTheme="minorHAnsi" w:cstheme="minorHAnsi"/>
        </w:rPr>
        <w:t>This intricate interplay between the soul and celestial bodies reflected the holistic worldview prevalent in medieval medical astrology. In addition to its use in medicine, astrology was a powerful and effective moral and ethical guiding tool during the Middle Ages. The alignment of planets at the time of a person's birth was believed to imprint certain characteristics and tendencies on their soul</w:t>
      </w:r>
      <w:r w:rsidRPr="00534AD9">
        <w:rPr>
          <w:rStyle w:val="FootnoteReference"/>
          <w:rFonts w:asciiTheme="minorHAnsi" w:hAnsiTheme="minorHAnsi" w:cstheme="minorHAnsi"/>
        </w:rPr>
        <w:footnoteReference w:id="22"/>
      </w:r>
      <w:r w:rsidRPr="00534AD9">
        <w:rPr>
          <w:rFonts w:asciiTheme="minorHAnsi" w:hAnsiTheme="minorHAnsi" w:cstheme="minorHAnsi"/>
        </w:rPr>
        <w:t xml:space="preserve">. This would suggest that the use of astrology in connection to the human soul would be used as a framing device guided by the cosmic forces present at the moment of birth – a practice called </w:t>
      </w:r>
      <w:r w:rsidRPr="00534AD9">
        <w:rPr>
          <w:rFonts w:asciiTheme="minorHAnsi" w:hAnsiTheme="minorHAnsi" w:cstheme="minorHAnsi"/>
          <w:i/>
          <w:iCs/>
        </w:rPr>
        <w:t xml:space="preserve">natal astrology. </w:t>
      </w:r>
      <w:r w:rsidRPr="00534AD9">
        <w:rPr>
          <w:rFonts w:asciiTheme="minorHAnsi" w:hAnsiTheme="minorHAnsi" w:cstheme="minorHAnsi"/>
        </w:rPr>
        <w:t xml:space="preserve">First founded in Ptolemy’s </w:t>
      </w:r>
      <w:r w:rsidRPr="00534AD9">
        <w:rPr>
          <w:rFonts w:asciiTheme="minorHAnsi" w:hAnsiTheme="minorHAnsi" w:cstheme="minorHAnsi"/>
          <w:i/>
          <w:iCs/>
        </w:rPr>
        <w:t xml:space="preserve">Tetrabiblios, </w:t>
      </w:r>
      <w:r w:rsidRPr="00534AD9">
        <w:rPr>
          <w:rFonts w:asciiTheme="minorHAnsi" w:hAnsiTheme="minorHAnsi" w:cstheme="minorHAnsi"/>
        </w:rPr>
        <w:t>it has been established that the alignment of planets and the configuration of the celestial sphere at the time of birth were believed to shape the individual's destiny in medieval Europe</w:t>
      </w:r>
      <w:r w:rsidRPr="00534AD9">
        <w:rPr>
          <w:rStyle w:val="FootnoteReference"/>
          <w:rFonts w:asciiTheme="minorHAnsi" w:hAnsiTheme="minorHAnsi" w:cstheme="minorHAnsi"/>
        </w:rPr>
        <w:footnoteReference w:id="23"/>
      </w:r>
      <w:r w:rsidRPr="00534AD9">
        <w:rPr>
          <w:rFonts w:asciiTheme="minorHAnsi" w:hAnsiTheme="minorHAnsi" w:cstheme="minorHAnsi"/>
        </w:rPr>
        <w:t>. Therefore, suggesting that the interconnectedness of the soul's journey</w:t>
      </w:r>
      <w:r>
        <w:rPr>
          <w:rFonts w:asciiTheme="minorHAnsi" w:hAnsiTheme="minorHAnsi" w:cstheme="minorHAnsi"/>
        </w:rPr>
        <w:t xml:space="preserve"> </w:t>
      </w:r>
      <w:r w:rsidRPr="00534AD9">
        <w:rPr>
          <w:rFonts w:asciiTheme="minorHAnsi" w:hAnsiTheme="minorHAnsi" w:cstheme="minorHAnsi"/>
        </w:rPr>
        <w:t>could have been used as a moral compass. This idea of astrology would link to the medieval theologian perspectives in understanding that astrology, as a moral compass, encouraged individuals to reflect on their inherent qualities and navigate their ethical paths accordingly</w:t>
      </w:r>
      <w:r w:rsidRPr="00534AD9">
        <w:rPr>
          <w:rStyle w:val="FootnoteReference"/>
          <w:rFonts w:asciiTheme="minorHAnsi" w:hAnsiTheme="minorHAnsi" w:cstheme="minorHAnsi"/>
        </w:rPr>
        <w:footnoteReference w:id="24"/>
      </w:r>
      <w:r w:rsidRPr="00534AD9">
        <w:rPr>
          <w:rFonts w:asciiTheme="minorHAnsi" w:hAnsiTheme="minorHAnsi" w:cstheme="minorHAnsi"/>
        </w:rPr>
        <w:t>. Again, this evidences how linked the medieval perspective of astrology, medicine and religion were. This connection between the soul and the universe emphasized a holistic theory in which the macrocosm of the heavens was reflected in the microcosm of each person's life.</w:t>
      </w:r>
    </w:p>
    <w:p w14:paraId="5DE3B670" w14:textId="77777777" w:rsidR="00585BB6" w:rsidRDefault="00585BB6" w:rsidP="00585BB6">
      <w:pPr>
        <w:spacing w:line="360" w:lineRule="auto"/>
        <w:rPr>
          <w:rFonts w:asciiTheme="minorHAnsi" w:hAnsiTheme="minorHAnsi" w:cstheme="minorHAnsi"/>
        </w:rPr>
        <w:sectPr w:rsidR="00585BB6" w:rsidSect="000A1822">
          <w:headerReference w:type="default" r:id="rId15"/>
          <w:pgSz w:w="11906" w:h="16838" w:code="9"/>
          <w:pgMar w:top="1440" w:right="1440" w:bottom="1440" w:left="1440" w:header="567" w:footer="720" w:gutter="0"/>
          <w:pgNumType w:start="1"/>
          <w:cols w:space="720"/>
          <w:docGrid w:linePitch="326"/>
        </w:sectPr>
      </w:pPr>
      <w:r w:rsidRPr="00AD63F0">
        <w:rPr>
          <w:rFonts w:asciiTheme="minorHAnsi" w:hAnsiTheme="minorHAnsi" w:cstheme="minorHAnsi"/>
        </w:rPr>
        <w:t>It is evident that in the medieval Christian world, astrology played a prominent role, with its influence extending into various aspects of life, from healthcare to moral guidance. However, this widespread acceptance was not without its critics within the Church. Despite</w:t>
      </w:r>
    </w:p>
    <w:p w14:paraId="1BF26A72" w14:textId="03DAC6D3" w:rsidR="0067245F" w:rsidRDefault="00585BB6" w:rsidP="00585BB6">
      <w:pPr>
        <w:spacing w:line="360" w:lineRule="auto"/>
        <w:rPr>
          <w:rFonts w:asciiTheme="minorHAnsi" w:hAnsiTheme="minorHAnsi" w:cstheme="minorHAnsi"/>
        </w:rPr>
      </w:pPr>
      <w:r w:rsidRPr="00AD63F0">
        <w:rPr>
          <w:rFonts w:asciiTheme="minorHAnsi" w:hAnsiTheme="minorHAnsi" w:cstheme="minorHAnsi"/>
        </w:rPr>
        <w:lastRenderedPageBreak/>
        <w:t>astrology's pervasive influence, there were sceptics within the medieval Christian Church who viewed it with suspicion. It was believed that all forms of astrology were abhorrent due to the pagan superstitions and from a scientific point of view it acted as a substitute for God and Divine Grace</w:t>
      </w:r>
      <w:r w:rsidRPr="00F7007F">
        <w:rPr>
          <w:rStyle w:val="FootnoteReference"/>
          <w:rFonts w:asciiTheme="minorHAnsi" w:hAnsiTheme="minorHAnsi" w:cstheme="minorHAnsi"/>
        </w:rPr>
        <w:footnoteReference w:id="25"/>
      </w:r>
      <w:r w:rsidRPr="00AD63F0">
        <w:rPr>
          <w:rFonts w:asciiTheme="minorHAnsi" w:hAnsiTheme="minorHAnsi" w:cstheme="minorHAnsi"/>
        </w:rPr>
        <w:t>. Astrology, with its assertions of cosmic influences shaping human fate, seemed to run counter to this theological foundation of which medieval Europe was a prominent part of human life. With such a rise in Christianity in society astrology was further criticised for its part within divinatory pagan practices. The thoughts behind this theory are explained by Wedel:</w:t>
      </w:r>
    </w:p>
    <w:p w14:paraId="3013C23F" w14:textId="77777777" w:rsidR="00585BB6" w:rsidRPr="00AD63F0" w:rsidRDefault="00585BB6" w:rsidP="00585BB6">
      <w:pPr>
        <w:spacing w:after="240"/>
        <w:ind w:left="720"/>
        <w:rPr>
          <w:rFonts w:asciiTheme="minorHAnsi" w:hAnsiTheme="minorHAnsi" w:cstheme="minorHAnsi"/>
        </w:rPr>
      </w:pPr>
      <w:r w:rsidRPr="00AD63F0">
        <w:rPr>
          <w:rFonts w:asciiTheme="minorHAnsi" w:hAnsiTheme="minorHAnsi" w:cstheme="minorHAnsi"/>
        </w:rPr>
        <w:t>The Christians maintained, in general , that all divinatory arts , and, above all , astrology, were inventions of the devil , and could be carried on only by the aid of demons . This theory arose early, and remained throughout the Middle Ages the argument of last resort</w:t>
      </w:r>
      <w:r w:rsidRPr="00F7007F">
        <w:rPr>
          <w:rStyle w:val="FootnoteReference"/>
          <w:rFonts w:asciiTheme="minorHAnsi" w:hAnsiTheme="minorHAnsi" w:cstheme="minorHAnsi"/>
        </w:rPr>
        <w:footnoteReference w:id="26"/>
      </w:r>
      <w:r w:rsidRPr="00AD63F0">
        <w:rPr>
          <w:rFonts w:asciiTheme="minorHAnsi" w:hAnsiTheme="minorHAnsi" w:cstheme="minorHAnsi"/>
        </w:rPr>
        <w:t>.</w:t>
      </w:r>
    </w:p>
    <w:p w14:paraId="639EAB7D" w14:textId="77777777" w:rsidR="00585BB6" w:rsidRDefault="00585BB6" w:rsidP="00585BB6">
      <w:pPr>
        <w:spacing w:after="240" w:line="360" w:lineRule="auto"/>
        <w:rPr>
          <w:rFonts w:asciiTheme="minorHAnsi" w:hAnsiTheme="minorHAnsi" w:cstheme="minorHAnsi"/>
        </w:rPr>
        <w:sectPr w:rsidR="00585BB6" w:rsidSect="000A1822">
          <w:headerReference w:type="default" r:id="rId16"/>
          <w:pgSz w:w="11906" w:h="16838" w:code="9"/>
          <w:pgMar w:top="1440" w:right="1440" w:bottom="1440" w:left="1440" w:header="567" w:footer="720" w:gutter="0"/>
          <w:pgNumType w:start="1"/>
          <w:cols w:space="720"/>
          <w:docGrid w:linePitch="326"/>
        </w:sectPr>
      </w:pPr>
      <w:r w:rsidRPr="00AD63F0">
        <w:rPr>
          <w:rFonts w:asciiTheme="minorHAnsi" w:hAnsiTheme="minorHAnsi" w:cstheme="minorHAnsi"/>
        </w:rPr>
        <w:t>It can be supposed that the links made between pagan practices and astrology were demonised by the Christian church, to maintain the teachings of the church and their beliefs. Within the theological framework of medieval Christianity, human free will stood as a cornerstone and the belief that individuals had the capacity to make choices, shape their destinies, and bear moral responsibility for their actions was deeply ingrained. The theological opposition to astrology gained strength from the tension between celestial determinism and the cherished idea of human free will. Theologians and scholars grappled with reconciling the cosmic influences suggested by astrological doctrines with the autonomy of human decision-making. If the positions of stars and planets could predetermine an individual's fate, the theological framework of free will faced a profound challenge. Critics within the Church contended that subscribing to astrological determinism, undermined the Christian belief that human beings had free will and that using the stars and planets for divinatory practice was a direct challenge to this</w:t>
      </w:r>
      <w:r w:rsidRPr="00F7007F">
        <w:rPr>
          <w:rStyle w:val="FootnoteReference"/>
          <w:rFonts w:asciiTheme="minorHAnsi" w:hAnsiTheme="minorHAnsi" w:cstheme="minorHAnsi"/>
        </w:rPr>
        <w:footnoteReference w:id="27"/>
      </w:r>
      <w:r w:rsidRPr="00AD63F0">
        <w:rPr>
          <w:rFonts w:asciiTheme="minorHAnsi" w:hAnsiTheme="minorHAnsi" w:cstheme="minorHAnsi"/>
        </w:rPr>
        <w:t xml:space="preserve">. This evidence would suggest that the theological concerns raised about astrology would have directly questioned the </w:t>
      </w:r>
    </w:p>
    <w:p w14:paraId="5925D823" w14:textId="77777777" w:rsidR="00585BB6" w:rsidRPr="00AD63F0" w:rsidRDefault="00585BB6" w:rsidP="00585BB6">
      <w:pPr>
        <w:spacing w:after="240" w:line="360" w:lineRule="auto"/>
        <w:rPr>
          <w:rFonts w:asciiTheme="minorHAnsi" w:hAnsiTheme="minorHAnsi" w:cstheme="minorHAnsi"/>
        </w:rPr>
      </w:pPr>
      <w:r w:rsidRPr="00AD63F0">
        <w:rPr>
          <w:rFonts w:asciiTheme="minorHAnsi" w:hAnsiTheme="minorHAnsi" w:cstheme="minorHAnsi"/>
        </w:rPr>
        <w:lastRenderedPageBreak/>
        <w:t xml:space="preserve">nature of God's sovereignty and the role of divine intervention in human affairs. Suggesting that the opposition within the Church, therefore, was not merely a rejection of astrology but a defence of the theological foundations that emphasized the sanctity of human agency and the individual's moral responsibility. This was an aversion that was built upon by Pope Sixtus V in his 1586 decree </w:t>
      </w:r>
      <w:r w:rsidRPr="00AD63F0">
        <w:rPr>
          <w:rFonts w:asciiTheme="minorHAnsi" w:hAnsiTheme="minorHAnsi" w:cstheme="minorHAnsi"/>
          <w:i/>
          <w:iCs/>
        </w:rPr>
        <w:t xml:space="preserve">Coeli et terrae creator deus </w:t>
      </w:r>
      <w:r w:rsidRPr="00AD63F0">
        <w:rPr>
          <w:rFonts w:asciiTheme="minorHAnsi" w:hAnsiTheme="minorHAnsi" w:cstheme="minorHAnsi"/>
        </w:rPr>
        <w:t xml:space="preserve">who vehemently opposed astrology stating: </w:t>
      </w:r>
    </w:p>
    <w:p w14:paraId="1BE1AEFA" w14:textId="77777777" w:rsidR="00585BB6" w:rsidRPr="00585BB6" w:rsidRDefault="00585BB6" w:rsidP="00585BB6">
      <w:pPr>
        <w:spacing w:after="240"/>
        <w:ind w:left="360"/>
        <w:rPr>
          <w:rFonts w:asciiTheme="minorHAnsi" w:hAnsiTheme="minorHAnsi" w:cstheme="minorHAnsi"/>
          <w:i/>
          <w:iCs/>
        </w:rPr>
      </w:pPr>
      <w:r w:rsidRPr="00AD63F0">
        <w:rPr>
          <w:rFonts w:asciiTheme="minorHAnsi" w:hAnsiTheme="minorHAnsi" w:cstheme="minorHAnsi"/>
        </w:rPr>
        <w:t>[…] some people…run after curiosities and so gravely offend God. The err and bring others into error. Prime examples are the astrologers. They employ an idle, false knowledge of the planets and stars, and with the utmost audacity busy themselves now with anticipating a revelation of God’s arrangement of things…</w:t>
      </w:r>
      <w:r w:rsidRPr="00F7007F">
        <w:rPr>
          <w:rStyle w:val="FootnoteReference"/>
          <w:rFonts w:asciiTheme="minorHAnsi" w:hAnsiTheme="minorHAnsi" w:cstheme="minorHAnsi"/>
        </w:rPr>
        <w:footnoteReference w:id="28"/>
      </w:r>
    </w:p>
    <w:p w14:paraId="3C0274C1" w14:textId="77777777" w:rsidR="00585BB6" w:rsidRDefault="00585BB6" w:rsidP="00585BB6">
      <w:pPr>
        <w:spacing w:line="360" w:lineRule="auto"/>
        <w:rPr>
          <w:rFonts w:asciiTheme="minorHAnsi" w:hAnsiTheme="minorHAnsi" w:cstheme="minorHAnsi"/>
          <w:shd w:val="clear" w:color="auto" w:fill="FFFFFF"/>
        </w:rPr>
      </w:pPr>
      <w:r w:rsidRPr="00AD63F0">
        <w:rPr>
          <w:rFonts w:asciiTheme="minorHAnsi" w:hAnsiTheme="minorHAnsi" w:cstheme="minorHAnsi"/>
        </w:rPr>
        <w:t xml:space="preserve">An attempt to ban and place restrictions on astrology was not a shared understanding across all regions, they did however reflect a degree of suspicion within the Church regarding the potential influence of celestial forces on human affairs, including the soul's fate. In the later medieval period advancements in astrology and observational sciences were made, and as scientific knowledge expanded certain assumptions about astronomy were challenged. It has been stated that due to the integration of </w:t>
      </w:r>
      <w:r w:rsidRPr="00AD63F0">
        <w:rPr>
          <w:rFonts w:asciiTheme="minorHAnsi" w:hAnsiTheme="minorHAnsi" w:cstheme="minorHAnsi"/>
          <w:shd w:val="clear" w:color="auto" w:fill="FFFFFF"/>
        </w:rPr>
        <w:t>quantitative observations with quantitative predictions using trigonometry</w:t>
      </w:r>
      <w:r w:rsidRPr="00F7007F">
        <w:rPr>
          <w:rStyle w:val="FootnoteReference"/>
          <w:rFonts w:asciiTheme="minorHAnsi" w:hAnsiTheme="minorHAnsi" w:cstheme="minorHAnsi"/>
          <w:shd w:val="clear" w:color="auto" w:fill="FFFFFF"/>
        </w:rPr>
        <w:footnoteReference w:id="29"/>
      </w:r>
      <w:r w:rsidRPr="00AD63F0">
        <w:rPr>
          <w:rFonts w:asciiTheme="minorHAnsi" w:hAnsiTheme="minorHAnsi" w:cstheme="minorHAnsi"/>
          <w:shd w:val="clear" w:color="auto" w:fill="FFFFFF"/>
        </w:rPr>
        <w:t xml:space="preserve"> the original understandings of astrology faced opposition. Although this was considered a challenge to the field of astrology it can also be seen as a transformative process in which the groundwork was shifted to distinguish between astronomy and astrology.  </w:t>
      </w:r>
    </w:p>
    <w:p w14:paraId="3B613946" w14:textId="77777777" w:rsidR="00B30A01" w:rsidRDefault="00B30A01" w:rsidP="00B30A01">
      <w:pPr>
        <w:spacing w:line="360" w:lineRule="auto"/>
        <w:rPr>
          <w:rFonts w:asciiTheme="minorHAnsi" w:hAnsiTheme="minorHAnsi" w:cstheme="minorHAnsi"/>
        </w:rPr>
        <w:sectPr w:rsidR="00B30A01" w:rsidSect="000A1822">
          <w:headerReference w:type="default" r:id="rId17"/>
          <w:pgSz w:w="11906" w:h="16838" w:code="9"/>
          <w:pgMar w:top="1440" w:right="1440" w:bottom="1440" w:left="1440" w:header="567" w:footer="720" w:gutter="0"/>
          <w:pgNumType w:start="1"/>
          <w:cols w:space="720"/>
          <w:docGrid w:linePitch="326"/>
        </w:sectPr>
      </w:pPr>
      <w:r w:rsidRPr="00BC246B">
        <w:rPr>
          <w:rFonts w:asciiTheme="minorHAnsi" w:hAnsiTheme="minorHAnsi" w:cstheme="minorHAnsi"/>
        </w:rPr>
        <w:t>In conclusion, this thorough investigation of the idea of the soul in the setting of medieval Europe reveals a complex web of interrelated concepts that span the complex domains of philosophy, theology, and astrology. Due to the subject's very nature, the intertwining of the three realms has been prevalent within this study, possibly due to the root of the subject all leading back to the ancient Greek philosophers. It can be argued that through the three different lenses of inquiry, the root cause has been ancient Greek teachings which has increased the difficulty of separating the seemingly disparate ideologies. However, there are other factors to consider when exploring the soul through a theological viewpoint, and the</w:t>
      </w:r>
    </w:p>
    <w:p w14:paraId="507A0470" w14:textId="125754E9" w:rsidR="00585BB6" w:rsidRPr="00AD63F0" w:rsidRDefault="00585BB6" w:rsidP="00B30A01">
      <w:pPr>
        <w:spacing w:line="360" w:lineRule="auto"/>
        <w:rPr>
          <w:rFonts w:asciiTheme="minorHAnsi" w:hAnsiTheme="minorHAnsi" w:cstheme="minorHAnsi"/>
          <w:shd w:val="clear" w:color="auto" w:fill="FFFFFF"/>
        </w:rPr>
      </w:pPr>
    </w:p>
    <w:p w14:paraId="1BDF08F9" w14:textId="77777777" w:rsidR="00B30A01" w:rsidRPr="00BC246B" w:rsidRDefault="00B30A01" w:rsidP="00B30A01">
      <w:pPr>
        <w:spacing w:line="360" w:lineRule="auto"/>
        <w:rPr>
          <w:rFonts w:asciiTheme="minorHAnsi" w:hAnsiTheme="minorHAnsi" w:cstheme="minorHAnsi"/>
        </w:rPr>
      </w:pPr>
      <w:r w:rsidRPr="00BC246B">
        <w:rPr>
          <w:rFonts w:asciiTheme="minorHAnsi" w:hAnsiTheme="minorHAnsi" w:cstheme="minorHAnsi"/>
        </w:rPr>
        <w:t>ancient Greeks were not the only influencing factor. It is important to remember that the medieval period of religious belief was heavily influenced by Paganism, which predated Christianity, and Christianity adopted some of those Pagan practices within their teachings</w:t>
      </w:r>
      <w:r w:rsidRPr="00BC246B">
        <w:rPr>
          <w:rStyle w:val="FootnoteReference"/>
          <w:rFonts w:asciiTheme="minorHAnsi" w:hAnsiTheme="minorHAnsi" w:cstheme="minorHAnsi"/>
        </w:rPr>
        <w:footnoteReference w:id="30"/>
      </w:r>
      <w:r w:rsidRPr="00BC246B">
        <w:rPr>
          <w:rFonts w:asciiTheme="minorHAnsi" w:hAnsiTheme="minorHAnsi" w:cstheme="minorHAnsi"/>
        </w:rPr>
        <w:t>. Not all the practices were adopted and those with links to astrology and divination became the work of the devil seemingly severing the link between the two. From a philosophical orientation medieval Europe was influenced again by the ancient Greek teachings which had been cognised by medieval thinkers. It can be understood that the exploration of the soul's journey through different stages of existence added nuanced layers to the dualistic tension between the divine and the transient. Through the merging of Neoplatonic thought and Christian theology underlies the pattern of advancement and reoccurrence resembling the teachings of creation and salvation with the story of Christianity and framing the thoughts of Thomas Aquinas. Academics have indicated that the merging of these major themes of medieval Christian Platonic thought refers to the story of creation yet also the cosmos, soul and self</w:t>
      </w:r>
      <w:r w:rsidRPr="00BC246B">
        <w:rPr>
          <w:rStyle w:val="FootnoteReference"/>
          <w:rFonts w:asciiTheme="minorHAnsi" w:hAnsiTheme="minorHAnsi" w:cstheme="minorHAnsi"/>
        </w:rPr>
        <w:footnoteReference w:id="31"/>
      </w:r>
      <w:r w:rsidRPr="00BC246B">
        <w:rPr>
          <w:rFonts w:asciiTheme="minorHAnsi" w:hAnsiTheme="minorHAnsi" w:cstheme="minorHAnsi"/>
        </w:rPr>
        <w:t>. It can be summarised that this dualism of soul, and dualism of thought became ingrained in various aspects of medieval life, influencing moral and societal dimensions, as well as shaping artistic depictions of the soul's cosmic journey. Aquinas can also be accredited for the synthesis which allowed for a more nuanced understanding of human nature, recognizing the interplay between reason and divine revelation. The tripartite division of the soul, as outlined by Aristotle, provided a framework for exploring questions related to the soul's immortality, moral responsibility, and the ultimate destiny of the human soul.</w:t>
      </w:r>
    </w:p>
    <w:p w14:paraId="2ED62E85" w14:textId="77777777" w:rsidR="00B30A01" w:rsidRDefault="00B30A01" w:rsidP="00B30A01">
      <w:pPr>
        <w:pStyle w:val="NormalWeb"/>
        <w:spacing w:line="360" w:lineRule="auto"/>
        <w:rPr>
          <w:rFonts w:asciiTheme="minorHAnsi" w:hAnsiTheme="minorHAnsi" w:cstheme="minorHAnsi"/>
          <w:sz w:val="24"/>
          <w:szCs w:val="24"/>
        </w:rPr>
        <w:sectPr w:rsidR="00B30A01" w:rsidSect="000A1822">
          <w:headerReference w:type="default" r:id="rId18"/>
          <w:pgSz w:w="11906" w:h="16838" w:code="9"/>
          <w:pgMar w:top="1440" w:right="1440" w:bottom="1440" w:left="1440" w:header="567" w:footer="720" w:gutter="0"/>
          <w:pgNumType w:start="1"/>
          <w:cols w:space="720"/>
          <w:docGrid w:linePitch="326"/>
        </w:sectPr>
      </w:pPr>
      <w:r w:rsidRPr="00BC246B">
        <w:rPr>
          <w:rFonts w:asciiTheme="minorHAnsi" w:hAnsiTheme="minorHAnsi" w:cstheme="minorHAnsi"/>
          <w:sz w:val="24"/>
          <w:szCs w:val="24"/>
        </w:rPr>
        <w:t xml:space="preserve">Aristotelian and Neoplatonic concepts were incorporated into medieval European thought, which included the astrological perspective in addition to theological and philosophical perspectives. Astrology, deeply entwined with moral and ethical guidance, was considered a </w:t>
      </w:r>
    </w:p>
    <w:p w14:paraId="709485EC" w14:textId="77777777" w:rsidR="00B30A01" w:rsidRDefault="00B30A01" w:rsidP="00B30A01">
      <w:pPr>
        <w:pStyle w:val="NormalWeb"/>
        <w:spacing w:line="360" w:lineRule="auto"/>
        <w:rPr>
          <w:rFonts w:asciiTheme="minorHAnsi" w:hAnsiTheme="minorHAnsi" w:cstheme="minorHAnsi"/>
          <w:sz w:val="24"/>
          <w:szCs w:val="24"/>
        </w:rPr>
        <w:sectPr w:rsidR="00B30A01" w:rsidSect="000A1822">
          <w:headerReference w:type="default" r:id="rId19"/>
          <w:pgSz w:w="11906" w:h="16838" w:code="9"/>
          <w:pgMar w:top="1440" w:right="1440" w:bottom="1440" w:left="1440" w:header="567" w:footer="720" w:gutter="0"/>
          <w:pgNumType w:start="1"/>
          <w:cols w:space="720"/>
          <w:docGrid w:linePitch="326"/>
        </w:sectPr>
      </w:pPr>
      <w:r w:rsidRPr="00BC246B">
        <w:rPr>
          <w:rFonts w:asciiTheme="minorHAnsi" w:hAnsiTheme="minorHAnsi" w:cstheme="minorHAnsi"/>
          <w:sz w:val="24"/>
          <w:szCs w:val="24"/>
        </w:rPr>
        <w:lastRenderedPageBreak/>
        <w:t>tool to decipher the soul's journey and destiny. Celestial configurations, especially at the time of an individual's birth, were believed to imprint characteristics on the soul, guiding ethical choices and shaping destinies. Medical astrology linked the cosmic influences on the soul to targeted and effective medical interventions. However, despite the widespread acceptance of astrology, there were critics within the medieval Christian Church who viewed it with scepticism. The theological opposition was rooted in concerns about its implications for free will and the perceived challenge to divine sovereignty this inevitably led to debates within the Church about the moral and ethical implications of astrology. It has been established that the critiques within the Church, coupled with scientific advancements, marked a transformative phase in the understanding of astrology.</w:t>
      </w:r>
      <w:r>
        <w:rPr>
          <w:rFonts w:asciiTheme="minorHAnsi" w:hAnsiTheme="minorHAnsi" w:cstheme="minorHAnsi"/>
        </w:rPr>
        <w:t xml:space="preserve"> </w:t>
      </w:r>
      <w:r w:rsidRPr="00BC246B">
        <w:rPr>
          <w:rFonts w:asciiTheme="minorHAnsi" w:hAnsiTheme="minorHAnsi" w:cstheme="minorHAnsi"/>
          <w:sz w:val="24"/>
          <w:szCs w:val="24"/>
        </w:rPr>
        <w:t>Fundamentally, the medieval comprehension of the soul can be attributed to the research as manifest of a nuanced intellectual milieu intricately interwoven with theological, philosophical, and astrological underpinnings. The dualistic paradigm, the synthesis of multifaceted philosophical traditions, and the consequential impact of celestial phenomena on the trajectory of the soul collectively moulded the cognitive framework of medieval Europe. The soul, serving as the epicentre of medieval scholarly investigation, evolved into a critical prism through which individuals delved into the enigmas surrounding existence, morality, and destiny. This scholarly engagement with the soul's complexities has bequeathed an enduring legacy that echoes resoundingly within the chronicles of intellectual history.</w:t>
      </w:r>
    </w:p>
    <w:p w14:paraId="0CE28F8C" w14:textId="2A8AB7DF" w:rsidR="00B30A01" w:rsidRPr="00B30A01" w:rsidRDefault="00B30A01" w:rsidP="00B30A01">
      <w:pPr>
        <w:jc w:val="center"/>
        <w:rPr>
          <w:rFonts w:asciiTheme="minorHAnsi" w:hAnsiTheme="minorHAnsi" w:cstheme="minorHAnsi"/>
          <w:u w:val="single"/>
        </w:rPr>
      </w:pPr>
      <w:r w:rsidRPr="00B30A01">
        <w:rPr>
          <w:rFonts w:asciiTheme="minorHAnsi" w:hAnsiTheme="minorHAnsi" w:cstheme="minorHAnsi"/>
          <w:u w:val="single"/>
        </w:rPr>
        <w:lastRenderedPageBreak/>
        <w:t xml:space="preserve">Bibliography </w:t>
      </w:r>
    </w:p>
    <w:p w14:paraId="6AA9950B"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Adamson, Peter, 'The Universe is an Animal: The World Soul in Medieval Philosophy', in </w:t>
      </w:r>
      <w:r w:rsidRPr="00B30A01">
        <w:rPr>
          <w:rFonts w:asciiTheme="minorHAnsi" w:hAnsiTheme="minorHAnsi" w:cstheme="minorHAnsi"/>
          <w:i/>
          <w:iCs/>
          <w:color w:val="333333"/>
          <w:shd w:val="clear" w:color="auto" w:fill="FBFBFB"/>
        </w:rPr>
        <w:t>World Soul: A History</w:t>
      </w:r>
      <w:r w:rsidRPr="00B30A01">
        <w:rPr>
          <w:rFonts w:asciiTheme="minorHAnsi" w:hAnsiTheme="minorHAnsi" w:cstheme="minorHAnsi"/>
          <w:color w:val="333333"/>
          <w:shd w:val="clear" w:color="auto" w:fill="FBFBFB"/>
        </w:rPr>
        <w:t xml:space="preserve">, ed. by James Wilberding (New York: Oxford University Press, 2021), pp. 73-99. </w:t>
      </w:r>
    </w:p>
    <w:p w14:paraId="06C7C721"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Aristotle, </w:t>
      </w:r>
      <w:r w:rsidRPr="00B30A01">
        <w:rPr>
          <w:rFonts w:asciiTheme="minorHAnsi" w:hAnsiTheme="minorHAnsi" w:cstheme="minorHAnsi"/>
          <w:i/>
          <w:iCs/>
          <w:color w:val="333333"/>
          <w:shd w:val="clear" w:color="auto" w:fill="FBFBFB"/>
        </w:rPr>
        <w:t>On the Soul</w:t>
      </w:r>
      <w:r w:rsidRPr="00B30A01">
        <w:rPr>
          <w:rFonts w:asciiTheme="minorHAnsi" w:hAnsiTheme="minorHAnsi" w:cstheme="minorHAnsi"/>
          <w:color w:val="333333"/>
          <w:shd w:val="clear" w:color="auto" w:fill="FBFBFB"/>
        </w:rPr>
        <w:t>, trans. by W.S. Hett (Cambridge: Harvard University Press, 1957) &lt;</w:t>
      </w:r>
      <w:r w:rsidRPr="00B30A01">
        <w:rPr>
          <w:rFonts w:asciiTheme="minorHAnsi" w:hAnsiTheme="minorHAnsi" w:cstheme="minorHAnsi"/>
        </w:rPr>
        <w:t xml:space="preserve"> </w:t>
      </w:r>
      <w:r w:rsidRPr="00B30A01">
        <w:rPr>
          <w:rFonts w:asciiTheme="minorHAnsi" w:hAnsiTheme="minorHAnsi" w:cstheme="minorHAnsi"/>
          <w:color w:val="333333"/>
          <w:shd w:val="clear" w:color="auto" w:fill="FBFBFB"/>
        </w:rPr>
        <w:t>https://www-loebclassics-com.ezproxy.uwtsd.ac.uk/view/aristotle-soul/1957/pb_LCL288.3.xml &gt; [accessed 1 December 2023]</w:t>
      </w:r>
    </w:p>
    <w:p w14:paraId="392EE154"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Bonatti, Guido, </w:t>
      </w:r>
      <w:r w:rsidRPr="00B30A01">
        <w:rPr>
          <w:rFonts w:asciiTheme="minorHAnsi" w:hAnsiTheme="minorHAnsi" w:cstheme="minorHAnsi"/>
          <w:i/>
          <w:iCs/>
          <w:color w:val="333333"/>
          <w:shd w:val="clear" w:color="auto" w:fill="FBFBFB"/>
        </w:rPr>
        <w:t>Liber Astronomiae</w:t>
      </w:r>
      <w:r w:rsidRPr="00B30A01">
        <w:rPr>
          <w:rFonts w:asciiTheme="minorHAnsi" w:hAnsiTheme="minorHAnsi" w:cstheme="minorHAnsi"/>
          <w:color w:val="333333"/>
          <w:shd w:val="clear" w:color="auto" w:fill="FBFBFB"/>
        </w:rPr>
        <w:t>, trans. by Robert Zoller (Berkeley Springs: The Golden Hind Press, 1994).</w:t>
      </w:r>
    </w:p>
    <w:p w14:paraId="56873106"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Butler, Ryhan, </w:t>
      </w:r>
      <w:r w:rsidRPr="00B30A01">
        <w:rPr>
          <w:rFonts w:asciiTheme="minorHAnsi" w:hAnsiTheme="minorHAnsi" w:cstheme="minorHAnsi"/>
          <w:i/>
          <w:iCs/>
          <w:color w:val="333333"/>
          <w:shd w:val="clear" w:color="auto" w:fill="FBFBFB"/>
        </w:rPr>
        <w:t>Influential Planets</w:t>
      </w:r>
      <w:r w:rsidRPr="00B30A01">
        <w:rPr>
          <w:rFonts w:asciiTheme="minorHAnsi" w:hAnsiTheme="minorHAnsi" w:cstheme="minorHAnsi"/>
          <w:color w:val="333333"/>
          <w:shd w:val="clear" w:color="auto" w:fill="FBFBFB"/>
        </w:rPr>
        <w:t> (2015) &lt;</w:t>
      </w:r>
      <w:r w:rsidRPr="00B30A01">
        <w:rPr>
          <w:rFonts w:asciiTheme="minorHAnsi" w:hAnsiTheme="minorHAnsi" w:cstheme="minorHAnsi"/>
        </w:rPr>
        <w:t xml:space="preserve"> </w:t>
      </w:r>
      <w:r w:rsidRPr="00B30A01">
        <w:rPr>
          <w:rFonts w:asciiTheme="minorHAnsi" w:hAnsiTheme="minorHAnsi" w:cstheme="minorHAnsi"/>
          <w:color w:val="333333"/>
          <w:shd w:val="clear" w:color="auto" w:fill="FBFBFB"/>
        </w:rPr>
        <w:t>https://www.medievalastrologyguide.com/ruler-of-the-chart&gt; [accessed 3 December 2023].</w:t>
      </w:r>
    </w:p>
    <w:p w14:paraId="1B70A765"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Clark, Charles, 'The Zodiac Man in Medieval Medical Astrology ', </w:t>
      </w:r>
      <w:r w:rsidRPr="00B30A01">
        <w:rPr>
          <w:rFonts w:asciiTheme="minorHAnsi" w:hAnsiTheme="minorHAnsi" w:cstheme="minorHAnsi"/>
          <w:i/>
          <w:iCs/>
          <w:color w:val="333333"/>
          <w:shd w:val="clear" w:color="auto" w:fill="FBFBFB"/>
        </w:rPr>
        <w:t>Quidditas</w:t>
      </w:r>
      <w:r w:rsidRPr="00B30A01">
        <w:rPr>
          <w:rFonts w:asciiTheme="minorHAnsi" w:hAnsiTheme="minorHAnsi" w:cstheme="minorHAnsi"/>
          <w:color w:val="333333"/>
          <w:shd w:val="clear" w:color="auto" w:fill="FBFBFB"/>
        </w:rPr>
        <w:t>, 3. 3 (1982), 13-38 (p. 20).</w:t>
      </w:r>
    </w:p>
    <w:p w14:paraId="4BD29CF7"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FFFFF"/>
        </w:rPr>
        <w:t>Clements</w:t>
      </w:r>
      <w:r w:rsidRPr="00B30A01">
        <w:rPr>
          <w:rFonts w:asciiTheme="minorHAnsi" w:hAnsiTheme="minorHAnsi" w:cstheme="minorHAnsi"/>
          <w:color w:val="333333"/>
          <w:shd w:val="clear" w:color="auto" w:fill="FBFBFB"/>
        </w:rPr>
        <w:t xml:space="preserve">, </w:t>
      </w:r>
      <w:r w:rsidRPr="00B30A01">
        <w:rPr>
          <w:rFonts w:asciiTheme="minorHAnsi" w:hAnsiTheme="minorHAnsi" w:cstheme="minorHAnsi"/>
          <w:color w:val="333333"/>
          <w:shd w:val="clear" w:color="auto" w:fill="FFFFFF"/>
        </w:rPr>
        <w:t>Paul</w:t>
      </w:r>
      <w:r w:rsidRPr="00B30A01">
        <w:rPr>
          <w:rStyle w:val="separator"/>
          <w:rFonts w:asciiTheme="minorHAnsi" w:hAnsiTheme="minorHAnsi" w:cstheme="minorHAnsi"/>
          <w:color w:val="333333"/>
          <w:shd w:val="clear" w:color="auto" w:fill="FFFFFF"/>
        </w:rPr>
        <w:t xml:space="preserve">, </w:t>
      </w:r>
      <w:r w:rsidRPr="00B30A01">
        <w:rPr>
          <w:rFonts w:asciiTheme="minorHAnsi" w:hAnsiTheme="minorHAnsi" w:cstheme="minorHAnsi"/>
          <w:color w:val="333333"/>
          <w:shd w:val="clear" w:color="auto" w:fill="FBFBFB"/>
        </w:rPr>
        <w:t xml:space="preserve"> '</w:t>
      </w:r>
      <w:r w:rsidRPr="00B30A01">
        <w:rPr>
          <w:rFonts w:asciiTheme="minorHAnsi" w:hAnsiTheme="minorHAnsi" w:cstheme="minorHAnsi"/>
          <w:color w:val="333333"/>
          <w:shd w:val="clear" w:color="auto" w:fill="FFFFFF"/>
        </w:rPr>
        <w:t>Astrology, modernity and the project of self-identity</w:t>
      </w:r>
      <w:r w:rsidRPr="00B30A01">
        <w:rPr>
          <w:rFonts w:asciiTheme="minorHAnsi" w:hAnsiTheme="minorHAnsi" w:cstheme="minorHAnsi"/>
          <w:color w:val="333333"/>
          <w:shd w:val="clear" w:color="auto" w:fill="FBFBFB"/>
        </w:rPr>
        <w:t>', </w:t>
      </w:r>
      <w:r w:rsidRPr="00B30A01">
        <w:rPr>
          <w:rFonts w:asciiTheme="minorHAnsi" w:hAnsiTheme="minorHAnsi" w:cstheme="minorHAnsi"/>
          <w:i/>
          <w:iCs/>
          <w:color w:val="333333"/>
          <w:shd w:val="clear" w:color="auto" w:fill="FFFFFF"/>
        </w:rPr>
        <w:t>Culture and Religion</w:t>
      </w:r>
      <w:r w:rsidRPr="00B30A01">
        <w:rPr>
          <w:rFonts w:asciiTheme="minorHAnsi" w:hAnsiTheme="minorHAnsi" w:cstheme="minorHAnsi"/>
          <w:color w:val="333333"/>
          <w:shd w:val="clear" w:color="auto" w:fill="FBFBFB"/>
        </w:rPr>
        <w:t>, 21. 3 (2020), 259-279 (p.260) &lt;</w:t>
      </w:r>
      <w:r w:rsidRPr="00B30A01">
        <w:rPr>
          <w:rFonts w:asciiTheme="minorHAnsi" w:hAnsiTheme="minorHAnsi" w:cstheme="minorHAnsi"/>
          <w:shd w:val="clear" w:color="auto" w:fill="FBFBFB"/>
        </w:rPr>
        <w:t>https://doi.org/10.1080/14755610.2022.2093234</w:t>
      </w:r>
      <w:r w:rsidRPr="00B30A01">
        <w:rPr>
          <w:rFonts w:asciiTheme="minorHAnsi" w:hAnsiTheme="minorHAnsi" w:cstheme="minorHAnsi"/>
          <w:color w:val="333333"/>
          <w:shd w:val="clear" w:color="auto" w:fill="FBFBFB"/>
        </w:rPr>
        <w:t>&gt;</w:t>
      </w:r>
    </w:p>
    <w:p w14:paraId="69DC9050"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06020F"/>
          <w:spacing w:val="-5"/>
          <w:shd w:val="clear" w:color="auto" w:fill="FBFBFB"/>
        </w:rPr>
        <w:t>Fernyhough</w:t>
      </w:r>
      <w:r w:rsidRPr="00B30A01">
        <w:rPr>
          <w:rFonts w:asciiTheme="minorHAnsi" w:hAnsiTheme="minorHAnsi" w:cstheme="minorHAnsi"/>
          <w:color w:val="333333"/>
          <w:shd w:val="clear" w:color="auto" w:fill="FBFBFB"/>
        </w:rPr>
        <w:t xml:space="preserve">, </w:t>
      </w:r>
      <w:r w:rsidRPr="00B30A01">
        <w:rPr>
          <w:rFonts w:asciiTheme="minorHAnsi" w:hAnsiTheme="minorHAnsi" w:cstheme="minorHAnsi"/>
          <w:color w:val="06020F"/>
          <w:spacing w:val="-5"/>
          <w:shd w:val="clear" w:color="auto" w:fill="FBFBFB"/>
        </w:rPr>
        <w:t>Charles,</w:t>
      </w:r>
      <w:r w:rsidRPr="00B30A01">
        <w:rPr>
          <w:rFonts w:asciiTheme="minorHAnsi" w:hAnsiTheme="minorHAnsi" w:cstheme="minorHAnsi"/>
          <w:color w:val="333333"/>
          <w:shd w:val="clear" w:color="auto" w:fill="FBFBFB"/>
        </w:rPr>
        <w:t> </w:t>
      </w:r>
      <w:r w:rsidRPr="00B30A01">
        <w:rPr>
          <w:rFonts w:asciiTheme="minorHAnsi" w:hAnsiTheme="minorHAnsi" w:cstheme="minorHAnsi"/>
          <w:i/>
          <w:iCs/>
          <w:color w:val="333333"/>
          <w:shd w:val="clear" w:color="auto" w:fill="FBFBFB"/>
        </w:rPr>
        <w:t>The medieval mind</w:t>
      </w:r>
      <w:r w:rsidRPr="00B30A01">
        <w:rPr>
          <w:rFonts w:asciiTheme="minorHAnsi" w:hAnsiTheme="minorHAnsi" w:cstheme="minorHAnsi"/>
          <w:color w:val="333333"/>
          <w:shd w:val="clear" w:color="auto" w:fill="FBFBFB"/>
        </w:rPr>
        <w:t> (2016) &lt;https://www.bps.org.uk/psychologist/medieval-mind&gt; [accessed 22 November 2023].</w:t>
      </w:r>
    </w:p>
    <w:p w14:paraId="4D992C12"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424242"/>
          <w:shd w:val="clear" w:color="auto" w:fill="FFFFFF"/>
        </w:rPr>
        <w:t>Fraknoi, Andrew, Morrison, David, Wolff</w:t>
      </w:r>
      <w:r w:rsidRPr="00B30A01">
        <w:rPr>
          <w:rFonts w:asciiTheme="minorHAnsi" w:hAnsiTheme="minorHAnsi" w:cstheme="minorHAnsi"/>
          <w:color w:val="333333"/>
          <w:shd w:val="clear" w:color="auto" w:fill="FBFBFB"/>
        </w:rPr>
        <w:t xml:space="preserve">, </w:t>
      </w:r>
      <w:r w:rsidRPr="00B30A01">
        <w:rPr>
          <w:rFonts w:asciiTheme="minorHAnsi" w:hAnsiTheme="minorHAnsi" w:cstheme="minorHAnsi"/>
          <w:color w:val="424242"/>
          <w:shd w:val="clear" w:color="auto" w:fill="FFFFFF"/>
        </w:rPr>
        <w:t>Sidney</w:t>
      </w:r>
      <w:r w:rsidRPr="00B30A01">
        <w:rPr>
          <w:rFonts w:asciiTheme="minorHAnsi" w:hAnsiTheme="minorHAnsi" w:cstheme="minorHAnsi"/>
          <w:color w:val="333333"/>
          <w:shd w:val="clear" w:color="auto" w:fill="FBFBFB"/>
        </w:rPr>
        <w:t> </w:t>
      </w:r>
      <w:r w:rsidRPr="00B30A01">
        <w:rPr>
          <w:rFonts w:asciiTheme="minorHAnsi" w:hAnsiTheme="minorHAnsi" w:cstheme="minorHAnsi"/>
          <w:i/>
          <w:iCs/>
          <w:color w:val="424242"/>
          <w:shd w:val="clear" w:color="auto" w:fill="FFFFFF"/>
        </w:rPr>
        <w:t>Astronomy 2e</w:t>
      </w:r>
      <w:r w:rsidRPr="00B30A01">
        <w:rPr>
          <w:rFonts w:asciiTheme="minorHAnsi" w:hAnsiTheme="minorHAnsi" w:cstheme="minorHAnsi"/>
          <w:color w:val="333333"/>
          <w:shd w:val="clear" w:color="auto" w:fill="FBFBFB"/>
        </w:rPr>
        <w:t>, Edition (Texas: OpenStax, 2022), &lt;</w:t>
      </w:r>
      <w:r w:rsidRPr="00B30A01">
        <w:rPr>
          <w:rFonts w:asciiTheme="minorHAnsi" w:hAnsiTheme="minorHAnsi" w:cstheme="minorHAnsi"/>
        </w:rPr>
        <w:t xml:space="preserve"> </w:t>
      </w:r>
      <w:r w:rsidRPr="00B30A01">
        <w:rPr>
          <w:rFonts w:asciiTheme="minorHAnsi" w:hAnsiTheme="minorHAnsi" w:cstheme="minorHAnsi"/>
          <w:color w:val="333333"/>
          <w:shd w:val="clear" w:color="auto" w:fill="FBFBFB"/>
        </w:rPr>
        <w:t>https://openstax.org/books/astronomy-2e/pages/2-3-astrology-and-astronomy &gt; [accessed 3 December 2023]. </w:t>
      </w:r>
    </w:p>
    <w:p w14:paraId="083C94AC" w14:textId="77777777" w:rsidR="00B30A01" w:rsidRPr="00B30A01" w:rsidRDefault="00B30A01" w:rsidP="00B30A01">
      <w:pPr>
        <w:spacing w:after="240" w:line="360" w:lineRule="auto"/>
        <w:rPr>
          <w:rFonts w:asciiTheme="minorHAnsi" w:hAnsiTheme="minorHAnsi" w:cstheme="minorHAnsi"/>
          <w:shd w:val="clear" w:color="auto" w:fill="FBFBFB"/>
        </w:rPr>
      </w:pPr>
      <w:r w:rsidRPr="00B30A01">
        <w:rPr>
          <w:rFonts w:asciiTheme="minorHAnsi" w:hAnsiTheme="minorHAnsi" w:cstheme="minorHAnsi"/>
          <w:shd w:val="clear" w:color="auto" w:fill="FBFBFB"/>
        </w:rPr>
        <w:t>Gavin, John, 'Souls and Bodies, Hisotry and Eternity: John Scottus Erigena and the Intermediate State', </w:t>
      </w:r>
      <w:r w:rsidRPr="00B30A01">
        <w:rPr>
          <w:rFonts w:asciiTheme="minorHAnsi" w:hAnsiTheme="minorHAnsi" w:cstheme="minorHAnsi"/>
          <w:i/>
          <w:iCs/>
          <w:shd w:val="clear" w:color="auto" w:fill="FBFBFB"/>
        </w:rPr>
        <w:t>Annales Theologici</w:t>
      </w:r>
      <w:r w:rsidRPr="00B30A01">
        <w:rPr>
          <w:rFonts w:asciiTheme="minorHAnsi" w:hAnsiTheme="minorHAnsi" w:cstheme="minorHAnsi"/>
          <w:shd w:val="clear" w:color="auto" w:fill="FBFBFB"/>
        </w:rPr>
        <w:t>, 29. 1 (2015), 139-154.</w:t>
      </w:r>
    </w:p>
    <w:p w14:paraId="17202DB4"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Hill, Edmund, 'True Religion', in </w:t>
      </w:r>
      <w:r w:rsidRPr="00B30A01">
        <w:rPr>
          <w:rFonts w:asciiTheme="minorHAnsi" w:hAnsiTheme="minorHAnsi" w:cstheme="minorHAnsi"/>
          <w:i/>
          <w:iCs/>
          <w:color w:val="333333"/>
          <w:shd w:val="clear" w:color="auto" w:fill="FBFBFB"/>
        </w:rPr>
        <w:t>On Christian Belief</w:t>
      </w:r>
      <w:r w:rsidRPr="00B30A01">
        <w:rPr>
          <w:rFonts w:asciiTheme="minorHAnsi" w:hAnsiTheme="minorHAnsi" w:cstheme="minorHAnsi"/>
          <w:color w:val="333333"/>
          <w:shd w:val="clear" w:color="auto" w:fill="FBFBFB"/>
        </w:rPr>
        <w:t>, ed. by Boniface Ramsey (New York: New City Press, 2005), pp. 29-107 (p. 30).</w:t>
      </w:r>
    </w:p>
    <w:p w14:paraId="5F56C24A" w14:textId="77777777" w:rsidR="00B30A01" w:rsidRDefault="00B30A01" w:rsidP="00B30A01">
      <w:pPr>
        <w:spacing w:after="240" w:line="360" w:lineRule="auto"/>
        <w:rPr>
          <w:rFonts w:asciiTheme="minorHAnsi" w:hAnsiTheme="minorHAnsi" w:cstheme="minorHAnsi"/>
          <w:shd w:val="clear" w:color="auto" w:fill="FBFBFB"/>
        </w:rPr>
        <w:sectPr w:rsidR="00B30A01" w:rsidSect="000A1822">
          <w:headerReference w:type="default" r:id="rId20"/>
          <w:pgSz w:w="11906" w:h="16838" w:code="9"/>
          <w:pgMar w:top="1440" w:right="1440" w:bottom="1440" w:left="1440" w:header="567" w:footer="720" w:gutter="0"/>
          <w:pgNumType w:start="1"/>
          <w:cols w:space="720"/>
          <w:docGrid w:linePitch="326"/>
        </w:sectPr>
      </w:pPr>
      <w:r w:rsidRPr="00B30A01">
        <w:rPr>
          <w:rFonts w:asciiTheme="minorHAnsi" w:hAnsiTheme="minorHAnsi" w:cstheme="minorHAnsi"/>
          <w:shd w:val="clear" w:color="auto" w:fill="FBFBFB"/>
        </w:rPr>
        <w:t>John the Scot, </w:t>
      </w:r>
      <w:r w:rsidRPr="00B30A01">
        <w:rPr>
          <w:rFonts w:asciiTheme="minorHAnsi" w:hAnsiTheme="minorHAnsi" w:cstheme="minorHAnsi"/>
          <w:i/>
          <w:iCs/>
          <w:shd w:val="clear" w:color="auto" w:fill="FBFBFB"/>
        </w:rPr>
        <w:t>Periphyseon on the Division of Nature</w:t>
      </w:r>
      <w:r w:rsidRPr="00B30A01">
        <w:rPr>
          <w:rFonts w:asciiTheme="minorHAnsi" w:hAnsiTheme="minorHAnsi" w:cstheme="minorHAnsi"/>
          <w:shd w:val="clear" w:color="auto" w:fill="FBFBFB"/>
        </w:rPr>
        <w:t>, trans. by Myra L. Uhlfelder (Oregon: Wipf and Stocks Publisher, 1976).</w:t>
      </w:r>
    </w:p>
    <w:p w14:paraId="1E6884B9"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lastRenderedPageBreak/>
        <w:t>Laistner, M. L . W.  'The Western Church and Astrology during the Early Middle Ages', </w:t>
      </w:r>
      <w:r w:rsidRPr="00B30A01">
        <w:rPr>
          <w:rFonts w:asciiTheme="minorHAnsi" w:hAnsiTheme="minorHAnsi" w:cstheme="minorHAnsi"/>
          <w:i/>
          <w:iCs/>
          <w:color w:val="333333"/>
          <w:shd w:val="clear" w:color="auto" w:fill="FBFBFB"/>
        </w:rPr>
        <w:t>The Harvard Theological Review</w:t>
      </w:r>
      <w:r w:rsidRPr="00B30A01">
        <w:rPr>
          <w:rFonts w:asciiTheme="minorHAnsi" w:hAnsiTheme="minorHAnsi" w:cstheme="minorHAnsi"/>
          <w:color w:val="333333"/>
          <w:shd w:val="clear" w:color="auto" w:fill="FBFBFB"/>
        </w:rPr>
        <w:t>, 34.4 (1941), 251-275.</w:t>
      </w:r>
    </w:p>
    <w:p w14:paraId="2AB88001"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Lee, James J, 'Crowded Subjects: The Crisis of Two Souls in Early Modern England' (doctoral thesis, University of California, Berkeley, 2012).</w:t>
      </w:r>
    </w:p>
    <w:p w14:paraId="03137531"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Marenbon, John, 'Medieval Philosophy', </w:t>
      </w:r>
      <w:r w:rsidRPr="00B30A01">
        <w:rPr>
          <w:rFonts w:asciiTheme="minorHAnsi" w:hAnsiTheme="minorHAnsi" w:cstheme="minorHAnsi"/>
          <w:i/>
          <w:iCs/>
          <w:color w:val="333333"/>
          <w:shd w:val="clear" w:color="auto" w:fill="FBFBFB"/>
        </w:rPr>
        <w:t>The Stanford Encyclopaedia of Philosophy</w:t>
      </w:r>
      <w:r w:rsidRPr="00B30A01">
        <w:rPr>
          <w:rFonts w:asciiTheme="minorHAnsi" w:hAnsiTheme="minorHAnsi" w:cstheme="minorHAnsi"/>
          <w:color w:val="333333"/>
          <w:shd w:val="clear" w:color="auto" w:fill="FBFBFB"/>
        </w:rPr>
        <w:t>, Spring (2023). &lt; https://plato.stanford.edu/entries/medieval-philosophy/&gt; [Accessed 21 November 2023]. </w:t>
      </w:r>
    </w:p>
    <w:p w14:paraId="1C838F93"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McCluskey, Stephen and Ruggles, Clive, </w:t>
      </w:r>
      <w:r w:rsidRPr="00B30A01">
        <w:rPr>
          <w:rFonts w:asciiTheme="minorHAnsi" w:hAnsiTheme="minorHAnsi" w:cstheme="minorHAnsi"/>
          <w:i/>
          <w:iCs/>
          <w:color w:val="333333"/>
          <w:shd w:val="clear" w:color="auto" w:fill="FBFBFB"/>
        </w:rPr>
        <w:t>Medieval astronomy in Europe</w:t>
      </w:r>
      <w:r w:rsidRPr="00B30A01">
        <w:rPr>
          <w:rFonts w:asciiTheme="minorHAnsi" w:hAnsiTheme="minorHAnsi" w:cstheme="minorHAnsi"/>
          <w:color w:val="333333"/>
          <w:shd w:val="clear" w:color="auto" w:fill="FBFBFB"/>
        </w:rPr>
        <w:t> (2017) &lt;</w:t>
      </w:r>
      <w:r w:rsidRPr="00B30A01">
        <w:rPr>
          <w:rFonts w:asciiTheme="minorHAnsi" w:hAnsiTheme="minorHAnsi" w:cstheme="minorHAnsi"/>
        </w:rPr>
        <w:t xml:space="preserve"> </w:t>
      </w:r>
      <w:r w:rsidRPr="00B30A01">
        <w:rPr>
          <w:rFonts w:asciiTheme="minorHAnsi" w:hAnsiTheme="minorHAnsi" w:cstheme="minorHAnsi"/>
          <w:color w:val="333333"/>
          <w:shd w:val="clear" w:color="auto" w:fill="FBFBFB"/>
        </w:rPr>
        <w:t>https://www3.astronomicalheritage.net/index.php/show-theme?idtheme=16 &gt; [accessed 3 December 2023].</w:t>
      </w:r>
    </w:p>
    <w:p w14:paraId="7E27CBC6"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Miller, Marcy J, </w:t>
      </w:r>
      <w:r w:rsidRPr="00B30A01">
        <w:rPr>
          <w:rFonts w:asciiTheme="minorHAnsi" w:hAnsiTheme="minorHAnsi" w:cstheme="minorHAnsi"/>
          <w:i/>
          <w:iCs/>
          <w:color w:val="333333"/>
          <w:shd w:val="clear" w:color="auto" w:fill="FBFBFB"/>
        </w:rPr>
        <w:t>The Four Humors and the Integrated Universe: A Medieval World View</w:t>
      </w:r>
      <w:r w:rsidRPr="00B30A01">
        <w:rPr>
          <w:rFonts w:asciiTheme="minorHAnsi" w:hAnsiTheme="minorHAnsi" w:cstheme="minorHAnsi"/>
          <w:color w:val="333333"/>
          <w:shd w:val="clear" w:color="auto" w:fill="FBFBFB"/>
        </w:rPr>
        <w:t> (2023) &lt;</w:t>
      </w:r>
      <w:r w:rsidRPr="00B30A01">
        <w:rPr>
          <w:rFonts w:asciiTheme="minorHAnsi" w:hAnsiTheme="minorHAnsi" w:cstheme="minorHAnsi"/>
        </w:rPr>
        <w:t xml:space="preserve"> </w:t>
      </w:r>
      <w:r w:rsidRPr="00B30A01">
        <w:rPr>
          <w:rFonts w:asciiTheme="minorHAnsi" w:hAnsiTheme="minorHAnsi" w:cstheme="minorHAnsi"/>
          <w:color w:val="333333"/>
          <w:shd w:val="clear" w:color="auto" w:fill="FBFBFB"/>
        </w:rPr>
        <w:t>https://owlcation.com/humanities/The-Four-Humors&gt; [accessed 2 December 2023].</w:t>
      </w:r>
    </w:p>
    <w:p w14:paraId="57C165D0"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Ouimet, Alan, </w:t>
      </w:r>
      <w:r w:rsidRPr="00B30A01">
        <w:rPr>
          <w:rFonts w:asciiTheme="minorHAnsi" w:hAnsiTheme="minorHAnsi" w:cstheme="minorHAnsi"/>
          <w:i/>
          <w:iCs/>
          <w:color w:val="333333"/>
          <w:shd w:val="clear" w:color="auto" w:fill="FBFBFB"/>
        </w:rPr>
        <w:t>The Condemnation of Astrology: The Secret Vatican Archives and Pope Sixtus V </w:t>
      </w:r>
      <w:r w:rsidRPr="00B30A01">
        <w:rPr>
          <w:rFonts w:asciiTheme="minorHAnsi" w:hAnsiTheme="minorHAnsi" w:cstheme="minorHAnsi"/>
          <w:color w:val="333333"/>
          <w:shd w:val="clear" w:color="auto" w:fill="FBFBFB"/>
        </w:rPr>
        <w:t>(2012) &lt;</w:t>
      </w:r>
      <w:r w:rsidRPr="00B30A01">
        <w:rPr>
          <w:rFonts w:asciiTheme="minorHAnsi" w:hAnsiTheme="minorHAnsi" w:cstheme="minorHAnsi"/>
        </w:rPr>
        <w:t xml:space="preserve"> </w:t>
      </w:r>
      <w:r w:rsidRPr="00B30A01">
        <w:rPr>
          <w:rFonts w:asciiTheme="minorHAnsi" w:hAnsiTheme="minorHAnsi" w:cstheme="minorHAnsi"/>
          <w:color w:val="333333"/>
          <w:shd w:val="clear" w:color="auto" w:fill="FBFBFB"/>
        </w:rPr>
        <w:t>https://www.academia.edu/12612787/The_Condemnation_of_Astrology_The_Secret_Vatican_Archives_and_Pope_Sixtus_V &gt; [accessed 4 December 2023].</w:t>
      </w:r>
    </w:p>
    <w:p w14:paraId="316BB235"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Parker, Chris A., </w:t>
      </w:r>
      <w:r w:rsidRPr="00B30A01">
        <w:rPr>
          <w:rFonts w:asciiTheme="minorHAnsi" w:hAnsiTheme="minorHAnsi" w:cstheme="minorHAnsi"/>
          <w:i/>
          <w:iCs/>
          <w:color w:val="333333"/>
          <w:shd w:val="clear" w:color="auto" w:fill="FBFBFB"/>
        </w:rPr>
        <w:t>Paganism in Medieval Europe </w:t>
      </w:r>
      <w:r w:rsidRPr="00B30A01">
        <w:rPr>
          <w:rFonts w:asciiTheme="minorHAnsi" w:hAnsiTheme="minorHAnsi" w:cstheme="minorHAnsi"/>
          <w:color w:val="333333"/>
          <w:shd w:val="clear" w:color="auto" w:fill="FBFBFB"/>
        </w:rPr>
        <w:t>(2023) &lt;</w:t>
      </w:r>
      <w:r w:rsidRPr="00B30A01">
        <w:rPr>
          <w:rFonts w:asciiTheme="minorHAnsi" w:hAnsiTheme="minorHAnsi" w:cstheme="minorHAnsi"/>
        </w:rPr>
        <w:t xml:space="preserve"> </w:t>
      </w:r>
      <w:r w:rsidRPr="00B30A01">
        <w:rPr>
          <w:rFonts w:asciiTheme="minorHAnsi" w:hAnsiTheme="minorHAnsi" w:cstheme="minorHAnsi"/>
          <w:color w:val="333333"/>
          <w:shd w:val="clear" w:color="auto" w:fill="FBFBFB"/>
        </w:rPr>
        <w:t>https://lightwarriorslegion.com/paganism-in-medieval-europe/&gt; [accessed 31 December 2023].</w:t>
      </w:r>
    </w:p>
    <w:p w14:paraId="0BA06656" w14:textId="77777777" w:rsidR="00B30A01" w:rsidRPr="00B30A01" w:rsidRDefault="00B30A01" w:rsidP="00B30A01">
      <w:pPr>
        <w:spacing w:after="240" w:line="360" w:lineRule="auto"/>
        <w:rPr>
          <w:rFonts w:asciiTheme="minorHAnsi" w:hAnsiTheme="minorHAnsi" w:cstheme="minorHAnsi"/>
          <w:shd w:val="clear" w:color="auto" w:fill="FBFBFB"/>
        </w:rPr>
      </w:pPr>
      <w:r w:rsidRPr="00B30A01">
        <w:rPr>
          <w:rFonts w:asciiTheme="minorHAnsi" w:hAnsiTheme="minorHAnsi" w:cstheme="minorHAnsi"/>
          <w:shd w:val="clear" w:color="auto" w:fill="FBFBFB"/>
        </w:rPr>
        <w:t>Plato, </w:t>
      </w:r>
      <w:r w:rsidRPr="00B30A01">
        <w:rPr>
          <w:rFonts w:asciiTheme="minorHAnsi" w:hAnsiTheme="minorHAnsi" w:cstheme="minorHAnsi"/>
          <w:i/>
          <w:iCs/>
          <w:shd w:val="clear" w:color="auto" w:fill="FBFBFB"/>
        </w:rPr>
        <w:t>Meno</w:t>
      </w:r>
      <w:r w:rsidRPr="00B30A01">
        <w:rPr>
          <w:rFonts w:asciiTheme="minorHAnsi" w:hAnsiTheme="minorHAnsi" w:cstheme="minorHAnsi"/>
          <w:shd w:val="clear" w:color="auto" w:fill="FBFBFB"/>
        </w:rPr>
        <w:t>, trans. by W.R.M Lamb (Cambridge: Harvard University Press, 1924) &lt;</w:t>
      </w:r>
      <w:r w:rsidRPr="00B30A01">
        <w:rPr>
          <w:rFonts w:asciiTheme="minorHAnsi" w:hAnsiTheme="minorHAnsi" w:cstheme="minorHAnsi"/>
        </w:rPr>
        <w:t xml:space="preserve"> </w:t>
      </w:r>
      <w:r w:rsidRPr="00B30A01">
        <w:rPr>
          <w:rFonts w:asciiTheme="minorHAnsi" w:hAnsiTheme="minorHAnsi" w:cstheme="minorHAnsi"/>
          <w:shd w:val="clear" w:color="auto" w:fill="FBFBFB"/>
        </w:rPr>
        <w:t>https://www-loebclassics-com.ezproxy.uwtsd.ac.uk/view/plato_philosopher-meno/1924/pb_LCL165.301.xml?result=1&amp;rskey=8nrsht&gt; [accessed 22 November 2023]. </w:t>
      </w:r>
    </w:p>
    <w:p w14:paraId="56680A6D" w14:textId="1F77F6C9"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Ryan, Michael. A. </w:t>
      </w:r>
      <w:r w:rsidRPr="00B30A01">
        <w:rPr>
          <w:rFonts w:asciiTheme="minorHAnsi" w:hAnsiTheme="minorHAnsi" w:cstheme="minorHAnsi"/>
          <w:i/>
          <w:iCs/>
          <w:color w:val="333333"/>
          <w:shd w:val="clear" w:color="auto" w:fill="FBFBFB"/>
        </w:rPr>
        <w:t>A Kingdom of Stargazers: Astrology and Authority in the Late Medieval Crown of Aragon</w:t>
      </w:r>
      <w:r w:rsidRPr="00B30A01">
        <w:rPr>
          <w:rFonts w:asciiTheme="minorHAnsi" w:hAnsiTheme="minorHAnsi" w:cstheme="minorHAnsi"/>
          <w:color w:val="333333"/>
          <w:shd w:val="clear" w:color="auto" w:fill="FBFBFB"/>
        </w:rPr>
        <w:t>, (New York: Cornell University Press, 2011).</w:t>
      </w:r>
    </w:p>
    <w:p w14:paraId="4058D468" w14:textId="77777777" w:rsidR="00B30A01" w:rsidRDefault="00B30A01" w:rsidP="00585BB6">
      <w:pPr>
        <w:spacing w:after="240" w:line="360" w:lineRule="auto"/>
        <w:sectPr w:rsidR="00B30A01" w:rsidSect="000A1822">
          <w:headerReference w:type="default" r:id="rId21"/>
          <w:pgSz w:w="11906" w:h="16838" w:code="9"/>
          <w:pgMar w:top="1440" w:right="1440" w:bottom="1440" w:left="1440" w:header="567" w:footer="720" w:gutter="0"/>
          <w:pgNumType w:start="1"/>
          <w:cols w:space="720"/>
          <w:docGrid w:linePitch="326"/>
        </w:sectPr>
      </w:pPr>
    </w:p>
    <w:p w14:paraId="7F327433" w14:textId="77777777" w:rsidR="00B30A01" w:rsidRPr="00B30A01" w:rsidRDefault="00B30A01" w:rsidP="00B30A01">
      <w:pPr>
        <w:spacing w:after="240" w:line="360" w:lineRule="auto"/>
        <w:rPr>
          <w:rFonts w:asciiTheme="minorHAnsi" w:hAnsiTheme="minorHAnsi" w:cstheme="minorHAnsi"/>
          <w:shd w:val="clear" w:color="auto" w:fill="FBFBFB"/>
        </w:rPr>
      </w:pPr>
      <w:r w:rsidRPr="00B30A01">
        <w:rPr>
          <w:rFonts w:asciiTheme="minorHAnsi" w:hAnsiTheme="minorHAnsi" w:cstheme="minorHAnsi"/>
          <w:shd w:val="clear" w:color="auto" w:fill="FBFBFB"/>
        </w:rPr>
        <w:lastRenderedPageBreak/>
        <w:t>Saint Augustine, </w:t>
      </w:r>
      <w:r w:rsidRPr="00B30A01">
        <w:rPr>
          <w:rFonts w:asciiTheme="minorHAnsi" w:hAnsiTheme="minorHAnsi" w:cstheme="minorHAnsi"/>
          <w:i/>
          <w:iCs/>
          <w:shd w:val="clear" w:color="auto" w:fill="FBFBFB"/>
        </w:rPr>
        <w:t>The Immortality of the Soul; The Magnitude of the Soul; On Music; The Advantage of Believing; On Faith in Things Unseen (The Fathers of the Church, Volume 4)</w:t>
      </w:r>
      <w:r w:rsidRPr="00B30A01">
        <w:rPr>
          <w:rFonts w:asciiTheme="minorHAnsi" w:hAnsiTheme="minorHAnsi" w:cstheme="minorHAnsi"/>
          <w:shd w:val="clear" w:color="auto" w:fill="FBFBFB"/>
        </w:rPr>
        <w:t>, trans. by Ludwig Schopp (Washington DC Catholic University of America Press, 1947).</w:t>
      </w:r>
    </w:p>
    <w:p w14:paraId="4DA0CF19" w14:textId="77777777" w:rsidR="00B30A01" w:rsidRPr="00B30A01" w:rsidRDefault="00B30A01" w:rsidP="00B30A01">
      <w:pPr>
        <w:pStyle w:val="FootnoteText"/>
        <w:spacing w:after="240" w:line="360" w:lineRule="auto"/>
        <w:rPr>
          <w:rFonts w:cstheme="minorHAnsi"/>
          <w:sz w:val="24"/>
          <w:szCs w:val="24"/>
        </w:rPr>
      </w:pPr>
      <w:r w:rsidRPr="00B30A01">
        <w:rPr>
          <w:rFonts w:cstheme="minorHAnsi"/>
          <w:sz w:val="24"/>
          <w:szCs w:val="24"/>
          <w:shd w:val="clear" w:color="auto" w:fill="FBFBFB"/>
        </w:rPr>
        <w:t>Tiegreen, Christopher A. , 'Heaven on Earth in Medieval Europe: Material Expressions of an Immaterial Realm' (doctoral thesis, Georgia State University, 2021).</w:t>
      </w:r>
    </w:p>
    <w:p w14:paraId="2D35D49D" w14:textId="77777777" w:rsidR="00B30A01" w:rsidRPr="00B30A01" w:rsidRDefault="00B30A01" w:rsidP="00B30A01">
      <w:pPr>
        <w:spacing w:after="240" w:line="360" w:lineRule="auto"/>
        <w:rPr>
          <w:rFonts w:asciiTheme="minorHAnsi" w:hAnsiTheme="minorHAnsi" w:cstheme="minorHAnsi"/>
          <w:color w:val="333333"/>
          <w:shd w:val="clear" w:color="auto" w:fill="FBFBFB"/>
        </w:rPr>
      </w:pPr>
      <w:r w:rsidRPr="00B30A01">
        <w:rPr>
          <w:rFonts w:asciiTheme="minorHAnsi" w:hAnsiTheme="minorHAnsi" w:cstheme="minorHAnsi"/>
          <w:color w:val="333333"/>
          <w:shd w:val="clear" w:color="auto" w:fill="FBFBFB"/>
        </w:rPr>
        <w:t>Whitman, Jon,  </w:t>
      </w:r>
      <w:r w:rsidRPr="00B30A01">
        <w:rPr>
          <w:rFonts w:asciiTheme="minorHAnsi" w:hAnsiTheme="minorHAnsi" w:cstheme="minorHAnsi"/>
          <w:i/>
          <w:iCs/>
          <w:color w:val="333333"/>
          <w:shd w:val="clear" w:color="auto" w:fill="FBFBFB"/>
        </w:rPr>
        <w:t>Allegory: The Dynamics of an Ancient and Medieval Technique</w:t>
      </w:r>
      <w:r w:rsidRPr="00B30A01">
        <w:rPr>
          <w:rFonts w:asciiTheme="minorHAnsi" w:hAnsiTheme="minorHAnsi" w:cstheme="minorHAnsi"/>
          <w:color w:val="333333"/>
          <w:shd w:val="clear" w:color="auto" w:fill="FBFBFB"/>
        </w:rPr>
        <w:t>, Edition (Cambridge, MA and London, England: Harvard University Press, 1987).</w:t>
      </w:r>
    </w:p>
    <w:p w14:paraId="052A5F69" w14:textId="77777777" w:rsidR="00B30A01" w:rsidRPr="00B30A01" w:rsidRDefault="00B30A01" w:rsidP="00B30A01">
      <w:pPr>
        <w:spacing w:after="240" w:line="360" w:lineRule="auto"/>
        <w:rPr>
          <w:rFonts w:asciiTheme="minorHAnsi" w:hAnsiTheme="minorHAnsi" w:cstheme="minorHAnsi"/>
        </w:rPr>
      </w:pPr>
      <w:r w:rsidRPr="00B30A01">
        <w:rPr>
          <w:rFonts w:asciiTheme="minorHAnsi" w:hAnsiTheme="minorHAnsi" w:cstheme="minorHAnsi"/>
          <w:color w:val="333333"/>
          <w:shd w:val="clear" w:color="auto" w:fill="FBFBFB"/>
        </w:rPr>
        <w:t>Wickham, Chris, </w:t>
      </w:r>
      <w:r w:rsidRPr="00B30A01">
        <w:rPr>
          <w:rFonts w:asciiTheme="minorHAnsi" w:hAnsiTheme="minorHAnsi" w:cstheme="minorHAnsi"/>
          <w:i/>
          <w:iCs/>
          <w:color w:val="333333"/>
          <w:shd w:val="clear" w:color="auto" w:fill="FBFBFB"/>
        </w:rPr>
        <w:t>Medieval Europe</w:t>
      </w:r>
      <w:r w:rsidRPr="00B30A01">
        <w:rPr>
          <w:rFonts w:asciiTheme="minorHAnsi" w:hAnsiTheme="minorHAnsi" w:cstheme="minorHAnsi"/>
          <w:color w:val="333333"/>
          <w:shd w:val="clear" w:color="auto" w:fill="FBFBFB"/>
        </w:rPr>
        <w:t> (New Haven: Yale University Press, 2016).</w:t>
      </w:r>
    </w:p>
    <w:p w14:paraId="6D0FB352" w14:textId="34EAEA95" w:rsidR="00585BB6" w:rsidRDefault="00B30A01" w:rsidP="00585BB6">
      <w:pPr>
        <w:spacing w:after="240" w:line="360" w:lineRule="auto"/>
        <w:sectPr w:rsidR="00585BB6" w:rsidSect="000A1822">
          <w:headerReference w:type="default" r:id="rId22"/>
          <w:pgSz w:w="11906" w:h="16838" w:code="9"/>
          <w:pgMar w:top="1440" w:right="1440" w:bottom="1440" w:left="1440" w:header="567" w:footer="720" w:gutter="0"/>
          <w:pgNumType w:start="1"/>
          <w:cols w:space="720"/>
          <w:docGrid w:linePitch="326"/>
        </w:sectPr>
      </w:pPr>
      <w:r w:rsidRPr="00B30A01">
        <w:rPr>
          <w:rFonts w:asciiTheme="minorHAnsi" w:hAnsiTheme="minorHAnsi" w:cstheme="minorHAnsi"/>
          <w:shd w:val="clear" w:color="auto" w:fill="FFFFFF"/>
        </w:rPr>
        <w:t>Willemien Otten</w:t>
      </w:r>
      <w:r w:rsidRPr="00B30A01">
        <w:rPr>
          <w:rFonts w:asciiTheme="minorHAnsi" w:hAnsiTheme="minorHAnsi" w:cstheme="minorHAnsi"/>
          <w:color w:val="333333"/>
          <w:shd w:val="clear" w:color="auto" w:fill="FBFBFB"/>
        </w:rPr>
        <w:t>, '</w:t>
      </w:r>
      <w:r w:rsidRPr="00B30A01">
        <w:rPr>
          <w:rFonts w:asciiTheme="minorHAnsi" w:hAnsiTheme="minorHAnsi" w:cstheme="minorHAnsi"/>
          <w:color w:val="000000"/>
          <w:shd w:val="clear" w:color="auto" w:fill="FFFFFF"/>
        </w:rPr>
        <w:t>Christianity's Content: (Neo)Platonism in the Middle Ages, Its Theoretical and Theological Appeal</w:t>
      </w:r>
      <w:r w:rsidRPr="00B30A01">
        <w:rPr>
          <w:rFonts w:asciiTheme="minorHAnsi" w:hAnsiTheme="minorHAnsi" w:cstheme="minorHAnsi"/>
          <w:color w:val="333333"/>
          <w:shd w:val="clear" w:color="auto" w:fill="FBFBFB"/>
        </w:rPr>
        <w:t>', </w:t>
      </w:r>
      <w:r w:rsidRPr="00B30A01">
        <w:rPr>
          <w:rFonts w:asciiTheme="minorHAnsi" w:hAnsiTheme="minorHAnsi" w:cstheme="minorHAnsi"/>
          <w:i/>
          <w:iCs/>
          <w:color w:val="333333"/>
          <w:shd w:val="clear" w:color="auto" w:fill="FBFBFB"/>
        </w:rPr>
        <w:t>Numen</w:t>
      </w:r>
      <w:r w:rsidRPr="00B30A01">
        <w:rPr>
          <w:rFonts w:asciiTheme="minorHAnsi" w:hAnsiTheme="minorHAnsi" w:cstheme="minorHAnsi"/>
          <w:color w:val="333333"/>
          <w:shd w:val="clear" w:color="auto" w:fill="FBFBFB"/>
        </w:rPr>
        <w:t>, 63. Issue number (2016), 245-270 (p. 247)</w:t>
      </w:r>
      <w:r>
        <w:rPr>
          <w:rFonts w:asciiTheme="minorHAnsi" w:hAnsiTheme="minorHAnsi" w:cstheme="minorHAnsi"/>
          <w:color w:val="333333"/>
          <w:shd w:val="clear" w:color="auto" w:fill="FBFBFB"/>
        </w:rPr>
        <w:t>.</w:t>
      </w:r>
    </w:p>
    <w:p w14:paraId="524B9DA2" w14:textId="10C8650D" w:rsidR="0067665C" w:rsidRPr="00B30A01" w:rsidRDefault="00593870" w:rsidP="00B30A01">
      <w:pPr>
        <w:jc w:val="center"/>
        <w:rPr>
          <w:u w:val="single"/>
        </w:rPr>
      </w:pPr>
      <w:r w:rsidRPr="00B30A01">
        <w:rPr>
          <w:u w:val="single"/>
        </w:rPr>
        <w:lastRenderedPageBreak/>
        <w:t>Appendices</w:t>
      </w:r>
    </w:p>
    <w:p w14:paraId="642522E9" w14:textId="77777777" w:rsidR="00593870" w:rsidRDefault="00593870" w:rsidP="000A1822">
      <w:pPr>
        <w:jc w:val="center"/>
      </w:pPr>
    </w:p>
    <w:p w14:paraId="00430F96" w14:textId="75738617" w:rsidR="00593870" w:rsidRDefault="00593870" w:rsidP="00593870">
      <w:r>
        <w:rPr>
          <w:noProof/>
        </w:rPr>
        <w:drawing>
          <wp:anchor distT="0" distB="0" distL="114300" distR="114300" simplePos="0" relativeHeight="251658240" behindDoc="0" locked="0" layoutInCell="1" allowOverlap="1" wp14:anchorId="0EB343D6" wp14:editId="48FA2371">
            <wp:simplePos x="0" y="0"/>
            <wp:positionH relativeFrom="margin">
              <wp:posOffset>-280817</wp:posOffset>
            </wp:positionH>
            <wp:positionV relativeFrom="paragraph">
              <wp:posOffset>456760</wp:posOffset>
            </wp:positionV>
            <wp:extent cx="6463665" cy="4008120"/>
            <wp:effectExtent l="0" t="0" r="0" b="0"/>
            <wp:wrapSquare wrapText="bothSides"/>
            <wp:docPr id="2132874643" name="Picture 1" descr="A map of the middle 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74643" name="Picture 1" descr="A map of the middle ages&#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t="11078"/>
                    <a:stretch/>
                  </pic:blipFill>
                  <pic:spPr bwMode="auto">
                    <a:xfrm>
                      <a:off x="0" y="0"/>
                      <a:ext cx="6463665" cy="4008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Appendix A - </w:t>
      </w:r>
      <w:r>
        <w:rPr>
          <w:rFonts w:ascii="avenir-regular-class" w:hAnsi="avenir-regular-class"/>
          <w:color w:val="333333"/>
          <w:sz w:val="23"/>
          <w:szCs w:val="23"/>
          <w:shd w:val="clear" w:color="auto" w:fill="FBFBFB"/>
        </w:rPr>
        <w:t>Chris Wickham, </w:t>
      </w:r>
      <w:r>
        <w:rPr>
          <w:rFonts w:ascii="avenir-regular-class" w:hAnsi="avenir-regular-class"/>
          <w:i/>
          <w:iCs/>
          <w:color w:val="333333"/>
          <w:sz w:val="23"/>
          <w:szCs w:val="23"/>
          <w:shd w:val="clear" w:color="auto" w:fill="FBFBFB"/>
        </w:rPr>
        <w:t>Medieval Europe</w:t>
      </w:r>
      <w:r>
        <w:rPr>
          <w:rFonts w:ascii="avenir-regular-class" w:hAnsi="avenir-regular-class"/>
          <w:color w:val="333333"/>
          <w:sz w:val="23"/>
          <w:szCs w:val="23"/>
          <w:shd w:val="clear" w:color="auto" w:fill="FBFBFB"/>
        </w:rPr>
        <w:t> (New Haven: Yale University Press, 2016), p. ix.</w:t>
      </w:r>
    </w:p>
    <w:sectPr w:rsidR="00593870" w:rsidSect="000A1822">
      <w:headerReference w:type="default" r:id="rId24"/>
      <w:pgSz w:w="11906" w:h="16838" w:code="9"/>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171C1" w14:textId="77777777" w:rsidR="00212A18" w:rsidRDefault="00212A18">
      <w:r>
        <w:separator/>
      </w:r>
    </w:p>
  </w:endnote>
  <w:endnote w:type="continuationSeparator" w:id="0">
    <w:p w14:paraId="227A046D" w14:textId="77777777" w:rsidR="00212A18" w:rsidRDefault="00212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2C64B" w14:textId="77777777" w:rsidR="007B5115" w:rsidRPr="00337A70" w:rsidRDefault="00000000">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1BBB1" w14:textId="77777777" w:rsidR="00212A18" w:rsidRDefault="00212A18">
      <w:r>
        <w:separator/>
      </w:r>
    </w:p>
  </w:footnote>
  <w:footnote w:type="continuationSeparator" w:id="0">
    <w:p w14:paraId="1EB0F61C" w14:textId="77777777" w:rsidR="00212A18" w:rsidRDefault="00212A18">
      <w:r>
        <w:continuationSeparator/>
      </w:r>
    </w:p>
  </w:footnote>
  <w:footnote w:id="1">
    <w:p w14:paraId="4C18945B" w14:textId="77777777" w:rsidR="00FE59B4" w:rsidRPr="00B30A01" w:rsidRDefault="00FE59B4" w:rsidP="00FE59B4">
      <w:pPr>
        <w:pStyle w:val="FootnoteText"/>
        <w:rPr>
          <w:rFonts w:cstheme="minorHAnsi"/>
        </w:rPr>
      </w:pPr>
      <w:r w:rsidRPr="00B30A01">
        <w:rPr>
          <w:rStyle w:val="FootnoteReference"/>
        </w:rPr>
        <w:footnoteRef/>
      </w:r>
      <w:r w:rsidRPr="00B30A01">
        <w:t xml:space="preserve"> </w:t>
      </w:r>
      <w:r w:rsidRPr="00B30A01">
        <w:rPr>
          <w:rFonts w:cstheme="minorHAnsi"/>
        </w:rPr>
        <w:t xml:space="preserve">Chris Wickham, </w:t>
      </w:r>
      <w:r w:rsidRPr="00B30A01">
        <w:rPr>
          <w:rStyle w:val="Emphasis"/>
          <w:rFonts w:cstheme="minorHAnsi"/>
        </w:rPr>
        <w:t>Medieval Europe</w:t>
      </w:r>
      <w:r w:rsidRPr="00B30A01">
        <w:rPr>
          <w:rFonts w:cstheme="minorHAnsi"/>
        </w:rPr>
        <w:t xml:space="preserve"> (New Haven: Yale University Press, 2016), p. ix.</w:t>
      </w:r>
    </w:p>
  </w:footnote>
  <w:footnote w:id="2">
    <w:p w14:paraId="66005487" w14:textId="77777777" w:rsidR="00FE59B4" w:rsidRPr="00B30A01" w:rsidRDefault="00FE59B4" w:rsidP="00FE59B4">
      <w:pPr>
        <w:pStyle w:val="FootnoteText"/>
      </w:pPr>
      <w:r w:rsidRPr="00B30A01">
        <w:rPr>
          <w:rStyle w:val="FootnoteReference"/>
          <w:rFonts w:cstheme="minorHAnsi"/>
        </w:rPr>
        <w:footnoteRef/>
      </w:r>
      <w:r w:rsidRPr="00B30A01">
        <w:rPr>
          <w:rFonts w:cstheme="minorHAnsi"/>
        </w:rPr>
        <w:t xml:space="preserve"> </w:t>
      </w:r>
      <w:bookmarkStart w:id="6" w:name="_Hlk154056532"/>
      <w:r w:rsidRPr="00B30A01">
        <w:rPr>
          <w:rFonts w:cstheme="minorHAnsi"/>
          <w:color w:val="333333"/>
          <w:shd w:val="clear" w:color="auto" w:fill="FBFBFB"/>
        </w:rPr>
        <w:t>John Marenbon, 'Medieval Philosophy', </w:t>
      </w:r>
      <w:r w:rsidRPr="00B30A01">
        <w:rPr>
          <w:rFonts w:cstheme="minorHAnsi"/>
          <w:i/>
          <w:iCs/>
          <w:color w:val="333333"/>
          <w:shd w:val="clear" w:color="auto" w:fill="FBFBFB"/>
        </w:rPr>
        <w:t>The Stanford Encyclopaedia of Philosophy</w:t>
      </w:r>
      <w:r w:rsidRPr="00B30A01">
        <w:rPr>
          <w:rFonts w:cstheme="minorHAnsi"/>
          <w:color w:val="333333"/>
          <w:shd w:val="clear" w:color="auto" w:fill="FBFBFB"/>
        </w:rPr>
        <w:t>, Spring (2023). Available at: https://plato.stanford.edu/entries/medieval-philosophy/ (Accessed 21 November 2023).</w:t>
      </w:r>
      <w:r w:rsidRPr="00B30A01">
        <w:rPr>
          <w:rFonts w:ascii="avenir-regular-class" w:hAnsi="avenir-regular-class"/>
          <w:color w:val="333333"/>
          <w:sz w:val="23"/>
          <w:szCs w:val="22"/>
          <w:shd w:val="clear" w:color="auto" w:fill="FBFBFB"/>
        </w:rPr>
        <w:t> </w:t>
      </w:r>
      <w:bookmarkEnd w:id="6"/>
    </w:p>
  </w:footnote>
  <w:footnote w:id="3">
    <w:p w14:paraId="1A7EAB28" w14:textId="77777777" w:rsidR="00FE59B4" w:rsidRPr="00B30A01" w:rsidRDefault="00FE59B4" w:rsidP="00FE59B4">
      <w:pPr>
        <w:pStyle w:val="FootnoteText"/>
      </w:pPr>
      <w:r w:rsidRPr="00B30A01">
        <w:rPr>
          <w:rStyle w:val="FootnoteReference"/>
        </w:rPr>
        <w:footnoteRef/>
      </w:r>
      <w:r w:rsidRPr="00B30A01">
        <w:t xml:space="preserve"> </w:t>
      </w:r>
      <w:r w:rsidRPr="00B30A01">
        <w:rPr>
          <w:rFonts w:cstheme="minorHAnsi"/>
          <w:spacing w:val="-5"/>
          <w:shd w:val="clear" w:color="auto" w:fill="FBFBFB"/>
        </w:rPr>
        <w:t>Charles Fernyhough</w:t>
      </w:r>
      <w:r w:rsidRPr="00B30A01">
        <w:rPr>
          <w:rFonts w:cstheme="minorHAnsi"/>
          <w:shd w:val="clear" w:color="auto" w:fill="FBFBFB"/>
        </w:rPr>
        <w:t>, </w:t>
      </w:r>
      <w:r w:rsidRPr="00B30A01">
        <w:rPr>
          <w:rFonts w:cstheme="minorHAnsi"/>
          <w:i/>
          <w:iCs/>
          <w:shd w:val="clear" w:color="auto" w:fill="FBFBFB"/>
        </w:rPr>
        <w:t>The medieval mind</w:t>
      </w:r>
      <w:r w:rsidRPr="00B30A01">
        <w:rPr>
          <w:rFonts w:cstheme="minorHAnsi"/>
          <w:shd w:val="clear" w:color="auto" w:fill="FBFBFB"/>
        </w:rPr>
        <w:t> (2016) &lt;https://www.bps.org.uk/psychologist/medieval-mind&gt; [accessed 22 November 2023].</w:t>
      </w:r>
    </w:p>
  </w:footnote>
  <w:footnote w:id="4">
    <w:p w14:paraId="0878D7AE" w14:textId="77777777" w:rsidR="00FE59B4" w:rsidRDefault="00FE59B4" w:rsidP="00FE59B4">
      <w:pPr>
        <w:pStyle w:val="FootnoteText"/>
      </w:pPr>
      <w:r w:rsidRPr="00B30A01">
        <w:rPr>
          <w:rStyle w:val="FootnoteReference"/>
        </w:rPr>
        <w:footnoteRef/>
      </w:r>
      <w:r w:rsidRPr="00B30A01">
        <w:t xml:space="preserve"> </w:t>
      </w:r>
      <w:r w:rsidRPr="00B30A01">
        <w:rPr>
          <w:rFonts w:cstheme="minorHAnsi"/>
          <w:shd w:val="clear" w:color="auto" w:fill="FBFBFB"/>
        </w:rPr>
        <w:t>Plato, </w:t>
      </w:r>
      <w:r w:rsidRPr="00B30A01">
        <w:rPr>
          <w:rFonts w:cstheme="minorHAnsi"/>
          <w:i/>
          <w:iCs/>
          <w:shd w:val="clear" w:color="auto" w:fill="FBFBFB"/>
        </w:rPr>
        <w:t>Meno</w:t>
      </w:r>
      <w:r w:rsidRPr="00B30A01">
        <w:rPr>
          <w:rFonts w:cstheme="minorHAnsi"/>
          <w:shd w:val="clear" w:color="auto" w:fill="FBFBFB"/>
        </w:rPr>
        <w:t>, trans. by W.R.M Lamb (Cambridge: Harvard University Press, 1924) p.301 &lt;</w:t>
      </w:r>
      <w:r w:rsidRPr="00B30A01">
        <w:rPr>
          <w:rFonts w:cstheme="minorHAnsi"/>
        </w:rPr>
        <w:t xml:space="preserve"> </w:t>
      </w:r>
      <w:r w:rsidRPr="00B30A01">
        <w:rPr>
          <w:rFonts w:cstheme="minorHAnsi"/>
          <w:shd w:val="clear" w:color="auto" w:fill="FBFBFB"/>
        </w:rPr>
        <w:t>https://www-loebclassics-com.ezproxy.uwtsd.ac.uk/view/plato_philosopher-meno/1924/pb_LCL165.301.xml?result=1&amp;rskey=8nrsht&gt; [accessed 22 November 2023].</w:t>
      </w:r>
      <w:r w:rsidRPr="00B30A01">
        <w:rPr>
          <w:rFonts w:ascii="avenir-regular-class" w:hAnsi="avenir-regular-class"/>
          <w:sz w:val="23"/>
          <w:szCs w:val="22"/>
          <w:shd w:val="clear" w:color="auto" w:fill="FBFBFB"/>
        </w:rPr>
        <w:t> </w:t>
      </w:r>
    </w:p>
  </w:footnote>
  <w:footnote w:id="5">
    <w:p w14:paraId="058BAD7B" w14:textId="77777777" w:rsidR="00FE59B4" w:rsidRPr="00B30A01" w:rsidRDefault="00FE59B4" w:rsidP="00FE59B4">
      <w:pPr>
        <w:rPr>
          <w:rFonts w:asciiTheme="minorHAnsi" w:hAnsiTheme="minorHAnsi" w:cstheme="minorHAnsi"/>
          <w:sz w:val="20"/>
          <w:szCs w:val="20"/>
        </w:rPr>
      </w:pPr>
      <w:r w:rsidRPr="00B30A01">
        <w:rPr>
          <w:rStyle w:val="FootnoteReference"/>
          <w:rFonts w:asciiTheme="minorHAnsi" w:hAnsiTheme="minorHAnsi" w:cstheme="minorHAnsi"/>
          <w:sz w:val="20"/>
          <w:szCs w:val="20"/>
        </w:rPr>
        <w:footnoteRef/>
      </w:r>
      <w:r w:rsidRPr="00B30A01">
        <w:rPr>
          <w:rFonts w:asciiTheme="minorHAnsi" w:hAnsiTheme="minorHAnsi" w:cstheme="minorHAnsi"/>
          <w:sz w:val="20"/>
          <w:szCs w:val="20"/>
        </w:rPr>
        <w:t xml:space="preserve"> Although Augustine did not live in the era of medieval Europe his work and outlook on the soul was engaged with at the time, and is critical in the shaping of medieval beliefs of the soul as his work was an influencing factor. </w:t>
      </w:r>
    </w:p>
  </w:footnote>
  <w:footnote w:id="6">
    <w:p w14:paraId="5A8AF923" w14:textId="77777777" w:rsidR="00FE59B4" w:rsidRPr="00B30A01" w:rsidRDefault="00FE59B4" w:rsidP="00FE59B4">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shd w:val="clear" w:color="auto" w:fill="FBFBFB"/>
        </w:rPr>
        <w:t>Saint Augustine, </w:t>
      </w:r>
      <w:r w:rsidRPr="00B30A01">
        <w:rPr>
          <w:rFonts w:cstheme="minorHAnsi"/>
          <w:i/>
          <w:iCs/>
          <w:shd w:val="clear" w:color="auto" w:fill="FBFBFB"/>
        </w:rPr>
        <w:t>The Immortality of the Soul; The Magnitude of the Soul; On Music; The Advantage of Believing; On Faith in Things Unseen (The Fathers of the Church, Volume 4)</w:t>
      </w:r>
      <w:r w:rsidRPr="00B30A01">
        <w:rPr>
          <w:rFonts w:cstheme="minorHAnsi"/>
          <w:shd w:val="clear" w:color="auto" w:fill="FBFBFB"/>
        </w:rPr>
        <w:t>, p.8, trans. by Ludwig Schopp (Washington DC Catholic University of America Press, 1947).</w:t>
      </w:r>
    </w:p>
  </w:footnote>
  <w:footnote w:id="7">
    <w:p w14:paraId="2084890F" w14:textId="77777777" w:rsidR="00FE59B4" w:rsidRPr="00B30A01" w:rsidRDefault="00FE59B4" w:rsidP="00FE59B4">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shd w:val="clear" w:color="auto" w:fill="FBFBFB"/>
        </w:rPr>
        <w:t>Jon Whitman, </w:t>
      </w:r>
      <w:r w:rsidRPr="00B30A01">
        <w:rPr>
          <w:rFonts w:cstheme="minorHAnsi"/>
          <w:i/>
          <w:iCs/>
          <w:shd w:val="clear" w:color="auto" w:fill="FBFBFB"/>
        </w:rPr>
        <w:t>Allegory: The Dynamics of an Ancient and Medieval Technique</w:t>
      </w:r>
      <w:r w:rsidRPr="00B30A01">
        <w:rPr>
          <w:rFonts w:cstheme="minorHAnsi"/>
          <w:shd w:val="clear" w:color="auto" w:fill="FBFBFB"/>
        </w:rPr>
        <w:t>, Edition (Cambridge, MA and London, England: Harvard University Press, 1987), p. III.</w:t>
      </w:r>
    </w:p>
  </w:footnote>
  <w:footnote w:id="8">
    <w:p w14:paraId="178ADA05" w14:textId="77777777" w:rsidR="00FE59B4" w:rsidRPr="00B30A01" w:rsidRDefault="00FE59B4" w:rsidP="00FE59B4">
      <w:pPr>
        <w:pStyle w:val="FootnoteText"/>
        <w:rPr>
          <w:sz w:val="18"/>
          <w:szCs w:val="18"/>
        </w:rPr>
      </w:pPr>
      <w:r w:rsidRPr="00B30A01">
        <w:rPr>
          <w:rStyle w:val="FootnoteReference"/>
          <w:rFonts w:cstheme="minorHAnsi"/>
        </w:rPr>
        <w:footnoteRef/>
      </w:r>
      <w:r w:rsidRPr="00B30A01">
        <w:rPr>
          <w:rFonts w:cstheme="minorHAnsi"/>
        </w:rPr>
        <w:t xml:space="preserve"> </w:t>
      </w:r>
      <w:r w:rsidRPr="00B30A01">
        <w:rPr>
          <w:rFonts w:cstheme="minorHAnsi"/>
          <w:shd w:val="clear" w:color="auto" w:fill="FBFBFB"/>
        </w:rPr>
        <w:t>John the Scot, </w:t>
      </w:r>
      <w:r w:rsidRPr="00B30A01">
        <w:rPr>
          <w:rFonts w:cstheme="minorHAnsi"/>
          <w:i/>
          <w:iCs/>
          <w:shd w:val="clear" w:color="auto" w:fill="FBFBFB"/>
        </w:rPr>
        <w:t>Periphyseon on the Division of Nature</w:t>
      </w:r>
      <w:r w:rsidRPr="00B30A01">
        <w:rPr>
          <w:rFonts w:cstheme="minorHAnsi"/>
          <w:shd w:val="clear" w:color="auto" w:fill="FBFBFB"/>
        </w:rPr>
        <w:t>, trans. by Myra L. Uhlfelder (Oregon: Wipf and Stocks Publisher, 1976).</w:t>
      </w:r>
    </w:p>
  </w:footnote>
  <w:footnote w:id="9">
    <w:p w14:paraId="73AF436A" w14:textId="77777777" w:rsidR="00FE59B4" w:rsidRPr="00B30A01" w:rsidRDefault="00FE59B4" w:rsidP="00FE59B4">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shd w:val="clear" w:color="auto" w:fill="FBFBFB"/>
        </w:rPr>
        <w:t>John Gavin, 'Souls and Bodies, Hisotry and Eternity: John Scottus Erigena and the Intermediate State', </w:t>
      </w:r>
      <w:r w:rsidRPr="00B30A01">
        <w:rPr>
          <w:rFonts w:cstheme="minorHAnsi"/>
          <w:i/>
          <w:iCs/>
          <w:shd w:val="clear" w:color="auto" w:fill="FBFBFB"/>
        </w:rPr>
        <w:t>Annales Theologici</w:t>
      </w:r>
      <w:r w:rsidRPr="00B30A01">
        <w:rPr>
          <w:rFonts w:cstheme="minorHAnsi"/>
          <w:shd w:val="clear" w:color="auto" w:fill="FBFBFB"/>
        </w:rPr>
        <w:t>, 29. 1 (2015), 139-154 (p. 147).</w:t>
      </w:r>
    </w:p>
  </w:footnote>
  <w:footnote w:id="10">
    <w:p w14:paraId="25BA1F7D" w14:textId="77777777" w:rsidR="00FE59B4" w:rsidRPr="00B30A01" w:rsidRDefault="00FE59B4" w:rsidP="00FE59B4">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shd w:val="clear" w:color="auto" w:fill="FBFBFB"/>
        </w:rPr>
        <w:t>Christopher A. Tiegreen, 'Heaven on Earth in Medieval Europe: Material Expressions of an Immaterial Realm' (doctoral thesis, Georgia State University, 2021).</w:t>
      </w:r>
    </w:p>
  </w:footnote>
  <w:footnote w:id="11">
    <w:p w14:paraId="7056BA20" w14:textId="77777777" w:rsidR="00FE59B4" w:rsidRPr="00B30A01" w:rsidRDefault="00FE59B4" w:rsidP="00FE59B4">
      <w:pPr>
        <w:pStyle w:val="FootnoteText"/>
        <w:rPr>
          <w:sz w:val="18"/>
          <w:szCs w:val="18"/>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Peter Adamson, 'The Universe is an Animal: The World Soul in Medieval Philosophy', in </w:t>
      </w:r>
      <w:r w:rsidRPr="00B30A01">
        <w:rPr>
          <w:rFonts w:cstheme="minorHAnsi"/>
          <w:i/>
          <w:iCs/>
          <w:color w:val="333333"/>
          <w:shd w:val="clear" w:color="auto" w:fill="FBFBFB"/>
        </w:rPr>
        <w:t>World Soul: A History</w:t>
      </w:r>
      <w:r w:rsidRPr="00B30A01">
        <w:rPr>
          <w:rFonts w:cstheme="minorHAnsi"/>
          <w:color w:val="333333"/>
          <w:shd w:val="clear" w:color="auto" w:fill="FBFBFB"/>
        </w:rPr>
        <w:t>, ed. by James Wilberding (New York: Oxford University Press, 2021), pp. 73-99 (p. 98).</w:t>
      </w:r>
    </w:p>
  </w:footnote>
  <w:footnote w:id="12">
    <w:p w14:paraId="6A84B537" w14:textId="77777777" w:rsidR="00FE59B4" w:rsidRPr="00B30A01" w:rsidRDefault="00FE59B4" w:rsidP="00FE59B4">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Guido Bonatti, </w:t>
      </w:r>
      <w:r w:rsidRPr="00B30A01">
        <w:rPr>
          <w:rFonts w:cstheme="minorHAnsi"/>
          <w:i/>
          <w:iCs/>
          <w:color w:val="333333"/>
          <w:shd w:val="clear" w:color="auto" w:fill="FBFBFB"/>
        </w:rPr>
        <w:t>Liber Astronomiae</w:t>
      </w:r>
      <w:r w:rsidRPr="00B30A01">
        <w:rPr>
          <w:rFonts w:cstheme="minorHAnsi"/>
          <w:color w:val="333333"/>
          <w:shd w:val="clear" w:color="auto" w:fill="FBFBFB"/>
        </w:rPr>
        <w:t>, trans. by Robert Zoller (Berkeley Springs: The Golden Hind Press, 1994).</w:t>
      </w:r>
    </w:p>
  </w:footnote>
  <w:footnote w:id="13">
    <w:p w14:paraId="5EF2B314" w14:textId="77777777" w:rsidR="0067245F" w:rsidRPr="00B30A01" w:rsidRDefault="0067245F" w:rsidP="0067245F">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Edmund Hill, 'True Religion', in </w:t>
      </w:r>
      <w:r w:rsidRPr="00B30A01">
        <w:rPr>
          <w:rFonts w:cstheme="minorHAnsi"/>
          <w:i/>
          <w:iCs/>
          <w:color w:val="333333"/>
          <w:shd w:val="clear" w:color="auto" w:fill="FBFBFB"/>
        </w:rPr>
        <w:t>On Christian Belief</w:t>
      </w:r>
      <w:r w:rsidRPr="00B30A01">
        <w:rPr>
          <w:rFonts w:cstheme="minorHAnsi"/>
          <w:color w:val="333333"/>
          <w:shd w:val="clear" w:color="auto" w:fill="FBFBFB"/>
        </w:rPr>
        <w:t>, ed. by Boniface Ramsey (New York: New City Press, 2005), pp. 29-107 (p. 30).</w:t>
      </w:r>
    </w:p>
  </w:footnote>
  <w:footnote w:id="14">
    <w:p w14:paraId="1FCCDCE3" w14:textId="77777777" w:rsidR="0067245F" w:rsidRPr="00B30A01" w:rsidRDefault="0067245F" w:rsidP="0067245F">
      <w:pPr>
        <w:pStyle w:val="FootnoteText"/>
        <w:rPr>
          <w:sz w:val="18"/>
          <w:szCs w:val="18"/>
        </w:rPr>
      </w:pPr>
      <w:r w:rsidRPr="00B30A01">
        <w:rPr>
          <w:rStyle w:val="FootnoteReference"/>
          <w:rFonts w:cstheme="minorHAnsi"/>
        </w:rPr>
        <w:footnoteRef/>
      </w:r>
      <w:r w:rsidRPr="00B30A01">
        <w:rPr>
          <w:rFonts w:cstheme="minorHAnsi"/>
        </w:rPr>
        <w:t xml:space="preserve"> </w:t>
      </w:r>
      <w:r w:rsidRPr="00B30A01">
        <w:rPr>
          <w:rFonts w:cstheme="minorHAnsi"/>
          <w:i/>
          <w:iCs/>
          <w:color w:val="333333"/>
          <w:shd w:val="clear" w:color="auto" w:fill="FBFBFB"/>
        </w:rPr>
        <w:t>Summa Theologica</w:t>
      </w:r>
      <w:r w:rsidRPr="00B30A01">
        <w:rPr>
          <w:rFonts w:cstheme="minorHAnsi"/>
          <w:color w:val="333333"/>
          <w:shd w:val="clear" w:color="auto" w:fill="FBFBFB"/>
        </w:rPr>
        <w:t>, ed. Anthony Uyl (Canada: Devoted Publishing, 2018).</w:t>
      </w:r>
    </w:p>
  </w:footnote>
  <w:footnote w:id="15">
    <w:p w14:paraId="294824CA"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bookmarkStart w:id="8" w:name="_Hlk154864884"/>
      <w:r w:rsidRPr="00B30A01">
        <w:rPr>
          <w:rFonts w:cstheme="minorHAnsi"/>
          <w:color w:val="333333"/>
          <w:shd w:val="clear" w:color="auto" w:fill="FBFBFB"/>
        </w:rPr>
        <w:t>Aristotle, </w:t>
      </w:r>
      <w:r w:rsidRPr="00B30A01">
        <w:rPr>
          <w:rFonts w:cstheme="minorHAnsi"/>
          <w:i/>
          <w:iCs/>
          <w:color w:val="333333"/>
          <w:shd w:val="clear" w:color="auto" w:fill="FBFBFB"/>
        </w:rPr>
        <w:t>On the Soul</w:t>
      </w:r>
      <w:r w:rsidRPr="00B30A01">
        <w:rPr>
          <w:rFonts w:cstheme="minorHAnsi"/>
          <w:color w:val="333333"/>
          <w:shd w:val="clear" w:color="auto" w:fill="FBFBFB"/>
        </w:rPr>
        <w:t>, trans. by W.S. Hett (Cambridge: Harvard University Press, 1957) &lt;</w:t>
      </w:r>
      <w:r w:rsidRPr="00B30A01">
        <w:rPr>
          <w:rFonts w:cstheme="minorHAnsi"/>
        </w:rPr>
        <w:t xml:space="preserve"> </w:t>
      </w:r>
      <w:r w:rsidRPr="00B30A01">
        <w:rPr>
          <w:rFonts w:cstheme="minorHAnsi"/>
          <w:color w:val="333333"/>
          <w:shd w:val="clear" w:color="auto" w:fill="FBFBFB"/>
        </w:rPr>
        <w:t>https://www-loebclassics-com.ezproxy.uwtsd.ac.uk/view/aristotle-soul/1957/pb_LCL288.3.xml &gt; pp. 87 [accessed 1 December 2023]</w:t>
      </w:r>
      <w:bookmarkEnd w:id="8"/>
    </w:p>
  </w:footnote>
  <w:footnote w:id="16">
    <w:p w14:paraId="4FB82F06" w14:textId="77777777" w:rsidR="00585BB6" w:rsidRPr="00B30A01" w:rsidRDefault="00585BB6" w:rsidP="00585BB6">
      <w:pPr>
        <w:pStyle w:val="FootnoteText"/>
        <w:rPr>
          <w:sz w:val="18"/>
          <w:szCs w:val="18"/>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James J. Lee, 'Crowded Subjects: The Crisis of Two Souls in Early Modern England' (doctoral thesis, University of California, Berkeley, 2012).</w:t>
      </w:r>
    </w:p>
  </w:footnote>
  <w:footnote w:id="17">
    <w:p w14:paraId="1109714A"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Sextus Empiricus, Adversus Mathemalicos, V. 22, trans. R. C. Bury (Cambridge, Mass.: Harvard University Press, 1933), IV, pp. 331--333</w:t>
      </w:r>
    </w:p>
  </w:footnote>
  <w:footnote w:id="18">
    <w:p w14:paraId="324BD2A4"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Charles Clark, 'The Zodiac Man in Medieval Medical Astrology ', </w:t>
      </w:r>
      <w:r w:rsidRPr="00B30A01">
        <w:rPr>
          <w:rFonts w:cstheme="minorHAnsi"/>
          <w:i/>
          <w:iCs/>
          <w:color w:val="333333"/>
          <w:shd w:val="clear" w:color="auto" w:fill="FBFBFB"/>
        </w:rPr>
        <w:t>Quidditas</w:t>
      </w:r>
      <w:r w:rsidRPr="00B30A01">
        <w:rPr>
          <w:rFonts w:cstheme="minorHAnsi"/>
          <w:color w:val="333333"/>
          <w:shd w:val="clear" w:color="auto" w:fill="FBFBFB"/>
        </w:rPr>
        <w:t>, 3. 3 (1982), 13-38 (p. 20).</w:t>
      </w:r>
    </w:p>
  </w:footnote>
  <w:footnote w:id="19">
    <w:p w14:paraId="21DC9E3E"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Rachel Hajar, 'The Air of History (Part II) Medicine in the Middle Ages', </w:t>
      </w:r>
      <w:r w:rsidRPr="00B30A01">
        <w:rPr>
          <w:rFonts w:cstheme="minorHAnsi"/>
          <w:i/>
          <w:iCs/>
          <w:color w:val="333333"/>
          <w:shd w:val="clear" w:color="auto" w:fill="FBFBFB"/>
        </w:rPr>
        <w:t>Heart Views</w:t>
      </w:r>
      <w:r w:rsidRPr="00B30A01">
        <w:rPr>
          <w:rFonts w:cstheme="minorHAnsi"/>
          <w:color w:val="333333"/>
          <w:shd w:val="clear" w:color="auto" w:fill="FBFBFB"/>
        </w:rPr>
        <w:t>, 13, 4 (2012), 158-162 (p. 159).</w:t>
      </w:r>
    </w:p>
  </w:footnote>
  <w:footnote w:id="20">
    <w:p w14:paraId="27AF8100" w14:textId="77777777" w:rsidR="00585BB6" w:rsidRPr="00B30A01" w:rsidRDefault="00585BB6" w:rsidP="00585BB6">
      <w:pPr>
        <w:pStyle w:val="FootnoteText"/>
        <w:rPr>
          <w:sz w:val="18"/>
          <w:szCs w:val="18"/>
        </w:rPr>
      </w:pPr>
      <w:r w:rsidRPr="00B30A01">
        <w:rPr>
          <w:rStyle w:val="FootnoteReference"/>
          <w:rFonts w:cstheme="minorHAnsi"/>
        </w:rPr>
        <w:footnoteRef/>
      </w:r>
      <w:r w:rsidRPr="00B30A01">
        <w:rPr>
          <w:rFonts w:cstheme="minorHAnsi"/>
        </w:rPr>
        <w:t xml:space="preserve"> Hippocrates of Cos, Nature of Man: W. H. S. Jones (ed. And trans.), Loeb Classical Library, Cambridge, MA: Harvard University Press, 1923</w:t>
      </w:r>
    </w:p>
  </w:footnote>
  <w:footnote w:id="21">
    <w:p w14:paraId="43781EB8"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bookmarkStart w:id="9" w:name="_Hlk154927379"/>
      <w:r w:rsidRPr="00B30A01">
        <w:rPr>
          <w:rFonts w:cstheme="minorHAnsi"/>
          <w:color w:val="333333"/>
          <w:shd w:val="clear" w:color="auto" w:fill="FBFBFB"/>
        </w:rPr>
        <w:t>Marcy J. Miller, </w:t>
      </w:r>
      <w:r w:rsidRPr="00B30A01">
        <w:rPr>
          <w:rFonts w:cstheme="minorHAnsi"/>
          <w:i/>
          <w:iCs/>
          <w:color w:val="333333"/>
          <w:shd w:val="clear" w:color="auto" w:fill="FBFBFB"/>
        </w:rPr>
        <w:t>The Four Humors and the Integrated Universe: A Medieval World View</w:t>
      </w:r>
      <w:r w:rsidRPr="00B30A01">
        <w:rPr>
          <w:rFonts w:cstheme="minorHAnsi"/>
          <w:color w:val="333333"/>
          <w:shd w:val="clear" w:color="auto" w:fill="FBFBFB"/>
        </w:rPr>
        <w:t> (2023) &lt;</w:t>
      </w:r>
      <w:r w:rsidRPr="00B30A01">
        <w:rPr>
          <w:rFonts w:cstheme="minorHAnsi"/>
        </w:rPr>
        <w:t xml:space="preserve"> </w:t>
      </w:r>
      <w:r w:rsidRPr="00B30A01">
        <w:rPr>
          <w:rFonts w:cstheme="minorHAnsi"/>
          <w:color w:val="333333"/>
          <w:shd w:val="clear" w:color="auto" w:fill="FBFBFB"/>
        </w:rPr>
        <w:t>https://owlcation.com/humanities/The-Four-Humors&gt; [accessed 2 December 2023].</w:t>
      </w:r>
      <w:bookmarkEnd w:id="9"/>
    </w:p>
  </w:footnote>
  <w:footnote w:id="22">
    <w:p w14:paraId="186B4D03"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bookmarkStart w:id="10" w:name="_Hlk154931097"/>
      <w:r w:rsidRPr="00B30A01">
        <w:rPr>
          <w:rFonts w:cstheme="minorHAnsi"/>
          <w:color w:val="333333"/>
          <w:shd w:val="clear" w:color="auto" w:fill="FBFBFB"/>
        </w:rPr>
        <w:t>Ryhan Butler, </w:t>
      </w:r>
      <w:r w:rsidRPr="00B30A01">
        <w:rPr>
          <w:rFonts w:cstheme="minorHAnsi"/>
          <w:i/>
          <w:iCs/>
          <w:color w:val="333333"/>
          <w:shd w:val="clear" w:color="auto" w:fill="FBFBFB"/>
        </w:rPr>
        <w:t>Influential Planets</w:t>
      </w:r>
      <w:r w:rsidRPr="00B30A01">
        <w:rPr>
          <w:rFonts w:cstheme="minorHAnsi"/>
          <w:color w:val="333333"/>
          <w:shd w:val="clear" w:color="auto" w:fill="FBFBFB"/>
        </w:rPr>
        <w:t> (2015) &lt;</w:t>
      </w:r>
      <w:r w:rsidRPr="00B30A01">
        <w:rPr>
          <w:rFonts w:cstheme="minorHAnsi"/>
        </w:rPr>
        <w:t xml:space="preserve"> </w:t>
      </w:r>
      <w:r w:rsidRPr="00B30A01">
        <w:rPr>
          <w:rFonts w:cstheme="minorHAnsi"/>
          <w:color w:val="333333"/>
          <w:shd w:val="clear" w:color="auto" w:fill="FBFBFB"/>
        </w:rPr>
        <w:t>https://www.medievalastrologyguide.com/ruler-of-the-chart&gt; [accessed 3 December 2023].</w:t>
      </w:r>
      <w:bookmarkEnd w:id="10"/>
    </w:p>
  </w:footnote>
  <w:footnote w:id="23">
    <w:p w14:paraId="677633F2"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bookmarkStart w:id="11" w:name="_Hlk154931857"/>
      <w:r w:rsidRPr="00B30A01">
        <w:rPr>
          <w:rFonts w:cstheme="minorHAnsi"/>
          <w:color w:val="424242"/>
          <w:shd w:val="clear" w:color="auto" w:fill="FFFFFF"/>
        </w:rPr>
        <w:t>Andrew Fraknoi, David Morrison, Sidney Wolff</w:t>
      </w:r>
      <w:r w:rsidRPr="00B30A01">
        <w:rPr>
          <w:rFonts w:cstheme="minorHAnsi"/>
          <w:color w:val="333333"/>
          <w:shd w:val="clear" w:color="auto" w:fill="FBFBFB"/>
        </w:rPr>
        <w:t>, </w:t>
      </w:r>
      <w:r w:rsidRPr="00B30A01">
        <w:rPr>
          <w:rFonts w:cstheme="minorHAnsi"/>
          <w:i/>
          <w:iCs/>
          <w:color w:val="424242"/>
          <w:shd w:val="clear" w:color="auto" w:fill="FFFFFF"/>
        </w:rPr>
        <w:t>Astronomy 2e</w:t>
      </w:r>
      <w:r w:rsidRPr="00B30A01">
        <w:rPr>
          <w:rFonts w:cstheme="minorHAnsi"/>
          <w:color w:val="333333"/>
          <w:shd w:val="clear" w:color="auto" w:fill="FBFBFB"/>
        </w:rPr>
        <w:t>, Edition (Texas: OpenStax, 2022), &lt;</w:t>
      </w:r>
      <w:r w:rsidRPr="00B30A01">
        <w:rPr>
          <w:rFonts w:cstheme="minorHAnsi"/>
        </w:rPr>
        <w:t xml:space="preserve"> </w:t>
      </w:r>
      <w:r w:rsidRPr="00B30A01">
        <w:rPr>
          <w:rFonts w:cstheme="minorHAnsi"/>
          <w:color w:val="333333"/>
          <w:shd w:val="clear" w:color="auto" w:fill="FBFBFB"/>
        </w:rPr>
        <w:t>https://openstax.org/books/astronomy-2e/pages/2-3-astrology-and-astronomy &gt; [accessed 3 December 2023]. </w:t>
      </w:r>
      <w:bookmarkEnd w:id="11"/>
    </w:p>
  </w:footnote>
  <w:footnote w:id="24">
    <w:p w14:paraId="3CB3AC2C" w14:textId="77777777" w:rsidR="00585BB6" w:rsidRPr="00B30A01" w:rsidRDefault="00585BB6" w:rsidP="00585BB6">
      <w:pPr>
        <w:pStyle w:val="FootnoteText"/>
        <w:rPr>
          <w:sz w:val="18"/>
          <w:szCs w:val="18"/>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FFFFF"/>
        </w:rPr>
        <w:t>Paul</w:t>
      </w:r>
      <w:r w:rsidRPr="00B30A01">
        <w:rPr>
          <w:rStyle w:val="separator"/>
          <w:rFonts w:cstheme="minorHAnsi"/>
          <w:color w:val="333333"/>
          <w:shd w:val="clear" w:color="auto" w:fill="FFFFFF"/>
        </w:rPr>
        <w:t> </w:t>
      </w:r>
      <w:r w:rsidRPr="00B30A01">
        <w:rPr>
          <w:rFonts w:cstheme="minorHAnsi"/>
          <w:color w:val="333333"/>
          <w:shd w:val="clear" w:color="auto" w:fill="FFFFFF"/>
        </w:rPr>
        <w:t>Clements</w:t>
      </w:r>
      <w:r w:rsidRPr="00B30A01">
        <w:rPr>
          <w:rFonts w:cstheme="minorHAnsi"/>
          <w:color w:val="333333"/>
          <w:shd w:val="clear" w:color="auto" w:fill="FBFBFB"/>
        </w:rPr>
        <w:t>, '</w:t>
      </w:r>
      <w:r w:rsidRPr="00B30A01">
        <w:rPr>
          <w:rFonts w:cstheme="minorHAnsi"/>
          <w:color w:val="333333"/>
          <w:shd w:val="clear" w:color="auto" w:fill="FFFFFF"/>
        </w:rPr>
        <w:t>Astrology, modernity and the project of self-identity</w:t>
      </w:r>
      <w:r w:rsidRPr="00B30A01">
        <w:rPr>
          <w:rFonts w:cstheme="minorHAnsi"/>
          <w:color w:val="333333"/>
          <w:shd w:val="clear" w:color="auto" w:fill="FBFBFB"/>
        </w:rPr>
        <w:t>', </w:t>
      </w:r>
      <w:r w:rsidRPr="00B30A01">
        <w:rPr>
          <w:rFonts w:cstheme="minorHAnsi"/>
          <w:i/>
          <w:iCs/>
          <w:color w:val="333333"/>
          <w:shd w:val="clear" w:color="auto" w:fill="FFFFFF"/>
        </w:rPr>
        <w:t>Culture and Religion</w:t>
      </w:r>
      <w:r w:rsidRPr="00B30A01">
        <w:rPr>
          <w:rFonts w:cstheme="minorHAnsi"/>
          <w:color w:val="333333"/>
          <w:shd w:val="clear" w:color="auto" w:fill="FBFBFB"/>
        </w:rPr>
        <w:t>, 21. 3 (2020), 259-279 (p.260) &lt;</w:t>
      </w:r>
      <w:r w:rsidRPr="00B30A01">
        <w:rPr>
          <w:rFonts w:cstheme="minorHAnsi"/>
          <w:shd w:val="clear" w:color="auto" w:fill="FBFBFB"/>
        </w:rPr>
        <w:t>https://doi.org/10.1080/14755610.2022.2093234</w:t>
      </w:r>
      <w:r w:rsidRPr="00B30A01">
        <w:rPr>
          <w:rFonts w:cstheme="minorHAnsi"/>
          <w:color w:val="333333"/>
          <w:shd w:val="clear" w:color="auto" w:fill="FBFBFB"/>
        </w:rPr>
        <w:t>&gt;</w:t>
      </w:r>
    </w:p>
  </w:footnote>
  <w:footnote w:id="25">
    <w:p w14:paraId="7B0A41D9"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M. L . W. Laistner, 'The Western Church and Astrology during the Early Middle Ages', </w:t>
      </w:r>
      <w:r w:rsidRPr="00B30A01">
        <w:rPr>
          <w:rFonts w:cstheme="minorHAnsi"/>
          <w:i/>
          <w:iCs/>
          <w:color w:val="333333"/>
          <w:shd w:val="clear" w:color="auto" w:fill="FBFBFB"/>
        </w:rPr>
        <w:t>The Harvard Theological Review</w:t>
      </w:r>
      <w:r w:rsidRPr="00B30A01">
        <w:rPr>
          <w:rFonts w:cstheme="minorHAnsi"/>
          <w:color w:val="333333"/>
          <w:shd w:val="clear" w:color="auto" w:fill="FBFBFB"/>
        </w:rPr>
        <w:t>, 34.4 (1941), 251-275 (p. 254).</w:t>
      </w:r>
    </w:p>
  </w:footnote>
  <w:footnote w:id="26">
    <w:p w14:paraId="010FC016"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Theodore Otto Wedel, </w:t>
      </w:r>
      <w:r w:rsidRPr="00B30A01">
        <w:rPr>
          <w:rFonts w:cstheme="minorHAnsi"/>
          <w:i/>
          <w:iCs/>
          <w:color w:val="333333"/>
          <w:shd w:val="clear" w:color="auto" w:fill="FBFBFB"/>
        </w:rPr>
        <w:t>The Medieval Attitude Towards Astrology: Particularly England</w:t>
      </w:r>
      <w:r w:rsidRPr="00B30A01">
        <w:rPr>
          <w:rFonts w:cstheme="minorHAnsi"/>
          <w:color w:val="333333"/>
          <w:shd w:val="clear" w:color="auto" w:fill="FBFBFB"/>
        </w:rPr>
        <w:t>, (New Haven: Harvard University Press, 1920), p.16.</w:t>
      </w:r>
    </w:p>
  </w:footnote>
  <w:footnote w:id="27">
    <w:p w14:paraId="2FF022B7" w14:textId="77777777" w:rsidR="00585BB6" w:rsidRPr="00B30A01" w:rsidRDefault="00585BB6" w:rsidP="00585BB6">
      <w:pPr>
        <w:pStyle w:val="FootnoteText"/>
        <w:rPr>
          <w:sz w:val="18"/>
          <w:szCs w:val="18"/>
        </w:rPr>
      </w:pPr>
      <w:r w:rsidRPr="00B30A01">
        <w:rPr>
          <w:rStyle w:val="FootnoteReference"/>
          <w:rFonts w:cstheme="minorHAnsi"/>
        </w:rPr>
        <w:footnoteRef/>
      </w:r>
      <w:r w:rsidRPr="00B30A01">
        <w:rPr>
          <w:rFonts w:cstheme="minorHAnsi"/>
        </w:rPr>
        <w:t xml:space="preserve"> </w:t>
      </w:r>
      <w:r w:rsidRPr="00B30A01">
        <w:rPr>
          <w:rFonts w:cstheme="minorHAnsi"/>
          <w:color w:val="333333"/>
          <w:shd w:val="clear" w:color="auto" w:fill="FBFBFB"/>
        </w:rPr>
        <w:t>Michael. A. Ryan, </w:t>
      </w:r>
      <w:r w:rsidRPr="00B30A01">
        <w:rPr>
          <w:rFonts w:cstheme="minorHAnsi"/>
          <w:i/>
          <w:iCs/>
          <w:color w:val="333333"/>
          <w:shd w:val="clear" w:color="auto" w:fill="FBFBFB"/>
        </w:rPr>
        <w:t>A Kingdom of Stargazers: Astrology and Authority in the Late Medieval Crown of Aragon</w:t>
      </w:r>
      <w:r w:rsidRPr="00B30A01">
        <w:rPr>
          <w:rFonts w:cstheme="minorHAnsi"/>
          <w:color w:val="333333"/>
          <w:shd w:val="clear" w:color="auto" w:fill="FBFBFB"/>
        </w:rPr>
        <w:t>, (New York: Cornell University Press, 2011), p. 36.</w:t>
      </w:r>
    </w:p>
  </w:footnote>
  <w:footnote w:id="28">
    <w:p w14:paraId="74092C7A" w14:textId="77777777" w:rsidR="00585BB6" w:rsidRPr="00B30A01" w:rsidRDefault="00585BB6" w:rsidP="00585BB6">
      <w:pPr>
        <w:pStyle w:val="FootnoteText"/>
        <w:rPr>
          <w:rFonts w:cstheme="minorHAnsi"/>
        </w:rPr>
      </w:pPr>
      <w:r w:rsidRPr="00B30A01">
        <w:rPr>
          <w:rStyle w:val="FootnoteReference"/>
          <w:rFonts w:cstheme="minorHAnsi"/>
        </w:rPr>
        <w:footnoteRef/>
      </w:r>
      <w:r w:rsidRPr="00B30A01">
        <w:rPr>
          <w:rFonts w:cstheme="minorHAnsi"/>
        </w:rPr>
        <w:t xml:space="preserve"> </w:t>
      </w:r>
      <w:bookmarkStart w:id="12" w:name="_Hlk155118525"/>
      <w:r w:rsidRPr="00B30A01">
        <w:rPr>
          <w:rFonts w:cstheme="minorHAnsi"/>
          <w:color w:val="333333"/>
          <w:shd w:val="clear" w:color="auto" w:fill="FBFBFB"/>
        </w:rPr>
        <w:t>Alan Ouimet, </w:t>
      </w:r>
      <w:r w:rsidRPr="00B30A01">
        <w:rPr>
          <w:rFonts w:cstheme="minorHAnsi"/>
          <w:i/>
          <w:iCs/>
          <w:color w:val="333333"/>
          <w:shd w:val="clear" w:color="auto" w:fill="FBFBFB"/>
        </w:rPr>
        <w:t>The Condemnation of Astrology: The Secret Vatican Archives and Pope Sixtus V </w:t>
      </w:r>
      <w:r w:rsidRPr="00B30A01">
        <w:rPr>
          <w:rFonts w:cstheme="minorHAnsi"/>
          <w:color w:val="333333"/>
          <w:shd w:val="clear" w:color="auto" w:fill="FBFBFB"/>
        </w:rPr>
        <w:t xml:space="preserve">(2012) </w:t>
      </w:r>
      <w:r w:rsidRPr="00B30A01">
        <w:rPr>
          <w:rFonts w:cstheme="minorHAnsi"/>
          <w:color w:val="333333"/>
          <w:sz w:val="22"/>
          <w:szCs w:val="22"/>
          <w:shd w:val="clear" w:color="auto" w:fill="FBFBFB"/>
        </w:rPr>
        <w:t>&lt;</w:t>
      </w:r>
      <w:r w:rsidRPr="00B30A01">
        <w:rPr>
          <w:rFonts w:cstheme="minorHAnsi"/>
          <w:sz w:val="22"/>
          <w:szCs w:val="22"/>
        </w:rPr>
        <w:t xml:space="preserve"> </w:t>
      </w:r>
      <w:r w:rsidRPr="00B30A01">
        <w:rPr>
          <w:rFonts w:cstheme="minorHAnsi"/>
          <w:color w:val="333333"/>
          <w:shd w:val="clear" w:color="auto" w:fill="FBFBFB"/>
        </w:rPr>
        <w:t>https://www.academia.edu/12612787/The_Condemnation_of_Astrology_The_Secret_Vatican_Archives_and_Pope_Sixtus_V &gt; [accessed 4 December 2023].</w:t>
      </w:r>
      <w:bookmarkEnd w:id="12"/>
    </w:p>
  </w:footnote>
  <w:footnote w:id="29">
    <w:p w14:paraId="1EFC44D3" w14:textId="77777777" w:rsidR="00585BB6" w:rsidRPr="00B30A01" w:rsidRDefault="00585BB6" w:rsidP="00585BB6">
      <w:pPr>
        <w:pStyle w:val="FootnoteText"/>
        <w:rPr>
          <w:sz w:val="18"/>
          <w:szCs w:val="18"/>
        </w:rPr>
      </w:pPr>
      <w:r w:rsidRPr="00B30A01">
        <w:rPr>
          <w:rStyle w:val="FootnoteReference"/>
          <w:rFonts w:cstheme="minorHAnsi"/>
        </w:rPr>
        <w:footnoteRef/>
      </w:r>
      <w:r w:rsidRPr="00B30A01">
        <w:rPr>
          <w:rFonts w:cstheme="minorHAnsi"/>
        </w:rPr>
        <w:t xml:space="preserve"> </w:t>
      </w:r>
      <w:bookmarkStart w:id="13" w:name="_Hlk155119344"/>
      <w:r w:rsidRPr="00B30A01">
        <w:rPr>
          <w:rFonts w:cstheme="minorHAnsi"/>
          <w:color w:val="333333"/>
          <w:shd w:val="clear" w:color="auto" w:fill="FBFBFB"/>
        </w:rPr>
        <w:t>Stephen McCluskey and Clive Ruggles, </w:t>
      </w:r>
      <w:r w:rsidRPr="00B30A01">
        <w:rPr>
          <w:rFonts w:cstheme="minorHAnsi"/>
          <w:i/>
          <w:iCs/>
          <w:color w:val="333333"/>
          <w:shd w:val="clear" w:color="auto" w:fill="FBFBFB"/>
        </w:rPr>
        <w:t>Medieval astronomy in Europe</w:t>
      </w:r>
      <w:r w:rsidRPr="00B30A01">
        <w:rPr>
          <w:rFonts w:cstheme="minorHAnsi"/>
          <w:color w:val="333333"/>
          <w:shd w:val="clear" w:color="auto" w:fill="FBFBFB"/>
        </w:rPr>
        <w:t> (2017) &lt;</w:t>
      </w:r>
      <w:r w:rsidRPr="00B30A01">
        <w:rPr>
          <w:rFonts w:cstheme="minorHAnsi"/>
        </w:rPr>
        <w:t xml:space="preserve"> </w:t>
      </w:r>
      <w:r w:rsidRPr="00B30A01">
        <w:rPr>
          <w:rFonts w:cstheme="minorHAnsi"/>
          <w:color w:val="333333"/>
          <w:shd w:val="clear" w:color="auto" w:fill="FBFBFB"/>
        </w:rPr>
        <w:t>https://www3.astronomicalheritage.net/index.php/show-theme?idtheme=16 &gt; [accessed 3 December 2023].</w:t>
      </w:r>
      <w:bookmarkEnd w:id="13"/>
    </w:p>
  </w:footnote>
  <w:footnote w:id="30">
    <w:p w14:paraId="7064ECDC" w14:textId="77777777" w:rsidR="00B30A01" w:rsidRPr="00B30A01" w:rsidRDefault="00B30A01" w:rsidP="00B30A01">
      <w:pPr>
        <w:pStyle w:val="FootnoteText"/>
        <w:rPr>
          <w:rFonts w:cstheme="minorHAnsi"/>
        </w:rPr>
      </w:pPr>
      <w:r w:rsidRPr="00B30A01">
        <w:rPr>
          <w:rStyle w:val="FootnoteReference"/>
          <w:rFonts w:cstheme="minorHAnsi"/>
        </w:rPr>
        <w:footnoteRef/>
      </w:r>
      <w:r w:rsidRPr="00B30A01">
        <w:rPr>
          <w:rFonts w:cstheme="minorHAnsi"/>
        </w:rPr>
        <w:t xml:space="preserve"> </w:t>
      </w:r>
      <w:bookmarkStart w:id="14" w:name="_Hlk155291893"/>
      <w:r w:rsidRPr="00B30A01">
        <w:rPr>
          <w:rFonts w:cstheme="minorHAnsi"/>
          <w:color w:val="333333"/>
          <w:shd w:val="clear" w:color="auto" w:fill="FBFBFB"/>
        </w:rPr>
        <w:t>Chris A. Parker, </w:t>
      </w:r>
      <w:r w:rsidRPr="00B30A01">
        <w:rPr>
          <w:rFonts w:cstheme="minorHAnsi"/>
          <w:i/>
          <w:iCs/>
          <w:color w:val="333333"/>
          <w:shd w:val="clear" w:color="auto" w:fill="FBFBFB"/>
        </w:rPr>
        <w:t>Paganism in Medieval Europe </w:t>
      </w:r>
      <w:r w:rsidRPr="00B30A01">
        <w:rPr>
          <w:rFonts w:cstheme="minorHAnsi"/>
          <w:color w:val="333333"/>
          <w:shd w:val="clear" w:color="auto" w:fill="FBFBFB"/>
        </w:rPr>
        <w:t>(2023) &lt;</w:t>
      </w:r>
      <w:r w:rsidRPr="00B30A01">
        <w:rPr>
          <w:rFonts w:cstheme="minorHAnsi"/>
        </w:rPr>
        <w:t xml:space="preserve"> </w:t>
      </w:r>
      <w:r w:rsidRPr="00B30A01">
        <w:rPr>
          <w:rFonts w:cstheme="minorHAnsi"/>
          <w:color w:val="333333"/>
          <w:shd w:val="clear" w:color="auto" w:fill="FBFBFB"/>
        </w:rPr>
        <w:t>https://lightwarriorslegion.com/paganism-in-medieval-europe/&gt; [accessed 31 December 2023].</w:t>
      </w:r>
      <w:bookmarkEnd w:id="14"/>
    </w:p>
  </w:footnote>
  <w:footnote w:id="31">
    <w:p w14:paraId="6ADF9806" w14:textId="77777777" w:rsidR="00B30A01" w:rsidRPr="00B30A01" w:rsidRDefault="00B30A01" w:rsidP="00B30A01">
      <w:pPr>
        <w:pStyle w:val="FootnoteText"/>
        <w:rPr>
          <w:sz w:val="18"/>
          <w:szCs w:val="18"/>
        </w:rPr>
      </w:pPr>
      <w:r w:rsidRPr="00B30A01">
        <w:rPr>
          <w:rStyle w:val="FootnoteReference"/>
          <w:rFonts w:cstheme="minorHAnsi"/>
        </w:rPr>
        <w:footnoteRef/>
      </w:r>
      <w:r w:rsidRPr="00B30A01">
        <w:rPr>
          <w:rFonts w:cstheme="minorHAnsi"/>
        </w:rPr>
        <w:t xml:space="preserve"> </w:t>
      </w:r>
      <w:bookmarkStart w:id="15" w:name="_Hlk155293890"/>
      <w:r w:rsidRPr="00B30A01">
        <w:rPr>
          <w:rFonts w:cstheme="minorHAnsi"/>
          <w:shd w:val="clear" w:color="auto" w:fill="FFFFFF"/>
        </w:rPr>
        <w:t>Willemien Otten</w:t>
      </w:r>
      <w:r w:rsidRPr="00B30A01">
        <w:rPr>
          <w:rFonts w:cstheme="minorHAnsi"/>
          <w:color w:val="333333"/>
          <w:shd w:val="clear" w:color="auto" w:fill="FBFBFB"/>
        </w:rPr>
        <w:t>, '</w:t>
      </w:r>
      <w:r w:rsidRPr="00B30A01">
        <w:rPr>
          <w:rFonts w:cstheme="minorHAnsi"/>
          <w:color w:val="000000"/>
          <w:shd w:val="clear" w:color="auto" w:fill="FFFFFF"/>
        </w:rPr>
        <w:t>Christianity's Content: (Neo)Platonism in the Middle Ages, Its Theoretical and Theological Appeal</w:t>
      </w:r>
      <w:r w:rsidRPr="00B30A01">
        <w:rPr>
          <w:rFonts w:cstheme="minorHAnsi"/>
          <w:color w:val="333333"/>
          <w:shd w:val="clear" w:color="auto" w:fill="FBFBFB"/>
        </w:rPr>
        <w:t>', </w:t>
      </w:r>
      <w:r w:rsidRPr="00B30A01">
        <w:rPr>
          <w:rFonts w:cstheme="minorHAnsi"/>
          <w:i/>
          <w:iCs/>
          <w:color w:val="333333"/>
          <w:shd w:val="clear" w:color="auto" w:fill="FBFBFB"/>
        </w:rPr>
        <w:t>Numen</w:t>
      </w:r>
      <w:r w:rsidRPr="00B30A01">
        <w:rPr>
          <w:rFonts w:cstheme="minorHAnsi"/>
          <w:color w:val="333333"/>
          <w:shd w:val="clear" w:color="auto" w:fill="FBFBFB"/>
        </w:rPr>
        <w:t>, 63. Issue number (2016), 245-270 (p. 247).</w:t>
      </w:r>
      <w:bookmarkEnd w:id="15"/>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74DE4" w14:textId="5434F4E3"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1 of </w:t>
    </w:r>
    <w:r w:rsidR="00061EE5" w:rsidRPr="00B04DB9">
      <w:rPr>
        <w:rFonts w:asciiTheme="minorHAnsi" w:hAnsiTheme="minorHAnsi" w:cstheme="minorHAnsi"/>
      </w:rPr>
      <w:t>15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E5156" w14:textId="2DBDAC8C"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2 of </w:t>
    </w:r>
    <w:r w:rsidR="00061EE5" w:rsidRPr="00B04DB9">
      <w:rPr>
        <w:rFonts w:asciiTheme="minorHAnsi" w:hAnsiTheme="minorHAnsi" w:cstheme="minorHAnsi"/>
      </w:rPr>
      <w:t>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7B2AA" w14:textId="425672D7"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3 of </w:t>
    </w:r>
    <w:r w:rsidR="00061EE5" w:rsidRPr="00B04DB9">
      <w:rPr>
        <w:rFonts w:asciiTheme="minorHAnsi" w:hAnsiTheme="minorHAnsi" w:cstheme="minorHAnsi"/>
      </w:rPr>
      <w:t>15</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0C1BB" w14:textId="10E057F5"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4 of </w:t>
    </w:r>
    <w:r w:rsidR="00061EE5" w:rsidRPr="00B04DB9">
      <w:rPr>
        <w:rFonts w:asciiTheme="minorHAnsi" w:hAnsiTheme="minorHAnsi" w:cstheme="minorHAnsi"/>
      </w:rPr>
      <w:t>15</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00611" w14:textId="1E9B00AD"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5 of </w:t>
    </w:r>
    <w:r w:rsidR="00061EE5" w:rsidRPr="00B04DB9">
      <w:rPr>
        <w:rFonts w:asciiTheme="minorHAnsi" w:hAnsiTheme="minorHAnsi" w:cstheme="minorHAnsi"/>
      </w:rPr>
      <w:t>15</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A321C" w14:textId="02CDC039"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6 of </w:t>
    </w:r>
    <w:r w:rsidR="00061EE5" w:rsidRPr="00B04DB9">
      <w:rPr>
        <w:rFonts w:asciiTheme="minorHAnsi" w:hAnsiTheme="minorHAnsi" w:cstheme="minorHAnsi"/>
      </w:rPr>
      <w:t>15</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4FDDC" w14:textId="096C7B82"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7 of </w:t>
    </w:r>
    <w:r w:rsidR="00061EE5" w:rsidRPr="00B04DB9">
      <w:rPr>
        <w:rFonts w:asciiTheme="minorHAnsi" w:hAnsiTheme="minorHAnsi" w:cstheme="minorHAnsi"/>
      </w:rPr>
      <w:t>15</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ED2F5" w14:textId="635A022C"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8 of </w:t>
    </w:r>
    <w:r w:rsidR="00B30A01" w:rsidRPr="00B04DB9">
      <w:rPr>
        <w:rFonts w:asciiTheme="minorHAnsi" w:hAnsiTheme="minorHAnsi" w:cstheme="minorHAnsi"/>
      </w:rPr>
      <w:t>15</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C4F63" w14:textId="17B68B35" w:rsidR="00585BB6"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585BB6" w:rsidRPr="00B04DB9">
      <w:rPr>
        <w:rFonts w:asciiTheme="minorHAnsi" w:hAnsiTheme="minorHAnsi" w:cstheme="minorHAnsi"/>
      </w:rPr>
      <w:t xml:space="preserve">Page 9 of </w:t>
    </w:r>
    <w:r w:rsidR="00B30A01" w:rsidRPr="00B04DB9">
      <w:rPr>
        <w:rFonts w:asciiTheme="minorHAnsi" w:hAnsiTheme="minorHAnsi" w:cstheme="minorHAnsi"/>
      </w:rPr>
      <w:t>15</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8D19F" w14:textId="6B3E63DA" w:rsidR="00B30A01"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B30A01" w:rsidRPr="00B04DB9">
      <w:rPr>
        <w:rFonts w:asciiTheme="minorHAnsi" w:hAnsiTheme="minorHAnsi" w:cstheme="minorHAnsi"/>
      </w:rPr>
      <w:t>Page 10 of 15</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69339" w14:textId="3F4BB939" w:rsidR="00B30A01"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B30A01" w:rsidRPr="00B04DB9">
      <w:rPr>
        <w:rFonts w:asciiTheme="minorHAnsi" w:hAnsiTheme="minorHAnsi" w:cstheme="minorHAnsi"/>
      </w:rPr>
      <w:t>Page 11 of 15</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88E86" w14:textId="1E0AA04D" w:rsidR="00B30A01"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B30A01" w:rsidRPr="00B04DB9">
      <w:rPr>
        <w:rFonts w:asciiTheme="minorHAnsi" w:hAnsiTheme="minorHAnsi" w:cstheme="minorHAnsi"/>
      </w:rPr>
      <w:t xml:space="preserve">Page 12 of </w:t>
    </w:r>
    <w:r w:rsidR="00B30A01" w:rsidRPr="00B04DB9">
      <w:rPr>
        <w:rFonts w:asciiTheme="minorHAnsi" w:hAnsiTheme="minorHAnsi" w:cstheme="minorHAnsi"/>
      </w:rPr>
      <w:t>15</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C3599" w14:textId="6CD2360D" w:rsidR="00B30A01"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B30A01" w:rsidRPr="00B04DB9">
      <w:rPr>
        <w:rFonts w:asciiTheme="minorHAnsi" w:hAnsiTheme="minorHAnsi" w:cstheme="minorHAnsi"/>
      </w:rPr>
      <w:t>Page 1</w:t>
    </w:r>
    <w:r w:rsidR="00B30A01" w:rsidRPr="00B04DB9">
      <w:rPr>
        <w:rFonts w:asciiTheme="minorHAnsi" w:hAnsiTheme="minorHAnsi" w:cstheme="minorHAnsi"/>
      </w:rPr>
      <w:t>3</w:t>
    </w:r>
    <w:r w:rsidR="00B30A01" w:rsidRPr="00B04DB9">
      <w:rPr>
        <w:rFonts w:asciiTheme="minorHAnsi" w:hAnsiTheme="minorHAnsi" w:cstheme="minorHAnsi"/>
      </w:rPr>
      <w:t xml:space="preserve"> of </w:t>
    </w:r>
    <w:r w:rsidR="00B30A01" w:rsidRPr="00B04DB9">
      <w:rPr>
        <w:rFonts w:asciiTheme="minorHAnsi" w:hAnsiTheme="minorHAnsi" w:cstheme="minorHAnsi"/>
      </w:rPr>
      <w:t>15</w: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F4CC1" w14:textId="19B34E18" w:rsidR="00B30A01"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B30A01" w:rsidRPr="00B04DB9">
      <w:rPr>
        <w:rFonts w:asciiTheme="minorHAnsi" w:hAnsiTheme="minorHAnsi" w:cstheme="minorHAnsi"/>
      </w:rPr>
      <w:t>Page 1</w:t>
    </w:r>
    <w:r w:rsidR="00B30A01" w:rsidRPr="00B04DB9">
      <w:rPr>
        <w:rFonts w:asciiTheme="minorHAnsi" w:hAnsiTheme="minorHAnsi" w:cstheme="minorHAnsi"/>
      </w:rPr>
      <w:t>4</w:t>
    </w:r>
    <w:r w:rsidR="00B30A01" w:rsidRPr="00B04DB9">
      <w:rPr>
        <w:rFonts w:asciiTheme="minorHAnsi" w:hAnsiTheme="minorHAnsi" w:cstheme="minorHAnsi"/>
      </w:rPr>
      <w:t xml:space="preserve"> of </w:t>
    </w:r>
    <w:r w:rsidR="00B30A01" w:rsidRPr="00B04DB9">
      <w:rPr>
        <w:rFonts w:asciiTheme="minorHAnsi" w:hAnsiTheme="minorHAnsi" w:cstheme="minorHAnsi"/>
      </w:rPr>
      <w:t>15</w: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785BF" w14:textId="770962B4" w:rsidR="00B30A01" w:rsidRPr="00B04DB9" w:rsidRDefault="00B04DB9" w:rsidP="00B04DB9">
    <w:pPr>
      <w:pStyle w:val="Header"/>
      <w:rPr>
        <w:rFonts w:asciiTheme="minorHAnsi" w:hAnsiTheme="minorHAnsi" w:cstheme="minorHAnsi"/>
      </w:rPr>
    </w:pPr>
    <w:r w:rsidRPr="00B04DB9">
      <w:rPr>
        <w:rFonts w:asciiTheme="minorHAnsi" w:hAnsiTheme="minorHAnsi" w:cstheme="minorHAnsi"/>
        <w:lang w:val="en-US"/>
      </w:rPr>
      <w:t xml:space="preserve">Sophie Amos 2210733                                                                                      </w:t>
    </w:r>
    <w:r w:rsidR="00B30A01" w:rsidRPr="00B04DB9">
      <w:rPr>
        <w:rFonts w:asciiTheme="minorHAnsi" w:hAnsiTheme="minorHAnsi" w:cstheme="minorHAnsi"/>
      </w:rPr>
      <w:t>Page 15 of 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822"/>
    <w:rsid w:val="0004240F"/>
    <w:rsid w:val="00061EE5"/>
    <w:rsid w:val="000A1822"/>
    <w:rsid w:val="0011212F"/>
    <w:rsid w:val="00191D7D"/>
    <w:rsid w:val="001B2544"/>
    <w:rsid w:val="001B4656"/>
    <w:rsid w:val="00212A18"/>
    <w:rsid w:val="00276C5C"/>
    <w:rsid w:val="00293456"/>
    <w:rsid w:val="003A57DD"/>
    <w:rsid w:val="004363A9"/>
    <w:rsid w:val="00475A47"/>
    <w:rsid w:val="004F0DDD"/>
    <w:rsid w:val="005036CA"/>
    <w:rsid w:val="005734E8"/>
    <w:rsid w:val="0058272F"/>
    <w:rsid w:val="00585BB6"/>
    <w:rsid w:val="00593870"/>
    <w:rsid w:val="005C3CEF"/>
    <w:rsid w:val="00616F96"/>
    <w:rsid w:val="006268F1"/>
    <w:rsid w:val="0062746B"/>
    <w:rsid w:val="006708D5"/>
    <w:rsid w:val="0067245F"/>
    <w:rsid w:val="0067665C"/>
    <w:rsid w:val="006C337A"/>
    <w:rsid w:val="007A2E0E"/>
    <w:rsid w:val="007B5115"/>
    <w:rsid w:val="00804328"/>
    <w:rsid w:val="00862BC2"/>
    <w:rsid w:val="00890C8A"/>
    <w:rsid w:val="00A23660"/>
    <w:rsid w:val="00A44BFE"/>
    <w:rsid w:val="00A8499B"/>
    <w:rsid w:val="00B04DB9"/>
    <w:rsid w:val="00B2499D"/>
    <w:rsid w:val="00B30A01"/>
    <w:rsid w:val="00B80F26"/>
    <w:rsid w:val="00C36D22"/>
    <w:rsid w:val="00C51FB6"/>
    <w:rsid w:val="00C9502D"/>
    <w:rsid w:val="00CB0459"/>
    <w:rsid w:val="00CC5538"/>
    <w:rsid w:val="00D25C5E"/>
    <w:rsid w:val="00D524F7"/>
    <w:rsid w:val="00E30F03"/>
    <w:rsid w:val="00FA6765"/>
    <w:rsid w:val="00FE59B4"/>
    <w:rsid w:val="00FE6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79BAB"/>
  <w15:chartTrackingRefBased/>
  <w15:docId w15:val="{798ACAF4-EFE1-48E0-826B-007389195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822"/>
    <w:pPr>
      <w:spacing w:after="0" w:line="240" w:lineRule="auto"/>
    </w:pPr>
    <w:rPr>
      <w:rFonts w:ascii="Times New Roman" w:eastAsia="SimSun" w:hAnsi="Times New Roman" w:cs="Times New Roman"/>
      <w:kern w:val="0"/>
      <w:sz w:val="24"/>
      <w:szCs w:val="24"/>
      <w:lang w:eastAsia="zh-CN"/>
      <w14:ligatures w14:val="none"/>
    </w:rPr>
  </w:style>
  <w:style w:type="paragraph" w:styleId="Heading3">
    <w:name w:val="heading 3"/>
    <w:basedOn w:val="Normal"/>
    <w:link w:val="Heading3Char"/>
    <w:qFormat/>
    <w:rsid w:val="000A1822"/>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0A1822"/>
    <w:rPr>
      <w:rFonts w:ascii="Tahoma" w:eastAsia="SimSun" w:hAnsi="Tahoma" w:cs="Tahoma"/>
      <w:b/>
      <w:bCs/>
      <w:kern w:val="0"/>
      <w:sz w:val="20"/>
      <w:szCs w:val="20"/>
      <w:lang w:eastAsia="zh-CN"/>
      <w14:ligatures w14:val="none"/>
    </w:rPr>
  </w:style>
  <w:style w:type="paragraph" w:styleId="NormalWeb">
    <w:name w:val="Normal (Web)"/>
    <w:basedOn w:val="Normal"/>
    <w:uiPriority w:val="99"/>
    <w:rsid w:val="000A1822"/>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0A1822"/>
    <w:pPr>
      <w:tabs>
        <w:tab w:val="center" w:pos="4513"/>
        <w:tab w:val="right" w:pos="9026"/>
      </w:tabs>
    </w:pPr>
    <w:rPr>
      <w:lang w:val="x-none"/>
    </w:rPr>
  </w:style>
  <w:style w:type="character" w:customStyle="1" w:styleId="FooterChar">
    <w:name w:val="Footer Char"/>
    <w:basedOn w:val="DefaultParagraphFont"/>
    <w:link w:val="Footer"/>
    <w:uiPriority w:val="99"/>
    <w:rsid w:val="000A1822"/>
    <w:rPr>
      <w:rFonts w:ascii="Times New Roman" w:eastAsia="SimSun" w:hAnsi="Times New Roman" w:cs="Times New Roman"/>
      <w:kern w:val="0"/>
      <w:sz w:val="24"/>
      <w:szCs w:val="24"/>
      <w:lang w:val="x-none" w:eastAsia="zh-CN"/>
      <w14:ligatures w14:val="none"/>
    </w:rPr>
  </w:style>
  <w:style w:type="paragraph" w:styleId="FootnoteText">
    <w:name w:val="footnote text"/>
    <w:basedOn w:val="Normal"/>
    <w:link w:val="FootnoteTextChar"/>
    <w:uiPriority w:val="99"/>
    <w:unhideWhenUsed/>
    <w:rsid w:val="007A2E0E"/>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rsid w:val="007A2E0E"/>
    <w:rPr>
      <w:sz w:val="20"/>
      <w:szCs w:val="20"/>
    </w:rPr>
  </w:style>
  <w:style w:type="character" w:styleId="FootnoteReference">
    <w:name w:val="footnote reference"/>
    <w:basedOn w:val="DefaultParagraphFont"/>
    <w:uiPriority w:val="99"/>
    <w:unhideWhenUsed/>
    <w:rsid w:val="007A2E0E"/>
    <w:rPr>
      <w:vertAlign w:val="superscript"/>
    </w:rPr>
  </w:style>
  <w:style w:type="character" w:customStyle="1" w:styleId="separator">
    <w:name w:val="separator"/>
    <w:basedOn w:val="DefaultParagraphFont"/>
    <w:rsid w:val="005734E8"/>
  </w:style>
  <w:style w:type="character" w:styleId="Hyperlink">
    <w:name w:val="Hyperlink"/>
    <w:basedOn w:val="DefaultParagraphFont"/>
    <w:uiPriority w:val="99"/>
    <w:semiHidden/>
    <w:unhideWhenUsed/>
    <w:rsid w:val="005734E8"/>
    <w:rPr>
      <w:color w:val="0000FF"/>
      <w:u w:val="single"/>
    </w:rPr>
  </w:style>
  <w:style w:type="character" w:styleId="Emphasis">
    <w:name w:val="Emphasis"/>
    <w:basedOn w:val="DefaultParagraphFont"/>
    <w:uiPriority w:val="20"/>
    <w:qFormat/>
    <w:rsid w:val="00FE59B4"/>
    <w:rPr>
      <w:i/>
      <w:iCs/>
    </w:rPr>
  </w:style>
  <w:style w:type="paragraph" w:styleId="ListParagraph">
    <w:name w:val="List Paragraph"/>
    <w:basedOn w:val="Normal"/>
    <w:uiPriority w:val="34"/>
    <w:qFormat/>
    <w:rsid w:val="00585BB6"/>
    <w:pPr>
      <w:ind w:left="720"/>
      <w:contextualSpacing/>
    </w:pPr>
    <w:rPr>
      <w:rFonts w:eastAsia="Times New Roman"/>
      <w:sz w:val="20"/>
      <w:szCs w:val="20"/>
      <w:lang w:eastAsia="en-GB"/>
    </w:rPr>
  </w:style>
  <w:style w:type="paragraph" w:styleId="Header">
    <w:name w:val="header"/>
    <w:basedOn w:val="Normal"/>
    <w:link w:val="HeaderChar"/>
    <w:uiPriority w:val="99"/>
    <w:unhideWhenUsed/>
    <w:rsid w:val="00585BB6"/>
    <w:pPr>
      <w:tabs>
        <w:tab w:val="center" w:pos="4513"/>
        <w:tab w:val="right" w:pos="9026"/>
      </w:tabs>
    </w:pPr>
  </w:style>
  <w:style w:type="character" w:customStyle="1" w:styleId="HeaderChar">
    <w:name w:val="Header Char"/>
    <w:basedOn w:val="DefaultParagraphFont"/>
    <w:link w:val="Header"/>
    <w:uiPriority w:val="99"/>
    <w:rsid w:val="00585BB6"/>
    <w:rPr>
      <w:rFonts w:ascii="Times New Roman" w:eastAsia="SimSu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5.xml"/><Relationship Id="rId18" Type="http://schemas.openxmlformats.org/officeDocument/2006/relationships/header" Target="header10.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eader" Target="header13.xml"/><Relationship Id="rId7" Type="http://schemas.openxmlformats.org/officeDocument/2006/relationships/image" Target="media/image1.jpeg"/><Relationship Id="rId12" Type="http://schemas.openxmlformats.org/officeDocument/2006/relationships/header" Target="header4.xml"/><Relationship Id="rId17" Type="http://schemas.openxmlformats.org/officeDocument/2006/relationships/header" Target="header9.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8.xml"/><Relationship Id="rId20"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eader" Target="header15.xml"/><Relationship Id="rId5" Type="http://schemas.openxmlformats.org/officeDocument/2006/relationships/footnotes" Target="footnotes.xml"/><Relationship Id="rId15" Type="http://schemas.openxmlformats.org/officeDocument/2006/relationships/header" Target="header7.xml"/><Relationship Id="rId23"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header" Target="header1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eader" Target="header6.xml"/><Relationship Id="rId22" Type="http://schemas.openxmlformats.org/officeDocument/2006/relationships/header" Target="header1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6E336-BB8D-417C-8DE6-D91143310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18</Pages>
  <Words>4448</Words>
  <Characters>25360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Amos</dc:creator>
  <cp:keywords/>
  <dc:description/>
  <cp:lastModifiedBy>Sophie Amos</cp:lastModifiedBy>
  <cp:revision>8</cp:revision>
  <dcterms:created xsi:type="dcterms:W3CDTF">2023-11-21T17:30:00Z</dcterms:created>
  <dcterms:modified xsi:type="dcterms:W3CDTF">2024-01-04T21:32:00Z</dcterms:modified>
</cp:coreProperties>
</file>