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BD409B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320DC" w:rsidRPr="005320DC">
              <w:rPr>
                <w:bCs/>
                <w:color w:val="auto"/>
                <w:sz w:val="32"/>
              </w:rPr>
              <w:t>Christian Coomer</w:t>
            </w:r>
            <w:r w:rsidR="005320DC">
              <w:rPr>
                <w:b/>
                <w:color w:val="auto"/>
                <w:sz w:val="32"/>
              </w:rPr>
              <w:t xml:space="preserv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058D5BA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320DC">
              <w:rPr>
                <w:b/>
                <w:color w:val="auto"/>
                <w:sz w:val="32"/>
              </w:rPr>
              <w:t xml:space="preserve"> </w:t>
            </w:r>
            <w:r w:rsidR="005320DC" w:rsidRPr="005320DC">
              <w:rPr>
                <w:bCs/>
                <w:color w:val="auto"/>
                <w:sz w:val="32"/>
              </w:rPr>
              <w:t>1918603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31856DE5">
        <w:rPr>
          <w:rFonts w:eastAsia="Arial"/>
          <w:color w:val="000000" w:themeColor="text1"/>
          <w:sz w:val="24"/>
          <w:szCs w:val="24"/>
        </w:rPr>
        <w:t>particular book</w:t>
      </w:r>
      <w:proofErr w:type="gramEnd"/>
      <w:r w:rsidRPr="31856DE5">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71E154F" w14:textId="36ACF1A4" w:rsidR="31856DE5" w:rsidRDefault="002359B2"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 xml:space="preserve">You should use this </w:t>
      </w:r>
      <w:proofErr w:type="gramStart"/>
      <w:r w:rsidRPr="1DD1DFEA">
        <w:rPr>
          <w:rFonts w:eastAsia="Arial"/>
          <w:i/>
          <w:iCs/>
          <w:color w:val="000000" w:themeColor="text1"/>
          <w:sz w:val="24"/>
          <w:szCs w:val="24"/>
        </w:rPr>
        <w:t>particular document</w:t>
      </w:r>
      <w:proofErr w:type="gramEnd"/>
      <w:r w:rsidRPr="1DD1DFEA">
        <w:rPr>
          <w:rFonts w:eastAsia="Arial"/>
          <w:i/>
          <w:iCs/>
          <w:color w:val="000000" w:themeColor="text1"/>
          <w:sz w:val="24"/>
          <w:szCs w:val="24"/>
        </w:rPr>
        <w:t xml:space="preserve">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16743E31"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As a police officer, my actions are accountable to the public. The code of ethics (2014) sets out the public standards that are expected of me and fellow officers. Organisational justice has a direct impact on officers’ engagement with the organisational and ethical policing (Quinton et al 2015). Therefore, it is important that I recognise organisational justice within my organisation and its effect directly on me as we all have a part to play in ensuring a sense of fairness and holding each other to account resulting in ethical policing. I will look at how my force promotes organisational justice and using Driscoll’s reflective model (2007) reflect how I feel that impacts on me. </w:t>
      </w:r>
    </w:p>
    <w:p w14:paraId="04829ACC"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Research indicates good organisational justice has a positive impact on behaviours and values of police officers resulting in ethical decision making and valuing the public. Public who feel valued are more likely to be open with the police having a positive impact on the self-legitimacy of an officer and so further reinforcing ethical behaviour (Quinton et al 2015). I get the most satisfaction from incidents when I feel connected and trusted by a member of the public and am more inclined to go the extra mile to help in those situations and can see how this increases my personal feeling of self-legitimacy. </w:t>
      </w:r>
    </w:p>
    <w:p w14:paraId="2179320B"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An inspection by HM Inspectorate of Constabulary and Fire &amp; Rescue Services (HMICFRS) (2017) of Gwent Force was graded good at treating the workforce fairly and respectfully, ensuring ethical behaviour. There were many practical examples of how Gwent promotes staff wellbeing and engagement to ensure organisational justice and promote ethical awareness: Staff engagement and information sharing using the intranet such as ‘Ask the Chief ‘with a personal response to all queries, ‘Chiefs Blog’ which sets out his expectations for staff and feedback actions from ‘Time to listen’ meetings where staff can raise concerns. The force intranet also feedback actions in response to the annual staff survey so staff can see their voice is heard. There are ethical dilemma discussions using simulated, hypothetical scenarios which I have taken part in and found to be useful, not only making me think but also seeing how my colleagues think and would act.  There is an effective </w:t>
      </w:r>
      <w:r w:rsidRPr="005320DC">
        <w:rPr>
          <w:rFonts w:eastAsia="Calibri"/>
          <w:color w:val="auto"/>
          <w:sz w:val="24"/>
          <w:szCs w:val="24"/>
          <w:lang w:eastAsia="en-US"/>
        </w:rPr>
        <w:lastRenderedPageBreak/>
        <w:t>health and wellbeing strategy with training for supervisors in supporting staff positively impacting sickness figures, a robust ethics committee that helps addressing changes in an ethical manner and accessible policies and procedures that are scrutinised by the ethics committee and are respectful of equality and embed the code of ethics.</w:t>
      </w:r>
    </w:p>
    <w:p w14:paraId="418190BC"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I had not really considered how I felt organisational justice applied to me, probably as I feel that I am treated fairly and that my immediate team seem to have the same standards as myself. I always feel we pull together as a team, supporting each other. The rolling shift rota has always enabled me to balance homelife and childcare. </w:t>
      </w:r>
    </w:p>
    <w:p w14:paraId="229A53BE"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I think that my sense of fairness stems from my direct management by my shift sergeant. (Quinton et al 2015) state that fair leadership that makes staff feel valued and able to be open and honest and involve staff in decision making is vital to good organisational justice. The allocation of crimes and prisoner handling are managed by him, and I feel workloads are distributed equitably amongst members of my shift except for more complex incidents which are often given to more senior members of the shift to progress. He often conducts one to one </w:t>
      </w:r>
      <w:proofErr w:type="gramStart"/>
      <w:r w:rsidRPr="005320DC">
        <w:rPr>
          <w:rFonts w:eastAsia="Calibri"/>
          <w:color w:val="auto"/>
          <w:sz w:val="24"/>
          <w:szCs w:val="24"/>
          <w:lang w:eastAsia="en-US"/>
        </w:rPr>
        <w:t>sittings</w:t>
      </w:r>
      <w:proofErr w:type="gramEnd"/>
      <w:r w:rsidRPr="005320DC">
        <w:rPr>
          <w:rFonts w:eastAsia="Calibri"/>
          <w:color w:val="auto"/>
          <w:sz w:val="24"/>
          <w:szCs w:val="24"/>
          <w:lang w:eastAsia="en-US"/>
        </w:rPr>
        <w:t xml:space="preserve"> to discuss workload’s and wellbeing. These are informal and provide me with opportunities to question areas of work that I have been unsure about encouraging me to think about how I apply discretion. On the other hand, I feel that my inspector micro-manages and often seems to be involved where he does not need to be. However, leadership in policing is complex as it requires both a command style of leadership and a style that fosters participation (Campbell &amp; </w:t>
      </w:r>
      <w:proofErr w:type="spellStart"/>
      <w:r w:rsidRPr="005320DC">
        <w:rPr>
          <w:rFonts w:eastAsia="Calibri"/>
          <w:color w:val="auto"/>
          <w:sz w:val="24"/>
          <w:szCs w:val="24"/>
          <w:lang w:eastAsia="en-US"/>
        </w:rPr>
        <w:t>Kodz</w:t>
      </w:r>
      <w:proofErr w:type="spellEnd"/>
      <w:r w:rsidRPr="005320DC">
        <w:rPr>
          <w:rFonts w:eastAsia="Calibri"/>
          <w:color w:val="auto"/>
          <w:sz w:val="24"/>
          <w:szCs w:val="24"/>
          <w:lang w:eastAsia="en-US"/>
        </w:rPr>
        <w:t xml:space="preserve"> 2011) so on consideration I feel that between my inspector and sergeant that they fulfil this requirement giving a balance to the shift. I do have a mixed personal perspective of the impact of organisational justice within the wider team at my station as there are five response teams in total under the inspector, each with different sergeants. I have seen a totally different management style with another sergeant who is completely opposite in nature to my own. He tends to protect his own shift by not accepting jobs that are passed on and deferring complex incidents to other shifts. This keeps his own shift happy but causes bad feeling amongst other shifts. Sometimes I feel it would be nice to be on his protected shift, however from a personal stance I do not feel I could justify not tackling some jobs as they happen.</w:t>
      </w:r>
    </w:p>
    <w:p w14:paraId="158B5287"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 xml:space="preserve">In the year with my station, I have not taken part in a staff survey and was not aware they existed until now. Looking at the HMICRS report I have become aware of routes that are available to me to have my say. While I can informally voice my concerns to my current </w:t>
      </w:r>
      <w:proofErr w:type="gramStart"/>
      <w:r w:rsidRPr="005320DC">
        <w:rPr>
          <w:rFonts w:eastAsia="Calibri"/>
          <w:color w:val="auto"/>
          <w:sz w:val="24"/>
          <w:szCs w:val="24"/>
          <w:lang w:eastAsia="en-US"/>
        </w:rPr>
        <w:t>sergeant</w:t>
      </w:r>
      <w:proofErr w:type="gramEnd"/>
      <w:r w:rsidRPr="005320DC">
        <w:rPr>
          <w:rFonts w:eastAsia="Calibri"/>
          <w:color w:val="auto"/>
          <w:sz w:val="24"/>
          <w:szCs w:val="24"/>
          <w:lang w:eastAsia="en-US"/>
        </w:rPr>
        <w:t xml:space="preserve"> I may end up in the future with a different sergeant who I cannot be so open to. Due to the volume of my workload and studying I only focus on emails that directly relate to jobs and study and tend to delete other seemingly irrelevant emails that are predominantly bulletins. Asking colleagues, I now realise I may be deleting opportunities that may contain survey links or chances to feedback my thoughts. Having previously had a long military background I always felt that I had to accept things as they were and that as a unit we were not usually asked for opinions and doing so singled you out.</w:t>
      </w:r>
    </w:p>
    <w:p w14:paraId="1CE9C8DB"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lastRenderedPageBreak/>
        <w:t>I am conscious I am a new officer and things that may just niggle me now might have a negative impact over time so I should look at how I can voice niggles constructively. Moving forwards, I will actively look for those feedback channels, continuing to use the informal routes I am already using, but also looking for the formal routes such as staff surveys. Although I feel at a personal level that the organisation supports me to make ethical decisions and I do not have a negative attitude, it is my opportunity to provide a view on what does work for me and hopefully build a picture of how the Force can continue to promote a good sense of organisational justice with a positive impact on ensuring ethics is at the centre of all decisions.</w:t>
      </w:r>
    </w:p>
    <w:p w14:paraId="42C1CA77" w14:textId="77777777" w:rsidR="005320DC" w:rsidRPr="005320DC" w:rsidRDefault="005320DC" w:rsidP="005320DC">
      <w:pPr>
        <w:overflowPunct/>
        <w:autoSpaceDE/>
        <w:autoSpaceDN/>
        <w:adjustRightInd/>
        <w:spacing w:after="160" w:line="259" w:lineRule="auto"/>
        <w:textAlignment w:val="auto"/>
        <w:rPr>
          <w:rFonts w:eastAsia="Calibri"/>
          <w:color w:val="auto"/>
          <w:sz w:val="24"/>
          <w:szCs w:val="24"/>
          <w:lang w:eastAsia="en-US"/>
        </w:rPr>
      </w:pPr>
      <w:r w:rsidRPr="005320DC">
        <w:rPr>
          <w:rFonts w:eastAsia="Calibri"/>
          <w:color w:val="auto"/>
          <w:sz w:val="24"/>
          <w:szCs w:val="24"/>
          <w:lang w:eastAsia="en-US"/>
        </w:rPr>
        <w:t>Word count 1099</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0D56BEE9" w:rsidR="00450C83" w:rsidRPr="00270EEB" w:rsidRDefault="00450C83" w:rsidP="005320DC">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77777777"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r w:rsidRPr="5B63D80E">
        <w:rPr>
          <w:b/>
          <w:bCs/>
          <w:color w:val="auto"/>
          <w:sz w:val="24"/>
          <w:szCs w:val="24"/>
        </w:rPr>
        <w:t> </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C625E48" w14:textId="77777777" w:rsidR="005320DC" w:rsidRPr="005320DC" w:rsidRDefault="005320DC" w:rsidP="005320DC">
      <w:pPr>
        <w:rPr>
          <w:sz w:val="24"/>
          <w:szCs w:val="24"/>
        </w:rPr>
      </w:pPr>
      <w:r w:rsidRPr="005320DC">
        <w:rPr>
          <w:sz w:val="24"/>
          <w:szCs w:val="24"/>
        </w:rPr>
        <w:t>I will reflect on an incident whereby late one evening, I was dispatched to a street where several residents reporting loud bangs followed by voices screaming. The incident required me to consider a multi-agency approach to action the situation for the best result.</w:t>
      </w:r>
    </w:p>
    <w:p w14:paraId="44C7D8AE" w14:textId="77777777" w:rsidR="005320DC" w:rsidRPr="005320DC" w:rsidRDefault="005320DC" w:rsidP="005320DC">
      <w:pPr>
        <w:rPr>
          <w:sz w:val="24"/>
          <w:szCs w:val="24"/>
        </w:rPr>
      </w:pPr>
    </w:p>
    <w:p w14:paraId="41D073F6" w14:textId="77777777" w:rsidR="005320DC" w:rsidRPr="005320DC" w:rsidRDefault="005320DC" w:rsidP="005320DC">
      <w:pPr>
        <w:rPr>
          <w:sz w:val="24"/>
          <w:szCs w:val="24"/>
        </w:rPr>
      </w:pPr>
      <w:r w:rsidRPr="005320DC">
        <w:rPr>
          <w:sz w:val="24"/>
          <w:szCs w:val="24"/>
        </w:rPr>
        <w:t xml:space="preserve">Working within the National Decision Model framework (NDM) (College of Policing 2014) I began to gather information and intelligence, asking the operator for more information, they were unable to tell me where the screaming was coming from or who was involved. With information limited I went to the second stage of the NDM: ‘Assessing Threat and Developing a Working Strategy’. Being single crewed I requested another unit to assist as the situation was unknown and potentially dangerous. </w:t>
      </w:r>
    </w:p>
    <w:p w14:paraId="74FD7BA8" w14:textId="77777777" w:rsidR="005320DC" w:rsidRPr="005320DC" w:rsidRDefault="005320DC" w:rsidP="005320DC">
      <w:pPr>
        <w:rPr>
          <w:sz w:val="24"/>
          <w:szCs w:val="24"/>
        </w:rPr>
      </w:pPr>
    </w:p>
    <w:p w14:paraId="3B7DCD53" w14:textId="77777777" w:rsidR="005320DC" w:rsidRPr="005320DC" w:rsidRDefault="005320DC" w:rsidP="005320DC">
      <w:pPr>
        <w:rPr>
          <w:sz w:val="24"/>
          <w:szCs w:val="24"/>
        </w:rPr>
      </w:pPr>
      <w:r w:rsidRPr="005320DC">
        <w:rPr>
          <w:sz w:val="24"/>
          <w:szCs w:val="24"/>
        </w:rPr>
        <w:t xml:space="preserve">I planned to start a dynamic risk assessment of the situation once on the scene, however on arrival all was silent. It was nearly midnight. With no apparent immediate threat, risk or harm, I went back to the first stage of the NDM, to gather information. I spoke with one caller to establish the general area of the noises and walked that way. </w:t>
      </w:r>
    </w:p>
    <w:p w14:paraId="643AB534" w14:textId="77777777" w:rsidR="005320DC" w:rsidRPr="005320DC" w:rsidRDefault="005320DC" w:rsidP="005320DC">
      <w:pPr>
        <w:rPr>
          <w:sz w:val="24"/>
          <w:szCs w:val="24"/>
        </w:rPr>
      </w:pPr>
    </w:p>
    <w:p w14:paraId="3B4673BE" w14:textId="77777777" w:rsidR="005320DC" w:rsidRPr="005320DC" w:rsidRDefault="005320DC" w:rsidP="005320DC">
      <w:pPr>
        <w:rPr>
          <w:sz w:val="24"/>
          <w:szCs w:val="24"/>
        </w:rPr>
      </w:pPr>
      <w:r w:rsidRPr="005320DC">
        <w:rPr>
          <w:sz w:val="24"/>
          <w:szCs w:val="24"/>
        </w:rPr>
        <w:t xml:space="preserve">I found an address with lights on and the front door wide open. In the front garden was a boy approximately 5 years old, shivering and wearing shorts. I remember looking down at his feet which were black with dirt! </w:t>
      </w:r>
    </w:p>
    <w:p w14:paraId="18D3106D" w14:textId="77777777" w:rsidR="005320DC" w:rsidRPr="005320DC" w:rsidRDefault="005320DC" w:rsidP="005320DC">
      <w:pPr>
        <w:rPr>
          <w:sz w:val="24"/>
          <w:szCs w:val="24"/>
        </w:rPr>
      </w:pPr>
    </w:p>
    <w:p w14:paraId="7429D540" w14:textId="77777777" w:rsidR="005320DC" w:rsidRPr="005320DC" w:rsidRDefault="005320DC" w:rsidP="005320DC">
      <w:pPr>
        <w:rPr>
          <w:sz w:val="24"/>
          <w:szCs w:val="24"/>
        </w:rPr>
      </w:pPr>
      <w:r w:rsidRPr="005320DC">
        <w:rPr>
          <w:sz w:val="24"/>
          <w:szCs w:val="24"/>
        </w:rPr>
        <w:lastRenderedPageBreak/>
        <w:t>I activated my body worn video (BWV), a small camera to document incidents. I felt it would accurately capture the poor condition of the boy. Bowling and Shruti (2019) suggest BWV is replacing the task of notebook taking. I felt that the visual evidence would be the most accurate capture of the situation, especially as a situation develops and notes may be taken in retrospect with the possibility of missing detail.</w:t>
      </w:r>
    </w:p>
    <w:p w14:paraId="03E6E62C" w14:textId="77777777" w:rsidR="005320DC" w:rsidRPr="005320DC" w:rsidRDefault="005320DC" w:rsidP="005320DC">
      <w:pPr>
        <w:rPr>
          <w:sz w:val="24"/>
          <w:szCs w:val="24"/>
        </w:rPr>
      </w:pPr>
    </w:p>
    <w:p w14:paraId="4C18EB71" w14:textId="77777777" w:rsidR="005320DC" w:rsidRPr="005320DC" w:rsidRDefault="005320DC" w:rsidP="005320DC">
      <w:pPr>
        <w:rPr>
          <w:sz w:val="24"/>
          <w:szCs w:val="24"/>
        </w:rPr>
      </w:pPr>
      <w:r w:rsidRPr="005320DC">
        <w:rPr>
          <w:sz w:val="24"/>
          <w:szCs w:val="24"/>
        </w:rPr>
        <w:t xml:space="preserve">The boy said his mother had been shouting so had gone outside to play. Looking into the property I could it was in poor condition, I could barely see the floor for clutter, so assessing the risk I entered under Section 17 of the Police and Criminal Evidence Act (PACE)(1984) which allows an officer to enter a premises without warrant if they have reasonable grounds to believe there is a risk to life, property or in the execution of an arrest where there are grounds to do so. </w:t>
      </w:r>
    </w:p>
    <w:p w14:paraId="730D367F" w14:textId="77777777" w:rsidR="005320DC" w:rsidRPr="005320DC" w:rsidRDefault="005320DC" w:rsidP="005320DC">
      <w:pPr>
        <w:rPr>
          <w:sz w:val="24"/>
          <w:szCs w:val="24"/>
        </w:rPr>
      </w:pPr>
    </w:p>
    <w:p w14:paraId="5CF0AE48" w14:textId="77777777" w:rsidR="005320DC" w:rsidRPr="005320DC" w:rsidRDefault="005320DC" w:rsidP="005320DC">
      <w:pPr>
        <w:rPr>
          <w:sz w:val="24"/>
          <w:szCs w:val="24"/>
        </w:rPr>
      </w:pPr>
      <w:r w:rsidRPr="005320DC">
        <w:rPr>
          <w:sz w:val="24"/>
          <w:szCs w:val="24"/>
        </w:rPr>
        <w:t xml:space="preserve">I found 2 young boys in the living room, one approximately 10 years and the other 4 years. The youngest was curled up in a ball rocking himself backwards and forwards. I was concerned for him, but the older boy confirmed he was his brother, and he was always like this, so I made some eye contact and smiled at him to try to reassure him. </w:t>
      </w:r>
    </w:p>
    <w:p w14:paraId="185ADBA5" w14:textId="77777777" w:rsidR="005320DC" w:rsidRPr="005320DC" w:rsidRDefault="005320DC" w:rsidP="005320DC">
      <w:pPr>
        <w:rPr>
          <w:sz w:val="24"/>
          <w:szCs w:val="24"/>
        </w:rPr>
      </w:pPr>
    </w:p>
    <w:p w14:paraId="70A91A76" w14:textId="77777777" w:rsidR="005320DC" w:rsidRPr="005320DC" w:rsidRDefault="005320DC" w:rsidP="005320DC">
      <w:pPr>
        <w:rPr>
          <w:sz w:val="24"/>
          <w:szCs w:val="24"/>
        </w:rPr>
      </w:pPr>
      <w:r w:rsidRPr="005320DC">
        <w:rPr>
          <w:sz w:val="24"/>
          <w:szCs w:val="24"/>
        </w:rPr>
        <w:t>I heard someone clambering over the mess on the stairs which turned out to be the mother who became hysterical saying she had taken her 15-year-old daughters phone off her. The daughter then threw a wardrobe, bedside cabinet and desk down the stairs and causing damage to several items in the house.</w:t>
      </w:r>
    </w:p>
    <w:p w14:paraId="226912AF" w14:textId="77777777" w:rsidR="005320DC" w:rsidRPr="005320DC" w:rsidRDefault="005320DC" w:rsidP="005320DC">
      <w:pPr>
        <w:rPr>
          <w:sz w:val="24"/>
          <w:szCs w:val="24"/>
        </w:rPr>
      </w:pPr>
    </w:p>
    <w:p w14:paraId="33FE9A1E" w14:textId="77777777" w:rsidR="005320DC" w:rsidRPr="005320DC" w:rsidRDefault="005320DC" w:rsidP="005320DC">
      <w:pPr>
        <w:rPr>
          <w:sz w:val="24"/>
          <w:szCs w:val="24"/>
        </w:rPr>
      </w:pPr>
      <w:r w:rsidRPr="005320DC">
        <w:rPr>
          <w:sz w:val="24"/>
          <w:szCs w:val="24"/>
        </w:rPr>
        <w:t>Aware there is two sides to a story and trying to not to prejudge the situation as I was already finding the conditions in the house difficult, I made my way upstairs while my colleague took more details from the mother. Looking for the daughter I saw what I believe was the boy’s bedroom, riddled with damp, rubbish scattered everywhere with bare mattresses on the floor. I felt that given the young boy I had seen outside and the living conditions that there was neglect. Neglect or abuse at home compromises a child’s human right under Article 3 of the Human Rights Act 1998 (Drew 2000).</w:t>
      </w:r>
    </w:p>
    <w:p w14:paraId="496B42DF" w14:textId="77777777" w:rsidR="005320DC" w:rsidRPr="005320DC" w:rsidRDefault="005320DC" w:rsidP="005320DC">
      <w:pPr>
        <w:rPr>
          <w:sz w:val="24"/>
          <w:szCs w:val="24"/>
        </w:rPr>
      </w:pPr>
    </w:p>
    <w:p w14:paraId="32F133EA" w14:textId="77777777" w:rsidR="005320DC" w:rsidRPr="005320DC" w:rsidRDefault="005320DC" w:rsidP="005320DC">
      <w:pPr>
        <w:rPr>
          <w:sz w:val="24"/>
          <w:szCs w:val="24"/>
        </w:rPr>
      </w:pPr>
      <w:r w:rsidRPr="005320DC">
        <w:rPr>
          <w:sz w:val="24"/>
          <w:szCs w:val="24"/>
        </w:rPr>
        <w:t xml:space="preserve">I found the daughter sat on her bedroom floor facing the wall. I introduced myself by my first name as I have found that to be less formal when dealing with children. Sitting down, it took a while for her to engage, and I explained I just wanted to hear her side, she eventually confirmed she had argued with her mother over the phone and thrown items down the stairs. </w:t>
      </w:r>
    </w:p>
    <w:p w14:paraId="6A6155BF" w14:textId="77777777" w:rsidR="005320DC" w:rsidRPr="005320DC" w:rsidRDefault="005320DC" w:rsidP="005320DC">
      <w:pPr>
        <w:rPr>
          <w:sz w:val="24"/>
          <w:szCs w:val="24"/>
        </w:rPr>
      </w:pPr>
    </w:p>
    <w:p w14:paraId="33237401" w14:textId="77777777" w:rsidR="005320DC" w:rsidRPr="005320DC" w:rsidRDefault="005320DC" w:rsidP="005320DC">
      <w:pPr>
        <w:rPr>
          <w:sz w:val="24"/>
          <w:szCs w:val="24"/>
        </w:rPr>
      </w:pPr>
      <w:r w:rsidRPr="005320DC">
        <w:rPr>
          <w:sz w:val="24"/>
          <w:szCs w:val="24"/>
        </w:rPr>
        <w:t>I went back downstairs to liaise with my colleague. Still following the NDM I moved to the third stage which is “Powers and Policies”, my colleague and I discussed our options:</w:t>
      </w:r>
    </w:p>
    <w:p w14:paraId="72260840" w14:textId="77777777" w:rsidR="005320DC" w:rsidRPr="005320DC" w:rsidRDefault="005320DC" w:rsidP="005320DC">
      <w:pPr>
        <w:rPr>
          <w:sz w:val="24"/>
          <w:szCs w:val="24"/>
        </w:rPr>
      </w:pPr>
    </w:p>
    <w:p w14:paraId="381780CD" w14:textId="77777777" w:rsidR="005320DC" w:rsidRPr="005320DC" w:rsidRDefault="005320DC" w:rsidP="005320DC">
      <w:pPr>
        <w:rPr>
          <w:sz w:val="24"/>
          <w:szCs w:val="24"/>
        </w:rPr>
      </w:pPr>
      <w:r w:rsidRPr="005320DC">
        <w:rPr>
          <w:sz w:val="24"/>
          <w:szCs w:val="24"/>
        </w:rPr>
        <w:t xml:space="preserve">We established that a criminal offence had been committed under Section 1 of the Criminal Damage Act (1971) as the daughter had caused damage to her </w:t>
      </w:r>
      <w:proofErr w:type="spellStart"/>
      <w:proofErr w:type="gramStart"/>
      <w:r w:rsidRPr="005320DC">
        <w:rPr>
          <w:sz w:val="24"/>
          <w:szCs w:val="24"/>
        </w:rPr>
        <w:t>mothers</w:t>
      </w:r>
      <w:proofErr w:type="spellEnd"/>
      <w:proofErr w:type="gramEnd"/>
      <w:r w:rsidRPr="005320DC">
        <w:rPr>
          <w:sz w:val="24"/>
          <w:szCs w:val="24"/>
        </w:rPr>
        <w:t xml:space="preserve"> property without a lawful excuse. In England and </w:t>
      </w:r>
      <w:proofErr w:type="gramStart"/>
      <w:r w:rsidRPr="005320DC">
        <w:rPr>
          <w:sz w:val="24"/>
          <w:szCs w:val="24"/>
        </w:rPr>
        <w:t>Wales</w:t>
      </w:r>
      <w:proofErr w:type="gramEnd"/>
      <w:r w:rsidRPr="005320DC">
        <w:rPr>
          <w:sz w:val="24"/>
          <w:szCs w:val="24"/>
        </w:rPr>
        <w:t xml:space="preserve"> the age of criminal responsibility is 10 years (CPS 2017) which meant we had grounds to use Section 24 of PACE (1984) which gives an officer the power of arrest without a warrant for a person who has committed an offence. Considering the advantages and disadvantages of this action we felt there were more negatives than positives. </w:t>
      </w:r>
      <w:r w:rsidRPr="005320DC">
        <w:rPr>
          <w:sz w:val="24"/>
          <w:szCs w:val="24"/>
        </w:rPr>
        <w:lastRenderedPageBreak/>
        <w:t>Arresting the daughter would have only provided short term safeguarding to the mother. To arrest would potentially mean the criminalisation of a 15-year-old which felt ethically wrong, so applying discretion we chose not to arrest.</w:t>
      </w:r>
    </w:p>
    <w:p w14:paraId="78B5148E" w14:textId="77777777" w:rsidR="005320DC" w:rsidRPr="005320DC" w:rsidRDefault="005320DC" w:rsidP="005320DC">
      <w:pPr>
        <w:rPr>
          <w:sz w:val="24"/>
          <w:szCs w:val="24"/>
        </w:rPr>
      </w:pPr>
    </w:p>
    <w:p w14:paraId="55E294DB" w14:textId="77777777" w:rsidR="005320DC" w:rsidRPr="005320DC" w:rsidRDefault="005320DC" w:rsidP="005320DC">
      <w:pPr>
        <w:rPr>
          <w:sz w:val="24"/>
          <w:szCs w:val="24"/>
        </w:rPr>
      </w:pPr>
      <w:r w:rsidRPr="005320DC">
        <w:rPr>
          <w:sz w:val="24"/>
          <w:szCs w:val="24"/>
        </w:rPr>
        <w:t xml:space="preserve">A charity working with the National Police Chiefs Council to reduce the number of child arrests, particularly in black and ethnic minorities, child victims of organised exploitation and those in residential care review the latest evidence, recognise that criminalisation at an early age results in further activity as they grow older (Howard League 2019). Their campaign and partnership working </w:t>
      </w:r>
      <w:proofErr w:type="gramStart"/>
      <w:r w:rsidRPr="005320DC">
        <w:rPr>
          <w:sz w:val="24"/>
          <w:szCs w:val="24"/>
        </w:rPr>
        <w:t>has</w:t>
      </w:r>
      <w:proofErr w:type="gramEnd"/>
      <w:r w:rsidRPr="005320DC">
        <w:rPr>
          <w:sz w:val="24"/>
          <w:szCs w:val="24"/>
        </w:rPr>
        <w:t xml:space="preserve"> decreased child arrests by 75% between 2010 and 2019. Gwent Police have decreased from 2503 arrests in 2010 to 594 arrests in 2019. This clearly has a positive impact and enables police resources to be saved and is a positive example how working together to understand the whole picture, rather than managing it as just an incident or crime is beneficial for everyone.</w:t>
      </w:r>
    </w:p>
    <w:p w14:paraId="70756667" w14:textId="77777777" w:rsidR="005320DC" w:rsidRPr="005320DC" w:rsidRDefault="005320DC" w:rsidP="005320DC">
      <w:pPr>
        <w:rPr>
          <w:sz w:val="24"/>
          <w:szCs w:val="24"/>
        </w:rPr>
      </w:pPr>
    </w:p>
    <w:p w14:paraId="62E67D3E" w14:textId="77777777" w:rsidR="005320DC" w:rsidRPr="005320DC" w:rsidRDefault="005320DC" w:rsidP="005320DC">
      <w:pPr>
        <w:rPr>
          <w:sz w:val="24"/>
          <w:szCs w:val="24"/>
        </w:rPr>
      </w:pPr>
    </w:p>
    <w:p w14:paraId="3F5FAF3B" w14:textId="77777777" w:rsidR="005320DC" w:rsidRPr="005320DC" w:rsidRDefault="005320DC" w:rsidP="005320DC">
      <w:pPr>
        <w:rPr>
          <w:sz w:val="24"/>
          <w:szCs w:val="24"/>
        </w:rPr>
      </w:pPr>
      <w:r w:rsidRPr="005320DC">
        <w:rPr>
          <w:sz w:val="24"/>
          <w:szCs w:val="24"/>
        </w:rPr>
        <w:t>The level of damage caused still warranted action. We considered the use of partner agencies for an out of court intervention. An evidence review strongly indicates that repeat adult offenders frequently have an upbringing where factors such as familial criminality, family conflict, abuse and neglect are common in their childhood (</w:t>
      </w:r>
      <w:proofErr w:type="spellStart"/>
      <w:r w:rsidRPr="005320DC">
        <w:rPr>
          <w:sz w:val="24"/>
          <w:szCs w:val="24"/>
        </w:rPr>
        <w:t>Katsiyannis</w:t>
      </w:r>
      <w:proofErr w:type="spellEnd"/>
      <w:r w:rsidRPr="005320DC">
        <w:rPr>
          <w:sz w:val="24"/>
          <w:szCs w:val="24"/>
        </w:rPr>
        <w:t xml:space="preserve"> et al 2017). This indicates that tackling these childhood factors may have a positive effect on reducing a child’s entry into criminality. Trotter (2018 p.353-354) supports this view, suggesting that using a family model of support reduces the statistics of young offenders reoffending. It was clear that from the poor living conditions and neglect of the children that the family needed help. There were two suitable approaches:</w:t>
      </w:r>
    </w:p>
    <w:p w14:paraId="54D24000" w14:textId="77777777" w:rsidR="005320DC" w:rsidRPr="005320DC" w:rsidRDefault="005320DC" w:rsidP="005320DC">
      <w:pPr>
        <w:rPr>
          <w:sz w:val="24"/>
          <w:szCs w:val="24"/>
        </w:rPr>
      </w:pPr>
    </w:p>
    <w:p w14:paraId="20EE2A7A" w14:textId="77777777" w:rsidR="005320DC" w:rsidRPr="005320DC" w:rsidRDefault="005320DC" w:rsidP="005320DC">
      <w:pPr>
        <w:rPr>
          <w:sz w:val="24"/>
          <w:szCs w:val="24"/>
        </w:rPr>
      </w:pPr>
    </w:p>
    <w:p w14:paraId="6BE04211" w14:textId="77777777" w:rsidR="005320DC" w:rsidRPr="005320DC" w:rsidRDefault="005320DC" w:rsidP="005320DC">
      <w:pPr>
        <w:rPr>
          <w:sz w:val="24"/>
          <w:szCs w:val="24"/>
        </w:rPr>
      </w:pPr>
      <w:r w:rsidRPr="005320DC">
        <w:rPr>
          <w:sz w:val="24"/>
          <w:szCs w:val="24"/>
        </w:rPr>
        <w:t>One option I have previously used successfully was Youth Offending Services (YOS). YOS work with juveniles aged 10-18 who are likely to or have been dealt with by police. They include several agencies such as social workers, restorative justice workers, caseworkers, police and psychologists from child mental health services to assess and help a child understand what has led to their referral and recognise the risk to themselves and others. YOS has many disposal options such as youth caution, actively working with YOS staff for a 3-month period taking part in offending behaviour workshops, alcohol and drugs awareness and employment and education training. (Brighter futures for children 2021).</w:t>
      </w:r>
    </w:p>
    <w:p w14:paraId="1553656A" w14:textId="77777777" w:rsidR="005320DC" w:rsidRPr="005320DC" w:rsidRDefault="005320DC" w:rsidP="005320DC">
      <w:pPr>
        <w:rPr>
          <w:sz w:val="24"/>
          <w:szCs w:val="24"/>
        </w:rPr>
      </w:pPr>
    </w:p>
    <w:p w14:paraId="3B6641E4" w14:textId="77777777" w:rsidR="005320DC" w:rsidRPr="005320DC" w:rsidRDefault="005320DC" w:rsidP="005320DC">
      <w:pPr>
        <w:rPr>
          <w:sz w:val="24"/>
          <w:szCs w:val="24"/>
        </w:rPr>
      </w:pPr>
      <w:r w:rsidRPr="005320DC">
        <w:rPr>
          <w:sz w:val="24"/>
          <w:szCs w:val="24"/>
        </w:rPr>
        <w:t>The second option I have recently become aware of is Reach, Engage and Change Happens (REACH). REACH is another diversionary scheme for young children headed by Caerphilly County Council. The advantage of REACH over YOS this is that REACH can work with children from 8 years of age. Their aim, like YOS is early intervention. REACH is aimed predominately at anti-social and criminal behaviour but can also support children lacking self-esteem. The child volunteers to work with the scheme and are assigned a REACH worker who works with them for up to 6 months and supports the child’s parent or guardian by partnership working with other organisations to providing parenting classes to develop skills when dealing with their children, which has proved successful in reducing reoffending (Caerphilly County Borough Council 2021).</w:t>
      </w:r>
    </w:p>
    <w:p w14:paraId="5CFA8C03" w14:textId="77777777" w:rsidR="005320DC" w:rsidRPr="005320DC" w:rsidRDefault="005320DC" w:rsidP="005320DC">
      <w:pPr>
        <w:rPr>
          <w:sz w:val="24"/>
          <w:szCs w:val="24"/>
        </w:rPr>
      </w:pPr>
    </w:p>
    <w:p w14:paraId="12DA342C" w14:textId="77777777" w:rsidR="005320DC" w:rsidRPr="005320DC" w:rsidRDefault="005320DC" w:rsidP="005320DC">
      <w:pPr>
        <w:rPr>
          <w:sz w:val="24"/>
          <w:szCs w:val="24"/>
        </w:rPr>
      </w:pPr>
      <w:r w:rsidRPr="005320DC">
        <w:rPr>
          <w:sz w:val="24"/>
          <w:szCs w:val="24"/>
        </w:rPr>
        <w:lastRenderedPageBreak/>
        <w:t xml:space="preserve">To prevent further conflict and following force policy we took the daughter to stay with her grandmother for the night before returning to the station.  </w:t>
      </w:r>
    </w:p>
    <w:p w14:paraId="581030BC" w14:textId="77777777" w:rsidR="005320DC" w:rsidRPr="005320DC" w:rsidRDefault="005320DC" w:rsidP="005320DC">
      <w:pPr>
        <w:rPr>
          <w:sz w:val="24"/>
          <w:szCs w:val="24"/>
        </w:rPr>
      </w:pPr>
    </w:p>
    <w:p w14:paraId="002A7158" w14:textId="77777777" w:rsidR="005320DC" w:rsidRPr="005320DC" w:rsidRDefault="005320DC" w:rsidP="005320DC">
      <w:pPr>
        <w:rPr>
          <w:sz w:val="24"/>
          <w:szCs w:val="24"/>
        </w:rPr>
      </w:pPr>
      <w:r w:rsidRPr="005320DC">
        <w:rPr>
          <w:sz w:val="24"/>
          <w:szCs w:val="24"/>
        </w:rPr>
        <w:t>Once at the station I was able to consider my options and contingencies, stage 4 in the NDM. I had to decide what action to take giving the best results with the least risk.</w:t>
      </w:r>
    </w:p>
    <w:p w14:paraId="774AF6A9" w14:textId="77777777" w:rsidR="005320DC" w:rsidRPr="005320DC" w:rsidRDefault="005320DC" w:rsidP="005320DC">
      <w:pPr>
        <w:rPr>
          <w:sz w:val="24"/>
          <w:szCs w:val="24"/>
        </w:rPr>
      </w:pPr>
    </w:p>
    <w:p w14:paraId="11E5AC5B" w14:textId="77777777" w:rsidR="005320DC" w:rsidRPr="005320DC" w:rsidRDefault="005320DC" w:rsidP="005320DC">
      <w:pPr>
        <w:rPr>
          <w:sz w:val="24"/>
          <w:szCs w:val="24"/>
        </w:rPr>
      </w:pPr>
      <w:r w:rsidRPr="005320DC">
        <w:rPr>
          <w:sz w:val="24"/>
          <w:szCs w:val="24"/>
        </w:rPr>
        <w:t>“Action and Review” is the last stage of the NDM.  Knowing little about REACH I looked at their role and spoke with colleagues about REACH. From a personal aspect, I had already had YOS involvement but not yet any involvement with REACH. This presented a good opportunity to develop my knowledge about them. I felt that REACH was a better option in this case. This was because they had a wider team with partners such as social services and the local council that offered this family the increased support that they all needed, not just the child support offered by YOS. Additionally, REACH offered the extra time that they would be supported to give them the best chance of succeeding.</w:t>
      </w:r>
    </w:p>
    <w:p w14:paraId="3311E3C5" w14:textId="77777777" w:rsidR="005320DC" w:rsidRPr="005320DC" w:rsidRDefault="005320DC" w:rsidP="005320DC">
      <w:pPr>
        <w:rPr>
          <w:sz w:val="24"/>
          <w:szCs w:val="24"/>
        </w:rPr>
      </w:pPr>
    </w:p>
    <w:p w14:paraId="505BC5B2" w14:textId="77777777" w:rsidR="005320DC" w:rsidRPr="005320DC" w:rsidRDefault="005320DC" w:rsidP="005320DC">
      <w:pPr>
        <w:rPr>
          <w:sz w:val="24"/>
          <w:szCs w:val="24"/>
        </w:rPr>
      </w:pPr>
      <w:r w:rsidRPr="005320DC">
        <w:rPr>
          <w:sz w:val="24"/>
          <w:szCs w:val="24"/>
        </w:rPr>
        <w:t>I was very concerned about the poor conditions that the children were living in and neglect. So, I also submitted a Public Protection Notice, a report summarising vulnerabilities and risk posed to members of the public. This referral was submitted to the Public Protection Unit who work alongside several partner agencies such as social services in this case. My referral requested social services attend the address and conduct an assessment immediately!</w:t>
      </w:r>
    </w:p>
    <w:p w14:paraId="6BBC224A" w14:textId="77777777" w:rsidR="005320DC" w:rsidRPr="005320DC" w:rsidRDefault="005320DC" w:rsidP="005320DC">
      <w:pPr>
        <w:rPr>
          <w:sz w:val="24"/>
          <w:szCs w:val="24"/>
        </w:rPr>
      </w:pPr>
    </w:p>
    <w:p w14:paraId="2B7C6EEA" w14:textId="77777777" w:rsidR="005320DC" w:rsidRPr="005320DC" w:rsidRDefault="005320DC" w:rsidP="005320DC">
      <w:pPr>
        <w:rPr>
          <w:sz w:val="24"/>
          <w:szCs w:val="24"/>
        </w:rPr>
      </w:pPr>
      <w:r w:rsidRPr="005320DC">
        <w:rPr>
          <w:sz w:val="24"/>
          <w:szCs w:val="24"/>
        </w:rPr>
        <w:t xml:space="preserve">I am increasingly realising that frontline policing is not all ‘cops and </w:t>
      </w:r>
      <w:proofErr w:type="gramStart"/>
      <w:r w:rsidRPr="005320DC">
        <w:rPr>
          <w:sz w:val="24"/>
          <w:szCs w:val="24"/>
        </w:rPr>
        <w:t>robbers’</w:t>
      </w:r>
      <w:proofErr w:type="gramEnd"/>
      <w:r w:rsidRPr="005320DC">
        <w:rPr>
          <w:sz w:val="24"/>
          <w:szCs w:val="24"/>
        </w:rPr>
        <w:t xml:space="preserve">. Most of my policing is attending complex domestic incidents which are not solved by the power of arrest alone. This incident demonstrates a need for understanding of factors that influence a situation. Being aware of these and using schemes that adopt a multi-agency approach to support a person, are key to ensuring that the right referral for support is requested with a positive outcome for the offender, victim, general public and police. </w:t>
      </w:r>
    </w:p>
    <w:p w14:paraId="5FB7CE90" w14:textId="77777777" w:rsidR="005320DC" w:rsidRPr="005320DC" w:rsidRDefault="005320DC" w:rsidP="005320DC">
      <w:pPr>
        <w:rPr>
          <w:sz w:val="24"/>
          <w:szCs w:val="24"/>
        </w:rPr>
      </w:pPr>
    </w:p>
    <w:p w14:paraId="297C5610" w14:textId="77777777" w:rsidR="005320DC" w:rsidRPr="005320DC" w:rsidRDefault="005320DC" w:rsidP="005320DC">
      <w:pPr>
        <w:rPr>
          <w:sz w:val="24"/>
          <w:szCs w:val="24"/>
        </w:rPr>
      </w:pPr>
      <w:r w:rsidRPr="005320DC">
        <w:rPr>
          <w:sz w:val="24"/>
          <w:szCs w:val="24"/>
        </w:rPr>
        <w:t>Word Count 1650</w:t>
      </w:r>
    </w:p>
    <w:p w14:paraId="21FE5EEF" w14:textId="77777777" w:rsidR="005320DC" w:rsidRPr="005320DC" w:rsidRDefault="005320DC" w:rsidP="005320DC"/>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45CA9E96" w14:textId="77777777" w:rsidR="00B807F3" w:rsidRDefault="00B807F3" w:rsidP="00B807F3">
      <w:pPr>
        <w:ind w:right="237"/>
        <w:rPr>
          <w:sz w:val="24"/>
          <w:szCs w:val="24"/>
        </w:rPr>
      </w:pPr>
    </w:p>
    <w:p w14:paraId="774EC123" w14:textId="77777777" w:rsidR="00B807F3" w:rsidRDefault="00B807F3" w:rsidP="00B807F3">
      <w:pPr>
        <w:ind w:right="237"/>
        <w:rPr>
          <w:sz w:val="24"/>
          <w:szCs w:val="24"/>
        </w:rPr>
      </w:pPr>
    </w:p>
    <w:p w14:paraId="76AD543C" w14:textId="77777777" w:rsidR="00B807F3" w:rsidRDefault="00B807F3" w:rsidP="00B807F3">
      <w:pPr>
        <w:ind w:right="237"/>
        <w:rPr>
          <w:sz w:val="24"/>
          <w:szCs w:val="24"/>
        </w:rPr>
      </w:pPr>
    </w:p>
    <w:p w14:paraId="78BB8452" w14:textId="77777777" w:rsidR="00B807F3" w:rsidRDefault="00B807F3" w:rsidP="00B807F3">
      <w:pPr>
        <w:ind w:right="237"/>
        <w:jc w:val="center"/>
        <w:rPr>
          <w:b/>
          <w:bCs/>
          <w:sz w:val="24"/>
          <w:szCs w:val="24"/>
        </w:rPr>
      </w:pPr>
    </w:p>
    <w:p w14:paraId="6871B2DA" w14:textId="77777777" w:rsidR="00B807F3" w:rsidRDefault="00B807F3" w:rsidP="00B807F3">
      <w:pPr>
        <w:ind w:right="237"/>
        <w:jc w:val="center"/>
        <w:rPr>
          <w:b/>
          <w:bCs/>
          <w:sz w:val="24"/>
          <w:szCs w:val="24"/>
        </w:rPr>
      </w:pPr>
    </w:p>
    <w:p w14:paraId="7D7CCCFF" w14:textId="77777777" w:rsidR="00B807F3" w:rsidRDefault="00B807F3" w:rsidP="00B807F3">
      <w:pPr>
        <w:ind w:right="237"/>
        <w:jc w:val="center"/>
        <w:rPr>
          <w:b/>
          <w:bCs/>
          <w:sz w:val="24"/>
          <w:szCs w:val="24"/>
        </w:rPr>
      </w:pPr>
    </w:p>
    <w:p w14:paraId="73EB1948" w14:textId="77777777" w:rsidR="00B807F3" w:rsidRDefault="00B807F3" w:rsidP="00B807F3">
      <w:pPr>
        <w:ind w:right="237"/>
        <w:jc w:val="center"/>
        <w:rPr>
          <w:b/>
          <w:bCs/>
          <w:sz w:val="24"/>
          <w:szCs w:val="24"/>
        </w:rPr>
      </w:pPr>
    </w:p>
    <w:p w14:paraId="34F2132D" w14:textId="77777777" w:rsidR="00B807F3" w:rsidRDefault="00B807F3" w:rsidP="00B807F3">
      <w:pPr>
        <w:ind w:right="237"/>
        <w:jc w:val="center"/>
        <w:rPr>
          <w:b/>
          <w:bCs/>
          <w:sz w:val="24"/>
          <w:szCs w:val="24"/>
        </w:rPr>
      </w:pPr>
    </w:p>
    <w:p w14:paraId="73E6B06A" w14:textId="1D35D326" w:rsidR="5B63D80E" w:rsidRDefault="5B63D80E" w:rsidP="00B807F3">
      <w:pPr>
        <w:ind w:right="237"/>
        <w:jc w:val="center"/>
        <w:rPr>
          <w:b/>
          <w:bCs/>
          <w:sz w:val="24"/>
          <w:szCs w:val="24"/>
        </w:rPr>
      </w:pPr>
      <w:r w:rsidRPr="5B63D80E">
        <w:rPr>
          <w:b/>
          <w:bCs/>
          <w:sz w:val="24"/>
          <w:szCs w:val="24"/>
        </w:rPr>
        <w:lastRenderedPageBreak/>
        <w:t>Task 3</w:t>
      </w:r>
    </w:p>
    <w:p w14:paraId="068B6F2B" w14:textId="77777777" w:rsidR="00B807F3" w:rsidRDefault="00B807F3" w:rsidP="00B807F3">
      <w:pPr>
        <w:ind w:right="237"/>
        <w:rPr>
          <w:b/>
          <w:bCs/>
          <w:sz w:val="24"/>
          <w:szCs w:val="24"/>
        </w:rPr>
      </w:pPr>
    </w:p>
    <w:p w14:paraId="0976F805" w14:textId="77777777"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104F7A22" w14:textId="77777777" w:rsidR="00B807F3" w:rsidRPr="00B807F3" w:rsidRDefault="00B807F3" w:rsidP="00B807F3">
      <w:pPr>
        <w:ind w:right="237"/>
        <w:jc w:val="both"/>
        <w:rPr>
          <w:sz w:val="24"/>
          <w:szCs w:val="24"/>
        </w:rPr>
      </w:pPr>
      <w:r w:rsidRPr="00B807F3">
        <w:rPr>
          <w:sz w:val="24"/>
          <w:szCs w:val="24"/>
        </w:rPr>
        <w:t xml:space="preserve">Using Driscoll’s reflective model (2007) I will explore a domestic assault defined under the Criminal Justice Act (1988) Section 39, as when a person intentionally or recklessly causes another person to suffer or apprehend immediate unlawful violence. I have chosen this specific incident as attending officer to support the victim who was a repeat victim of domestic abuse. Farrell (2010) defines a repeat victimisation as the “recurrence of a crime against the same target”. </w:t>
      </w:r>
    </w:p>
    <w:p w14:paraId="540D252B" w14:textId="77777777" w:rsidR="00B807F3" w:rsidRPr="00B807F3" w:rsidRDefault="00B807F3" w:rsidP="00B807F3">
      <w:pPr>
        <w:ind w:right="237"/>
        <w:jc w:val="both"/>
        <w:rPr>
          <w:sz w:val="24"/>
          <w:szCs w:val="24"/>
        </w:rPr>
      </w:pPr>
    </w:p>
    <w:p w14:paraId="1757D304" w14:textId="77777777" w:rsidR="00B807F3" w:rsidRPr="00B807F3" w:rsidRDefault="00B807F3" w:rsidP="00B807F3">
      <w:pPr>
        <w:ind w:right="237"/>
        <w:jc w:val="both"/>
        <w:rPr>
          <w:sz w:val="24"/>
          <w:szCs w:val="24"/>
        </w:rPr>
      </w:pPr>
      <w:r w:rsidRPr="00B807F3">
        <w:rPr>
          <w:sz w:val="24"/>
          <w:szCs w:val="24"/>
        </w:rPr>
        <w:t>I attended an address following a report of a female being attacked by their husband. I was informed the husband had a warning marker as a domestic violence aggressor against the caller. The caller had bruising around her neck. She told me that her husband, who was alcoholic had grabbed her around the neck and thrown her to the floor during an argument. He had then left the property.</w:t>
      </w:r>
    </w:p>
    <w:p w14:paraId="1F47059D" w14:textId="77777777" w:rsidR="00B807F3" w:rsidRPr="00B807F3" w:rsidRDefault="00B807F3" w:rsidP="00B807F3">
      <w:pPr>
        <w:spacing w:before="240"/>
        <w:ind w:right="237"/>
        <w:jc w:val="both"/>
        <w:rPr>
          <w:sz w:val="24"/>
          <w:szCs w:val="24"/>
        </w:rPr>
      </w:pPr>
      <w:r w:rsidRPr="00B807F3">
        <w:rPr>
          <w:sz w:val="24"/>
          <w:szCs w:val="24"/>
        </w:rPr>
        <w:t>This incident had taken place in front of their two children aged 5 and 7 years. They were clearly traumatised by the incident as they were crying and clinging to her as we spoke. These Adverse Childhood Experiences (ACEs) increase the risk of children entering criminality and misusing drugs and alcohol (</w:t>
      </w:r>
      <w:proofErr w:type="spellStart"/>
      <w:r w:rsidRPr="00B807F3">
        <w:rPr>
          <w:sz w:val="24"/>
          <w:szCs w:val="24"/>
        </w:rPr>
        <w:t>Centers</w:t>
      </w:r>
      <w:proofErr w:type="spellEnd"/>
      <w:r w:rsidRPr="00B807F3">
        <w:rPr>
          <w:sz w:val="24"/>
          <w:szCs w:val="24"/>
        </w:rPr>
        <w:t xml:space="preserve"> for Disease Control and Prevention 2019). Furthermore, many domestic abuse victims have a history of ACEs. Therefore, there is a clear cycle and helping a child in this circumstance may break the cycle.</w:t>
      </w:r>
    </w:p>
    <w:p w14:paraId="02AF249E" w14:textId="77777777" w:rsidR="00B807F3" w:rsidRPr="00B807F3" w:rsidRDefault="00B807F3" w:rsidP="00B807F3">
      <w:pPr>
        <w:ind w:right="237"/>
        <w:jc w:val="both"/>
        <w:rPr>
          <w:sz w:val="24"/>
          <w:szCs w:val="24"/>
        </w:rPr>
      </w:pPr>
    </w:p>
    <w:p w14:paraId="141C66F1" w14:textId="77777777" w:rsidR="00B807F3" w:rsidRPr="00B807F3" w:rsidRDefault="00B807F3" w:rsidP="00B807F3">
      <w:pPr>
        <w:ind w:right="237"/>
        <w:jc w:val="both"/>
        <w:rPr>
          <w:sz w:val="24"/>
          <w:szCs w:val="24"/>
        </w:rPr>
      </w:pPr>
      <w:r w:rsidRPr="00B807F3">
        <w:rPr>
          <w:sz w:val="24"/>
          <w:szCs w:val="24"/>
        </w:rPr>
        <w:t xml:space="preserve">An approach I am aware of within Gwent to manage vulnerable children at risk of harm is Operation Encompass which shares information between police and schools. Police contact a designated school staff member when following contact with a child due to a domestic incident so the school can provide additional support to that child. This approach was praised in a report by HMICFRS (2019). As a response officer I personally have never seen this in action as I typically only deal </w:t>
      </w:r>
      <w:r w:rsidRPr="00B807F3">
        <w:rPr>
          <w:sz w:val="24"/>
          <w:szCs w:val="24"/>
        </w:rPr>
        <w:lastRenderedPageBreak/>
        <w:t xml:space="preserve">with the incident itself and leading on from this will actively seek to increase my knowledge of the process past my involvement. </w:t>
      </w:r>
    </w:p>
    <w:p w14:paraId="20A5DF1B" w14:textId="77777777" w:rsidR="00B807F3" w:rsidRPr="00B807F3" w:rsidRDefault="00B807F3" w:rsidP="00B807F3">
      <w:pPr>
        <w:ind w:right="237"/>
        <w:jc w:val="both"/>
        <w:rPr>
          <w:sz w:val="24"/>
          <w:szCs w:val="24"/>
        </w:rPr>
      </w:pPr>
    </w:p>
    <w:p w14:paraId="166CD817" w14:textId="77777777" w:rsidR="00B807F3" w:rsidRPr="00B807F3" w:rsidRDefault="00B807F3" w:rsidP="00B807F3">
      <w:pPr>
        <w:ind w:right="237"/>
        <w:jc w:val="both"/>
        <w:rPr>
          <w:sz w:val="24"/>
          <w:szCs w:val="24"/>
        </w:rPr>
      </w:pPr>
      <w:r w:rsidRPr="00B807F3">
        <w:rPr>
          <w:sz w:val="24"/>
          <w:szCs w:val="24"/>
        </w:rPr>
        <w:t>In line with the National Vulnerability Action Plan 2020-2022 recognising vulnerability early and assessing risk is essential at first point of contact, as the responding officer this is me. A thorough and accurate risk assessment allows action taken and signposting to help is appropriate and more likely to be taken up and effective. To assess the level of risk posed to the caller and children I used the Domestic Abuse, Stalking and Honour Based Violence form (DASH</w:t>
      </w:r>
      <w:proofErr w:type="gramStart"/>
      <w:r w:rsidRPr="00B807F3">
        <w:rPr>
          <w:sz w:val="24"/>
          <w:szCs w:val="24"/>
        </w:rPr>
        <w:t>)(</w:t>
      </w:r>
      <w:proofErr w:type="gramEnd"/>
      <w:r w:rsidRPr="00B807F3">
        <w:rPr>
          <w:sz w:val="24"/>
          <w:szCs w:val="24"/>
        </w:rPr>
        <w:t xml:space="preserve">2009); a risk management assessment to proactively identify, intervene and prevent used by forces across England and Wales. It is a lengthy process, but I have found the questions relevant and helpful when assessing levels of risk. Robinson et al (2016) recognises that the DASH assessment is lengthy but also that the best person to complete the assessment is the initial attending officers as they also observe body language and demeanour that cannot be captured by a third party. Therefore, a poor assessment can lead to severe consequences, so I always aim to complete this process. </w:t>
      </w:r>
    </w:p>
    <w:p w14:paraId="68AAB68E" w14:textId="77777777" w:rsidR="00B807F3" w:rsidRPr="00B807F3" w:rsidRDefault="00B807F3" w:rsidP="00B807F3">
      <w:pPr>
        <w:ind w:right="237"/>
        <w:jc w:val="both"/>
        <w:rPr>
          <w:sz w:val="24"/>
          <w:szCs w:val="24"/>
        </w:rPr>
      </w:pPr>
    </w:p>
    <w:p w14:paraId="782A5B5F" w14:textId="77777777" w:rsidR="00B807F3" w:rsidRPr="00B807F3" w:rsidRDefault="00B807F3" w:rsidP="00B807F3">
      <w:pPr>
        <w:ind w:right="237"/>
        <w:jc w:val="both"/>
        <w:rPr>
          <w:sz w:val="24"/>
          <w:szCs w:val="24"/>
        </w:rPr>
      </w:pPr>
      <w:r w:rsidRPr="00B807F3">
        <w:rPr>
          <w:sz w:val="24"/>
          <w:szCs w:val="24"/>
        </w:rPr>
        <w:t xml:space="preserve">They consented to the Dash process and for information to be shared with partner agencies who would be able to offer support and safeguarding. It became apparent she was a repeat victim, so I graded the DASH high risk. Before returning to the station, I drove them to a </w:t>
      </w:r>
      <w:proofErr w:type="spellStart"/>
      <w:proofErr w:type="gramStart"/>
      <w:r w:rsidRPr="00B807F3">
        <w:rPr>
          <w:sz w:val="24"/>
          <w:szCs w:val="24"/>
        </w:rPr>
        <w:t>friends</w:t>
      </w:r>
      <w:proofErr w:type="spellEnd"/>
      <w:proofErr w:type="gramEnd"/>
      <w:r w:rsidRPr="00B807F3">
        <w:rPr>
          <w:sz w:val="24"/>
          <w:szCs w:val="24"/>
        </w:rPr>
        <w:t xml:space="preserve"> address for the night to keep her safe should the husband return. At the station, looking at previous incidents I was disgusted to see one incident where she had been beaten that had resulted in a charge which he served a prison sentence for.  I was aware that several incidents disclosed to myself had not been reported to police which solidified my grading of high risk. It is difficult to be supportive, maintaining the ethical code to act with fairness and impartiality when on the face of things, she continually put herself back in the same situation. I </w:t>
      </w:r>
      <w:proofErr w:type="gramStart"/>
      <w:r w:rsidRPr="00B807F3">
        <w:rPr>
          <w:sz w:val="24"/>
          <w:szCs w:val="24"/>
        </w:rPr>
        <w:t>have to</w:t>
      </w:r>
      <w:proofErr w:type="gramEnd"/>
      <w:r w:rsidRPr="00B807F3">
        <w:rPr>
          <w:sz w:val="24"/>
          <w:szCs w:val="24"/>
        </w:rPr>
        <w:t xml:space="preserve"> dig deep to look for a deeper level of understanding, respecting that I do not understand all her circumstance and reasons why, what is sadder is continuously putting your own children at risk time and time again.</w:t>
      </w:r>
    </w:p>
    <w:p w14:paraId="0C003A09" w14:textId="77777777" w:rsidR="00B807F3" w:rsidRPr="00B807F3" w:rsidRDefault="00B807F3" w:rsidP="00B807F3">
      <w:pPr>
        <w:ind w:right="237"/>
        <w:jc w:val="both"/>
        <w:rPr>
          <w:sz w:val="24"/>
          <w:szCs w:val="24"/>
        </w:rPr>
      </w:pPr>
    </w:p>
    <w:p w14:paraId="7FBF1BBF" w14:textId="77777777" w:rsidR="00B807F3" w:rsidRPr="00B807F3" w:rsidRDefault="00B807F3" w:rsidP="00B807F3">
      <w:pPr>
        <w:ind w:right="237"/>
        <w:jc w:val="both"/>
        <w:rPr>
          <w:sz w:val="24"/>
          <w:szCs w:val="24"/>
        </w:rPr>
      </w:pPr>
      <w:r w:rsidRPr="00B807F3">
        <w:rPr>
          <w:sz w:val="24"/>
          <w:szCs w:val="24"/>
        </w:rPr>
        <w:t>Regardless of my own difficulty understanding why a victim would put themselves at continual risk I have a professional duty to accurately document and record the incident. A report by Farrell (2010) on repeat victimisation states the police often under record incidents of repeat victimisation. If crimes are not recorded properly, we will fail to recognise victims. I myself rely on information stored on previous incidents to help me formulate my response. Farrell believes that to tackle repeat victimisation there must be a strong preventative approach with a strong plan which is supported by the victim. As reported figures rise the HMICFRS (2019) suggest confidence in reporting and being taken seriously, more accurate recording of crimes and prioritising these crimes is likely to account for the rise. This reinforces that my approach in being open and non-judgemental along with accurate recording and appropriate referrals to partner agencies for support are essential to the ongoing management of domestic violence.</w:t>
      </w:r>
    </w:p>
    <w:p w14:paraId="61985C3B" w14:textId="77777777" w:rsidR="00B807F3" w:rsidRPr="00B807F3" w:rsidRDefault="00B807F3" w:rsidP="00B807F3">
      <w:pPr>
        <w:ind w:right="237"/>
        <w:jc w:val="both"/>
        <w:rPr>
          <w:sz w:val="24"/>
          <w:szCs w:val="24"/>
        </w:rPr>
      </w:pPr>
    </w:p>
    <w:p w14:paraId="2D17285D" w14:textId="77777777" w:rsidR="00B807F3" w:rsidRPr="00B807F3" w:rsidRDefault="00B807F3" w:rsidP="00B807F3">
      <w:pPr>
        <w:ind w:right="237"/>
        <w:jc w:val="both"/>
        <w:rPr>
          <w:sz w:val="24"/>
          <w:szCs w:val="24"/>
        </w:rPr>
      </w:pPr>
      <w:r w:rsidRPr="00B807F3">
        <w:rPr>
          <w:sz w:val="24"/>
          <w:szCs w:val="24"/>
        </w:rPr>
        <w:t xml:space="preserve">In this incident I needed to implement a strategy to adequately safeguard the caller so drawing on experience from a similar incident I attended I referred them to MARAC which stands for Multi-Agency Risk Assessment Conference. This is a meeting shared by several agencies such as child protection, probation, police and </w:t>
      </w:r>
      <w:r w:rsidRPr="00B807F3">
        <w:rPr>
          <w:sz w:val="24"/>
          <w:szCs w:val="24"/>
        </w:rPr>
        <w:lastRenderedPageBreak/>
        <w:t>Independent Domestic Violence Advisers sharing information on high-risk victims of domestic abuse to provide a co-ordinated response to safeguard the victim. MARAC claims that up to 60% of victims referred never report further violence, Safe Lives (2014). This implies that this strategy is effective, although it must also be recognised that these are victims behind closed doors, and some may simply not report further offence. However, partnership working is recognised as key and HMICFRS (2019) praised forces for their use of Multi Agency safeguarding hubs (MASH) who share three common principles these being, sharing information, joint decision making and co-ordinated intervention.</w:t>
      </w:r>
    </w:p>
    <w:p w14:paraId="6C7444F5" w14:textId="77777777" w:rsidR="00B807F3" w:rsidRPr="00B807F3" w:rsidRDefault="00B807F3" w:rsidP="00B807F3">
      <w:pPr>
        <w:ind w:right="237"/>
        <w:jc w:val="both"/>
        <w:rPr>
          <w:sz w:val="24"/>
          <w:szCs w:val="24"/>
        </w:rPr>
      </w:pPr>
    </w:p>
    <w:p w14:paraId="43866EA7" w14:textId="77777777" w:rsidR="00B807F3" w:rsidRPr="00B807F3" w:rsidRDefault="00B807F3" w:rsidP="00B807F3">
      <w:pPr>
        <w:ind w:right="237"/>
        <w:jc w:val="both"/>
        <w:rPr>
          <w:sz w:val="24"/>
          <w:szCs w:val="24"/>
        </w:rPr>
      </w:pPr>
      <w:r w:rsidRPr="00B807F3">
        <w:rPr>
          <w:sz w:val="24"/>
          <w:szCs w:val="24"/>
        </w:rPr>
        <w:t xml:space="preserve">While this reflection focuses on the repeat victim of domestic abuse. This repeat victimisation is recognised to be common to many types of crime and not just individuals as households, businesses and </w:t>
      </w:r>
      <w:proofErr w:type="gramStart"/>
      <w:r w:rsidRPr="00B807F3">
        <w:rPr>
          <w:sz w:val="24"/>
          <w:szCs w:val="24"/>
        </w:rPr>
        <w:t>particular properties</w:t>
      </w:r>
      <w:proofErr w:type="gramEnd"/>
      <w:r w:rsidRPr="00B807F3">
        <w:rPr>
          <w:sz w:val="24"/>
          <w:szCs w:val="24"/>
        </w:rPr>
        <w:t xml:space="preserve"> or vehicles may be vulnerable to repeated crime (</w:t>
      </w:r>
      <w:proofErr w:type="spellStart"/>
      <w:r w:rsidRPr="00B807F3">
        <w:rPr>
          <w:sz w:val="24"/>
          <w:szCs w:val="24"/>
        </w:rPr>
        <w:t>Weisel</w:t>
      </w:r>
      <w:proofErr w:type="spellEnd"/>
      <w:r w:rsidRPr="00B807F3">
        <w:rPr>
          <w:sz w:val="24"/>
          <w:szCs w:val="24"/>
        </w:rPr>
        <w:t xml:space="preserve"> 2005). Furthermore, external factors increase vulnerability to repeated crime, for example, alcohol abuse, physical isolation and risk-taking behaviours. Without an understanding of the factors that apply to a situation, individual or group it is not possible to prevent further instances by developing strategic approaches that address these risks and as a front-line officer I will always just be ‘fire-fighting’.</w:t>
      </w:r>
    </w:p>
    <w:p w14:paraId="174FDC0E" w14:textId="77777777" w:rsidR="00B807F3" w:rsidRPr="00B807F3" w:rsidRDefault="00B807F3" w:rsidP="00B807F3">
      <w:pPr>
        <w:ind w:right="237"/>
        <w:jc w:val="both"/>
        <w:rPr>
          <w:sz w:val="24"/>
          <w:szCs w:val="24"/>
        </w:rPr>
      </w:pPr>
    </w:p>
    <w:p w14:paraId="6DB9C153" w14:textId="77777777" w:rsidR="00B807F3" w:rsidRPr="00B807F3" w:rsidRDefault="00B807F3" w:rsidP="00B807F3">
      <w:pPr>
        <w:ind w:right="237"/>
        <w:jc w:val="both"/>
        <w:rPr>
          <w:sz w:val="24"/>
          <w:szCs w:val="24"/>
        </w:rPr>
      </w:pPr>
      <w:r w:rsidRPr="00B807F3">
        <w:rPr>
          <w:sz w:val="24"/>
          <w:szCs w:val="24"/>
        </w:rPr>
        <w:t>It is recognised that a public health approach is needed to achieve long term benefits. This involves looking at the population, understanding factors that influence the situation and using best evidence to implement plans that proven to be effective. Understanding the problem police, partners and communities can formulate a multi-agency approach to prevent an issue initially arising, stopping an emerging issue establishing itself and stopping an established issue escalating to crisis level (Christmas and Srivastava 2019). This preventative approach supports the Policing Vision (2025) which also recognises that society is becoming more diverse and complex, crime is evolving with modern technology and increased partnership working is key to identify and protect the vulnerable using preventative approaches. Using models such as the SARA model to scan, analyse, respond and assess strategies put in place help organise an approach to recurrent issues (ASU 2021) and the crime triangle provides a way of understanding how a victim, offender come together at an opportune moment, to understand factors that influence the event, so identify weaknesses to exploit and disrupt the triangle.</w:t>
      </w:r>
    </w:p>
    <w:p w14:paraId="0A3A8EDB" w14:textId="77777777" w:rsidR="00B807F3" w:rsidRPr="00B807F3" w:rsidRDefault="00B807F3" w:rsidP="00B807F3">
      <w:pPr>
        <w:ind w:right="237"/>
        <w:jc w:val="both"/>
        <w:rPr>
          <w:sz w:val="24"/>
          <w:szCs w:val="24"/>
        </w:rPr>
      </w:pPr>
    </w:p>
    <w:p w14:paraId="03872B39" w14:textId="77777777" w:rsidR="00B807F3" w:rsidRPr="00B807F3" w:rsidRDefault="00B807F3" w:rsidP="00B807F3">
      <w:pPr>
        <w:ind w:right="237"/>
        <w:jc w:val="both"/>
        <w:rPr>
          <w:sz w:val="24"/>
          <w:szCs w:val="24"/>
        </w:rPr>
      </w:pPr>
      <w:r w:rsidRPr="00B807F3">
        <w:rPr>
          <w:sz w:val="24"/>
          <w:szCs w:val="24"/>
        </w:rPr>
        <w:t>As a response officer still new in service I naturally look at the enforcement of legislation often focusing on the individuals and not the wider picture, recognised by Christmas and Srivastava (2019) who suggest that response officer’s often focus on “individuals and enforcement”. Being aware that factors increase vulnerability to crime and repeat victimization will enhance my approach, gaining an understanding and trust, improve my accuracy in reporting of events and contribute to the bigger and multi-agency picture by providing the first-hand detail to help inform future approaches and strategies.</w:t>
      </w:r>
    </w:p>
    <w:p w14:paraId="7391DE01" w14:textId="77777777" w:rsidR="00B807F3" w:rsidRPr="00B807F3" w:rsidRDefault="00B807F3" w:rsidP="00B807F3">
      <w:pPr>
        <w:ind w:right="237"/>
        <w:jc w:val="both"/>
        <w:rPr>
          <w:sz w:val="24"/>
          <w:szCs w:val="24"/>
        </w:rPr>
      </w:pPr>
    </w:p>
    <w:p w14:paraId="3DFEC453" w14:textId="77777777" w:rsidR="00B807F3" w:rsidRPr="00B807F3" w:rsidRDefault="00B807F3" w:rsidP="00B807F3">
      <w:pPr>
        <w:ind w:right="237"/>
        <w:jc w:val="both"/>
        <w:rPr>
          <w:sz w:val="24"/>
          <w:szCs w:val="24"/>
        </w:rPr>
      </w:pPr>
      <w:r w:rsidRPr="00B807F3">
        <w:rPr>
          <w:sz w:val="24"/>
          <w:szCs w:val="24"/>
        </w:rPr>
        <w:t>Word count 1369</w:t>
      </w:r>
    </w:p>
    <w:p w14:paraId="3BBDE61A" w14:textId="7AC57B55" w:rsidR="5B63D80E" w:rsidRDefault="5B63D80E" w:rsidP="5B63D80E">
      <w:pPr>
        <w:ind w:right="237"/>
      </w:pPr>
    </w:p>
    <w:p w14:paraId="6A8AA445" w14:textId="44312121" w:rsidR="5B63D80E" w:rsidRDefault="5B63D80E">
      <w:r>
        <w:br w:type="page"/>
      </w:r>
    </w:p>
    <w:p w14:paraId="3E7AABAF" w14:textId="5D56F1B9" w:rsidR="00025650" w:rsidRPr="00270EEB" w:rsidRDefault="5B63D80E" w:rsidP="5B63D80E">
      <w:pPr>
        <w:ind w:right="237"/>
        <w:jc w:val="center"/>
        <w:rPr>
          <w:b/>
          <w:bCs/>
          <w:sz w:val="24"/>
          <w:szCs w:val="24"/>
        </w:rPr>
      </w:pPr>
      <w:r w:rsidRPr="5B63D80E">
        <w:rPr>
          <w:b/>
          <w:bCs/>
          <w:sz w:val="24"/>
          <w:szCs w:val="24"/>
        </w:rPr>
        <w:lastRenderedPageBreak/>
        <w:t>Task 4</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47395957"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45D66BEE" w:rsidR="00711A70" w:rsidRDefault="00711A70" w:rsidP="00340E9A">
      <w:pPr>
        <w:ind w:right="237"/>
        <w:jc w:val="both"/>
        <w:rPr>
          <w:b/>
          <w:sz w:val="24"/>
          <w:szCs w:val="24"/>
        </w:rPr>
      </w:pPr>
      <w:r w:rsidRPr="00450C83">
        <w:rPr>
          <w:b/>
          <w:sz w:val="24"/>
          <w:szCs w:val="24"/>
        </w:rPr>
        <w:t>ANSWER:</w:t>
      </w:r>
    </w:p>
    <w:p w14:paraId="4DF76758" w14:textId="27448BAA" w:rsidR="00B807F3" w:rsidRDefault="00B807F3" w:rsidP="00340E9A">
      <w:pPr>
        <w:ind w:right="237"/>
        <w:jc w:val="both"/>
        <w:rPr>
          <w:b/>
          <w:sz w:val="24"/>
          <w:szCs w:val="24"/>
        </w:rPr>
      </w:pPr>
    </w:p>
    <w:p w14:paraId="2CEB43E2" w14:textId="77777777" w:rsidR="00B807F3" w:rsidRPr="00B807F3" w:rsidRDefault="00B807F3" w:rsidP="00B807F3">
      <w:pPr>
        <w:rPr>
          <w:sz w:val="24"/>
          <w:szCs w:val="24"/>
        </w:rPr>
      </w:pPr>
      <w:r w:rsidRPr="00B807F3">
        <w:rPr>
          <w:sz w:val="24"/>
          <w:szCs w:val="24"/>
        </w:rPr>
        <w:t>Using Driscoll’s reflective cycle (2007) I will reflect on an incident as the attending officer to an incident playing a significant role with the victim and identifying the offender. I have limited experience of serious and complex incidents and the seriousness of this incident is not in the incident itself but the potential that this type of behaviour might escalate to. Gathering information to identify the offender was complicated by the protection of personal data.</w:t>
      </w:r>
    </w:p>
    <w:p w14:paraId="58980C77" w14:textId="77777777" w:rsidR="00B807F3" w:rsidRPr="00B807F3" w:rsidRDefault="00B807F3" w:rsidP="00B807F3">
      <w:pPr>
        <w:rPr>
          <w:sz w:val="24"/>
          <w:szCs w:val="24"/>
        </w:rPr>
      </w:pPr>
    </w:p>
    <w:p w14:paraId="5C23297D" w14:textId="77777777" w:rsidR="00B807F3" w:rsidRPr="00B807F3" w:rsidRDefault="00B807F3" w:rsidP="00B807F3">
      <w:pPr>
        <w:rPr>
          <w:sz w:val="24"/>
          <w:szCs w:val="24"/>
        </w:rPr>
      </w:pPr>
      <w:r w:rsidRPr="00B807F3">
        <w:rPr>
          <w:sz w:val="24"/>
          <w:szCs w:val="24"/>
        </w:rPr>
        <w:t xml:space="preserve">I was dispatched by the control room to a Highstreet shop where a lone female staff member had reported a male exposing his genitals. While on the surface this non-contact crime may appear to be minor compared to some sexual crimes involving contact such as assault and rape, research from a review of 12 studies indicate that frequently more than 10% of offenders who commit contact sexual crimes has a history of prior exhibitionism and approximately a quarter caught will reoffend (McNally &amp; </w:t>
      </w:r>
      <w:proofErr w:type="spellStart"/>
      <w:r w:rsidRPr="00B807F3">
        <w:rPr>
          <w:sz w:val="24"/>
          <w:szCs w:val="24"/>
        </w:rPr>
        <w:t>Fremouw</w:t>
      </w:r>
      <w:proofErr w:type="spellEnd"/>
      <w:r w:rsidRPr="00B807F3">
        <w:rPr>
          <w:sz w:val="24"/>
          <w:szCs w:val="24"/>
        </w:rPr>
        <w:t xml:space="preserve"> 2014). This indicates that these types of crimes need to be taken seriously as they may link to a more serious crime in future.</w:t>
      </w:r>
    </w:p>
    <w:p w14:paraId="4BFB8EB4" w14:textId="77777777" w:rsidR="00B807F3" w:rsidRPr="00B807F3" w:rsidRDefault="00B807F3" w:rsidP="00B807F3">
      <w:pPr>
        <w:rPr>
          <w:sz w:val="24"/>
          <w:szCs w:val="24"/>
        </w:rPr>
      </w:pPr>
    </w:p>
    <w:p w14:paraId="0C9E779F" w14:textId="77777777" w:rsidR="00B807F3" w:rsidRPr="00B807F3" w:rsidRDefault="00B807F3" w:rsidP="00B807F3">
      <w:pPr>
        <w:rPr>
          <w:sz w:val="24"/>
          <w:szCs w:val="24"/>
        </w:rPr>
      </w:pPr>
      <w:r w:rsidRPr="00B807F3">
        <w:rPr>
          <w:sz w:val="24"/>
          <w:szCs w:val="24"/>
        </w:rPr>
        <w:t xml:space="preserve">Using the National Decision-Making Model (NDM) (College of Policing 2014) I began gathering information immediately, so on route established the offender was no longer in the shop and obtained a description of him. Utilising local council closed-circuit television (CCTV) I requested they pass the description to CCTV operators. I </w:t>
      </w:r>
      <w:r w:rsidRPr="00B807F3">
        <w:rPr>
          <w:sz w:val="24"/>
          <w:szCs w:val="24"/>
        </w:rPr>
        <w:lastRenderedPageBreak/>
        <w:t xml:space="preserve">thought CCTV could be used to assist in the apprehension of the offender and minimising the threat of a repeat incident or more serious offence by this individual, also if the offender was observed by CCTV in the general area, that footage could be used as evidence in an investigation as it would place them near the scene. A study of use of CCTV by British Transport Police suggests that useful CCTV significantly increased the chance of solving crimes, however this is </w:t>
      </w:r>
      <w:proofErr w:type="spellStart"/>
      <w:r w:rsidRPr="00B807F3">
        <w:rPr>
          <w:sz w:val="24"/>
          <w:szCs w:val="24"/>
        </w:rPr>
        <w:t>dependant</w:t>
      </w:r>
      <w:proofErr w:type="spellEnd"/>
      <w:r w:rsidRPr="00B807F3">
        <w:rPr>
          <w:sz w:val="24"/>
          <w:szCs w:val="24"/>
        </w:rPr>
        <w:t xml:space="preserve"> on quality of CCTV (Ashby 2017). Having previously viewed CCTV images from the council in relation to other incidents I was confident that if his image was captured that it would be valuable to the investigation as the quality of images was good. </w:t>
      </w:r>
    </w:p>
    <w:p w14:paraId="365FB547" w14:textId="77777777" w:rsidR="00B807F3" w:rsidRPr="00B807F3" w:rsidRDefault="00B807F3" w:rsidP="00B807F3">
      <w:pPr>
        <w:rPr>
          <w:sz w:val="24"/>
          <w:szCs w:val="24"/>
        </w:rPr>
      </w:pPr>
    </w:p>
    <w:p w14:paraId="10BA2635" w14:textId="77777777" w:rsidR="00B807F3" w:rsidRPr="00B807F3" w:rsidRDefault="00B807F3" w:rsidP="00B807F3">
      <w:pPr>
        <w:rPr>
          <w:sz w:val="24"/>
          <w:szCs w:val="24"/>
        </w:rPr>
      </w:pPr>
      <w:r w:rsidRPr="00B807F3">
        <w:rPr>
          <w:sz w:val="24"/>
          <w:szCs w:val="24"/>
        </w:rPr>
        <w:t>When I arrived, it was clear she was very shaken by the incident. I tried to put her at ease by introducing myself, not invading her personal space and asking her if she was comfortable speaking with me. It was important I approached and responded in a manner that would encourage her to be open and informative, particularly as a male officer. A study found that women who had been exposed to reported feeling distressed and felt that police and men in general trivialised the incident (Riordan 1999). I find this concerning as I imagine how angry I would feel if my partner was subject to this incident, and it was clear that this caller had been distressed by the incident. Guidance notes from College of Policing (2021) reinforce first responders’ approach to victims of rape or sexual assault as critical to ensuring victim engagement by using approaches including empathy, being non-judgemental and considering if a person needs an interpreter or registered intermediary.</w:t>
      </w:r>
    </w:p>
    <w:p w14:paraId="505888AF" w14:textId="77777777" w:rsidR="00B807F3" w:rsidRPr="00B807F3" w:rsidRDefault="00B807F3" w:rsidP="00B807F3">
      <w:pPr>
        <w:rPr>
          <w:sz w:val="24"/>
          <w:szCs w:val="24"/>
        </w:rPr>
      </w:pPr>
    </w:p>
    <w:p w14:paraId="6F807BB6" w14:textId="77777777" w:rsidR="00B807F3" w:rsidRPr="00B807F3" w:rsidRDefault="00B807F3" w:rsidP="00B807F3">
      <w:pPr>
        <w:rPr>
          <w:sz w:val="24"/>
          <w:szCs w:val="24"/>
        </w:rPr>
      </w:pPr>
      <w:r w:rsidRPr="00B807F3">
        <w:rPr>
          <w:color w:val="auto"/>
          <w:sz w:val="24"/>
          <w:szCs w:val="24"/>
        </w:rPr>
        <w:t xml:space="preserve">She </w:t>
      </w:r>
      <w:r w:rsidRPr="00B807F3">
        <w:rPr>
          <w:sz w:val="24"/>
          <w:szCs w:val="24"/>
        </w:rPr>
        <w:t>confirmed the information given by the operator was correct and this was backed up by store CCTV footage of the act. I was satisfied that the offence of exposure had taken place which is defined under Section 66 of the Sexual Offences Act (2003) as a person who intentionally exposes their genitals intending someone to see them and be caused alarm or distress.</w:t>
      </w:r>
    </w:p>
    <w:p w14:paraId="2F16E2AA" w14:textId="77777777" w:rsidR="00B807F3" w:rsidRPr="00B807F3" w:rsidRDefault="00B807F3" w:rsidP="00B807F3">
      <w:pPr>
        <w:rPr>
          <w:sz w:val="24"/>
          <w:szCs w:val="24"/>
        </w:rPr>
      </w:pPr>
    </w:p>
    <w:p w14:paraId="1C025CD1" w14:textId="77777777" w:rsidR="00B807F3" w:rsidRPr="00B807F3" w:rsidRDefault="00B807F3" w:rsidP="00B807F3">
      <w:pPr>
        <w:rPr>
          <w:sz w:val="24"/>
          <w:szCs w:val="24"/>
        </w:rPr>
      </w:pPr>
      <w:r w:rsidRPr="00B807F3">
        <w:rPr>
          <w:sz w:val="24"/>
          <w:szCs w:val="24"/>
        </w:rPr>
        <w:t>Taking the victims first account I established the offender’s identity was unknown, therefore, without being located on CCTV the likelihood of making a quick apprehension was slim. Using the NDM to help assess the situation, ethically I had to make the difficult decision to leave the caller as the protentional risk and harm the offender presented outweighed staying and taking a formal account and recovering the CCTV. Before leaving I ensured that the store manager had been contacted, the store closed that evening, and a family member was coming to collect the victim. Advising her that she would receive contact leaflet from victim support as they would automatically follow up and advising her to keep door locked and phone on until collected, I left her as safe and reassured as I felt was possible.</w:t>
      </w:r>
    </w:p>
    <w:p w14:paraId="21AF753A" w14:textId="77777777" w:rsidR="00B807F3" w:rsidRPr="00B807F3" w:rsidRDefault="00B807F3" w:rsidP="00B807F3">
      <w:pPr>
        <w:rPr>
          <w:sz w:val="24"/>
          <w:szCs w:val="24"/>
        </w:rPr>
      </w:pPr>
    </w:p>
    <w:p w14:paraId="6330E77E" w14:textId="77777777" w:rsidR="00B807F3" w:rsidRPr="00B807F3" w:rsidRDefault="00B807F3" w:rsidP="00B807F3">
      <w:pPr>
        <w:rPr>
          <w:sz w:val="24"/>
          <w:szCs w:val="24"/>
        </w:rPr>
      </w:pPr>
      <w:r w:rsidRPr="00B807F3">
        <w:rPr>
          <w:sz w:val="24"/>
          <w:szCs w:val="24"/>
        </w:rPr>
        <w:t>Unfortunately, after an extensive area search the offender was not located so the following day, I arranged with the caller to obtain the CCTV footage and take a formal statement. Gathering evidence in the form of a statement taking is a core element of policing and forms the foundations of any successful investigation (College of Policing 2013). Furthermore, without statements from key people in an investigation such as witnesses that other evidence such as CCTV and forensics may have little value. Therefore, I felt without a formal account from the caller there was little evidence to say an offence of exposure had been committed as only her statement could support that the incident had caused her distress.</w:t>
      </w:r>
    </w:p>
    <w:p w14:paraId="662DBA2B" w14:textId="77777777" w:rsidR="00B807F3" w:rsidRPr="00B807F3" w:rsidRDefault="00B807F3" w:rsidP="00B807F3">
      <w:pPr>
        <w:rPr>
          <w:sz w:val="24"/>
          <w:szCs w:val="24"/>
        </w:rPr>
      </w:pPr>
    </w:p>
    <w:p w14:paraId="034BE4F5" w14:textId="77777777" w:rsidR="00B807F3" w:rsidRPr="00B807F3" w:rsidRDefault="00B807F3" w:rsidP="00B807F3">
      <w:pPr>
        <w:rPr>
          <w:color w:val="auto"/>
          <w:sz w:val="24"/>
          <w:szCs w:val="24"/>
        </w:rPr>
      </w:pPr>
      <w:r w:rsidRPr="00B807F3">
        <w:rPr>
          <w:color w:val="auto"/>
          <w:sz w:val="24"/>
          <w:szCs w:val="24"/>
        </w:rPr>
        <w:lastRenderedPageBreak/>
        <w:t xml:space="preserve">While initially attending this incident, I considered the assistance of Crime Scene Investigators as the offender having entered and left via the main doors meant a possibility that fingerprints could have been left. However, drawing from experiences of previous investigations I knew because of the large foot traffic who had touched the door as well as the elements being wet, the possibility of recovering prints would have slim. I have also found that waiting for results can often take months. Therefore, I chose not to ask for their assistance in the hope that I would be able to use the CCTV footage to identify the offender. Had circumstances been different, for example the possibility of more reliable forensic evidence such as bodily fluids, more serious assault or greater risk indicated by perhaps a weapon then I would put greater weight on the need for forensics and calling for specialist help such as CID. </w:t>
      </w:r>
    </w:p>
    <w:p w14:paraId="119B3C9C" w14:textId="77777777" w:rsidR="00B807F3" w:rsidRPr="00B807F3" w:rsidRDefault="00B807F3" w:rsidP="00B807F3">
      <w:pPr>
        <w:rPr>
          <w:sz w:val="24"/>
          <w:szCs w:val="24"/>
        </w:rPr>
      </w:pPr>
    </w:p>
    <w:p w14:paraId="0B70E998" w14:textId="77777777" w:rsidR="00B807F3" w:rsidRPr="00B807F3" w:rsidRDefault="00B807F3" w:rsidP="00B807F3">
      <w:pPr>
        <w:rPr>
          <w:sz w:val="24"/>
          <w:szCs w:val="24"/>
        </w:rPr>
      </w:pPr>
      <w:r w:rsidRPr="00B807F3">
        <w:rPr>
          <w:sz w:val="24"/>
          <w:szCs w:val="24"/>
        </w:rPr>
        <w:t xml:space="preserve">On returning to the station, I felt identifying the offender quickly was important. Again, learning from previous experiences I distributed photos of the offender with other officers and local police community officers hoping someone might recognise them as this had worked for me before. </w:t>
      </w:r>
    </w:p>
    <w:p w14:paraId="05BE2A30" w14:textId="77777777" w:rsidR="00B807F3" w:rsidRPr="00B807F3" w:rsidRDefault="00B807F3" w:rsidP="00B807F3">
      <w:pPr>
        <w:rPr>
          <w:sz w:val="24"/>
          <w:szCs w:val="24"/>
        </w:rPr>
      </w:pPr>
    </w:p>
    <w:p w14:paraId="6B652F3A" w14:textId="77777777" w:rsidR="00B807F3" w:rsidRPr="00B807F3" w:rsidRDefault="00B807F3" w:rsidP="00B807F3">
      <w:pPr>
        <w:rPr>
          <w:sz w:val="24"/>
          <w:szCs w:val="24"/>
        </w:rPr>
      </w:pPr>
      <w:r w:rsidRPr="00B807F3">
        <w:rPr>
          <w:sz w:val="24"/>
          <w:szCs w:val="24"/>
        </w:rPr>
        <w:t xml:space="preserve">Considering the link of low-level sexual offending to more serious offending and considering all sources of information held at my disposal I contacted the MOSOVO team, a team I had previously become aware of an earlier university assignment exploring public protection and have now used twice since. They are a team responsible for the management of sexual and violent offenders (College of Policing 2020). </w:t>
      </w:r>
    </w:p>
    <w:p w14:paraId="23D1C254" w14:textId="77777777" w:rsidR="00B807F3" w:rsidRPr="00B807F3" w:rsidRDefault="00B807F3" w:rsidP="00B807F3">
      <w:pPr>
        <w:rPr>
          <w:sz w:val="24"/>
          <w:szCs w:val="24"/>
        </w:rPr>
      </w:pPr>
    </w:p>
    <w:p w14:paraId="4118C68A" w14:textId="77777777" w:rsidR="00B807F3" w:rsidRPr="00B807F3" w:rsidRDefault="00B807F3" w:rsidP="00B807F3">
      <w:pPr>
        <w:rPr>
          <w:sz w:val="24"/>
          <w:szCs w:val="24"/>
        </w:rPr>
      </w:pPr>
      <w:r w:rsidRPr="00B807F3">
        <w:rPr>
          <w:sz w:val="24"/>
          <w:szCs w:val="24"/>
        </w:rPr>
        <w:t>Sadly, all attempts to detect the offender through identification alone were unsuccessful. At this point I regretted not taking the forensic opportunities at the time of the incident. Nevertheless, it was not a wasted exercise as it did raise awareness of the incident with other colleagues.</w:t>
      </w:r>
    </w:p>
    <w:p w14:paraId="6E85748C" w14:textId="77777777" w:rsidR="00B807F3" w:rsidRPr="00B807F3" w:rsidRDefault="00B807F3" w:rsidP="00B807F3">
      <w:pPr>
        <w:rPr>
          <w:color w:val="4472C4"/>
          <w:sz w:val="24"/>
          <w:szCs w:val="24"/>
        </w:rPr>
      </w:pPr>
    </w:p>
    <w:p w14:paraId="10D50597" w14:textId="77777777" w:rsidR="00B807F3" w:rsidRPr="00B807F3" w:rsidRDefault="00B807F3" w:rsidP="00B807F3">
      <w:pPr>
        <w:rPr>
          <w:sz w:val="24"/>
          <w:szCs w:val="24"/>
        </w:rPr>
      </w:pPr>
      <w:r w:rsidRPr="00B807F3">
        <w:rPr>
          <w:sz w:val="24"/>
          <w:szCs w:val="24"/>
        </w:rPr>
        <w:t>This left me in a difficult position as all reasonable lines of enquiry had been exhausted. I felt that without further information the case may be closed. I contacted the victim to update them on the investigation. When discussing the difficulties in identifying the offender they informed me their colleague had identified the offender from CCTV as they had served them a few days prior to the incident.</w:t>
      </w:r>
    </w:p>
    <w:p w14:paraId="57442687" w14:textId="77777777" w:rsidR="00B807F3" w:rsidRPr="00B807F3" w:rsidRDefault="00B807F3" w:rsidP="00B807F3">
      <w:pPr>
        <w:rPr>
          <w:sz w:val="24"/>
          <w:szCs w:val="24"/>
        </w:rPr>
      </w:pPr>
    </w:p>
    <w:p w14:paraId="6C86FD7B" w14:textId="77777777" w:rsidR="00B807F3" w:rsidRPr="00B807F3" w:rsidRDefault="00B807F3" w:rsidP="00B807F3">
      <w:pPr>
        <w:rPr>
          <w:color w:val="4472C4"/>
          <w:sz w:val="24"/>
          <w:szCs w:val="24"/>
        </w:rPr>
      </w:pPr>
      <w:r w:rsidRPr="00B807F3">
        <w:rPr>
          <w:sz w:val="24"/>
          <w:szCs w:val="24"/>
        </w:rPr>
        <w:t>With the prospect of further leads I reattended the store and viewed earlier footage which showed the offender entering the store and purchasing some items using contactless payment. I asked the staff at the store to provide details of the transaction. Analysing the information, I was able to identify bank details of the offender which I established from matching the time shown on CCTV and transaction details provided by the store.</w:t>
      </w:r>
    </w:p>
    <w:p w14:paraId="11B73BDE" w14:textId="77777777" w:rsidR="00B807F3" w:rsidRPr="00B807F3" w:rsidRDefault="00B807F3" w:rsidP="00B807F3">
      <w:pPr>
        <w:rPr>
          <w:color w:val="4472C4"/>
          <w:sz w:val="24"/>
          <w:szCs w:val="24"/>
        </w:rPr>
      </w:pPr>
    </w:p>
    <w:p w14:paraId="3D806194" w14:textId="77777777" w:rsidR="00B807F3" w:rsidRPr="00B807F3" w:rsidRDefault="00B807F3" w:rsidP="00B807F3">
      <w:pPr>
        <w:rPr>
          <w:sz w:val="24"/>
          <w:szCs w:val="24"/>
        </w:rPr>
      </w:pPr>
      <w:r w:rsidRPr="00B807F3">
        <w:rPr>
          <w:sz w:val="24"/>
          <w:szCs w:val="24"/>
        </w:rPr>
        <w:t>Having identified bank details I needed to develop that information to reveal the offender’s full details. My plan was to contact the bank and obtain a name, date of birth and address. This turned out to be more difficult than first thought as the bank refused to provide details stating there was not an immediate threat to life, and they were not a missing person.</w:t>
      </w:r>
    </w:p>
    <w:p w14:paraId="012C51DF" w14:textId="77777777" w:rsidR="00B807F3" w:rsidRPr="00B807F3" w:rsidRDefault="00B807F3" w:rsidP="00B807F3">
      <w:pPr>
        <w:rPr>
          <w:sz w:val="24"/>
          <w:szCs w:val="24"/>
        </w:rPr>
      </w:pPr>
    </w:p>
    <w:p w14:paraId="1C4D8918" w14:textId="17056A71" w:rsidR="00B807F3" w:rsidRPr="00B807F3" w:rsidRDefault="00B807F3" w:rsidP="00B807F3">
      <w:pPr>
        <w:rPr>
          <w:sz w:val="24"/>
          <w:szCs w:val="24"/>
        </w:rPr>
      </w:pPr>
      <w:r w:rsidRPr="00B807F3">
        <w:rPr>
          <w:sz w:val="24"/>
          <w:szCs w:val="24"/>
        </w:rPr>
        <w:t xml:space="preserve">Due to the sense of urgency to identify the offender I contacted my local intelligence officer whose role is to evaluate intelligence and assess risk, harm and threat. </w:t>
      </w:r>
      <w:r w:rsidRPr="00B807F3">
        <w:rPr>
          <w:sz w:val="24"/>
          <w:szCs w:val="24"/>
        </w:rPr>
        <w:lastRenderedPageBreak/>
        <w:t xml:space="preserve">Following their </w:t>
      </w:r>
      <w:r w:rsidR="002359B2" w:rsidRPr="00B807F3">
        <w:rPr>
          <w:sz w:val="24"/>
          <w:szCs w:val="24"/>
        </w:rPr>
        <w:t>advice,</w:t>
      </w:r>
      <w:r w:rsidRPr="00B807F3">
        <w:rPr>
          <w:sz w:val="24"/>
          <w:szCs w:val="24"/>
        </w:rPr>
        <w:t xml:space="preserve"> I contacted the bank again expressing my concerns. I explained if this individual was not apprehended that the risk posed to members of the public could potentially be very serious. A recent high-profile example of exposure escalating to serious crime with devastating consequences is the abduction and murder of Sarah Everard by serving Police officer Wayne </w:t>
      </w:r>
      <w:proofErr w:type="spellStart"/>
      <w:r w:rsidRPr="00B807F3">
        <w:rPr>
          <w:sz w:val="24"/>
          <w:szCs w:val="24"/>
        </w:rPr>
        <w:t>Couzens</w:t>
      </w:r>
      <w:proofErr w:type="spellEnd"/>
      <w:r w:rsidRPr="00B807F3">
        <w:rPr>
          <w:sz w:val="24"/>
          <w:szCs w:val="24"/>
        </w:rPr>
        <w:t xml:space="preserve"> of the Metropolitan Police. Failing to act on allegations of exposure 6 years earlier and a few days before the murder was revealed in court (Bates 2021). As a serving officer I find this unacceptable on a personal level and find it difficult that one officer can break the trust that the public have in us as one bad apple!</w:t>
      </w:r>
    </w:p>
    <w:p w14:paraId="65911038" w14:textId="77777777" w:rsidR="00B807F3" w:rsidRPr="00B807F3" w:rsidRDefault="00B807F3" w:rsidP="00B807F3">
      <w:pPr>
        <w:rPr>
          <w:sz w:val="24"/>
          <w:szCs w:val="24"/>
        </w:rPr>
      </w:pPr>
    </w:p>
    <w:p w14:paraId="09282A06" w14:textId="77777777" w:rsidR="00B807F3" w:rsidRPr="00B807F3" w:rsidRDefault="00B807F3" w:rsidP="00B807F3">
      <w:pPr>
        <w:rPr>
          <w:sz w:val="24"/>
          <w:szCs w:val="24"/>
        </w:rPr>
      </w:pPr>
      <w:r w:rsidRPr="00B807F3">
        <w:rPr>
          <w:sz w:val="24"/>
          <w:szCs w:val="24"/>
        </w:rPr>
        <w:t>Along with an email expressing my concerns, I submitted a request of information form under Schedule 2 Part 1 of the Data Protection Act (2018) which allows the lawful passing of personal information to law enforcement when in the prevention of a crime, apprehension of an offender or the collection of tax or duty. This is compliant with the General Data Protection Regulation which is a framework setting guidelines for the collection and processing of personal data within the European Union (Information Commissioners Office 2018).</w:t>
      </w:r>
    </w:p>
    <w:p w14:paraId="64E0D2BD" w14:textId="77777777" w:rsidR="00B807F3" w:rsidRPr="00B807F3" w:rsidRDefault="00B807F3" w:rsidP="00B807F3">
      <w:pPr>
        <w:rPr>
          <w:color w:val="4472C4"/>
          <w:sz w:val="24"/>
          <w:szCs w:val="24"/>
        </w:rPr>
      </w:pPr>
    </w:p>
    <w:p w14:paraId="20017D18" w14:textId="11C4B86E" w:rsidR="00B807F3" w:rsidRPr="00B807F3" w:rsidRDefault="00B807F3" w:rsidP="00B807F3">
      <w:pPr>
        <w:rPr>
          <w:sz w:val="24"/>
          <w:szCs w:val="24"/>
        </w:rPr>
      </w:pPr>
      <w:r w:rsidRPr="00B807F3">
        <w:rPr>
          <w:sz w:val="24"/>
          <w:szCs w:val="24"/>
        </w:rPr>
        <w:t xml:space="preserve">Eventually the bank provided me with a name and address. Using available </w:t>
      </w:r>
      <w:r w:rsidR="002359B2" w:rsidRPr="00B807F3">
        <w:rPr>
          <w:sz w:val="24"/>
          <w:szCs w:val="24"/>
        </w:rPr>
        <w:t>sources,</w:t>
      </w:r>
      <w:r w:rsidRPr="00B807F3">
        <w:rPr>
          <w:sz w:val="24"/>
          <w:szCs w:val="24"/>
        </w:rPr>
        <w:t xml:space="preserve"> I searched Niche, a record management system used for managing incidents and investigations, documenting names and addresses and recording intelligence (Niche 2021). Searching Niche, the details provided by the bank did not match so I had to use alternative methods. One method I have previously used is checking the electoral register and using information held on the electoral register I was able to verify their current address. A colleague also checked the Police National Computer records, as I am not trained to do so, and it showed he had no previous convictions.</w:t>
      </w:r>
    </w:p>
    <w:p w14:paraId="7428D2CA" w14:textId="77777777" w:rsidR="00B807F3" w:rsidRPr="00B807F3" w:rsidRDefault="00B807F3" w:rsidP="00B807F3">
      <w:pPr>
        <w:rPr>
          <w:color w:val="4472C4"/>
          <w:sz w:val="24"/>
          <w:szCs w:val="24"/>
        </w:rPr>
      </w:pPr>
    </w:p>
    <w:p w14:paraId="5D2B7DC0" w14:textId="77777777" w:rsidR="00B807F3" w:rsidRPr="00B807F3" w:rsidRDefault="00B807F3" w:rsidP="00B807F3">
      <w:pPr>
        <w:rPr>
          <w:sz w:val="24"/>
          <w:szCs w:val="24"/>
        </w:rPr>
      </w:pPr>
      <w:r w:rsidRPr="00B807F3">
        <w:rPr>
          <w:sz w:val="24"/>
          <w:szCs w:val="24"/>
        </w:rPr>
        <w:t xml:space="preserve">Satisfied I had gathered all the evidence, analysed the information to establish their details and evaluated the risk posed to the public I attended their address where they were located and arrested them. As a result of the work, I had put into this investigation the offender was charged. </w:t>
      </w:r>
    </w:p>
    <w:p w14:paraId="68841E04" w14:textId="77777777" w:rsidR="00B807F3" w:rsidRPr="00B807F3" w:rsidRDefault="00B807F3" w:rsidP="00B807F3">
      <w:pPr>
        <w:rPr>
          <w:sz w:val="24"/>
          <w:szCs w:val="24"/>
        </w:rPr>
      </w:pPr>
    </w:p>
    <w:p w14:paraId="2F80758B" w14:textId="77777777" w:rsidR="00B807F3" w:rsidRPr="00B807F3" w:rsidRDefault="00B807F3" w:rsidP="00B807F3">
      <w:pPr>
        <w:rPr>
          <w:sz w:val="24"/>
          <w:szCs w:val="24"/>
        </w:rPr>
      </w:pPr>
      <w:r w:rsidRPr="00B807F3">
        <w:rPr>
          <w:sz w:val="24"/>
          <w:szCs w:val="24"/>
        </w:rPr>
        <w:t>CCTV was essential in this investigation, although I was unable to identify the offender with images alone, it gave me the lead I followed when I observed him using his bank card earlier that week. Wanting to identify and apprehend him as soon as possible, I was disappointed that the bank did not initially respond to my request, and I had not really considered data protection at the time as my only thought was identification. However, pleased I took steps to consult the intelligence officer for further guidance and that being persistent and focused achieved my goal. I feel that though this is not the most serious of crime that I will likely encounter that I feel more confident.</w:t>
      </w:r>
    </w:p>
    <w:p w14:paraId="6E2A1329" w14:textId="77777777" w:rsidR="00B807F3" w:rsidRPr="00B807F3" w:rsidRDefault="00B807F3" w:rsidP="00B807F3">
      <w:pPr>
        <w:rPr>
          <w:sz w:val="24"/>
          <w:szCs w:val="24"/>
        </w:rPr>
      </w:pPr>
    </w:p>
    <w:p w14:paraId="5F2DF88A" w14:textId="77777777" w:rsidR="00B807F3" w:rsidRPr="00B807F3" w:rsidRDefault="00B807F3" w:rsidP="00B807F3">
      <w:pPr>
        <w:rPr>
          <w:sz w:val="24"/>
          <w:szCs w:val="24"/>
        </w:rPr>
      </w:pPr>
      <w:r w:rsidRPr="00B807F3">
        <w:rPr>
          <w:sz w:val="24"/>
          <w:szCs w:val="24"/>
        </w:rPr>
        <w:t>Word count 1853</w:t>
      </w:r>
    </w:p>
    <w:p w14:paraId="0BAEB36E" w14:textId="77777777" w:rsidR="00B807F3" w:rsidRPr="00450C83" w:rsidRDefault="00B807F3"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49FF3278" w14:textId="77777777" w:rsidR="00B807F3" w:rsidRDefault="00B807F3" w:rsidP="00B807F3">
      <w:pPr>
        <w:ind w:right="237"/>
        <w:rPr>
          <w:sz w:val="24"/>
          <w:szCs w:val="24"/>
        </w:rPr>
      </w:pPr>
    </w:p>
    <w:p w14:paraId="6B0989EF" w14:textId="5E3FF803" w:rsidR="00025650" w:rsidRDefault="5B63D80E" w:rsidP="00B807F3">
      <w:pPr>
        <w:ind w:right="237"/>
        <w:jc w:val="center"/>
        <w:rPr>
          <w:b/>
          <w:bCs/>
          <w:sz w:val="24"/>
          <w:szCs w:val="24"/>
        </w:rPr>
      </w:pPr>
      <w:r w:rsidRPr="5B63D80E">
        <w:rPr>
          <w:b/>
          <w:bCs/>
          <w:sz w:val="24"/>
          <w:szCs w:val="24"/>
        </w:rPr>
        <w:lastRenderedPageBreak/>
        <w:t>Task 5</w:t>
      </w:r>
    </w:p>
    <w:p w14:paraId="571A83CC" w14:textId="77777777" w:rsidR="00B807F3" w:rsidRPr="00B807F3" w:rsidRDefault="00B807F3" w:rsidP="00B807F3">
      <w:pPr>
        <w:ind w:right="237"/>
        <w:jc w:val="cente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14D03E97" w14:textId="77777777" w:rsidR="00B807F3" w:rsidRPr="00B807F3" w:rsidRDefault="00B807F3" w:rsidP="00B807F3">
      <w:pPr>
        <w:ind w:right="237"/>
        <w:jc w:val="both"/>
        <w:rPr>
          <w:bCs/>
          <w:sz w:val="24"/>
          <w:szCs w:val="24"/>
        </w:rPr>
      </w:pPr>
      <w:r w:rsidRPr="00B807F3">
        <w:rPr>
          <w:bCs/>
          <w:sz w:val="24"/>
          <w:szCs w:val="24"/>
        </w:rPr>
        <w:t xml:space="preserve">Using Driscoll’s reflective model (2007) I will reflect on an online blackmail incident I recently dealt with. I will explore what actions I took to reduce harm caused and what makes victims vulnerable to this type of crime. </w:t>
      </w:r>
    </w:p>
    <w:p w14:paraId="13FDE3ED" w14:textId="77777777" w:rsidR="00B807F3" w:rsidRPr="00B807F3" w:rsidRDefault="00B807F3" w:rsidP="00B807F3">
      <w:pPr>
        <w:ind w:right="237"/>
        <w:jc w:val="both"/>
        <w:rPr>
          <w:bCs/>
          <w:sz w:val="24"/>
          <w:szCs w:val="24"/>
        </w:rPr>
      </w:pPr>
    </w:p>
    <w:p w14:paraId="0E1DB000" w14:textId="77777777" w:rsidR="00B807F3" w:rsidRPr="00B807F3" w:rsidRDefault="00B807F3" w:rsidP="00B807F3">
      <w:pPr>
        <w:ind w:right="237"/>
        <w:jc w:val="both"/>
        <w:rPr>
          <w:bCs/>
          <w:sz w:val="24"/>
          <w:szCs w:val="24"/>
        </w:rPr>
      </w:pPr>
      <w:r w:rsidRPr="00B807F3">
        <w:rPr>
          <w:bCs/>
          <w:sz w:val="24"/>
          <w:szCs w:val="24"/>
        </w:rPr>
        <w:t xml:space="preserve">Blackmail is defined under Section 21, Theft Act (1968) when </w:t>
      </w:r>
      <w:proofErr w:type="gramStart"/>
      <w:r w:rsidRPr="00B807F3">
        <w:rPr>
          <w:bCs/>
          <w:sz w:val="24"/>
          <w:szCs w:val="24"/>
        </w:rPr>
        <w:t>a</w:t>
      </w:r>
      <w:proofErr w:type="gramEnd"/>
      <w:r w:rsidRPr="00B807F3">
        <w:rPr>
          <w:bCs/>
          <w:sz w:val="24"/>
          <w:szCs w:val="24"/>
        </w:rPr>
        <w:t xml:space="preserve"> unwarranted demand with menaces is made to another with the view of gaining for himself or another or have intent to cause loss to another. Blackmail offences have gradually and dramatically increased over the past 10 years, rising from 491 to 16181 cases (Clark 2021).</w:t>
      </w:r>
      <w:r w:rsidRPr="00B807F3">
        <w:t xml:space="preserve"> </w:t>
      </w:r>
      <w:r w:rsidRPr="00B807F3">
        <w:rPr>
          <w:bCs/>
          <w:sz w:val="24"/>
          <w:szCs w:val="24"/>
        </w:rPr>
        <w:t>‘Sextortion’ is regarded as the online threat via phones and social media to share explicit images to gain favours or coerce a person into sharing further images or engage in sex (Wolak et al 2018).</w:t>
      </w:r>
    </w:p>
    <w:p w14:paraId="23F5AC9E" w14:textId="77777777" w:rsidR="00B807F3" w:rsidRPr="00B807F3" w:rsidRDefault="00B807F3" w:rsidP="00B807F3">
      <w:pPr>
        <w:ind w:right="237"/>
        <w:jc w:val="both"/>
        <w:rPr>
          <w:bCs/>
          <w:sz w:val="24"/>
          <w:szCs w:val="24"/>
        </w:rPr>
      </w:pPr>
    </w:p>
    <w:p w14:paraId="22EC0137" w14:textId="77777777" w:rsidR="00B807F3" w:rsidRPr="00B807F3" w:rsidRDefault="00B807F3" w:rsidP="00B807F3">
      <w:pPr>
        <w:ind w:right="237"/>
        <w:jc w:val="both"/>
        <w:rPr>
          <w:bCs/>
          <w:sz w:val="24"/>
          <w:szCs w:val="24"/>
        </w:rPr>
      </w:pPr>
    </w:p>
    <w:p w14:paraId="52F77053" w14:textId="77777777" w:rsidR="00B807F3" w:rsidRPr="00B807F3" w:rsidRDefault="00B807F3" w:rsidP="00B807F3">
      <w:pPr>
        <w:ind w:right="237"/>
        <w:jc w:val="both"/>
        <w:rPr>
          <w:bCs/>
          <w:sz w:val="24"/>
          <w:szCs w:val="24"/>
        </w:rPr>
      </w:pPr>
      <w:r w:rsidRPr="00B807F3">
        <w:rPr>
          <w:bCs/>
          <w:sz w:val="24"/>
          <w:szCs w:val="24"/>
        </w:rPr>
        <w:t>A young male called police in the early hours of the morning concerned they were a victim of blackmail. The victim requested police not to attend their home address as they resided with their parents and did not want them to be aware of the incident.</w:t>
      </w:r>
    </w:p>
    <w:p w14:paraId="799CF5B8" w14:textId="77777777" w:rsidR="00B807F3" w:rsidRPr="00B807F3" w:rsidRDefault="00B807F3" w:rsidP="00B807F3">
      <w:pPr>
        <w:ind w:right="237"/>
        <w:jc w:val="both"/>
        <w:rPr>
          <w:bCs/>
          <w:sz w:val="24"/>
          <w:szCs w:val="24"/>
        </w:rPr>
      </w:pPr>
      <w:r w:rsidRPr="00B807F3">
        <w:rPr>
          <w:bCs/>
          <w:sz w:val="24"/>
          <w:szCs w:val="24"/>
        </w:rPr>
        <w:t>As requested, a diarised appointment was arranged at their nearest Police station, and I was the on-duty officer taking appointments. I greeted the victim and introduced myself, welcoming them into the station. He seemed very anxious due to his tone of voice and constant fidgeting, and I needed to reassure and gain his trust. Building rapport was going to be essential to ensure he felt he could be open and give me as much information as possible, as I would need to gain evidence and help safeguard him from further attempts of blackmail.</w:t>
      </w:r>
    </w:p>
    <w:p w14:paraId="158B7E52" w14:textId="77777777" w:rsidR="00B807F3" w:rsidRPr="00B807F3" w:rsidRDefault="00B807F3" w:rsidP="00B807F3">
      <w:pPr>
        <w:ind w:right="237"/>
        <w:jc w:val="both"/>
        <w:rPr>
          <w:bCs/>
          <w:sz w:val="24"/>
          <w:szCs w:val="24"/>
        </w:rPr>
      </w:pPr>
    </w:p>
    <w:p w14:paraId="2379C79D" w14:textId="77777777" w:rsidR="00B807F3" w:rsidRPr="00B807F3" w:rsidRDefault="00B807F3" w:rsidP="00B807F3">
      <w:pPr>
        <w:ind w:right="237"/>
        <w:jc w:val="both"/>
        <w:rPr>
          <w:bCs/>
          <w:sz w:val="24"/>
          <w:szCs w:val="24"/>
        </w:rPr>
      </w:pPr>
    </w:p>
    <w:p w14:paraId="11EB91E1" w14:textId="77777777" w:rsidR="00B807F3" w:rsidRPr="00B807F3" w:rsidRDefault="00B807F3" w:rsidP="00B807F3">
      <w:pPr>
        <w:ind w:right="237"/>
        <w:jc w:val="both"/>
        <w:rPr>
          <w:bCs/>
          <w:sz w:val="24"/>
          <w:szCs w:val="24"/>
        </w:rPr>
      </w:pPr>
      <w:r w:rsidRPr="00B807F3">
        <w:rPr>
          <w:bCs/>
          <w:sz w:val="24"/>
          <w:szCs w:val="24"/>
        </w:rPr>
        <w:t xml:space="preserve">I have found that building rapport with victims helps gather a more comprehensive first account, a view supported by College of Policing (2020a) and incorporates the ethical code by behaviours such as honest, open, non-judgemental and being culturally aware. I noticed the local rugby club emblem on his jacket, having played rugby myself I used this as an area of small talk which seemed to bring him out of his shell, then I was able to lead the conversation into the incident. Using small talk and common interest to establish a connection is widely used and nonverbal techniques such as friendliness, open body language and being </w:t>
      </w:r>
      <w:proofErr w:type="spellStart"/>
      <w:r w:rsidRPr="00B807F3">
        <w:rPr>
          <w:bCs/>
          <w:sz w:val="24"/>
          <w:szCs w:val="24"/>
        </w:rPr>
        <w:t>non judgemental</w:t>
      </w:r>
      <w:proofErr w:type="spellEnd"/>
      <w:r w:rsidRPr="00B807F3">
        <w:rPr>
          <w:bCs/>
          <w:sz w:val="24"/>
          <w:szCs w:val="24"/>
        </w:rPr>
        <w:t xml:space="preserve"> are key to good rapport (</w:t>
      </w:r>
      <w:proofErr w:type="spellStart"/>
      <w:r w:rsidRPr="00B807F3">
        <w:rPr>
          <w:bCs/>
          <w:sz w:val="24"/>
          <w:szCs w:val="24"/>
        </w:rPr>
        <w:t>Vallano</w:t>
      </w:r>
      <w:proofErr w:type="spellEnd"/>
      <w:r w:rsidRPr="00B807F3">
        <w:rPr>
          <w:bCs/>
          <w:sz w:val="24"/>
          <w:szCs w:val="24"/>
        </w:rPr>
        <w:t xml:space="preserve"> et al 2015). </w:t>
      </w:r>
    </w:p>
    <w:p w14:paraId="15480EED" w14:textId="77777777" w:rsidR="00B807F3" w:rsidRPr="00B807F3" w:rsidRDefault="00B807F3" w:rsidP="00B807F3">
      <w:pPr>
        <w:ind w:right="237"/>
        <w:jc w:val="both"/>
        <w:rPr>
          <w:bCs/>
          <w:sz w:val="24"/>
          <w:szCs w:val="24"/>
        </w:rPr>
      </w:pPr>
    </w:p>
    <w:p w14:paraId="087157B1" w14:textId="77777777" w:rsidR="00B807F3" w:rsidRPr="00B807F3" w:rsidRDefault="00B807F3" w:rsidP="00B807F3">
      <w:pPr>
        <w:ind w:right="237"/>
        <w:jc w:val="both"/>
        <w:rPr>
          <w:bCs/>
          <w:sz w:val="24"/>
          <w:szCs w:val="24"/>
        </w:rPr>
      </w:pPr>
    </w:p>
    <w:p w14:paraId="7F3DE09D" w14:textId="77777777" w:rsidR="00B807F3" w:rsidRPr="00B807F3" w:rsidRDefault="00B807F3" w:rsidP="00B807F3">
      <w:pPr>
        <w:ind w:right="237"/>
        <w:jc w:val="both"/>
        <w:rPr>
          <w:bCs/>
          <w:sz w:val="24"/>
          <w:szCs w:val="24"/>
        </w:rPr>
      </w:pPr>
      <w:r w:rsidRPr="00B807F3">
        <w:rPr>
          <w:bCs/>
          <w:sz w:val="24"/>
          <w:szCs w:val="24"/>
        </w:rPr>
        <w:t>The victim explained that because Covid-19 pandemic restrictions he was unable go out socialising and had turned to online dating. He began speaking online to a person he believed to be female. Over a week or more they spoke daily which he described as “everyday chat” and had then befriended them on their social media platforms Facebook and Instagram. The “everyday chat” got more personal such as asking about family, friends and their home address and overtime became sexual. Again, becoming embarrassed he needed my reassurance to continue. I reassured him anything said stayed confidential and that I wanted to help, staying non-judgemental, applying the standards and principles of the code of ethics (College of Policing 2014).</w:t>
      </w:r>
    </w:p>
    <w:p w14:paraId="03DED389" w14:textId="77777777" w:rsidR="00B807F3" w:rsidRPr="00B807F3" w:rsidRDefault="00B807F3" w:rsidP="00B807F3">
      <w:pPr>
        <w:ind w:right="237"/>
        <w:jc w:val="both"/>
        <w:rPr>
          <w:bCs/>
          <w:sz w:val="24"/>
          <w:szCs w:val="24"/>
        </w:rPr>
      </w:pPr>
    </w:p>
    <w:p w14:paraId="1665E2D9" w14:textId="77777777" w:rsidR="00B807F3" w:rsidRPr="00B807F3" w:rsidRDefault="00B807F3" w:rsidP="00B807F3">
      <w:pPr>
        <w:ind w:right="237"/>
        <w:jc w:val="both"/>
        <w:rPr>
          <w:bCs/>
          <w:sz w:val="24"/>
          <w:szCs w:val="24"/>
        </w:rPr>
      </w:pPr>
      <w:r w:rsidRPr="00B807F3">
        <w:rPr>
          <w:bCs/>
          <w:sz w:val="24"/>
          <w:szCs w:val="24"/>
        </w:rPr>
        <w:t xml:space="preserve">The victim explained they were asked to send photos of a sexual nature with the promise of photos being sent back in return. They agreed, sending several images of themselves exposed. The victim received back a screenshot of a pre-written message drafted to several of their social media contacts. The message contained the images he had sent, his personal details and a message threatening to send the images unless a payment of $250 was paid into a cash app account. At this point the victim contacted police, reporting the incident.  </w:t>
      </w:r>
    </w:p>
    <w:p w14:paraId="5DBC5B86" w14:textId="77777777" w:rsidR="00B807F3" w:rsidRPr="00B807F3" w:rsidRDefault="00B807F3" w:rsidP="00B807F3">
      <w:pPr>
        <w:ind w:right="237"/>
        <w:jc w:val="both"/>
        <w:rPr>
          <w:bCs/>
          <w:sz w:val="24"/>
          <w:szCs w:val="24"/>
        </w:rPr>
      </w:pPr>
    </w:p>
    <w:p w14:paraId="1E100277" w14:textId="77777777" w:rsidR="00B807F3" w:rsidRPr="00B807F3" w:rsidRDefault="00B807F3" w:rsidP="00B807F3">
      <w:pPr>
        <w:ind w:right="237"/>
        <w:jc w:val="both"/>
        <w:rPr>
          <w:bCs/>
          <w:sz w:val="24"/>
          <w:szCs w:val="24"/>
        </w:rPr>
      </w:pPr>
      <w:r w:rsidRPr="00B807F3">
        <w:rPr>
          <w:bCs/>
          <w:sz w:val="24"/>
          <w:szCs w:val="24"/>
        </w:rPr>
        <w:t>I reassured him he had taken the right steps by reporting the incident, reminding him that the matter stayed confidential. The incident had clearly left him in a state of fear so I knew being able to provide a good initial first response would help reduce risk and harm.</w:t>
      </w:r>
    </w:p>
    <w:p w14:paraId="673B6073" w14:textId="77777777" w:rsidR="00B807F3" w:rsidRPr="00B807F3" w:rsidRDefault="00B807F3" w:rsidP="00B807F3">
      <w:pPr>
        <w:ind w:right="237"/>
        <w:jc w:val="both"/>
        <w:rPr>
          <w:bCs/>
          <w:sz w:val="24"/>
          <w:szCs w:val="24"/>
        </w:rPr>
      </w:pPr>
    </w:p>
    <w:p w14:paraId="6BF01815" w14:textId="77777777" w:rsidR="00B807F3" w:rsidRPr="00B807F3" w:rsidRDefault="00B807F3" w:rsidP="00B807F3">
      <w:pPr>
        <w:ind w:right="237"/>
        <w:jc w:val="both"/>
        <w:rPr>
          <w:bCs/>
          <w:sz w:val="24"/>
          <w:szCs w:val="24"/>
        </w:rPr>
      </w:pPr>
      <w:r w:rsidRPr="00B807F3">
        <w:rPr>
          <w:bCs/>
          <w:sz w:val="24"/>
          <w:szCs w:val="24"/>
        </w:rPr>
        <w:t xml:space="preserve">When assessing vulnerability and risk I have found guidelines set out by the College of Policing (2020b) a useful tool helping me in identifying and responding to risks posed to a vulnerable person (a person who by circumstance are unable to protect themselves or others from harm). Underpinned by the code of ethics they guide in recognising a vulnerable person, communication skills to establish facts and risk and plan action to protect the person. I had already worked at establishing a rapport, recognising the influences that exposed him to dating online and sharing personal information and the resulting embarrassment and fear of being exposed to people that knew him. Now I had to take action to safeguard him from the initial threat and minimise future threat.  </w:t>
      </w:r>
    </w:p>
    <w:p w14:paraId="74D8C494" w14:textId="77777777" w:rsidR="00B807F3" w:rsidRPr="00B807F3" w:rsidRDefault="00B807F3" w:rsidP="00B807F3">
      <w:pPr>
        <w:ind w:right="237"/>
        <w:jc w:val="both"/>
        <w:rPr>
          <w:bCs/>
          <w:sz w:val="24"/>
          <w:szCs w:val="24"/>
        </w:rPr>
      </w:pPr>
    </w:p>
    <w:p w14:paraId="3AFA51C9" w14:textId="77777777" w:rsidR="00B807F3" w:rsidRPr="00B807F3" w:rsidRDefault="00B807F3" w:rsidP="00B807F3">
      <w:pPr>
        <w:ind w:right="237"/>
        <w:jc w:val="both"/>
        <w:rPr>
          <w:bCs/>
          <w:sz w:val="24"/>
          <w:szCs w:val="24"/>
        </w:rPr>
      </w:pPr>
      <w:r w:rsidRPr="00B807F3">
        <w:rPr>
          <w:bCs/>
          <w:sz w:val="24"/>
          <w:szCs w:val="24"/>
        </w:rPr>
        <w:t xml:space="preserve">I wanted to firstly ensure that they were not at financial risk. The victim confirmed they had not made payment but questioned if they should. I had not yet dealt with an incident of blackmail, so my knowledge was limited. Going on gut instinct I thought the most appropriate advice was to not to comply with their demand for payment. </w:t>
      </w:r>
    </w:p>
    <w:p w14:paraId="302054C7" w14:textId="77777777" w:rsidR="00B807F3" w:rsidRPr="00B807F3" w:rsidRDefault="00B807F3" w:rsidP="00B807F3">
      <w:pPr>
        <w:ind w:right="237"/>
        <w:jc w:val="both"/>
        <w:rPr>
          <w:bCs/>
          <w:sz w:val="24"/>
          <w:szCs w:val="24"/>
        </w:rPr>
      </w:pPr>
    </w:p>
    <w:p w14:paraId="63611814" w14:textId="77777777" w:rsidR="00B807F3" w:rsidRPr="00B807F3" w:rsidRDefault="00B807F3" w:rsidP="00B807F3">
      <w:pPr>
        <w:ind w:right="237"/>
        <w:jc w:val="both"/>
        <w:rPr>
          <w:bCs/>
          <w:sz w:val="24"/>
          <w:szCs w:val="24"/>
        </w:rPr>
      </w:pPr>
      <w:r w:rsidRPr="00B807F3">
        <w:rPr>
          <w:bCs/>
          <w:sz w:val="24"/>
          <w:szCs w:val="24"/>
        </w:rPr>
        <w:t>I advised the victim not to engage with what we then named “The Blackmailer” and instead block and delete them. Taking learning from other more common digital offences I had dealt with such as Malicious Communications I knew it was essential to document the messages along with the account details which would be needed later in the investigation process. Once this was done each account was reported to their respective social media platforms.</w:t>
      </w:r>
    </w:p>
    <w:p w14:paraId="1EE5A38A" w14:textId="77777777" w:rsidR="00B807F3" w:rsidRPr="00B807F3" w:rsidRDefault="00B807F3" w:rsidP="00B807F3">
      <w:pPr>
        <w:ind w:right="237"/>
        <w:jc w:val="both"/>
        <w:rPr>
          <w:bCs/>
          <w:sz w:val="24"/>
          <w:szCs w:val="24"/>
        </w:rPr>
      </w:pPr>
    </w:p>
    <w:p w14:paraId="6ABFAAAA" w14:textId="77777777" w:rsidR="00B807F3" w:rsidRPr="00B807F3" w:rsidRDefault="00B807F3" w:rsidP="00B807F3">
      <w:pPr>
        <w:ind w:right="237"/>
        <w:jc w:val="both"/>
        <w:rPr>
          <w:bCs/>
          <w:sz w:val="24"/>
          <w:szCs w:val="24"/>
        </w:rPr>
      </w:pPr>
    </w:p>
    <w:p w14:paraId="56032B2D" w14:textId="77777777" w:rsidR="00B807F3" w:rsidRPr="00B807F3" w:rsidRDefault="00B807F3" w:rsidP="00B807F3">
      <w:pPr>
        <w:ind w:right="237"/>
        <w:jc w:val="both"/>
        <w:rPr>
          <w:bCs/>
          <w:sz w:val="24"/>
          <w:szCs w:val="24"/>
        </w:rPr>
      </w:pPr>
      <w:r w:rsidRPr="00B807F3">
        <w:rPr>
          <w:bCs/>
          <w:sz w:val="24"/>
          <w:szCs w:val="24"/>
        </w:rPr>
        <w:t xml:space="preserve">To prevent him from being contacted from accounts that could be associated with the blackmailer I changed the </w:t>
      </w:r>
      <w:proofErr w:type="gramStart"/>
      <w:r w:rsidRPr="00B807F3">
        <w:rPr>
          <w:bCs/>
          <w:sz w:val="24"/>
          <w:szCs w:val="24"/>
        </w:rPr>
        <w:t>victims</w:t>
      </w:r>
      <w:proofErr w:type="gramEnd"/>
      <w:r w:rsidRPr="00B807F3">
        <w:rPr>
          <w:bCs/>
          <w:sz w:val="24"/>
          <w:szCs w:val="24"/>
        </w:rPr>
        <w:t xml:space="preserve"> social media privacy settings to private with him. While social media platforms have positive benefits in connecting people and sharing information, this also increases the risk to privacy and security and a survey of users showed that frequently users accepted default settings which did not fully protect their accounts and left them open to many forms of online intrusion and exploitation (Ali et al 2018).</w:t>
      </w:r>
    </w:p>
    <w:p w14:paraId="529C3B02" w14:textId="77777777" w:rsidR="00B807F3" w:rsidRPr="00B807F3" w:rsidRDefault="00B807F3" w:rsidP="00B807F3">
      <w:pPr>
        <w:ind w:right="237"/>
        <w:jc w:val="both"/>
        <w:rPr>
          <w:bCs/>
          <w:sz w:val="24"/>
          <w:szCs w:val="24"/>
        </w:rPr>
      </w:pPr>
    </w:p>
    <w:p w14:paraId="4E909783" w14:textId="77777777" w:rsidR="00B807F3" w:rsidRPr="00B807F3" w:rsidRDefault="00B807F3" w:rsidP="00B807F3">
      <w:pPr>
        <w:ind w:right="237"/>
        <w:jc w:val="both"/>
        <w:rPr>
          <w:bCs/>
          <w:sz w:val="24"/>
          <w:szCs w:val="24"/>
        </w:rPr>
      </w:pPr>
      <w:r w:rsidRPr="00B807F3">
        <w:rPr>
          <w:bCs/>
          <w:sz w:val="24"/>
          <w:szCs w:val="24"/>
        </w:rPr>
        <w:t>When all this was done, I took the opportunity while the incident was still vivid in the memory of the victim to document their account in the form of a statement making sure it contained as much detail as possible.</w:t>
      </w:r>
    </w:p>
    <w:p w14:paraId="1C1169FD" w14:textId="77777777" w:rsidR="00B807F3" w:rsidRPr="00B807F3" w:rsidRDefault="00B807F3" w:rsidP="00B807F3">
      <w:pPr>
        <w:ind w:right="237"/>
        <w:jc w:val="both"/>
        <w:rPr>
          <w:bCs/>
          <w:sz w:val="24"/>
          <w:szCs w:val="24"/>
        </w:rPr>
      </w:pPr>
    </w:p>
    <w:p w14:paraId="631BC9E0" w14:textId="77777777" w:rsidR="00B807F3" w:rsidRPr="00B807F3" w:rsidRDefault="00B807F3" w:rsidP="00B807F3">
      <w:pPr>
        <w:ind w:right="237"/>
        <w:jc w:val="both"/>
        <w:rPr>
          <w:bCs/>
          <w:sz w:val="24"/>
          <w:szCs w:val="24"/>
        </w:rPr>
      </w:pPr>
      <w:r w:rsidRPr="00B807F3">
        <w:rPr>
          <w:bCs/>
          <w:sz w:val="24"/>
          <w:szCs w:val="24"/>
        </w:rPr>
        <w:t>With everything now evidentially documented I spoke with the victim in depth about their use of social media particularly their use of dating websites. I sympathized with the victim aware that current circumstances surrounding the COVID-19 pandemic made it difficult for young people to socialise, but as an officer I had a duty to advise him on the risk associated with using such platforms.</w:t>
      </w:r>
    </w:p>
    <w:p w14:paraId="3C1C94B4" w14:textId="77777777" w:rsidR="00B807F3" w:rsidRPr="00B807F3" w:rsidRDefault="00B807F3" w:rsidP="00B807F3">
      <w:pPr>
        <w:ind w:right="237"/>
        <w:jc w:val="both"/>
        <w:rPr>
          <w:bCs/>
          <w:sz w:val="24"/>
          <w:szCs w:val="24"/>
        </w:rPr>
      </w:pPr>
    </w:p>
    <w:p w14:paraId="2F81A0AC" w14:textId="77777777" w:rsidR="00B807F3" w:rsidRPr="00B807F3" w:rsidRDefault="00B807F3" w:rsidP="00B807F3">
      <w:pPr>
        <w:ind w:right="237"/>
        <w:jc w:val="both"/>
        <w:rPr>
          <w:bCs/>
          <w:sz w:val="24"/>
          <w:szCs w:val="24"/>
        </w:rPr>
      </w:pPr>
      <w:r w:rsidRPr="00B807F3">
        <w:rPr>
          <w:bCs/>
          <w:sz w:val="24"/>
          <w:szCs w:val="24"/>
        </w:rPr>
        <w:t>Before the victim left, I reiterated the advice I had given such as not to engage with the Blackmailer as well as informing him further incidents would need to be reported. I was concerned about his mental state and felt he needed emotional support. Therefore, I signposted him to the Samaritans, a charity that offer 24hour support for people struggling emotionally or at a point of crisis.</w:t>
      </w:r>
    </w:p>
    <w:p w14:paraId="1AFDB3D0" w14:textId="77777777" w:rsidR="00B807F3" w:rsidRPr="00B807F3" w:rsidRDefault="00B807F3" w:rsidP="00B807F3">
      <w:pPr>
        <w:ind w:right="237"/>
        <w:jc w:val="both"/>
        <w:rPr>
          <w:bCs/>
          <w:sz w:val="24"/>
          <w:szCs w:val="24"/>
        </w:rPr>
      </w:pPr>
    </w:p>
    <w:p w14:paraId="11E7F76D" w14:textId="77777777" w:rsidR="00B807F3" w:rsidRPr="00B807F3" w:rsidRDefault="00B807F3" w:rsidP="00B807F3">
      <w:pPr>
        <w:ind w:right="237"/>
        <w:jc w:val="both"/>
        <w:rPr>
          <w:bCs/>
          <w:sz w:val="24"/>
          <w:szCs w:val="24"/>
        </w:rPr>
      </w:pPr>
      <w:r w:rsidRPr="00B807F3">
        <w:rPr>
          <w:bCs/>
          <w:sz w:val="24"/>
          <w:szCs w:val="24"/>
        </w:rPr>
        <w:t>Reflecting on these actions, although I was acting on my instinct, I am reassured to see they comply with the National Crime Agency (NCA) (2021) web advice: Not to panic, not to pay, don’t communicate and get support.</w:t>
      </w:r>
    </w:p>
    <w:p w14:paraId="0B0BC14E" w14:textId="77777777" w:rsidR="00B807F3" w:rsidRPr="00B807F3" w:rsidRDefault="00B807F3" w:rsidP="00B807F3">
      <w:pPr>
        <w:ind w:right="237"/>
        <w:jc w:val="both"/>
        <w:rPr>
          <w:bCs/>
          <w:sz w:val="24"/>
          <w:szCs w:val="24"/>
        </w:rPr>
      </w:pPr>
    </w:p>
    <w:p w14:paraId="5D03835C" w14:textId="77777777" w:rsidR="00B807F3" w:rsidRPr="00B807F3" w:rsidRDefault="00B807F3" w:rsidP="00B807F3">
      <w:pPr>
        <w:ind w:right="237"/>
        <w:jc w:val="both"/>
        <w:rPr>
          <w:bCs/>
          <w:sz w:val="24"/>
          <w:szCs w:val="24"/>
        </w:rPr>
      </w:pPr>
      <w:r w:rsidRPr="00B807F3">
        <w:rPr>
          <w:bCs/>
          <w:sz w:val="24"/>
          <w:szCs w:val="24"/>
        </w:rPr>
        <w:t>After the victim left, I immediately notified the NCAs Anti Kidnap and Extortion Unit who work in partnership with police providing specialist support. They are a global leader tackling anti-kidnap and extortion and recognise sextortion as a growing threat (NCA 2021).</w:t>
      </w:r>
    </w:p>
    <w:p w14:paraId="6AD338D6" w14:textId="77777777" w:rsidR="00B807F3" w:rsidRPr="00B807F3" w:rsidRDefault="00B807F3" w:rsidP="00B807F3">
      <w:pPr>
        <w:ind w:right="237"/>
        <w:jc w:val="both"/>
        <w:rPr>
          <w:bCs/>
          <w:sz w:val="24"/>
          <w:szCs w:val="24"/>
        </w:rPr>
      </w:pPr>
    </w:p>
    <w:p w14:paraId="44385078" w14:textId="41D89B88" w:rsidR="00B807F3" w:rsidRPr="00B807F3" w:rsidRDefault="00B807F3" w:rsidP="00B807F3">
      <w:pPr>
        <w:ind w:right="237"/>
        <w:jc w:val="both"/>
        <w:rPr>
          <w:bCs/>
          <w:sz w:val="24"/>
          <w:szCs w:val="24"/>
        </w:rPr>
      </w:pPr>
      <w:r w:rsidRPr="00B807F3">
        <w:rPr>
          <w:bCs/>
          <w:sz w:val="24"/>
          <w:szCs w:val="24"/>
        </w:rPr>
        <w:t>The last immediate action I took was taking all the information I had gathered and start what is known in Gwent Police as Charter work. Charter is an application to acquire digital information such as subscriber information with the aim of obtaining information such as names and IP addresses. Once submitted the application form is passed to a Single Point of Contact (SP</w:t>
      </w:r>
      <w:r w:rsidR="002359B2">
        <w:rPr>
          <w:bCs/>
          <w:sz w:val="24"/>
          <w:szCs w:val="24"/>
        </w:rPr>
        <w:t>O</w:t>
      </w:r>
      <w:bookmarkStart w:id="0" w:name="_GoBack"/>
      <w:bookmarkEnd w:id="0"/>
      <w:r w:rsidRPr="00B807F3">
        <w:rPr>
          <w:bCs/>
          <w:sz w:val="24"/>
          <w:szCs w:val="24"/>
        </w:rPr>
        <w:t xml:space="preserve">C) who can acquire digital information in line with Regulation of Investigatory Powers Act (2000) which regulates how public bodies operate to obtain information whether that be through covert surveillance or digitally. </w:t>
      </w:r>
    </w:p>
    <w:p w14:paraId="3F73E6A2" w14:textId="77777777" w:rsidR="00B807F3" w:rsidRPr="00B807F3" w:rsidRDefault="00B807F3" w:rsidP="00B807F3">
      <w:pPr>
        <w:ind w:right="237"/>
        <w:jc w:val="both"/>
        <w:rPr>
          <w:bCs/>
          <w:sz w:val="24"/>
          <w:szCs w:val="24"/>
        </w:rPr>
      </w:pPr>
    </w:p>
    <w:p w14:paraId="5C63A2ED" w14:textId="77777777" w:rsidR="00B807F3" w:rsidRPr="00B807F3" w:rsidRDefault="00B807F3" w:rsidP="00B807F3">
      <w:pPr>
        <w:ind w:right="237"/>
        <w:jc w:val="both"/>
        <w:rPr>
          <w:bCs/>
          <w:sz w:val="24"/>
          <w:szCs w:val="24"/>
        </w:rPr>
      </w:pPr>
      <w:r w:rsidRPr="00B807F3">
        <w:rPr>
          <w:bCs/>
          <w:sz w:val="24"/>
          <w:szCs w:val="24"/>
        </w:rPr>
        <w:t xml:space="preserve">A review of available research by Al </w:t>
      </w:r>
      <w:proofErr w:type="spellStart"/>
      <w:r w:rsidRPr="00B807F3">
        <w:rPr>
          <w:bCs/>
          <w:sz w:val="24"/>
          <w:szCs w:val="24"/>
        </w:rPr>
        <w:t>Habsi</w:t>
      </w:r>
      <w:proofErr w:type="spellEnd"/>
      <w:r w:rsidRPr="00B807F3">
        <w:rPr>
          <w:bCs/>
          <w:sz w:val="24"/>
          <w:szCs w:val="24"/>
        </w:rPr>
        <w:t xml:space="preserve"> et al (2021) concluded that those who were more likely to be at risk are those that are looking for relationships, wanting to express themselves and have lower self-control. They tended to be younger females happy to share images on social media. The increased information sharing on social media automatically puts them at more risk of being targeted by social blackmail, however they highlight that there is a lack of research, and the gaps mean that planning strategies to combat this area difficult due to lack of information.</w:t>
      </w:r>
    </w:p>
    <w:p w14:paraId="756E4246" w14:textId="77777777" w:rsidR="00B807F3" w:rsidRPr="00B807F3" w:rsidRDefault="00B807F3" w:rsidP="00B807F3">
      <w:pPr>
        <w:ind w:right="237"/>
        <w:jc w:val="both"/>
        <w:rPr>
          <w:bCs/>
          <w:sz w:val="24"/>
          <w:szCs w:val="24"/>
        </w:rPr>
      </w:pPr>
    </w:p>
    <w:p w14:paraId="21F17204" w14:textId="77777777" w:rsidR="00B807F3" w:rsidRPr="00B807F3" w:rsidRDefault="00B807F3" w:rsidP="00B807F3">
      <w:pPr>
        <w:ind w:right="237"/>
        <w:jc w:val="both"/>
        <w:rPr>
          <w:bCs/>
          <w:sz w:val="24"/>
          <w:szCs w:val="24"/>
        </w:rPr>
      </w:pPr>
      <w:r w:rsidRPr="00B807F3">
        <w:rPr>
          <w:bCs/>
          <w:sz w:val="24"/>
          <w:szCs w:val="24"/>
        </w:rPr>
        <w:t>Differing to the research review crime statistics from the National Crime Agency suggest that mostly teenage and young males appear to be victims. These statistics relate to the filming and recording of sexual acts and used by gangs to extort money (Whitworth 2018). The article also suggests that a small number of males had lost their lives due to suicide because of this. Whilst I could see the embarrassment caused to the victim, I had not really thought that the effect of this could be so severe as to cause someone to contemplate suicide and whilst I had signposted him to the Samaritans it wasn’t because I thought he was a suicide risk, just that he needed someone to speak to confidentially.</w:t>
      </w:r>
    </w:p>
    <w:p w14:paraId="46AFBD39" w14:textId="77777777" w:rsidR="00B807F3" w:rsidRPr="00B807F3" w:rsidRDefault="00B807F3" w:rsidP="00B807F3">
      <w:pPr>
        <w:ind w:right="237"/>
        <w:jc w:val="both"/>
        <w:rPr>
          <w:bCs/>
          <w:sz w:val="24"/>
          <w:szCs w:val="24"/>
        </w:rPr>
      </w:pPr>
    </w:p>
    <w:p w14:paraId="5EFB0F45" w14:textId="77777777" w:rsidR="00B807F3" w:rsidRPr="00B807F3" w:rsidRDefault="00B807F3" w:rsidP="00B807F3">
      <w:pPr>
        <w:ind w:right="237"/>
        <w:jc w:val="both"/>
        <w:rPr>
          <w:bCs/>
          <w:sz w:val="24"/>
          <w:szCs w:val="24"/>
        </w:rPr>
      </w:pPr>
      <w:r w:rsidRPr="00B807F3">
        <w:rPr>
          <w:bCs/>
          <w:sz w:val="24"/>
          <w:szCs w:val="24"/>
        </w:rPr>
        <w:t xml:space="preserve">The only real similarity between these 2 sources of information seems to be generally a younger person who accesses social media and engages in crossing the normal boundaries that a face-to-face encounter might normally discourage. It clearly is a growing problem and highly likely under-reported. As a police officer in </w:t>
      </w:r>
      <w:proofErr w:type="spellStart"/>
      <w:r w:rsidRPr="00B807F3">
        <w:rPr>
          <w:bCs/>
          <w:sz w:val="24"/>
          <w:szCs w:val="24"/>
        </w:rPr>
        <w:t>todays</w:t>
      </w:r>
      <w:proofErr w:type="spellEnd"/>
      <w:r w:rsidRPr="00B807F3">
        <w:rPr>
          <w:bCs/>
          <w:sz w:val="24"/>
          <w:szCs w:val="24"/>
        </w:rPr>
        <w:t xml:space="preserve"> digitally growing age I will need to keep up to date with digital crime. People who become victim of this crime are reluctant through shame or embarrassment to report so being up to date and providing the police response and signposting to help is essential to public protection.</w:t>
      </w:r>
    </w:p>
    <w:p w14:paraId="6085A28E" w14:textId="77777777" w:rsidR="00B807F3" w:rsidRPr="00B807F3" w:rsidRDefault="00B807F3" w:rsidP="00B807F3">
      <w:pPr>
        <w:ind w:right="237"/>
        <w:jc w:val="both"/>
        <w:rPr>
          <w:bCs/>
          <w:sz w:val="24"/>
          <w:szCs w:val="24"/>
        </w:rPr>
      </w:pPr>
    </w:p>
    <w:p w14:paraId="01BA0F49" w14:textId="77777777" w:rsidR="00B807F3" w:rsidRPr="00B807F3" w:rsidRDefault="00B807F3" w:rsidP="00B807F3">
      <w:pPr>
        <w:ind w:right="237"/>
        <w:jc w:val="both"/>
        <w:rPr>
          <w:bCs/>
          <w:sz w:val="24"/>
          <w:szCs w:val="24"/>
        </w:rPr>
      </w:pPr>
      <w:r w:rsidRPr="00B807F3">
        <w:rPr>
          <w:bCs/>
          <w:sz w:val="24"/>
          <w:szCs w:val="24"/>
        </w:rPr>
        <w:t>Word count 1645</w:t>
      </w: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3CD93255" w14:textId="6C976EE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5F7F1DB8"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By signing the section </w:t>
      </w:r>
      <w:proofErr w:type="gramStart"/>
      <w:r w:rsidRPr="4C3E8AB8">
        <w:rPr>
          <w:rStyle w:val="normaltextrun"/>
          <w:rFonts w:eastAsia="Arial"/>
          <w:i/>
          <w:iCs/>
          <w:color w:val="000000" w:themeColor="text1"/>
          <w:sz w:val="24"/>
          <w:szCs w:val="24"/>
        </w:rPr>
        <w:t>below</w:t>
      </w:r>
      <w:proofErr w:type="gramEnd"/>
      <w:r w:rsidRPr="4C3E8AB8">
        <w:rPr>
          <w:rStyle w:val="normaltextrun"/>
          <w:rFonts w:eastAsia="Arial"/>
          <w:i/>
          <w:iCs/>
          <w:color w:val="000000" w:themeColor="text1"/>
          <w:sz w:val="24"/>
          <w:szCs w:val="24"/>
        </w:rPr>
        <w:t>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46FC1A" w14:textId="5DDF09B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727CFAA4"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19C55164"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proofErr w:type="spellStart"/>
      <w:proofErr w:type="gramStart"/>
      <w:r w:rsidR="00B807F3" w:rsidRPr="00B807F3">
        <w:rPr>
          <w:rStyle w:val="normaltextrun"/>
          <w:rFonts w:ascii="Brush Script MT" w:eastAsia="Arial" w:hAnsi="Brush Script MT"/>
          <w:color w:val="000000" w:themeColor="text1"/>
          <w:sz w:val="44"/>
          <w:szCs w:val="44"/>
        </w:rPr>
        <w:t>C.Coomer</w:t>
      </w:r>
      <w:proofErr w:type="spellEnd"/>
      <w:proofErr w:type="gramEnd"/>
      <w:r w:rsidR="00B807F3" w:rsidRPr="00B807F3">
        <w:rPr>
          <w:rStyle w:val="normaltextrun"/>
          <w:rFonts w:eastAsia="Arial"/>
          <w:color w:val="000000" w:themeColor="text1"/>
          <w:sz w:val="44"/>
          <w:szCs w:val="44"/>
        </w:rPr>
        <w:t xml:space="preserve"> </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0335D835" w14:textId="68009CD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B807F3">
        <w:rPr>
          <w:rStyle w:val="normaltextrun"/>
          <w:rFonts w:eastAsia="Arial"/>
          <w:color w:val="000000" w:themeColor="text1"/>
          <w:sz w:val="24"/>
          <w:szCs w:val="24"/>
        </w:rPr>
        <w:t>12/10/2021</w:t>
      </w:r>
    </w:p>
    <w:p w14:paraId="20F5CC64" w14:textId="6929C7BC" w:rsidR="4C3E8AB8" w:rsidRDefault="4C3E8AB8" w:rsidP="4C3E8AB8">
      <w:pPr>
        <w:spacing w:before="240" w:after="60"/>
        <w:ind w:right="237"/>
        <w:jc w:val="both"/>
        <w:rPr>
          <w:b/>
          <w:bCs/>
          <w:color w:val="000000" w:themeColor="text1"/>
          <w:sz w:val="24"/>
          <w:szCs w:val="24"/>
        </w:rPr>
      </w:pPr>
    </w:p>
    <w:p w14:paraId="3B5AD040" w14:textId="09025AAB" w:rsidR="4C3E8AB8" w:rsidRDefault="4C3E8AB8" w:rsidP="4C3E8AB8">
      <w:pPr>
        <w:spacing w:before="240" w:after="60"/>
        <w:ind w:right="237"/>
        <w:jc w:val="both"/>
        <w:rPr>
          <w:b/>
          <w:bCs/>
          <w:sz w:val="24"/>
          <w:szCs w:val="24"/>
        </w:rPr>
      </w:pPr>
    </w:p>
    <w:p w14:paraId="31EF8CB7" w14:textId="54C45604" w:rsidR="4C3E8AB8" w:rsidRDefault="4C3E8AB8" w:rsidP="4C3E8AB8">
      <w:pPr>
        <w:spacing w:before="240" w:after="60"/>
        <w:ind w:right="237"/>
        <w:jc w:val="both"/>
        <w:rPr>
          <w:b/>
          <w:bCs/>
          <w:sz w:val="24"/>
          <w:szCs w:val="24"/>
        </w:r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2509C133"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Task 1</w:t>
      </w:r>
    </w:p>
    <w:p w14:paraId="02457CE0"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Campbell, I. &amp; </w:t>
      </w:r>
      <w:proofErr w:type="spellStart"/>
      <w:r w:rsidRPr="00B807F3">
        <w:rPr>
          <w:rFonts w:eastAsiaTheme="minorHAnsi"/>
          <w:color w:val="auto"/>
          <w:sz w:val="24"/>
          <w:szCs w:val="24"/>
          <w:lang w:eastAsia="en-US"/>
        </w:rPr>
        <w:t>Kodz</w:t>
      </w:r>
      <w:proofErr w:type="spellEnd"/>
      <w:r w:rsidRPr="00B807F3">
        <w:rPr>
          <w:rFonts w:eastAsiaTheme="minorHAnsi"/>
          <w:color w:val="auto"/>
          <w:sz w:val="24"/>
          <w:szCs w:val="24"/>
          <w:lang w:eastAsia="en-US"/>
        </w:rPr>
        <w:t xml:space="preserve">, J. (2011) </w:t>
      </w:r>
      <w:r w:rsidRPr="00B807F3">
        <w:rPr>
          <w:rFonts w:eastAsiaTheme="minorHAnsi"/>
          <w:i/>
          <w:iCs/>
          <w:color w:val="auto"/>
          <w:sz w:val="24"/>
          <w:szCs w:val="24"/>
          <w:lang w:eastAsia="en-US"/>
        </w:rPr>
        <w:t xml:space="preserve">What makes great police leadership? What research can tell us about the effectiveness of different leadership styles, competencies and behaviours. A Rapid Evidence Review. </w:t>
      </w:r>
      <w:r w:rsidRPr="00B807F3">
        <w:rPr>
          <w:rFonts w:eastAsiaTheme="minorHAnsi"/>
          <w:color w:val="auto"/>
          <w:sz w:val="24"/>
          <w:szCs w:val="24"/>
          <w:lang w:eastAsia="en-US"/>
        </w:rPr>
        <w:t xml:space="preserve">Available at: </w:t>
      </w:r>
      <w:hyperlink r:id="rId20" w:history="1">
        <w:r w:rsidRPr="00B807F3">
          <w:rPr>
            <w:rFonts w:eastAsiaTheme="minorHAnsi"/>
            <w:color w:val="0563C1" w:themeColor="hyperlink"/>
            <w:sz w:val="24"/>
            <w:szCs w:val="24"/>
            <w:u w:val="single"/>
            <w:lang w:eastAsia="en-US"/>
          </w:rPr>
          <w:t>https://whatworks.college.police.uk/Research/Documents/Great_Police_Leader_REA.pdf</w:t>
        </w:r>
      </w:hyperlink>
      <w:r w:rsidRPr="00B807F3">
        <w:rPr>
          <w:rFonts w:eastAsiaTheme="minorHAnsi"/>
          <w:color w:val="auto"/>
          <w:sz w:val="24"/>
          <w:szCs w:val="24"/>
          <w:lang w:eastAsia="en-US"/>
        </w:rPr>
        <w:t xml:space="preserve"> (Accessed 3 August 2021).</w:t>
      </w:r>
    </w:p>
    <w:p w14:paraId="3ED44B75"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bookmarkStart w:id="1" w:name="_Hlk82092300"/>
      <w:r w:rsidRPr="00B807F3">
        <w:rPr>
          <w:rFonts w:eastAsiaTheme="minorHAnsi"/>
          <w:i/>
          <w:iCs/>
          <w:color w:val="auto"/>
          <w:sz w:val="24"/>
          <w:szCs w:val="24"/>
          <w:lang w:eastAsia="en-US"/>
        </w:rPr>
        <w:lastRenderedPageBreak/>
        <w:t>Code of Ethics A Code of Practice for the Principles and Standards of Professional Behaviour for the Policing Profession of England and Wales</w:t>
      </w:r>
      <w:r w:rsidRPr="00B807F3">
        <w:rPr>
          <w:rFonts w:eastAsiaTheme="minorHAnsi"/>
          <w:color w:val="auto"/>
          <w:sz w:val="24"/>
          <w:szCs w:val="24"/>
          <w:lang w:eastAsia="en-US"/>
        </w:rPr>
        <w:t xml:space="preserve"> (2014) Available at:  </w:t>
      </w:r>
      <w:hyperlink r:id="rId21" w:anchor=":~:text=The%20aim%20of%20this%20Code%20of%20Ethics%20is,knowledge%20that%20guide%20the%20judgements%20of%20each%20individual" w:history="1">
        <w:r w:rsidRPr="00B807F3">
          <w:rPr>
            <w:rFonts w:eastAsiaTheme="minorHAnsi"/>
            <w:color w:val="0563C1" w:themeColor="hyperlink"/>
            <w:sz w:val="24"/>
            <w:szCs w:val="24"/>
            <w:u w:val="single"/>
            <w:lang w:eastAsia="en-US"/>
          </w:rPr>
          <w:t>https://assets.publishing.service.gov.uk/government/uploads/system/uploads/attachment_data/file/341650/Code_of_Ethics_2014_FINAL_July14.pdf#:~:text=The%20aim%20of%20this%20Code%20of%20Ethics%20is,knowledge%20that%20guide%20the%20judgements%20of%20each%20individual</w:t>
        </w:r>
      </w:hyperlink>
      <w:r w:rsidRPr="00B807F3">
        <w:rPr>
          <w:rFonts w:eastAsiaTheme="minorHAnsi"/>
          <w:color w:val="auto"/>
          <w:sz w:val="24"/>
          <w:szCs w:val="24"/>
          <w:lang w:eastAsia="en-US"/>
        </w:rPr>
        <w:t>. (Accessed 3 August 2021).</w:t>
      </w:r>
    </w:p>
    <w:p w14:paraId="715F962E" w14:textId="77777777" w:rsidR="00B807F3" w:rsidRPr="00B807F3" w:rsidRDefault="00B807F3" w:rsidP="00B807F3">
      <w:pPr>
        <w:overflowPunct/>
        <w:autoSpaceDE/>
        <w:autoSpaceDN/>
        <w:adjustRightInd/>
        <w:spacing w:after="160" w:line="259" w:lineRule="auto"/>
        <w:textAlignment w:val="auto"/>
        <w:rPr>
          <w:rFonts w:eastAsiaTheme="minorHAnsi"/>
          <w:i/>
          <w:iCs/>
          <w:color w:val="auto"/>
          <w:sz w:val="24"/>
          <w:szCs w:val="24"/>
          <w:lang w:eastAsia="en-US"/>
        </w:rPr>
      </w:pPr>
      <w:bookmarkStart w:id="2" w:name="_Hlk79908496"/>
      <w:bookmarkEnd w:id="1"/>
      <w:r w:rsidRPr="00B807F3">
        <w:rPr>
          <w:rFonts w:eastAsiaTheme="minorHAnsi"/>
          <w:color w:val="auto"/>
          <w:sz w:val="24"/>
          <w:szCs w:val="24"/>
          <w:lang w:eastAsia="en-US"/>
        </w:rPr>
        <w:t xml:space="preserve">Driscoll, J. (2007) Available at: </w:t>
      </w:r>
      <w:hyperlink r:id="rId22" w:history="1">
        <w:r w:rsidRPr="00B807F3">
          <w:rPr>
            <w:rFonts w:eastAsiaTheme="minorHAnsi"/>
            <w:color w:val="0563C1" w:themeColor="hyperlink"/>
            <w:sz w:val="24"/>
            <w:szCs w:val="24"/>
            <w:u w:val="single"/>
            <w:lang w:eastAsia="en-US"/>
          </w:rPr>
          <w:t>https://www.nottingham.ac.uk/library/documents/academicskillstoolkit/reflective-writing-model-driscoll.pdf</w:t>
        </w:r>
      </w:hyperlink>
      <w:r w:rsidRPr="00B807F3">
        <w:rPr>
          <w:rFonts w:eastAsiaTheme="minorHAnsi"/>
          <w:color w:val="auto"/>
          <w:sz w:val="24"/>
          <w:szCs w:val="24"/>
          <w:lang w:eastAsia="en-US"/>
        </w:rPr>
        <w:t xml:space="preserve"> (Accessed 3 August 2021).</w:t>
      </w:r>
    </w:p>
    <w:bookmarkEnd w:id="2"/>
    <w:p w14:paraId="7B1148E9"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HMICFRS (2017) </w:t>
      </w:r>
      <w:r w:rsidRPr="00B807F3">
        <w:rPr>
          <w:rFonts w:eastAsiaTheme="minorHAnsi"/>
          <w:i/>
          <w:iCs/>
          <w:color w:val="auto"/>
          <w:sz w:val="24"/>
          <w:szCs w:val="24"/>
          <w:lang w:eastAsia="en-US"/>
        </w:rPr>
        <w:t xml:space="preserve">PEEL: Police legitimacy (including leadership) 2017 An inspection of Gwent Police. </w:t>
      </w:r>
      <w:r w:rsidRPr="00B807F3">
        <w:rPr>
          <w:rFonts w:eastAsiaTheme="minorHAnsi"/>
          <w:color w:val="auto"/>
          <w:sz w:val="24"/>
          <w:szCs w:val="24"/>
          <w:lang w:eastAsia="en-US"/>
        </w:rPr>
        <w:t xml:space="preserve">Available at: </w:t>
      </w:r>
      <w:hyperlink r:id="rId23" w:history="1">
        <w:r w:rsidRPr="00B807F3">
          <w:rPr>
            <w:rFonts w:eastAsiaTheme="minorHAnsi"/>
            <w:color w:val="0563C1" w:themeColor="hyperlink"/>
            <w:sz w:val="24"/>
            <w:szCs w:val="24"/>
            <w:u w:val="single"/>
            <w:lang w:eastAsia="en-US"/>
          </w:rPr>
          <w:t>https://www.justiceinspectorates.gov.uk/hmicfrs/wp-content/uploads/peel-police-legitimacy-2017-gwent.pdf</w:t>
        </w:r>
      </w:hyperlink>
      <w:r w:rsidRPr="00B807F3">
        <w:rPr>
          <w:rFonts w:eastAsiaTheme="minorHAnsi"/>
          <w:color w:val="auto"/>
          <w:sz w:val="24"/>
          <w:szCs w:val="24"/>
          <w:lang w:eastAsia="en-US"/>
        </w:rPr>
        <w:t xml:space="preserve"> (Accessed 3 August 2021).</w:t>
      </w:r>
    </w:p>
    <w:p w14:paraId="6127098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Quinton, P. et al. (2015) </w:t>
      </w:r>
      <w:r w:rsidRPr="00B807F3">
        <w:rPr>
          <w:rFonts w:eastAsiaTheme="minorHAnsi"/>
          <w:i/>
          <w:iCs/>
          <w:color w:val="auto"/>
          <w:sz w:val="24"/>
          <w:szCs w:val="24"/>
          <w:lang w:eastAsia="en-US"/>
        </w:rPr>
        <w:t>Fair cop 2: Organisational justice, behaviour and ethical policing: An interpretative evidence commentary</w:t>
      </w:r>
      <w:r w:rsidRPr="00B807F3">
        <w:rPr>
          <w:rFonts w:eastAsiaTheme="minorHAnsi"/>
          <w:color w:val="auto"/>
          <w:sz w:val="24"/>
          <w:szCs w:val="24"/>
          <w:lang w:eastAsia="en-US"/>
        </w:rPr>
        <w:t xml:space="preserve">. Available at: </w:t>
      </w:r>
      <w:hyperlink r:id="rId24" w:history="1">
        <w:r w:rsidRPr="00B807F3">
          <w:rPr>
            <w:rFonts w:eastAsiaTheme="minorHAnsi"/>
            <w:color w:val="0563C1" w:themeColor="hyperlink"/>
            <w:sz w:val="24"/>
            <w:szCs w:val="24"/>
            <w:u w:val="single"/>
            <w:lang w:eastAsia="en-US"/>
          </w:rPr>
          <w:t>https://whatworks.college.police.uk/Research/Documents/150317_Fair_cop%202_FINAL_REPORT.pdf</w:t>
        </w:r>
      </w:hyperlink>
      <w:r w:rsidRPr="00B807F3">
        <w:rPr>
          <w:rFonts w:eastAsiaTheme="minorHAnsi"/>
          <w:color w:val="auto"/>
          <w:sz w:val="24"/>
          <w:szCs w:val="24"/>
          <w:lang w:eastAsia="en-US"/>
        </w:rPr>
        <w:t xml:space="preserve"> (Accessed 3 August 2021). </w:t>
      </w:r>
    </w:p>
    <w:p w14:paraId="31A6709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
    <w:p w14:paraId="593B23A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Task 2</w:t>
      </w:r>
    </w:p>
    <w:p w14:paraId="4CD4B296"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Bowling, B and Shruti, I. (2019) ‘Automated policing: the case of body-worn video’, </w:t>
      </w:r>
      <w:r w:rsidRPr="00B807F3">
        <w:rPr>
          <w:rFonts w:eastAsiaTheme="minorHAnsi"/>
          <w:i/>
          <w:iCs/>
          <w:color w:val="auto"/>
          <w:sz w:val="24"/>
          <w:szCs w:val="24"/>
          <w:lang w:eastAsia="en-US"/>
        </w:rPr>
        <w:t>International Journal of Law in Context; Cambridge</w:t>
      </w:r>
      <w:r w:rsidRPr="00B807F3">
        <w:rPr>
          <w:rFonts w:eastAsiaTheme="minorHAnsi"/>
          <w:color w:val="auto"/>
          <w:sz w:val="24"/>
          <w:szCs w:val="24"/>
          <w:lang w:eastAsia="en-US"/>
        </w:rPr>
        <w:t>, 15 (2), pp. 140-161. Available at: DOI:10.1017/S1744552319000089 (Accessed 4 September 2021).</w:t>
      </w:r>
    </w:p>
    <w:p w14:paraId="16D3FF4F"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Brighter futures for Children (2021) </w:t>
      </w:r>
      <w:r w:rsidRPr="00B807F3">
        <w:rPr>
          <w:rFonts w:eastAsiaTheme="minorHAnsi"/>
          <w:i/>
          <w:iCs/>
          <w:color w:val="auto"/>
          <w:sz w:val="24"/>
          <w:szCs w:val="24"/>
          <w:lang w:eastAsia="en-US"/>
        </w:rPr>
        <w:t>Youth Offending Services (YOS)</w:t>
      </w:r>
      <w:r w:rsidRPr="00B807F3">
        <w:rPr>
          <w:rFonts w:eastAsiaTheme="minorHAnsi"/>
          <w:color w:val="auto"/>
          <w:sz w:val="24"/>
          <w:szCs w:val="24"/>
          <w:lang w:eastAsia="en-US"/>
        </w:rPr>
        <w:t xml:space="preserve">. Available at: </w:t>
      </w:r>
      <w:hyperlink r:id="rId25" w:history="1">
        <w:r w:rsidRPr="00B807F3">
          <w:rPr>
            <w:rFonts w:eastAsiaTheme="minorHAnsi"/>
            <w:color w:val="0563C1" w:themeColor="hyperlink"/>
            <w:sz w:val="24"/>
            <w:szCs w:val="24"/>
            <w:u w:val="single"/>
            <w:lang w:eastAsia="en-US"/>
          </w:rPr>
          <w:t>https://brighterfuturesforchildren.org/services/youth-offending-services/</w:t>
        </w:r>
      </w:hyperlink>
      <w:r w:rsidRPr="00B807F3">
        <w:rPr>
          <w:rFonts w:eastAsiaTheme="minorHAnsi"/>
          <w:color w:val="auto"/>
          <w:sz w:val="24"/>
          <w:szCs w:val="24"/>
          <w:lang w:eastAsia="en-US"/>
        </w:rPr>
        <w:t xml:space="preserve"> (Accessed 4 September 2021).</w:t>
      </w:r>
    </w:p>
    <w:p w14:paraId="5DF632D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Caerphilly Council Borough Council (2021). </w:t>
      </w:r>
      <w:r w:rsidRPr="00B807F3">
        <w:rPr>
          <w:rFonts w:eastAsiaTheme="minorHAnsi"/>
          <w:i/>
          <w:iCs/>
          <w:color w:val="auto"/>
          <w:sz w:val="24"/>
          <w:szCs w:val="24"/>
          <w:lang w:eastAsia="en-US"/>
        </w:rPr>
        <w:t>Youth Offending</w:t>
      </w:r>
      <w:r w:rsidRPr="00B807F3">
        <w:rPr>
          <w:rFonts w:eastAsiaTheme="minorHAnsi"/>
          <w:color w:val="auto"/>
          <w:sz w:val="24"/>
          <w:szCs w:val="24"/>
          <w:lang w:eastAsia="en-US"/>
        </w:rPr>
        <w:t xml:space="preserve">. Available at: </w:t>
      </w:r>
      <w:hyperlink r:id="rId26" w:history="1">
        <w:r w:rsidRPr="00B807F3">
          <w:rPr>
            <w:rFonts w:eastAsiaTheme="minorHAnsi"/>
            <w:color w:val="0563C1" w:themeColor="hyperlink"/>
            <w:sz w:val="24"/>
            <w:szCs w:val="24"/>
            <w:u w:val="single"/>
            <w:lang w:eastAsia="en-US"/>
          </w:rPr>
          <w:t>https://www.caerphilly.gov.uk/Services/Children-and-families/Services-for-young-people/Youth-offending</w:t>
        </w:r>
      </w:hyperlink>
      <w:r w:rsidRPr="00B807F3">
        <w:rPr>
          <w:rFonts w:eastAsiaTheme="minorHAnsi"/>
          <w:color w:val="auto"/>
          <w:sz w:val="24"/>
          <w:szCs w:val="24"/>
          <w:lang w:eastAsia="en-US"/>
        </w:rPr>
        <w:t xml:space="preserve"> (Accessed 4 September 2021).</w:t>
      </w:r>
    </w:p>
    <w:p w14:paraId="490A5F3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(2014) </w:t>
      </w:r>
      <w:r w:rsidRPr="00B807F3">
        <w:rPr>
          <w:rFonts w:eastAsiaTheme="minorHAnsi"/>
          <w:i/>
          <w:iCs/>
          <w:color w:val="auto"/>
          <w:sz w:val="24"/>
          <w:szCs w:val="24"/>
          <w:lang w:eastAsia="en-US"/>
        </w:rPr>
        <w:t>National Decision Model</w:t>
      </w:r>
      <w:r w:rsidRPr="00B807F3">
        <w:rPr>
          <w:rFonts w:eastAsiaTheme="minorHAnsi"/>
          <w:color w:val="auto"/>
          <w:sz w:val="24"/>
          <w:szCs w:val="24"/>
          <w:lang w:eastAsia="en-US"/>
        </w:rPr>
        <w:t>. Available at: https://www.app.college.police.uk/app-content/national-decision-model/the-national-decision-model/ (Accessed 15 August 2021).</w:t>
      </w:r>
    </w:p>
    <w:p w14:paraId="2DF2ADE6"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CPS (2017) </w:t>
      </w:r>
      <w:r w:rsidRPr="00B807F3">
        <w:rPr>
          <w:rFonts w:eastAsiaTheme="minorHAnsi"/>
          <w:i/>
          <w:iCs/>
          <w:color w:val="auto"/>
          <w:sz w:val="24"/>
          <w:szCs w:val="24"/>
          <w:lang w:eastAsia="en-US"/>
        </w:rPr>
        <w:t>Youth Crime</w:t>
      </w:r>
      <w:r w:rsidRPr="00B807F3">
        <w:rPr>
          <w:rFonts w:eastAsiaTheme="minorHAnsi"/>
          <w:color w:val="auto"/>
          <w:sz w:val="24"/>
          <w:szCs w:val="24"/>
          <w:lang w:eastAsia="en-US"/>
        </w:rPr>
        <w:t xml:space="preserve">. Available at: </w:t>
      </w:r>
      <w:hyperlink r:id="rId27" w:history="1">
        <w:r w:rsidRPr="00B807F3">
          <w:rPr>
            <w:rFonts w:eastAsiaTheme="minorHAnsi"/>
            <w:color w:val="0563C1" w:themeColor="hyperlink"/>
            <w:sz w:val="24"/>
            <w:szCs w:val="24"/>
            <w:u w:val="single"/>
            <w:lang w:eastAsia="en-US"/>
          </w:rPr>
          <w:t>https://www.cps.gov.uk/crime-info/youth-crime</w:t>
        </w:r>
      </w:hyperlink>
      <w:r w:rsidRPr="00B807F3">
        <w:rPr>
          <w:rFonts w:eastAsiaTheme="minorHAnsi"/>
          <w:color w:val="auto"/>
          <w:sz w:val="24"/>
          <w:szCs w:val="24"/>
          <w:lang w:eastAsia="en-US"/>
        </w:rPr>
        <w:t xml:space="preserve"> (Accessed 5 September 2021).</w:t>
      </w:r>
    </w:p>
    <w:p w14:paraId="520614E3"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Criminal Damage Act 1971</w:t>
      </w:r>
      <w:r w:rsidRPr="00B807F3">
        <w:rPr>
          <w:rFonts w:eastAsiaTheme="minorHAnsi"/>
          <w:color w:val="auto"/>
          <w:sz w:val="24"/>
          <w:szCs w:val="24"/>
          <w:lang w:eastAsia="en-US"/>
        </w:rPr>
        <w:t xml:space="preserve">, c.48. Available at: </w:t>
      </w:r>
      <w:hyperlink r:id="rId28" w:history="1">
        <w:r w:rsidRPr="00B807F3">
          <w:rPr>
            <w:rFonts w:eastAsiaTheme="minorHAnsi"/>
            <w:color w:val="0563C1" w:themeColor="hyperlink"/>
            <w:sz w:val="24"/>
            <w:szCs w:val="24"/>
            <w:u w:val="single"/>
            <w:lang w:eastAsia="en-US"/>
          </w:rPr>
          <w:t>https://www.legislation.gov.uk/ukpga/1971/48/section/1</w:t>
        </w:r>
      </w:hyperlink>
      <w:r w:rsidRPr="00B807F3">
        <w:rPr>
          <w:rFonts w:eastAsiaTheme="minorHAnsi"/>
          <w:color w:val="auto"/>
          <w:sz w:val="24"/>
          <w:szCs w:val="24"/>
          <w:lang w:eastAsia="en-US"/>
        </w:rPr>
        <w:t xml:space="preserve"> (Accessed 5 September 2021).</w:t>
      </w:r>
    </w:p>
    <w:p w14:paraId="4E5C3B7B"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Drew, S. (2000) ‘Children and the Human Rights Act 1998’, </w:t>
      </w:r>
      <w:r w:rsidRPr="00B807F3">
        <w:rPr>
          <w:rFonts w:eastAsiaTheme="minorHAnsi"/>
          <w:i/>
          <w:iCs/>
          <w:color w:val="auto"/>
          <w:sz w:val="24"/>
          <w:szCs w:val="24"/>
          <w:lang w:eastAsia="en-US"/>
        </w:rPr>
        <w:t>Save the Children</w:t>
      </w:r>
      <w:r w:rsidRPr="00B807F3">
        <w:rPr>
          <w:rFonts w:eastAsiaTheme="minorHAnsi"/>
          <w:color w:val="auto"/>
          <w:sz w:val="24"/>
          <w:szCs w:val="24"/>
          <w:lang w:eastAsia="en-US"/>
        </w:rPr>
        <w:t xml:space="preserve">. Available at: </w:t>
      </w:r>
      <w:hyperlink r:id="rId29" w:history="1">
        <w:r w:rsidRPr="00B807F3">
          <w:rPr>
            <w:rFonts w:eastAsiaTheme="minorHAnsi"/>
            <w:color w:val="0563C1" w:themeColor="hyperlink"/>
            <w:sz w:val="24"/>
            <w:szCs w:val="24"/>
            <w:u w:val="single"/>
            <w:lang w:eastAsia="en-US"/>
          </w:rPr>
          <w:t>https://resourcecentre.savethechildren.net/sites/default/files/documents/children_and_the_hra_1998.pdf</w:t>
        </w:r>
      </w:hyperlink>
      <w:r w:rsidRPr="00B807F3">
        <w:rPr>
          <w:rFonts w:eastAsiaTheme="minorHAnsi"/>
          <w:color w:val="auto"/>
          <w:sz w:val="24"/>
          <w:szCs w:val="24"/>
          <w:lang w:eastAsia="en-US"/>
        </w:rPr>
        <w:t xml:space="preserve"> (Accessed 4 September 2021).</w:t>
      </w:r>
    </w:p>
    <w:p w14:paraId="4362B08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lastRenderedPageBreak/>
        <w:t xml:space="preserve">Howard League for Penal Reform (2019) </w:t>
      </w:r>
      <w:r w:rsidRPr="00B807F3">
        <w:rPr>
          <w:rFonts w:eastAsiaTheme="minorHAnsi"/>
          <w:i/>
          <w:iCs/>
          <w:color w:val="auto"/>
          <w:sz w:val="24"/>
          <w:szCs w:val="24"/>
          <w:lang w:eastAsia="en-US"/>
        </w:rPr>
        <w:t xml:space="preserve">Child arrests in England and Wales </w:t>
      </w:r>
      <w:proofErr w:type="gramStart"/>
      <w:r w:rsidRPr="00B807F3">
        <w:rPr>
          <w:rFonts w:eastAsiaTheme="minorHAnsi"/>
          <w:i/>
          <w:iCs/>
          <w:color w:val="auto"/>
          <w:sz w:val="24"/>
          <w:szCs w:val="24"/>
          <w:lang w:eastAsia="en-US"/>
        </w:rPr>
        <w:t>2019 :</w:t>
      </w:r>
      <w:proofErr w:type="gramEnd"/>
      <w:r w:rsidRPr="00B807F3">
        <w:rPr>
          <w:rFonts w:eastAsiaTheme="minorHAnsi"/>
          <w:i/>
          <w:iCs/>
          <w:color w:val="auto"/>
          <w:sz w:val="24"/>
          <w:szCs w:val="24"/>
          <w:lang w:eastAsia="en-US"/>
        </w:rPr>
        <w:t xml:space="preserve"> Research briefing. </w:t>
      </w:r>
      <w:r w:rsidRPr="00B807F3">
        <w:rPr>
          <w:rFonts w:eastAsiaTheme="minorHAnsi"/>
          <w:color w:val="auto"/>
          <w:sz w:val="24"/>
          <w:szCs w:val="24"/>
          <w:lang w:eastAsia="en-US"/>
        </w:rPr>
        <w:t xml:space="preserve">Available at: </w:t>
      </w:r>
      <w:hyperlink r:id="rId30" w:history="1">
        <w:r w:rsidRPr="00B807F3">
          <w:rPr>
            <w:rFonts w:eastAsiaTheme="minorHAnsi"/>
            <w:color w:val="0563C1" w:themeColor="hyperlink"/>
            <w:sz w:val="24"/>
            <w:szCs w:val="24"/>
            <w:u w:val="single"/>
            <w:lang w:eastAsia="en-US"/>
          </w:rPr>
          <w:t>https://howardleague.org/wp-content/uploads/2020/12/Child-Arrests-2019-FINAL-online.pdf</w:t>
        </w:r>
      </w:hyperlink>
      <w:r w:rsidRPr="00B807F3">
        <w:rPr>
          <w:rFonts w:eastAsiaTheme="minorHAnsi"/>
          <w:color w:val="auto"/>
          <w:sz w:val="24"/>
          <w:szCs w:val="24"/>
          <w:lang w:eastAsia="en-US"/>
        </w:rPr>
        <w:t xml:space="preserve"> (Accessed 4 September 2021).</w:t>
      </w:r>
    </w:p>
    <w:p w14:paraId="3C1C0D6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roofErr w:type="spellStart"/>
      <w:r w:rsidRPr="00B807F3">
        <w:rPr>
          <w:rFonts w:eastAsiaTheme="minorHAnsi"/>
          <w:color w:val="auto"/>
          <w:sz w:val="24"/>
          <w:szCs w:val="24"/>
          <w:lang w:eastAsia="en-US"/>
        </w:rPr>
        <w:t>Katsiyannis</w:t>
      </w:r>
      <w:proofErr w:type="spellEnd"/>
      <w:r w:rsidRPr="00B807F3">
        <w:rPr>
          <w:rFonts w:eastAsiaTheme="minorHAnsi"/>
          <w:color w:val="auto"/>
          <w:sz w:val="24"/>
          <w:szCs w:val="24"/>
          <w:lang w:eastAsia="en-US"/>
        </w:rPr>
        <w:t xml:space="preserve">, A. et al (2017) ‘Adult Recidivism in United States: A Meta-Analysis 1994–2015’, </w:t>
      </w:r>
      <w:r w:rsidRPr="00B807F3">
        <w:rPr>
          <w:rFonts w:eastAsiaTheme="minorHAnsi"/>
          <w:i/>
          <w:iCs/>
          <w:color w:val="auto"/>
          <w:sz w:val="24"/>
          <w:szCs w:val="24"/>
          <w:lang w:eastAsia="en-US"/>
        </w:rPr>
        <w:t>Journal of Child and Family Studies</w:t>
      </w:r>
      <w:r w:rsidRPr="00B807F3">
        <w:rPr>
          <w:rFonts w:eastAsiaTheme="minorHAnsi"/>
          <w:color w:val="auto"/>
          <w:sz w:val="24"/>
          <w:szCs w:val="24"/>
          <w:lang w:eastAsia="en-US"/>
        </w:rPr>
        <w:t>, 27 (3), pp.686-696. Available at: DOI 10.1007/s10826-017-0945-8 (Accessed 4 September 2021).</w:t>
      </w:r>
    </w:p>
    <w:p w14:paraId="1B3A1B4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Police and Criminal Evidence Act 1984</w:t>
      </w:r>
      <w:r w:rsidRPr="00B807F3">
        <w:rPr>
          <w:rFonts w:eastAsiaTheme="minorHAnsi"/>
          <w:color w:val="auto"/>
          <w:sz w:val="24"/>
          <w:szCs w:val="24"/>
          <w:lang w:eastAsia="en-US"/>
        </w:rPr>
        <w:t xml:space="preserve">, c. 60. Available at: </w:t>
      </w:r>
      <w:hyperlink r:id="rId31" w:history="1">
        <w:r w:rsidRPr="00B807F3">
          <w:rPr>
            <w:rFonts w:eastAsiaTheme="minorHAnsi"/>
            <w:color w:val="0563C1" w:themeColor="hyperlink"/>
            <w:sz w:val="24"/>
            <w:szCs w:val="24"/>
            <w:u w:val="single"/>
            <w:lang w:eastAsia="en-US"/>
          </w:rPr>
          <w:t>https://www.legislation.gov.uk/ukpga/1984/60/section/17/enacted</w:t>
        </w:r>
      </w:hyperlink>
      <w:r w:rsidRPr="00B807F3">
        <w:rPr>
          <w:rFonts w:eastAsiaTheme="minorHAnsi"/>
          <w:color w:val="auto"/>
          <w:sz w:val="24"/>
          <w:szCs w:val="24"/>
          <w:lang w:eastAsia="en-US"/>
        </w:rPr>
        <w:t xml:space="preserve"> (Accessed 5 September 2021).</w:t>
      </w:r>
    </w:p>
    <w:p w14:paraId="1F345E5D"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Trotter, C. (2018). ‘Collaborative family work in youth justice’, in </w:t>
      </w:r>
      <w:proofErr w:type="spellStart"/>
      <w:r w:rsidRPr="00B807F3">
        <w:rPr>
          <w:rFonts w:eastAsiaTheme="minorHAnsi"/>
          <w:color w:val="auto"/>
          <w:sz w:val="24"/>
          <w:szCs w:val="24"/>
          <w:lang w:eastAsia="en-US"/>
        </w:rPr>
        <w:t>Ugwudike</w:t>
      </w:r>
      <w:proofErr w:type="spellEnd"/>
      <w:r w:rsidRPr="00B807F3">
        <w:rPr>
          <w:rFonts w:eastAsiaTheme="minorHAnsi"/>
          <w:color w:val="auto"/>
          <w:sz w:val="24"/>
          <w:szCs w:val="24"/>
          <w:lang w:eastAsia="en-US"/>
        </w:rPr>
        <w:t xml:space="preserve"> P. et al (Eds.), </w:t>
      </w:r>
      <w:r w:rsidRPr="00B807F3">
        <w:rPr>
          <w:rFonts w:eastAsiaTheme="minorHAnsi"/>
          <w:i/>
          <w:iCs/>
          <w:color w:val="auto"/>
          <w:sz w:val="24"/>
          <w:szCs w:val="24"/>
          <w:lang w:eastAsia="en-US"/>
        </w:rPr>
        <w:t>Evidence-based skills in criminal justice: International research on supporting rehabilitation and desistance</w:t>
      </w:r>
      <w:r w:rsidRPr="00B807F3">
        <w:rPr>
          <w:rFonts w:eastAsiaTheme="minorHAnsi"/>
          <w:color w:val="auto"/>
          <w:sz w:val="24"/>
          <w:szCs w:val="24"/>
          <w:lang w:eastAsia="en-US"/>
        </w:rPr>
        <w:t xml:space="preserve">. Available at: </w:t>
      </w:r>
      <w:proofErr w:type="gramStart"/>
      <w:r w:rsidRPr="00B807F3">
        <w:rPr>
          <w:rFonts w:eastAsiaTheme="minorHAnsi"/>
          <w:color w:val="auto"/>
          <w:sz w:val="24"/>
          <w:szCs w:val="24"/>
          <w:lang w:eastAsia="en-US"/>
        </w:rPr>
        <w:t>doi:10.2307/j.ctt1x76gm5</w:t>
      </w:r>
      <w:proofErr w:type="gramEnd"/>
      <w:r w:rsidRPr="00B807F3">
        <w:rPr>
          <w:rFonts w:eastAsiaTheme="minorHAnsi"/>
          <w:color w:val="auto"/>
          <w:sz w:val="24"/>
          <w:szCs w:val="24"/>
          <w:lang w:eastAsia="en-US"/>
        </w:rPr>
        <w:t>.21 (Accessed 4 September 2021).</w:t>
      </w:r>
    </w:p>
    <w:p w14:paraId="3714CFC8"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
    <w:p w14:paraId="3473F5C3"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Task 3</w:t>
      </w:r>
    </w:p>
    <w:p w14:paraId="5FA805F7"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ASU (2021) </w:t>
      </w:r>
      <w:r w:rsidRPr="00B807F3">
        <w:rPr>
          <w:rFonts w:eastAsiaTheme="minorHAnsi"/>
          <w:i/>
          <w:iCs/>
          <w:color w:val="auto"/>
          <w:sz w:val="24"/>
          <w:szCs w:val="24"/>
          <w:lang w:eastAsia="en-US"/>
        </w:rPr>
        <w:t>The Problem Analysis Triangle</w:t>
      </w:r>
      <w:r w:rsidRPr="00B807F3">
        <w:rPr>
          <w:rFonts w:eastAsiaTheme="minorHAnsi"/>
          <w:color w:val="auto"/>
          <w:sz w:val="24"/>
          <w:szCs w:val="24"/>
          <w:lang w:eastAsia="en-US"/>
        </w:rPr>
        <w:t xml:space="preserve">. Available at: </w:t>
      </w:r>
      <w:hyperlink r:id="rId32" w:history="1">
        <w:r w:rsidRPr="00B807F3">
          <w:rPr>
            <w:rFonts w:eastAsiaTheme="minorHAnsi"/>
            <w:color w:val="0563C1" w:themeColor="hyperlink"/>
            <w:sz w:val="24"/>
            <w:szCs w:val="24"/>
            <w:u w:val="single"/>
            <w:lang w:eastAsia="en-US"/>
          </w:rPr>
          <w:t>https://popcenter.asu.edu/content/problem-analysis-triangle-0</w:t>
        </w:r>
      </w:hyperlink>
      <w:r w:rsidRPr="00B807F3">
        <w:rPr>
          <w:rFonts w:eastAsiaTheme="minorHAnsi"/>
          <w:color w:val="auto"/>
          <w:sz w:val="24"/>
          <w:szCs w:val="24"/>
          <w:lang w:eastAsia="en-US"/>
        </w:rPr>
        <w:t xml:space="preserve"> (Accessed 12 September 2021). </w:t>
      </w:r>
    </w:p>
    <w:p w14:paraId="4BF9C38D"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roofErr w:type="spellStart"/>
      <w:r w:rsidRPr="00B807F3">
        <w:rPr>
          <w:rFonts w:eastAsiaTheme="minorHAnsi"/>
          <w:color w:val="auto"/>
          <w:sz w:val="24"/>
          <w:szCs w:val="24"/>
          <w:lang w:eastAsia="en-US"/>
        </w:rPr>
        <w:t>Centers</w:t>
      </w:r>
      <w:proofErr w:type="spellEnd"/>
      <w:r w:rsidRPr="00B807F3">
        <w:rPr>
          <w:rFonts w:eastAsiaTheme="minorHAnsi"/>
          <w:color w:val="auto"/>
          <w:sz w:val="24"/>
          <w:szCs w:val="24"/>
          <w:lang w:eastAsia="en-US"/>
        </w:rPr>
        <w:t xml:space="preserve"> for Disease Control and Prevention (2019) </w:t>
      </w:r>
      <w:r w:rsidRPr="00B807F3">
        <w:rPr>
          <w:rFonts w:eastAsiaTheme="minorHAnsi"/>
          <w:i/>
          <w:iCs/>
          <w:color w:val="auto"/>
          <w:sz w:val="24"/>
          <w:szCs w:val="24"/>
          <w:lang w:eastAsia="en-US"/>
        </w:rPr>
        <w:t>Preventing Adverse Childhood Experiences (ACEs): Leveraging the Best Available Evidence</w:t>
      </w:r>
      <w:r w:rsidRPr="00B807F3">
        <w:rPr>
          <w:rFonts w:eastAsiaTheme="minorHAnsi"/>
          <w:color w:val="auto"/>
          <w:sz w:val="24"/>
          <w:szCs w:val="24"/>
          <w:lang w:eastAsia="en-US"/>
        </w:rPr>
        <w:t xml:space="preserve">. Available at: </w:t>
      </w:r>
      <w:hyperlink r:id="rId33" w:history="1">
        <w:r w:rsidRPr="00B807F3">
          <w:rPr>
            <w:rFonts w:eastAsiaTheme="minorHAnsi"/>
            <w:color w:val="0563C1" w:themeColor="hyperlink"/>
            <w:sz w:val="24"/>
            <w:szCs w:val="24"/>
            <w:u w:val="single"/>
            <w:lang w:eastAsia="en-US"/>
          </w:rPr>
          <w:t>https://www.cdc.gov/violenceprevention/pdf/preventingACES.pdf</w:t>
        </w:r>
      </w:hyperlink>
      <w:r w:rsidRPr="00B807F3">
        <w:rPr>
          <w:rFonts w:eastAsiaTheme="minorHAnsi"/>
          <w:color w:val="auto"/>
          <w:sz w:val="24"/>
          <w:szCs w:val="24"/>
          <w:lang w:eastAsia="en-US"/>
        </w:rPr>
        <w:t xml:space="preserve"> (Accessed 10 September 2021).</w:t>
      </w:r>
    </w:p>
    <w:p w14:paraId="47CFC480"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Christmas, H. and Srivastava, J (2019) </w:t>
      </w:r>
      <w:r w:rsidRPr="00B807F3">
        <w:rPr>
          <w:rFonts w:eastAsiaTheme="minorHAnsi"/>
          <w:i/>
          <w:iCs/>
          <w:color w:val="auto"/>
          <w:sz w:val="24"/>
          <w:szCs w:val="24"/>
          <w:lang w:eastAsia="en-US"/>
        </w:rPr>
        <w:t xml:space="preserve">Public health approaches in policing: A discussion paper. </w:t>
      </w:r>
      <w:r w:rsidRPr="00B807F3">
        <w:rPr>
          <w:rFonts w:eastAsiaTheme="minorHAnsi"/>
          <w:color w:val="auto"/>
          <w:sz w:val="24"/>
          <w:szCs w:val="24"/>
          <w:lang w:eastAsia="en-US"/>
        </w:rPr>
        <w:t xml:space="preserve">Available at: </w:t>
      </w:r>
      <w:hyperlink r:id="rId34" w:history="1">
        <w:r w:rsidRPr="00B807F3">
          <w:rPr>
            <w:rFonts w:eastAsiaTheme="minorHAnsi"/>
            <w:color w:val="0563C1" w:themeColor="hyperlink"/>
            <w:sz w:val="24"/>
            <w:szCs w:val="24"/>
            <w:u w:val="single"/>
            <w:lang w:eastAsia="en-US"/>
          </w:rPr>
          <w:t>https://assets.college.police.uk/s3fs-public/2021-02/public-health-approaches.pdf</w:t>
        </w:r>
      </w:hyperlink>
      <w:r w:rsidRPr="00B807F3">
        <w:rPr>
          <w:rFonts w:eastAsiaTheme="minorHAnsi"/>
          <w:color w:val="auto"/>
          <w:sz w:val="24"/>
          <w:szCs w:val="24"/>
          <w:lang w:eastAsia="en-US"/>
        </w:rPr>
        <w:t xml:space="preserve"> (Accessed 10 September 2021).</w:t>
      </w:r>
    </w:p>
    <w:p w14:paraId="08B238E5"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 xml:space="preserve">Criminal Justice Act 1988, </w:t>
      </w:r>
      <w:r w:rsidRPr="00B807F3">
        <w:rPr>
          <w:rFonts w:eastAsiaTheme="minorHAnsi"/>
          <w:color w:val="auto"/>
          <w:sz w:val="24"/>
          <w:szCs w:val="24"/>
          <w:lang w:eastAsia="en-US"/>
        </w:rPr>
        <w:t xml:space="preserve">c. 33. Available at: </w:t>
      </w:r>
      <w:hyperlink r:id="rId35" w:history="1">
        <w:r w:rsidRPr="00B807F3">
          <w:rPr>
            <w:rFonts w:eastAsiaTheme="minorHAnsi"/>
            <w:color w:val="0563C1" w:themeColor="hyperlink"/>
            <w:sz w:val="24"/>
            <w:szCs w:val="24"/>
            <w:u w:val="single"/>
            <w:lang w:eastAsia="en-US"/>
          </w:rPr>
          <w:t>https://www.legislation.gov.uk/ukpga/1988/33/section/39</w:t>
        </w:r>
      </w:hyperlink>
      <w:r w:rsidRPr="00B807F3">
        <w:rPr>
          <w:rFonts w:eastAsiaTheme="minorHAnsi"/>
          <w:color w:val="auto"/>
          <w:sz w:val="24"/>
          <w:szCs w:val="24"/>
          <w:lang w:eastAsia="en-US"/>
        </w:rPr>
        <w:t xml:space="preserve"> (Accessed 10 September 2021).</w:t>
      </w:r>
    </w:p>
    <w:p w14:paraId="383D6D3A"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DASH (2009) Available at: </w:t>
      </w:r>
      <w:hyperlink r:id="rId36" w:history="1">
        <w:r w:rsidRPr="00B807F3">
          <w:rPr>
            <w:rFonts w:eastAsiaTheme="minorHAnsi"/>
            <w:color w:val="0563C1" w:themeColor="hyperlink"/>
            <w:sz w:val="24"/>
            <w:szCs w:val="24"/>
            <w:u w:val="single"/>
            <w:lang w:eastAsia="en-US"/>
          </w:rPr>
          <w:t>https://www.dashriskchecklist.co.uk/dash/</w:t>
        </w:r>
      </w:hyperlink>
      <w:r w:rsidRPr="00B807F3">
        <w:rPr>
          <w:rFonts w:eastAsiaTheme="minorHAnsi"/>
          <w:color w:val="auto"/>
          <w:sz w:val="24"/>
          <w:szCs w:val="24"/>
          <w:lang w:eastAsia="en-US"/>
        </w:rPr>
        <w:t xml:space="preserve"> (Accessed 10 September 2021).</w:t>
      </w:r>
    </w:p>
    <w:p w14:paraId="27942137"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Driscoll, J. (2007) Available at: https://www.nottingham.ac.uk/library/documents/academicskillstoolkit/reflective-writing-model-driscoll.pdf (Accessed 15 August 2021).</w:t>
      </w:r>
    </w:p>
    <w:p w14:paraId="78CAF7F8"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Farrell, G. (2010) ‘Repeat Victimization, theories of’, </w:t>
      </w:r>
      <w:r w:rsidRPr="00B807F3">
        <w:rPr>
          <w:rFonts w:eastAsiaTheme="minorHAnsi"/>
          <w:i/>
          <w:iCs/>
          <w:color w:val="auto"/>
          <w:sz w:val="24"/>
          <w:szCs w:val="24"/>
          <w:lang w:eastAsia="en-US"/>
        </w:rPr>
        <w:t xml:space="preserve">Encyclopaedia of Victimology and Crime Prevention, </w:t>
      </w:r>
      <w:r w:rsidRPr="00B807F3">
        <w:rPr>
          <w:rFonts w:eastAsiaTheme="minorHAnsi"/>
          <w:color w:val="auto"/>
          <w:sz w:val="24"/>
          <w:szCs w:val="24"/>
          <w:lang w:eastAsia="en-US"/>
        </w:rPr>
        <w:t>pp</w:t>
      </w:r>
      <w:r w:rsidRPr="00B807F3">
        <w:rPr>
          <w:rFonts w:eastAsiaTheme="minorHAnsi"/>
          <w:i/>
          <w:iCs/>
          <w:color w:val="auto"/>
          <w:sz w:val="24"/>
          <w:szCs w:val="24"/>
          <w:lang w:eastAsia="en-US"/>
        </w:rPr>
        <w:t>.</w:t>
      </w:r>
      <w:r w:rsidRPr="00B807F3">
        <w:rPr>
          <w:rFonts w:eastAsiaTheme="minorHAnsi"/>
          <w:color w:val="auto"/>
          <w:sz w:val="24"/>
          <w:szCs w:val="24"/>
          <w:lang w:eastAsia="en-US"/>
        </w:rPr>
        <w:t xml:space="preserve"> 769-774</w:t>
      </w:r>
      <w:r w:rsidRPr="00B807F3">
        <w:rPr>
          <w:rFonts w:eastAsiaTheme="minorHAnsi"/>
          <w:i/>
          <w:iCs/>
          <w:color w:val="auto"/>
          <w:sz w:val="24"/>
          <w:szCs w:val="24"/>
          <w:lang w:eastAsia="en-US"/>
        </w:rPr>
        <w:t xml:space="preserve">. </w:t>
      </w:r>
      <w:r w:rsidRPr="00B807F3">
        <w:rPr>
          <w:rFonts w:eastAsiaTheme="minorHAnsi"/>
          <w:color w:val="auto"/>
          <w:sz w:val="24"/>
          <w:szCs w:val="24"/>
          <w:lang w:eastAsia="en-US"/>
        </w:rPr>
        <w:t xml:space="preserve">Available at: </w:t>
      </w:r>
      <w:hyperlink r:id="rId37" w:history="1">
        <w:r w:rsidRPr="00B807F3">
          <w:rPr>
            <w:rFonts w:eastAsiaTheme="minorHAnsi"/>
            <w:color w:val="0563C1" w:themeColor="hyperlink"/>
            <w:sz w:val="24"/>
            <w:szCs w:val="24"/>
            <w:u w:val="single"/>
            <w:lang w:eastAsia="en-US"/>
          </w:rPr>
          <w:t>http://dx.doi.org/10.4135/9781412979993.n259</w:t>
        </w:r>
      </w:hyperlink>
      <w:r w:rsidRPr="00B807F3">
        <w:rPr>
          <w:rFonts w:eastAsiaTheme="minorHAnsi"/>
          <w:color w:val="auto"/>
          <w:sz w:val="24"/>
          <w:szCs w:val="24"/>
          <w:lang w:eastAsia="en-US"/>
        </w:rPr>
        <w:t xml:space="preserve"> (Accessed 10 September 2021).</w:t>
      </w:r>
    </w:p>
    <w:p w14:paraId="1D97DFC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HMICFRS (2019) </w:t>
      </w:r>
      <w:r w:rsidRPr="00B807F3">
        <w:rPr>
          <w:rFonts w:eastAsiaTheme="minorHAnsi"/>
          <w:i/>
          <w:iCs/>
          <w:color w:val="auto"/>
          <w:sz w:val="24"/>
          <w:szCs w:val="24"/>
          <w:lang w:eastAsia="en-US"/>
        </w:rPr>
        <w:t>The police response to domestic abuse: An update report</w:t>
      </w:r>
      <w:r w:rsidRPr="00B807F3">
        <w:rPr>
          <w:rFonts w:eastAsiaTheme="minorHAnsi"/>
          <w:color w:val="auto"/>
          <w:sz w:val="24"/>
          <w:szCs w:val="24"/>
          <w:lang w:eastAsia="en-US"/>
        </w:rPr>
        <w:t xml:space="preserve">. Available at: </w:t>
      </w:r>
      <w:hyperlink r:id="rId38" w:history="1">
        <w:r w:rsidRPr="00B807F3">
          <w:rPr>
            <w:rFonts w:eastAsiaTheme="minorHAnsi"/>
            <w:color w:val="0563C1" w:themeColor="hyperlink"/>
            <w:sz w:val="24"/>
            <w:szCs w:val="24"/>
            <w:u w:val="single"/>
            <w:lang w:eastAsia="en-US"/>
          </w:rPr>
          <w:t>https://www.justiceinspectorates.gov.uk/hmicfrs/wp-</w:t>
        </w:r>
        <w:r w:rsidRPr="00B807F3">
          <w:rPr>
            <w:rFonts w:eastAsiaTheme="minorHAnsi"/>
            <w:color w:val="0563C1" w:themeColor="hyperlink"/>
            <w:sz w:val="24"/>
            <w:szCs w:val="24"/>
            <w:u w:val="single"/>
            <w:lang w:eastAsia="en-US"/>
          </w:rPr>
          <w:lastRenderedPageBreak/>
          <w:t>content/uploads/the-police-response-to-domestic-abuse-an-update-report.pdf</w:t>
        </w:r>
      </w:hyperlink>
      <w:r w:rsidRPr="00B807F3">
        <w:rPr>
          <w:rFonts w:eastAsiaTheme="minorHAnsi"/>
          <w:color w:val="auto"/>
          <w:sz w:val="24"/>
          <w:szCs w:val="24"/>
          <w:lang w:eastAsia="en-US"/>
        </w:rPr>
        <w:t xml:space="preserve"> (Accessed 10 September 2021).</w:t>
      </w:r>
    </w:p>
    <w:p w14:paraId="666FAFED"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cr/>
        <w:t xml:space="preserve">National Vulnerability Action Plan (NVAP) Revised 2020-2022 v2.  Available at: </w:t>
      </w:r>
      <w:hyperlink r:id="rId39" w:history="1">
        <w:r w:rsidRPr="00B807F3">
          <w:rPr>
            <w:rFonts w:eastAsiaTheme="minorHAnsi"/>
            <w:color w:val="0563C1" w:themeColor="hyperlink"/>
            <w:sz w:val="24"/>
            <w:szCs w:val="24"/>
            <w:u w:val="single"/>
            <w:lang w:eastAsia="en-US"/>
          </w:rPr>
          <w:t>https://www.npcc.police.uk/Crime%20Ops%20Committee/NVAP.pdf</w:t>
        </w:r>
      </w:hyperlink>
      <w:r w:rsidRPr="00B807F3">
        <w:rPr>
          <w:rFonts w:eastAsiaTheme="minorHAnsi"/>
          <w:color w:val="auto"/>
          <w:sz w:val="24"/>
          <w:szCs w:val="24"/>
          <w:lang w:eastAsia="en-US"/>
        </w:rPr>
        <w:t xml:space="preserve"> (Accessed 10 September 2021).</w:t>
      </w:r>
    </w:p>
    <w:p w14:paraId="65BCF58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Policing Vision 2025. Available at: </w:t>
      </w:r>
      <w:hyperlink r:id="rId40" w:history="1">
        <w:r w:rsidRPr="00B807F3">
          <w:rPr>
            <w:rFonts w:eastAsiaTheme="minorHAnsi"/>
            <w:color w:val="0563C1" w:themeColor="hyperlink"/>
            <w:sz w:val="24"/>
            <w:szCs w:val="24"/>
            <w:u w:val="single"/>
            <w:lang w:eastAsia="en-US"/>
          </w:rPr>
          <w:t>https://www.npcc.police.uk/documents/Policing%20Vision.pdf</w:t>
        </w:r>
      </w:hyperlink>
      <w:r w:rsidRPr="00B807F3">
        <w:rPr>
          <w:rFonts w:eastAsiaTheme="minorHAnsi"/>
          <w:color w:val="auto"/>
          <w:sz w:val="24"/>
          <w:szCs w:val="24"/>
          <w:lang w:eastAsia="en-US"/>
        </w:rPr>
        <w:t xml:space="preserve"> (Accessed 10 September 2021).</w:t>
      </w:r>
    </w:p>
    <w:p w14:paraId="1D2350F9"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Robinson, A. et al (2016) </w:t>
      </w:r>
      <w:r w:rsidRPr="00B807F3">
        <w:rPr>
          <w:rFonts w:eastAsiaTheme="minorHAnsi"/>
          <w:i/>
          <w:iCs/>
          <w:color w:val="auto"/>
          <w:sz w:val="24"/>
          <w:szCs w:val="24"/>
          <w:lang w:eastAsia="en-US"/>
        </w:rPr>
        <w:t>WHAT WORKS: CRIME REDUCTION RESEARCH Risk-led policing of domestic abuse and the DASH risk model</w:t>
      </w:r>
      <w:r w:rsidRPr="00B807F3">
        <w:rPr>
          <w:rFonts w:eastAsiaTheme="minorHAnsi"/>
          <w:color w:val="auto"/>
          <w:sz w:val="24"/>
          <w:szCs w:val="24"/>
          <w:lang w:eastAsia="en-US"/>
        </w:rPr>
        <w:t xml:space="preserve">. Available at: </w:t>
      </w:r>
      <w:hyperlink r:id="rId41" w:history="1">
        <w:r w:rsidRPr="00B807F3">
          <w:rPr>
            <w:rFonts w:eastAsiaTheme="minorHAnsi"/>
            <w:color w:val="0563C1" w:themeColor="hyperlink"/>
            <w:sz w:val="24"/>
            <w:szCs w:val="24"/>
            <w:u w:val="single"/>
            <w:lang w:eastAsia="en-US"/>
          </w:rPr>
          <w:t>https://whatworks.college.police.uk/Research/Documents/Riskled_policing_and_DASH_risk_model.pdf</w:t>
        </w:r>
      </w:hyperlink>
      <w:r w:rsidRPr="00B807F3">
        <w:rPr>
          <w:rFonts w:eastAsiaTheme="minorHAnsi"/>
          <w:color w:val="auto"/>
          <w:sz w:val="24"/>
          <w:szCs w:val="24"/>
          <w:lang w:eastAsia="en-US"/>
        </w:rPr>
        <w:t xml:space="preserve"> (Accessed 10 September 2021).</w:t>
      </w:r>
      <w:r w:rsidRPr="00B807F3">
        <w:rPr>
          <w:rFonts w:eastAsiaTheme="minorHAnsi"/>
          <w:color w:val="auto"/>
          <w:sz w:val="24"/>
          <w:szCs w:val="24"/>
          <w:lang w:eastAsia="en-US"/>
        </w:rPr>
        <w:cr/>
      </w:r>
    </w:p>
    <w:p w14:paraId="6EE624A4"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Safe Lives (2014) </w:t>
      </w:r>
      <w:r w:rsidRPr="00B807F3">
        <w:rPr>
          <w:rFonts w:eastAsiaTheme="minorHAnsi"/>
          <w:i/>
          <w:iCs/>
          <w:color w:val="auto"/>
          <w:sz w:val="24"/>
          <w:szCs w:val="24"/>
          <w:lang w:eastAsia="en-US"/>
        </w:rPr>
        <w:t xml:space="preserve">Guidance for </w:t>
      </w:r>
      <w:proofErr w:type="spellStart"/>
      <w:r w:rsidRPr="00B807F3">
        <w:rPr>
          <w:rFonts w:eastAsiaTheme="minorHAnsi"/>
          <w:i/>
          <w:iCs/>
          <w:color w:val="auto"/>
          <w:sz w:val="24"/>
          <w:szCs w:val="24"/>
          <w:lang w:eastAsia="en-US"/>
        </w:rPr>
        <w:t>Maracs</w:t>
      </w:r>
      <w:proofErr w:type="spellEnd"/>
      <w:r w:rsidRPr="00B807F3">
        <w:rPr>
          <w:rFonts w:eastAsiaTheme="minorHAnsi"/>
          <w:i/>
          <w:iCs/>
          <w:color w:val="auto"/>
          <w:sz w:val="24"/>
          <w:szCs w:val="24"/>
          <w:lang w:eastAsia="en-US"/>
        </w:rPr>
        <w:t xml:space="preserve"> Domestic Violence Disclosure Scheme</w:t>
      </w:r>
      <w:r w:rsidRPr="00B807F3">
        <w:rPr>
          <w:rFonts w:eastAsiaTheme="minorHAnsi"/>
          <w:color w:val="auto"/>
          <w:sz w:val="24"/>
          <w:szCs w:val="24"/>
          <w:lang w:eastAsia="en-US"/>
        </w:rPr>
        <w:t xml:space="preserve">. Available at: </w:t>
      </w:r>
      <w:hyperlink r:id="rId42" w:history="1">
        <w:r w:rsidRPr="00B807F3">
          <w:rPr>
            <w:rFonts w:eastAsiaTheme="minorHAnsi"/>
            <w:color w:val="0563C1" w:themeColor="hyperlink"/>
            <w:sz w:val="24"/>
            <w:szCs w:val="24"/>
            <w:u w:val="single"/>
            <w:lang w:eastAsia="en-US"/>
          </w:rPr>
          <w:t>https://safelives.org.uk/sites/default/files/resources/DVDS%20guidance%20for%20MARACs%20FINAL.pdf</w:t>
        </w:r>
      </w:hyperlink>
      <w:r w:rsidRPr="00B807F3">
        <w:rPr>
          <w:rFonts w:eastAsiaTheme="minorHAnsi"/>
          <w:color w:val="auto"/>
          <w:sz w:val="24"/>
          <w:szCs w:val="24"/>
          <w:lang w:eastAsia="en-US"/>
        </w:rPr>
        <w:t xml:space="preserve"> (Accessed 10 September 2021).</w:t>
      </w:r>
    </w:p>
    <w:p w14:paraId="0E188CA9"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roofErr w:type="spellStart"/>
      <w:r w:rsidRPr="00B807F3">
        <w:rPr>
          <w:rFonts w:eastAsiaTheme="minorHAnsi"/>
          <w:color w:val="auto"/>
          <w:sz w:val="24"/>
          <w:szCs w:val="24"/>
          <w:lang w:eastAsia="en-US"/>
        </w:rPr>
        <w:t>Weisel</w:t>
      </w:r>
      <w:proofErr w:type="spellEnd"/>
      <w:r w:rsidRPr="00B807F3">
        <w:rPr>
          <w:rFonts w:eastAsiaTheme="minorHAnsi"/>
          <w:color w:val="auto"/>
          <w:sz w:val="24"/>
          <w:szCs w:val="24"/>
          <w:lang w:eastAsia="en-US"/>
        </w:rPr>
        <w:t xml:space="preserve">, D. (2005) </w:t>
      </w:r>
      <w:proofErr w:type="spellStart"/>
      <w:r w:rsidRPr="00B807F3">
        <w:rPr>
          <w:rFonts w:eastAsiaTheme="minorHAnsi"/>
          <w:i/>
          <w:iCs/>
          <w:color w:val="auto"/>
          <w:sz w:val="24"/>
          <w:szCs w:val="24"/>
          <w:lang w:eastAsia="en-US"/>
        </w:rPr>
        <w:t>Analyzing</w:t>
      </w:r>
      <w:proofErr w:type="spellEnd"/>
      <w:r w:rsidRPr="00B807F3">
        <w:rPr>
          <w:rFonts w:eastAsiaTheme="minorHAnsi"/>
          <w:i/>
          <w:iCs/>
          <w:color w:val="auto"/>
          <w:sz w:val="24"/>
          <w:szCs w:val="24"/>
          <w:lang w:eastAsia="en-US"/>
        </w:rPr>
        <w:t xml:space="preserve"> Repeat Victimization Tool Guide No. 4 (2005). </w:t>
      </w:r>
      <w:r w:rsidRPr="00B807F3">
        <w:rPr>
          <w:rFonts w:eastAsiaTheme="minorHAnsi"/>
          <w:color w:val="auto"/>
          <w:sz w:val="24"/>
          <w:szCs w:val="24"/>
          <w:lang w:eastAsia="en-US"/>
        </w:rPr>
        <w:t xml:space="preserve">Available at: </w:t>
      </w:r>
      <w:hyperlink r:id="rId43" w:history="1">
        <w:r w:rsidRPr="00B807F3">
          <w:rPr>
            <w:rFonts w:eastAsiaTheme="minorHAnsi"/>
            <w:color w:val="0563C1" w:themeColor="hyperlink"/>
            <w:sz w:val="24"/>
            <w:szCs w:val="24"/>
            <w:u w:val="single"/>
            <w:lang w:eastAsia="en-US"/>
          </w:rPr>
          <w:t>https://popcenter.asu.edu/content/analyzing-repeat-victimization</w:t>
        </w:r>
      </w:hyperlink>
      <w:r w:rsidRPr="00B807F3">
        <w:rPr>
          <w:rFonts w:eastAsiaTheme="minorHAnsi"/>
          <w:color w:val="auto"/>
          <w:sz w:val="24"/>
          <w:szCs w:val="24"/>
          <w:lang w:eastAsia="en-US"/>
        </w:rPr>
        <w:t xml:space="preserve"> (Accessed 10 September 2021).</w:t>
      </w:r>
    </w:p>
    <w:p w14:paraId="5ED8E438"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
    <w:p w14:paraId="41B8145B"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Task 4</w:t>
      </w:r>
    </w:p>
    <w:p w14:paraId="4DF1C2FF"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Ashby, M. (2017) ‘The Value of CCTV Surveillance Cameras as an Investigative Tool: An Empirical Analysis’, </w:t>
      </w:r>
      <w:r w:rsidRPr="00B807F3">
        <w:rPr>
          <w:rFonts w:eastAsiaTheme="minorHAnsi"/>
          <w:i/>
          <w:iCs/>
          <w:color w:val="auto"/>
          <w:sz w:val="24"/>
          <w:szCs w:val="24"/>
          <w:lang w:eastAsia="en-US"/>
        </w:rPr>
        <w:t>European Journal on Criminal Policy and Research</w:t>
      </w:r>
      <w:r w:rsidRPr="00B807F3">
        <w:rPr>
          <w:rFonts w:eastAsiaTheme="minorHAnsi"/>
          <w:color w:val="auto"/>
          <w:sz w:val="24"/>
          <w:szCs w:val="24"/>
          <w:lang w:eastAsia="en-US"/>
        </w:rPr>
        <w:t>;</w:t>
      </w:r>
      <w:r w:rsidRPr="00B807F3">
        <w:rPr>
          <w:rFonts w:eastAsiaTheme="minorHAnsi"/>
          <w:i/>
          <w:iCs/>
          <w:color w:val="auto"/>
          <w:sz w:val="24"/>
          <w:szCs w:val="24"/>
          <w:lang w:eastAsia="en-US"/>
        </w:rPr>
        <w:t xml:space="preserve"> Amsterdam</w:t>
      </w:r>
      <w:r w:rsidRPr="00B807F3">
        <w:rPr>
          <w:rFonts w:eastAsiaTheme="minorHAnsi"/>
          <w:color w:val="auto"/>
          <w:sz w:val="24"/>
          <w:szCs w:val="24"/>
          <w:lang w:eastAsia="en-US"/>
        </w:rPr>
        <w:t>, 23(3), pp.441-459. Available at: DOI:10.1007/s10610-017-9341-6 (Accessed 15 August 2021)</w:t>
      </w:r>
    </w:p>
    <w:p w14:paraId="4ED2859B"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Bates, L. (2021) ‘After Everard’, </w:t>
      </w:r>
      <w:r w:rsidRPr="00B807F3">
        <w:rPr>
          <w:rFonts w:eastAsiaTheme="minorHAnsi"/>
          <w:i/>
          <w:iCs/>
          <w:color w:val="auto"/>
          <w:sz w:val="24"/>
          <w:szCs w:val="24"/>
          <w:lang w:eastAsia="en-US"/>
        </w:rPr>
        <w:t xml:space="preserve">New Statesman: London, </w:t>
      </w:r>
      <w:r w:rsidRPr="00B807F3">
        <w:rPr>
          <w:rFonts w:eastAsiaTheme="minorHAnsi"/>
          <w:color w:val="auto"/>
          <w:sz w:val="24"/>
          <w:szCs w:val="24"/>
          <w:lang w:eastAsia="en-US"/>
        </w:rPr>
        <w:t xml:space="preserve">150 (5628), pp. 34-37. </w:t>
      </w:r>
    </w:p>
    <w:p w14:paraId="7D5C6465"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(2013) </w:t>
      </w:r>
      <w:r w:rsidRPr="00B807F3">
        <w:rPr>
          <w:rFonts w:eastAsiaTheme="minorHAnsi"/>
          <w:i/>
          <w:iCs/>
          <w:color w:val="auto"/>
          <w:sz w:val="24"/>
          <w:szCs w:val="24"/>
          <w:lang w:eastAsia="en-US"/>
        </w:rPr>
        <w:t>Investigation: Investigative Interviewing</w:t>
      </w:r>
      <w:r w:rsidRPr="00B807F3">
        <w:rPr>
          <w:rFonts w:eastAsiaTheme="minorHAnsi"/>
          <w:color w:val="auto"/>
          <w:sz w:val="24"/>
          <w:szCs w:val="24"/>
          <w:lang w:eastAsia="en-US"/>
        </w:rPr>
        <w:t xml:space="preserve">. Available at: </w:t>
      </w:r>
      <w:hyperlink r:id="rId44" w:history="1">
        <w:r w:rsidRPr="00B807F3">
          <w:rPr>
            <w:rFonts w:eastAsiaTheme="minorHAnsi"/>
            <w:color w:val="0563C1" w:themeColor="hyperlink"/>
            <w:sz w:val="24"/>
            <w:szCs w:val="24"/>
            <w:u w:val="single"/>
            <w:lang w:eastAsia="en-US"/>
          </w:rPr>
          <w:t>https://www.app.college.police.uk/app-content/investigations/investigative-interviewing/</w:t>
        </w:r>
      </w:hyperlink>
      <w:r w:rsidRPr="00B807F3">
        <w:rPr>
          <w:rFonts w:eastAsiaTheme="minorHAnsi"/>
          <w:color w:val="auto"/>
          <w:sz w:val="24"/>
          <w:szCs w:val="24"/>
          <w:lang w:eastAsia="en-US"/>
        </w:rPr>
        <w:t xml:space="preserve"> (Accessed 16 August 2021).</w:t>
      </w:r>
    </w:p>
    <w:p w14:paraId="5C8475C5"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bookmarkStart w:id="3" w:name="_Hlk81647889"/>
      <w:r w:rsidRPr="00B807F3">
        <w:rPr>
          <w:rFonts w:eastAsiaTheme="minorHAnsi"/>
          <w:color w:val="auto"/>
          <w:sz w:val="24"/>
          <w:szCs w:val="24"/>
          <w:lang w:eastAsia="en-US"/>
        </w:rPr>
        <w:t xml:space="preserve">College of Policing (2014) </w:t>
      </w:r>
      <w:r w:rsidRPr="00B807F3">
        <w:rPr>
          <w:rFonts w:eastAsiaTheme="minorHAnsi"/>
          <w:i/>
          <w:iCs/>
          <w:color w:val="auto"/>
          <w:sz w:val="24"/>
          <w:szCs w:val="24"/>
          <w:lang w:eastAsia="en-US"/>
        </w:rPr>
        <w:t xml:space="preserve">National Decision Model. </w:t>
      </w:r>
      <w:r w:rsidRPr="00B807F3">
        <w:rPr>
          <w:rFonts w:eastAsiaTheme="minorHAnsi"/>
          <w:color w:val="auto"/>
          <w:sz w:val="24"/>
          <w:szCs w:val="24"/>
          <w:lang w:eastAsia="en-US"/>
        </w:rPr>
        <w:t xml:space="preserve">Available at: </w:t>
      </w:r>
      <w:hyperlink r:id="rId45" w:history="1">
        <w:hyperlink r:id="rId46" w:history="1">
          <w:r w:rsidRPr="00B807F3">
            <w:rPr>
              <w:rFonts w:eastAsiaTheme="minorHAnsi"/>
              <w:color w:val="0563C1" w:themeColor="hyperlink"/>
              <w:sz w:val="24"/>
              <w:szCs w:val="24"/>
              <w:u w:val="single"/>
              <w:lang w:eastAsia="en-US"/>
            </w:rPr>
            <w:t>https://www.app.college.police.uk/app-content/national-decision-model/the-national-decision-model/</w:t>
          </w:r>
        </w:hyperlink>
      </w:hyperlink>
      <w:r w:rsidRPr="00B807F3">
        <w:rPr>
          <w:rFonts w:eastAsiaTheme="minorHAnsi"/>
          <w:color w:val="auto"/>
          <w:sz w:val="24"/>
          <w:szCs w:val="24"/>
          <w:lang w:eastAsia="en-US"/>
        </w:rPr>
        <w:t xml:space="preserve"> (Accessed 15 August 2021).</w:t>
      </w:r>
    </w:p>
    <w:bookmarkEnd w:id="3"/>
    <w:p w14:paraId="60A6E2CD"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(2020) </w:t>
      </w:r>
      <w:r w:rsidRPr="00B807F3">
        <w:rPr>
          <w:rFonts w:eastAsiaTheme="minorHAnsi"/>
          <w:i/>
          <w:iCs/>
          <w:color w:val="auto"/>
          <w:sz w:val="24"/>
          <w:szCs w:val="24"/>
          <w:lang w:eastAsia="en-US"/>
        </w:rPr>
        <w:t>Major investigation and public protection: Introduction to managing sexual offenders and violent offenders</w:t>
      </w:r>
      <w:r w:rsidRPr="00B807F3">
        <w:rPr>
          <w:rFonts w:eastAsiaTheme="minorHAnsi"/>
          <w:color w:val="auto"/>
          <w:sz w:val="24"/>
          <w:szCs w:val="24"/>
          <w:lang w:eastAsia="en-US"/>
        </w:rPr>
        <w:t xml:space="preserve">. Available at: </w:t>
      </w:r>
      <w:hyperlink r:id="rId47" w:history="1">
        <w:r w:rsidRPr="00B807F3">
          <w:rPr>
            <w:rFonts w:eastAsiaTheme="minorHAnsi"/>
            <w:color w:val="0563C1" w:themeColor="hyperlink"/>
            <w:sz w:val="24"/>
            <w:szCs w:val="24"/>
            <w:u w:val="single"/>
            <w:lang w:eastAsia="en-US"/>
          </w:rPr>
          <w:t>https://www.app.college.police.uk/app-content/major-investigation-and-public-protection/managing-sexual-offenders-and-violent-offenders/?highlight=child</w:t>
        </w:r>
      </w:hyperlink>
      <w:r w:rsidRPr="00B807F3">
        <w:rPr>
          <w:rFonts w:eastAsiaTheme="minorHAnsi"/>
          <w:color w:val="auto"/>
          <w:sz w:val="24"/>
          <w:szCs w:val="24"/>
          <w:lang w:eastAsia="en-US"/>
        </w:rPr>
        <w:t xml:space="preserve"> (Accessed 16 August 2021).</w:t>
      </w:r>
    </w:p>
    <w:p w14:paraId="7D57C350"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lastRenderedPageBreak/>
        <w:t xml:space="preserve">College of Policing (2021) </w:t>
      </w:r>
      <w:r w:rsidRPr="00B807F3">
        <w:rPr>
          <w:rFonts w:eastAsiaTheme="minorHAnsi"/>
          <w:i/>
          <w:iCs/>
          <w:color w:val="auto"/>
          <w:sz w:val="24"/>
          <w:szCs w:val="24"/>
          <w:lang w:eastAsia="en-US"/>
        </w:rPr>
        <w:t>Briefing note: For police first responders to a report of rape or sexual assault</w:t>
      </w:r>
      <w:r w:rsidRPr="00B807F3">
        <w:rPr>
          <w:rFonts w:eastAsiaTheme="minorHAnsi"/>
          <w:color w:val="auto"/>
          <w:sz w:val="24"/>
          <w:szCs w:val="24"/>
          <w:lang w:eastAsia="en-US"/>
        </w:rPr>
        <w:t xml:space="preserve">. Available at: </w:t>
      </w:r>
      <w:hyperlink r:id="rId48" w:history="1">
        <w:r w:rsidRPr="00B807F3">
          <w:rPr>
            <w:rFonts w:eastAsiaTheme="minorHAnsi"/>
            <w:color w:val="0563C1" w:themeColor="hyperlink"/>
            <w:sz w:val="24"/>
            <w:szCs w:val="24"/>
            <w:u w:val="single"/>
            <w:lang w:eastAsia="en-US"/>
          </w:rPr>
          <w:t>https://library.college.police.uk/docs/appref/C909E0418-First-Responders-Brief.pdf</w:t>
        </w:r>
      </w:hyperlink>
      <w:r w:rsidRPr="00B807F3">
        <w:rPr>
          <w:rFonts w:eastAsiaTheme="minorHAnsi"/>
          <w:color w:val="auto"/>
          <w:sz w:val="24"/>
          <w:szCs w:val="24"/>
          <w:lang w:eastAsia="en-US"/>
        </w:rPr>
        <w:t xml:space="preserve"> (Accessed 15 August 2021).</w:t>
      </w:r>
    </w:p>
    <w:p w14:paraId="2AECC308"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 xml:space="preserve">Data Protection Act 2018, </w:t>
      </w:r>
      <w:r w:rsidRPr="00B807F3">
        <w:rPr>
          <w:rFonts w:eastAsiaTheme="minorHAnsi"/>
          <w:color w:val="auto"/>
          <w:sz w:val="24"/>
          <w:szCs w:val="24"/>
          <w:lang w:eastAsia="en-US"/>
        </w:rPr>
        <w:t xml:space="preserve">c.12. Available at: </w:t>
      </w:r>
      <w:hyperlink r:id="rId49" w:history="1">
        <w:r w:rsidRPr="00B807F3">
          <w:rPr>
            <w:rFonts w:eastAsiaTheme="minorHAnsi"/>
            <w:color w:val="0563C1" w:themeColor="hyperlink"/>
            <w:sz w:val="24"/>
            <w:szCs w:val="24"/>
            <w:u w:val="single"/>
            <w:lang w:eastAsia="en-US"/>
          </w:rPr>
          <w:t>https://www.legislation.gov.uk/ukpga/2018/12/schedule/2/enacted</w:t>
        </w:r>
      </w:hyperlink>
      <w:r w:rsidRPr="00B807F3">
        <w:rPr>
          <w:rFonts w:eastAsiaTheme="minorHAnsi"/>
          <w:color w:val="auto"/>
          <w:sz w:val="24"/>
          <w:szCs w:val="24"/>
          <w:lang w:eastAsia="en-US"/>
        </w:rPr>
        <w:t xml:space="preserve"> (Accessed 16 August 2021).</w:t>
      </w:r>
    </w:p>
    <w:p w14:paraId="5802E432"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bookmarkStart w:id="4" w:name="_Hlk80622516"/>
      <w:r w:rsidRPr="00B807F3">
        <w:rPr>
          <w:rFonts w:eastAsiaTheme="minorHAnsi"/>
          <w:color w:val="auto"/>
          <w:sz w:val="24"/>
          <w:szCs w:val="24"/>
          <w:lang w:eastAsia="en-US"/>
        </w:rPr>
        <w:t>Driscoll, J. (2007) Available at: https://www.nottingham.ac.uk/library/documents/academicskillstoolkit/reflective-writing-model-driscoll.pdf (Accessed 15 August 2021).</w:t>
      </w:r>
    </w:p>
    <w:p w14:paraId="01F92749"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Information Commissioners Office (2018) </w:t>
      </w:r>
      <w:r w:rsidRPr="00B807F3">
        <w:rPr>
          <w:rFonts w:eastAsiaTheme="minorHAnsi"/>
          <w:i/>
          <w:iCs/>
          <w:color w:val="auto"/>
          <w:sz w:val="24"/>
          <w:szCs w:val="24"/>
          <w:lang w:eastAsia="en-US"/>
        </w:rPr>
        <w:t xml:space="preserve">Guide to the General Data Protection Regulation (GDPR). </w:t>
      </w:r>
      <w:r w:rsidRPr="00B807F3">
        <w:rPr>
          <w:rFonts w:eastAsiaTheme="minorHAnsi"/>
          <w:color w:val="auto"/>
          <w:sz w:val="24"/>
          <w:szCs w:val="24"/>
          <w:lang w:eastAsia="en-US"/>
        </w:rPr>
        <w:t xml:space="preserve">Available at: </w:t>
      </w:r>
      <w:hyperlink r:id="rId50" w:history="1">
        <w:r w:rsidRPr="00B807F3">
          <w:rPr>
            <w:rFonts w:eastAsiaTheme="minorHAnsi"/>
            <w:color w:val="0563C1" w:themeColor="hyperlink"/>
            <w:sz w:val="24"/>
            <w:szCs w:val="24"/>
            <w:u w:val="single"/>
            <w:lang w:eastAsia="en-US"/>
          </w:rPr>
          <w:t>https://assets.publishing.service.gov.uk/government/uploads/system/uploads/attachment_data/file/711097/guide-to-the-general-data-protection-regulation-gdpr-1-0.pdf</w:t>
        </w:r>
      </w:hyperlink>
      <w:r w:rsidRPr="00B807F3">
        <w:rPr>
          <w:rFonts w:eastAsiaTheme="minorHAnsi"/>
          <w:color w:val="auto"/>
          <w:sz w:val="24"/>
          <w:szCs w:val="24"/>
          <w:lang w:eastAsia="en-US"/>
        </w:rPr>
        <w:t xml:space="preserve"> (Accessed 5 September 2021).</w:t>
      </w:r>
    </w:p>
    <w:bookmarkEnd w:id="4"/>
    <w:p w14:paraId="4E64DC2F"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McNally, M. and </w:t>
      </w:r>
      <w:proofErr w:type="spellStart"/>
      <w:r w:rsidRPr="00B807F3">
        <w:rPr>
          <w:rFonts w:eastAsiaTheme="minorHAnsi"/>
          <w:color w:val="auto"/>
          <w:sz w:val="24"/>
          <w:szCs w:val="24"/>
          <w:lang w:eastAsia="en-US"/>
        </w:rPr>
        <w:t>Fremouw</w:t>
      </w:r>
      <w:proofErr w:type="spellEnd"/>
      <w:r w:rsidRPr="00B807F3">
        <w:rPr>
          <w:rFonts w:eastAsiaTheme="minorHAnsi"/>
          <w:color w:val="auto"/>
          <w:sz w:val="24"/>
          <w:szCs w:val="24"/>
          <w:lang w:eastAsia="en-US"/>
        </w:rPr>
        <w:t xml:space="preserve">, J. (2014) ‘Examining risk of escalation: A critical review of the exhibitionistic </w:t>
      </w:r>
      <w:proofErr w:type="spellStart"/>
      <w:r w:rsidRPr="00B807F3">
        <w:rPr>
          <w:rFonts w:eastAsiaTheme="minorHAnsi"/>
          <w:color w:val="auto"/>
          <w:sz w:val="24"/>
          <w:szCs w:val="24"/>
          <w:lang w:eastAsia="en-US"/>
        </w:rPr>
        <w:t>behavior</w:t>
      </w:r>
      <w:proofErr w:type="spellEnd"/>
      <w:r w:rsidRPr="00B807F3">
        <w:rPr>
          <w:rFonts w:eastAsiaTheme="minorHAnsi"/>
          <w:color w:val="auto"/>
          <w:sz w:val="24"/>
          <w:szCs w:val="24"/>
          <w:lang w:eastAsia="en-US"/>
        </w:rPr>
        <w:t xml:space="preserve"> literature’, </w:t>
      </w:r>
      <w:r w:rsidRPr="00B807F3">
        <w:rPr>
          <w:rFonts w:eastAsiaTheme="minorHAnsi"/>
          <w:i/>
          <w:iCs/>
          <w:color w:val="auto"/>
          <w:sz w:val="24"/>
          <w:szCs w:val="24"/>
          <w:lang w:eastAsia="en-US"/>
        </w:rPr>
        <w:t xml:space="preserve">Aggression and Violent Behaviour, </w:t>
      </w:r>
      <w:r w:rsidRPr="00B807F3">
        <w:rPr>
          <w:rFonts w:eastAsiaTheme="minorHAnsi"/>
          <w:color w:val="auto"/>
          <w:sz w:val="24"/>
          <w:szCs w:val="24"/>
          <w:lang w:eastAsia="en-US"/>
        </w:rPr>
        <w:t>19(5),</w:t>
      </w:r>
      <w:r w:rsidRPr="00B807F3">
        <w:rPr>
          <w:rFonts w:eastAsiaTheme="minorHAnsi"/>
          <w:i/>
          <w:iCs/>
          <w:color w:val="auto"/>
          <w:sz w:val="24"/>
          <w:szCs w:val="24"/>
          <w:lang w:eastAsia="en-US"/>
        </w:rPr>
        <w:t xml:space="preserve"> </w:t>
      </w:r>
      <w:r w:rsidRPr="00B807F3">
        <w:rPr>
          <w:rFonts w:eastAsiaTheme="minorHAnsi"/>
          <w:color w:val="auto"/>
          <w:sz w:val="24"/>
          <w:szCs w:val="24"/>
          <w:lang w:eastAsia="en-US"/>
        </w:rPr>
        <w:t>pp.474-485.</w:t>
      </w:r>
    </w:p>
    <w:p w14:paraId="0E5FC78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Niche (2017) Available at: </w:t>
      </w:r>
      <w:hyperlink r:id="rId51" w:history="1">
        <w:r w:rsidRPr="00B807F3">
          <w:rPr>
            <w:rFonts w:eastAsiaTheme="minorHAnsi"/>
            <w:color w:val="0563C1" w:themeColor="hyperlink"/>
            <w:sz w:val="24"/>
            <w:szCs w:val="24"/>
            <w:u w:val="single"/>
            <w:lang w:eastAsia="en-US"/>
          </w:rPr>
          <w:t>https://nicherms.com/</w:t>
        </w:r>
      </w:hyperlink>
      <w:r w:rsidRPr="00B807F3">
        <w:rPr>
          <w:rFonts w:eastAsiaTheme="minorHAnsi"/>
          <w:color w:val="auto"/>
          <w:sz w:val="24"/>
          <w:szCs w:val="24"/>
          <w:lang w:eastAsia="en-US"/>
        </w:rPr>
        <w:t xml:space="preserve"> (Accessed 15 august 2021). </w:t>
      </w:r>
    </w:p>
    <w:p w14:paraId="0B7739DA"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Riordan, S. (1999) ‘Indecent exposure: the impact upon</w:t>
      </w:r>
      <w:r w:rsidRPr="00B807F3">
        <w:rPr>
          <w:rFonts w:eastAsiaTheme="minorHAnsi"/>
          <w:i/>
          <w:iCs/>
          <w:color w:val="auto"/>
          <w:sz w:val="24"/>
          <w:szCs w:val="24"/>
          <w:lang w:eastAsia="en-US"/>
        </w:rPr>
        <w:t xml:space="preserve"> </w:t>
      </w:r>
      <w:r w:rsidRPr="00B807F3">
        <w:rPr>
          <w:rFonts w:eastAsiaTheme="minorHAnsi"/>
          <w:color w:val="auto"/>
          <w:sz w:val="24"/>
          <w:szCs w:val="24"/>
          <w:lang w:eastAsia="en-US"/>
        </w:rPr>
        <w:t xml:space="preserve">the victim’s fear of sexual crime’, </w:t>
      </w:r>
      <w:r w:rsidRPr="00B807F3">
        <w:rPr>
          <w:rFonts w:eastAsiaTheme="minorHAnsi"/>
          <w:i/>
          <w:iCs/>
          <w:color w:val="auto"/>
          <w:sz w:val="24"/>
          <w:szCs w:val="24"/>
          <w:lang w:eastAsia="en-US"/>
        </w:rPr>
        <w:t xml:space="preserve">Journal of Forensic Psychiatry, </w:t>
      </w:r>
      <w:r w:rsidRPr="00B807F3">
        <w:rPr>
          <w:rFonts w:eastAsiaTheme="minorHAnsi"/>
          <w:color w:val="auto"/>
          <w:sz w:val="24"/>
          <w:szCs w:val="24"/>
          <w:lang w:eastAsia="en-US"/>
        </w:rPr>
        <w:t>10(2), pp.309-316.</w:t>
      </w:r>
    </w:p>
    <w:p w14:paraId="77F31A90"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Sexual Offences Act 2003</w:t>
      </w:r>
      <w:r w:rsidRPr="00B807F3">
        <w:rPr>
          <w:rFonts w:eastAsiaTheme="minorHAnsi"/>
          <w:color w:val="auto"/>
          <w:sz w:val="24"/>
          <w:szCs w:val="24"/>
          <w:lang w:eastAsia="en-US"/>
        </w:rPr>
        <w:t xml:space="preserve">, c.42. Available at: </w:t>
      </w:r>
      <w:hyperlink r:id="rId52" w:history="1">
        <w:r w:rsidRPr="00B807F3">
          <w:rPr>
            <w:rFonts w:eastAsiaTheme="minorHAnsi"/>
            <w:color w:val="0563C1" w:themeColor="hyperlink"/>
            <w:sz w:val="24"/>
            <w:szCs w:val="24"/>
            <w:u w:val="single"/>
            <w:lang w:eastAsia="en-US"/>
          </w:rPr>
          <w:t>https://www.legislation.gov.uk/ukpga/2003/42/section/66</w:t>
        </w:r>
      </w:hyperlink>
      <w:r w:rsidRPr="00B807F3">
        <w:rPr>
          <w:rFonts w:eastAsiaTheme="minorHAnsi"/>
          <w:color w:val="auto"/>
          <w:sz w:val="24"/>
          <w:szCs w:val="24"/>
          <w:lang w:eastAsia="en-US"/>
        </w:rPr>
        <w:t xml:space="preserve"> (Accessed 15 August 2021).</w:t>
      </w:r>
    </w:p>
    <w:p w14:paraId="444EF342"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
    <w:p w14:paraId="23D70903"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Task 5</w:t>
      </w:r>
    </w:p>
    <w:p w14:paraId="0B81905C"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Al </w:t>
      </w:r>
      <w:proofErr w:type="spellStart"/>
      <w:r w:rsidRPr="00B807F3">
        <w:rPr>
          <w:rFonts w:eastAsiaTheme="minorHAnsi"/>
          <w:color w:val="auto"/>
          <w:sz w:val="24"/>
          <w:szCs w:val="24"/>
          <w:lang w:eastAsia="en-US"/>
        </w:rPr>
        <w:t>Habsi</w:t>
      </w:r>
      <w:proofErr w:type="spellEnd"/>
      <w:r w:rsidRPr="00B807F3">
        <w:rPr>
          <w:rFonts w:eastAsiaTheme="minorHAnsi"/>
          <w:color w:val="auto"/>
          <w:sz w:val="24"/>
          <w:szCs w:val="24"/>
          <w:lang w:eastAsia="en-US"/>
        </w:rPr>
        <w:t xml:space="preserve">, A. et al (2021) ‘Blackmail on social media: what do we know and what remains unknown?’ </w:t>
      </w:r>
      <w:r w:rsidRPr="00B807F3">
        <w:rPr>
          <w:rFonts w:eastAsiaTheme="minorHAnsi"/>
          <w:i/>
          <w:iCs/>
          <w:color w:val="auto"/>
          <w:sz w:val="24"/>
          <w:szCs w:val="24"/>
          <w:lang w:eastAsia="en-US"/>
        </w:rPr>
        <w:t>Security Journal</w:t>
      </w:r>
      <w:r w:rsidRPr="00B807F3">
        <w:rPr>
          <w:rFonts w:eastAsiaTheme="minorHAnsi"/>
          <w:color w:val="auto"/>
          <w:sz w:val="24"/>
          <w:szCs w:val="24"/>
          <w:lang w:eastAsia="en-US"/>
        </w:rPr>
        <w:t xml:space="preserve">, 34 (3), pp.525-540. Available at: </w:t>
      </w:r>
      <w:hyperlink r:id="rId53" w:history="1">
        <w:r w:rsidRPr="00B807F3">
          <w:rPr>
            <w:rFonts w:eastAsiaTheme="minorHAnsi"/>
            <w:color w:val="0563C1" w:themeColor="hyperlink"/>
            <w:sz w:val="24"/>
            <w:szCs w:val="24"/>
            <w:u w:val="single"/>
            <w:lang w:eastAsia="en-US"/>
          </w:rPr>
          <w:t>https://pureadmin.qub.ac.uk/ws/files/202125371/Accepted_Article.pdf</w:t>
        </w:r>
      </w:hyperlink>
      <w:r w:rsidRPr="00B807F3">
        <w:rPr>
          <w:rFonts w:eastAsiaTheme="minorHAnsi"/>
          <w:color w:val="auto"/>
          <w:sz w:val="24"/>
          <w:szCs w:val="24"/>
          <w:lang w:eastAsia="en-US"/>
        </w:rPr>
        <w:t xml:space="preserve"> (Accessed 25 August 2021).</w:t>
      </w:r>
    </w:p>
    <w:p w14:paraId="048BCBDA"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Ali, S. et al (2018) ‘Privacy and Security Issues in Online Social Networks’, </w:t>
      </w:r>
      <w:r w:rsidRPr="00B807F3">
        <w:rPr>
          <w:rFonts w:eastAsiaTheme="minorHAnsi"/>
          <w:i/>
          <w:iCs/>
          <w:color w:val="auto"/>
          <w:sz w:val="24"/>
          <w:szCs w:val="24"/>
          <w:lang w:eastAsia="en-US"/>
        </w:rPr>
        <w:t>Future Internet</w:t>
      </w:r>
      <w:r w:rsidRPr="00B807F3">
        <w:rPr>
          <w:rFonts w:eastAsiaTheme="minorHAnsi"/>
          <w:color w:val="auto"/>
          <w:sz w:val="24"/>
          <w:szCs w:val="24"/>
          <w:lang w:eastAsia="en-US"/>
        </w:rPr>
        <w:t xml:space="preserve">, 10 (12). Available at: </w:t>
      </w:r>
      <w:hyperlink r:id="rId54" w:history="1">
        <w:r w:rsidRPr="00B807F3">
          <w:rPr>
            <w:rFonts w:eastAsiaTheme="minorHAnsi"/>
            <w:color w:val="0563C1" w:themeColor="hyperlink"/>
            <w:sz w:val="24"/>
            <w:szCs w:val="24"/>
            <w:u w:val="single"/>
            <w:lang w:eastAsia="en-US"/>
          </w:rPr>
          <w:t>https://www.mdpi.com/1999-5903/10/12/114</w:t>
        </w:r>
      </w:hyperlink>
      <w:r w:rsidRPr="00B807F3">
        <w:rPr>
          <w:rFonts w:eastAsiaTheme="minorHAnsi"/>
          <w:color w:val="auto"/>
          <w:sz w:val="24"/>
          <w:szCs w:val="24"/>
          <w:lang w:eastAsia="en-US"/>
        </w:rPr>
        <w:t xml:space="preserve"> (Accessed 5 September 2021).</w:t>
      </w:r>
    </w:p>
    <w:p w14:paraId="0218270B"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Clark, D. (2012) </w:t>
      </w:r>
      <w:r w:rsidRPr="00B807F3">
        <w:rPr>
          <w:rFonts w:eastAsiaTheme="minorHAnsi"/>
          <w:i/>
          <w:iCs/>
          <w:color w:val="auto"/>
          <w:sz w:val="24"/>
          <w:szCs w:val="24"/>
          <w:lang w:eastAsia="en-US"/>
        </w:rPr>
        <w:t>Number of blackmail offences recorded in England and Wales from 2002/03 to 2020/21.</w:t>
      </w:r>
      <w:r w:rsidRPr="00B807F3">
        <w:rPr>
          <w:rFonts w:eastAsiaTheme="minorHAnsi"/>
          <w:color w:val="auto"/>
          <w:sz w:val="24"/>
          <w:szCs w:val="24"/>
          <w:lang w:eastAsia="en-US"/>
        </w:rPr>
        <w:t xml:space="preserve"> Available at:  </w:t>
      </w:r>
      <w:hyperlink r:id="rId55" w:history="1">
        <w:r w:rsidRPr="00B807F3">
          <w:rPr>
            <w:rFonts w:eastAsiaTheme="minorHAnsi"/>
            <w:color w:val="0563C1" w:themeColor="hyperlink"/>
            <w:sz w:val="24"/>
            <w:szCs w:val="24"/>
            <w:u w:val="single"/>
            <w:lang w:eastAsia="en-US"/>
          </w:rPr>
          <w:t>https://www.statista.com/statistics/303565/blackmail-in-england-and-wales-uk-y-on-y/</w:t>
        </w:r>
      </w:hyperlink>
      <w:r w:rsidRPr="00B807F3">
        <w:rPr>
          <w:rFonts w:eastAsiaTheme="minorHAnsi"/>
          <w:color w:val="auto"/>
          <w:sz w:val="24"/>
          <w:szCs w:val="24"/>
          <w:lang w:eastAsia="en-US"/>
        </w:rPr>
        <w:t xml:space="preserve"> (Accessed 5 September 2021).</w:t>
      </w:r>
    </w:p>
    <w:p w14:paraId="739E70FD"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(2014) </w:t>
      </w:r>
      <w:r w:rsidRPr="00B807F3">
        <w:rPr>
          <w:rFonts w:eastAsiaTheme="minorHAnsi"/>
          <w:i/>
          <w:iCs/>
          <w:color w:val="auto"/>
          <w:sz w:val="24"/>
          <w:szCs w:val="24"/>
          <w:lang w:eastAsia="en-US"/>
        </w:rPr>
        <w:t xml:space="preserve">Code of Ethics A Code of Practice for the Principles and Standards of Professional Behaviour for the Policing Profession of England and </w:t>
      </w:r>
      <w:r w:rsidRPr="00B807F3">
        <w:rPr>
          <w:rFonts w:eastAsiaTheme="minorHAnsi"/>
          <w:i/>
          <w:iCs/>
          <w:color w:val="auto"/>
          <w:sz w:val="24"/>
          <w:szCs w:val="24"/>
          <w:lang w:eastAsia="en-US"/>
        </w:rPr>
        <w:lastRenderedPageBreak/>
        <w:t>Wales</w:t>
      </w:r>
      <w:r w:rsidRPr="00B807F3">
        <w:rPr>
          <w:rFonts w:eastAsiaTheme="minorHAnsi"/>
          <w:color w:val="auto"/>
          <w:sz w:val="24"/>
          <w:szCs w:val="24"/>
          <w:lang w:eastAsia="en-US"/>
        </w:rPr>
        <w:t>.  Available at:  https://assets.publishing.service.gov.uk/government/uploads/system/uploads/attachment_data/file/341650/Code_of_Ethics_2014_FINAL_July14.pdf#:~:text=The%20aim%20of%20this%20Code%20of%20Ethics%20is,knowledge%20that%20guide%20the%20judgements%20of%20each%20individual. (</w:t>
      </w:r>
      <w:proofErr w:type="gramStart"/>
      <w:r w:rsidRPr="00B807F3">
        <w:rPr>
          <w:rFonts w:eastAsiaTheme="minorHAnsi"/>
          <w:color w:val="auto"/>
          <w:sz w:val="24"/>
          <w:szCs w:val="24"/>
          <w:lang w:eastAsia="en-US"/>
        </w:rPr>
        <w:t>Accessed  5</w:t>
      </w:r>
      <w:proofErr w:type="gramEnd"/>
      <w:r w:rsidRPr="00B807F3">
        <w:rPr>
          <w:rFonts w:eastAsiaTheme="minorHAnsi"/>
          <w:color w:val="auto"/>
          <w:sz w:val="24"/>
          <w:szCs w:val="24"/>
          <w:lang w:eastAsia="en-US"/>
        </w:rPr>
        <w:t xml:space="preserve"> September 2021).</w:t>
      </w:r>
    </w:p>
    <w:p w14:paraId="20618942" w14:textId="77777777" w:rsidR="00B807F3" w:rsidRPr="00B807F3" w:rsidRDefault="00B807F3" w:rsidP="00B807F3">
      <w:pPr>
        <w:overflowPunct/>
        <w:autoSpaceDE/>
        <w:autoSpaceDN/>
        <w:adjustRightInd/>
        <w:spacing w:before="240"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(2020a) </w:t>
      </w:r>
      <w:r w:rsidRPr="00B807F3">
        <w:rPr>
          <w:rFonts w:eastAsiaTheme="minorHAnsi"/>
          <w:i/>
          <w:iCs/>
          <w:color w:val="auto"/>
          <w:sz w:val="24"/>
          <w:szCs w:val="24"/>
          <w:lang w:eastAsia="en-US"/>
        </w:rPr>
        <w:t>Rapport Building,</w:t>
      </w:r>
      <w:r w:rsidRPr="00B807F3">
        <w:rPr>
          <w:rFonts w:eastAsiaTheme="minorHAnsi"/>
          <w:color w:val="auto"/>
          <w:sz w:val="24"/>
          <w:szCs w:val="24"/>
          <w:lang w:eastAsia="en-US"/>
        </w:rPr>
        <w:t xml:space="preserve"> Available at: </w:t>
      </w:r>
      <w:hyperlink r:id="rId56" w:history="1">
        <w:r w:rsidRPr="00B807F3">
          <w:rPr>
            <w:rFonts w:eastAsiaTheme="minorHAnsi"/>
            <w:color w:val="0563C1" w:themeColor="hyperlink"/>
            <w:sz w:val="24"/>
            <w:szCs w:val="24"/>
            <w:u w:val="single"/>
            <w:lang w:eastAsia="en-US"/>
          </w:rPr>
          <w:t>https://www.college.police.uk/guidance/obtaining-initial-accounts/rapport-building</w:t>
        </w:r>
      </w:hyperlink>
      <w:r w:rsidRPr="00B807F3">
        <w:rPr>
          <w:rFonts w:eastAsiaTheme="minorHAnsi"/>
          <w:color w:val="auto"/>
          <w:sz w:val="24"/>
          <w:szCs w:val="24"/>
          <w:lang w:eastAsia="en-US"/>
        </w:rPr>
        <w:t xml:space="preserve"> (Accessed 5 September 2021).</w:t>
      </w:r>
    </w:p>
    <w:p w14:paraId="58DB7062" w14:textId="77777777" w:rsidR="00B807F3" w:rsidRPr="00B807F3" w:rsidRDefault="00B807F3" w:rsidP="00B807F3">
      <w:pPr>
        <w:overflowPunct/>
        <w:autoSpaceDE/>
        <w:autoSpaceDN/>
        <w:adjustRightInd/>
        <w:spacing w:before="240"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College of Policing (2020b) </w:t>
      </w:r>
      <w:r w:rsidRPr="00B807F3">
        <w:rPr>
          <w:rFonts w:eastAsiaTheme="minorHAnsi"/>
          <w:i/>
          <w:iCs/>
          <w:color w:val="auto"/>
          <w:sz w:val="24"/>
          <w:szCs w:val="24"/>
          <w:lang w:eastAsia="en-US"/>
        </w:rPr>
        <w:t>Recognising and responding to vulnerability related risks: Guidelines consultation,</w:t>
      </w:r>
      <w:r w:rsidRPr="00B807F3">
        <w:rPr>
          <w:rFonts w:eastAsiaTheme="minorHAnsi"/>
          <w:color w:val="auto"/>
          <w:sz w:val="24"/>
          <w:szCs w:val="24"/>
          <w:lang w:eastAsia="en-US"/>
        </w:rPr>
        <w:t xml:space="preserve"> Available at: </w:t>
      </w:r>
      <w:hyperlink r:id="rId57" w:history="1">
        <w:r w:rsidRPr="00B807F3">
          <w:rPr>
            <w:rFonts w:eastAsiaTheme="minorHAnsi"/>
            <w:color w:val="0563C1" w:themeColor="hyperlink"/>
            <w:sz w:val="24"/>
            <w:szCs w:val="24"/>
            <w:u w:val="single"/>
            <w:lang w:eastAsia="en-US"/>
          </w:rPr>
          <w:t>https://paas-s3-broker-prod-lon-6453d964-1d1a-432a-9260-5e0ba7d2fc51.s3.eu-west-2.amazonaws.com/s3fs-public/Recognising-responding-vulnerability-related-risks-guidelines.pdf</w:t>
        </w:r>
      </w:hyperlink>
      <w:r w:rsidRPr="00B807F3">
        <w:rPr>
          <w:rFonts w:eastAsiaTheme="minorHAnsi"/>
          <w:color w:val="auto"/>
          <w:sz w:val="24"/>
          <w:szCs w:val="24"/>
          <w:lang w:eastAsia="en-US"/>
        </w:rPr>
        <w:t xml:space="preserve"> (Accessed  5 September 2021).</w:t>
      </w:r>
      <w:r w:rsidRPr="00B807F3">
        <w:rPr>
          <w:rFonts w:eastAsiaTheme="minorHAnsi"/>
          <w:i/>
          <w:iCs/>
          <w:color w:val="auto"/>
          <w:sz w:val="24"/>
          <w:szCs w:val="24"/>
          <w:lang w:eastAsia="en-US"/>
        </w:rPr>
        <w:t xml:space="preserve"> </w:t>
      </w:r>
    </w:p>
    <w:p w14:paraId="75733D69"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bookmarkStart w:id="5" w:name="_Hlk82174465"/>
      <w:r w:rsidRPr="00B807F3">
        <w:rPr>
          <w:rFonts w:eastAsiaTheme="minorHAnsi"/>
          <w:color w:val="auto"/>
          <w:sz w:val="24"/>
          <w:szCs w:val="24"/>
          <w:lang w:eastAsia="en-US"/>
        </w:rPr>
        <w:t>Driscoll, J. (2007) Available at: https://www.nottingham.ac.uk/library/documents/academicskillstoolkit/reflective-writing-model-driscoll.pdf (Accessed 15 August 2021).</w:t>
      </w:r>
    </w:p>
    <w:bookmarkEnd w:id="5"/>
    <w:p w14:paraId="6107CEDE"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NCA (2021) </w:t>
      </w:r>
      <w:r w:rsidRPr="00B807F3">
        <w:rPr>
          <w:rFonts w:eastAsiaTheme="minorHAnsi"/>
          <w:i/>
          <w:iCs/>
          <w:color w:val="auto"/>
          <w:sz w:val="24"/>
          <w:szCs w:val="24"/>
          <w:lang w:eastAsia="en-US"/>
        </w:rPr>
        <w:t xml:space="preserve">Kidnap and extortion, </w:t>
      </w:r>
      <w:r w:rsidRPr="00B807F3">
        <w:rPr>
          <w:rFonts w:eastAsiaTheme="minorHAnsi"/>
          <w:color w:val="auto"/>
          <w:sz w:val="24"/>
          <w:szCs w:val="24"/>
          <w:lang w:eastAsia="en-US"/>
        </w:rPr>
        <w:t xml:space="preserve">Available at: </w:t>
      </w:r>
      <w:hyperlink r:id="rId58" w:history="1">
        <w:r w:rsidRPr="00B807F3">
          <w:rPr>
            <w:rFonts w:eastAsiaTheme="minorHAnsi"/>
            <w:color w:val="0563C1" w:themeColor="hyperlink"/>
            <w:sz w:val="24"/>
            <w:szCs w:val="24"/>
            <w:u w:val="single"/>
            <w:lang w:eastAsia="en-US"/>
          </w:rPr>
          <w:t>https://www.nationalcrimeagency.gov.uk/what-we-do/crime-threats/kidnap-and-extortion</w:t>
        </w:r>
      </w:hyperlink>
      <w:r w:rsidRPr="00B807F3">
        <w:rPr>
          <w:rFonts w:eastAsiaTheme="minorHAnsi"/>
          <w:color w:val="auto"/>
          <w:sz w:val="24"/>
          <w:szCs w:val="24"/>
          <w:lang w:eastAsia="en-US"/>
        </w:rPr>
        <w:t xml:space="preserve"> (Accessed 5 September 2021).</w:t>
      </w:r>
    </w:p>
    <w:p w14:paraId="0397FFE1"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 xml:space="preserve">Regulation of Investigatory Powers Act 2000, </w:t>
      </w:r>
      <w:r w:rsidRPr="00B807F3">
        <w:rPr>
          <w:rFonts w:eastAsiaTheme="minorHAnsi"/>
          <w:color w:val="auto"/>
          <w:sz w:val="24"/>
          <w:szCs w:val="24"/>
          <w:lang w:eastAsia="en-US"/>
        </w:rPr>
        <w:t xml:space="preserve">Available at: </w:t>
      </w:r>
      <w:hyperlink r:id="rId59" w:history="1">
        <w:r w:rsidRPr="00B807F3">
          <w:rPr>
            <w:rFonts w:eastAsiaTheme="minorHAnsi"/>
            <w:color w:val="0563C1" w:themeColor="hyperlink"/>
            <w:sz w:val="24"/>
            <w:szCs w:val="24"/>
            <w:u w:val="single"/>
            <w:lang w:eastAsia="en-US"/>
          </w:rPr>
          <w:t>https://www.legislation.gov.uk/ukpga/2000/23/contents</w:t>
        </w:r>
      </w:hyperlink>
      <w:r w:rsidRPr="00B807F3">
        <w:rPr>
          <w:rFonts w:eastAsiaTheme="minorHAnsi"/>
          <w:color w:val="auto"/>
          <w:sz w:val="24"/>
          <w:szCs w:val="24"/>
          <w:lang w:eastAsia="en-US"/>
        </w:rPr>
        <w:t xml:space="preserve"> (Accessed 7 September 2021).</w:t>
      </w:r>
    </w:p>
    <w:p w14:paraId="79401D6C"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i/>
          <w:iCs/>
          <w:color w:val="auto"/>
          <w:sz w:val="24"/>
          <w:szCs w:val="24"/>
          <w:lang w:eastAsia="en-US"/>
        </w:rPr>
        <w:t>Theft Act 1968</w:t>
      </w:r>
      <w:r w:rsidRPr="00B807F3">
        <w:rPr>
          <w:rFonts w:eastAsiaTheme="minorHAnsi"/>
          <w:color w:val="auto"/>
          <w:sz w:val="24"/>
          <w:szCs w:val="24"/>
          <w:lang w:eastAsia="en-US"/>
        </w:rPr>
        <w:t xml:space="preserve">, c.60. Available at: </w:t>
      </w:r>
      <w:hyperlink r:id="rId60" w:history="1">
        <w:r w:rsidRPr="00B807F3">
          <w:rPr>
            <w:rFonts w:eastAsiaTheme="minorHAnsi"/>
            <w:color w:val="0563C1" w:themeColor="hyperlink"/>
            <w:sz w:val="24"/>
            <w:szCs w:val="24"/>
            <w:u w:val="single"/>
            <w:lang w:eastAsia="en-US"/>
          </w:rPr>
          <w:t>https://www.legislation.gov.uk/ukpga/1968/60/section/21</w:t>
        </w:r>
      </w:hyperlink>
      <w:r w:rsidRPr="00B807F3">
        <w:rPr>
          <w:rFonts w:eastAsiaTheme="minorHAnsi"/>
          <w:color w:val="auto"/>
          <w:sz w:val="24"/>
          <w:szCs w:val="24"/>
          <w:lang w:eastAsia="en-US"/>
        </w:rPr>
        <w:t xml:space="preserve"> (</w:t>
      </w:r>
      <w:proofErr w:type="spellStart"/>
      <w:r w:rsidRPr="00B807F3">
        <w:rPr>
          <w:rFonts w:eastAsiaTheme="minorHAnsi"/>
          <w:color w:val="auto"/>
          <w:sz w:val="24"/>
          <w:szCs w:val="24"/>
          <w:lang w:eastAsia="en-US"/>
        </w:rPr>
        <w:t>Accesssed</w:t>
      </w:r>
      <w:proofErr w:type="spellEnd"/>
      <w:r w:rsidRPr="00B807F3">
        <w:rPr>
          <w:rFonts w:eastAsiaTheme="minorHAnsi"/>
          <w:color w:val="auto"/>
          <w:sz w:val="24"/>
          <w:szCs w:val="24"/>
          <w:lang w:eastAsia="en-US"/>
        </w:rPr>
        <w:t xml:space="preserve"> 7 September 2021).</w:t>
      </w:r>
    </w:p>
    <w:p w14:paraId="2BB5AB67"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roofErr w:type="spellStart"/>
      <w:r w:rsidRPr="00B807F3">
        <w:rPr>
          <w:rFonts w:eastAsiaTheme="minorHAnsi"/>
          <w:color w:val="auto"/>
          <w:sz w:val="24"/>
          <w:szCs w:val="24"/>
          <w:lang w:eastAsia="en-US"/>
        </w:rPr>
        <w:t>Vallano</w:t>
      </w:r>
      <w:proofErr w:type="spellEnd"/>
      <w:r w:rsidRPr="00B807F3">
        <w:rPr>
          <w:rFonts w:eastAsiaTheme="minorHAnsi"/>
          <w:color w:val="auto"/>
          <w:sz w:val="24"/>
          <w:szCs w:val="24"/>
          <w:lang w:eastAsia="en-US"/>
        </w:rPr>
        <w:t xml:space="preserve">, J. et al (2015) ‘Rapport-Building During Witness and Suspect Interviews: A Survey of Law Enforcement’, </w:t>
      </w:r>
      <w:r w:rsidRPr="00B807F3">
        <w:rPr>
          <w:rFonts w:eastAsiaTheme="minorHAnsi"/>
          <w:i/>
          <w:iCs/>
          <w:color w:val="auto"/>
          <w:sz w:val="24"/>
          <w:szCs w:val="24"/>
          <w:lang w:eastAsia="en-US"/>
        </w:rPr>
        <w:t>Applied Cognitive Psychology</w:t>
      </w:r>
      <w:r w:rsidRPr="00B807F3">
        <w:rPr>
          <w:rFonts w:eastAsiaTheme="minorHAnsi"/>
          <w:color w:val="auto"/>
          <w:sz w:val="24"/>
          <w:szCs w:val="24"/>
          <w:lang w:eastAsia="en-US"/>
        </w:rPr>
        <w:t>, 29 (3), pp. 369-380. Available at: doi:10.1002/acp.3115 (Accessed 15 September 2021).</w:t>
      </w:r>
    </w:p>
    <w:p w14:paraId="737D48EF"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Whitworth, D. (2018) </w:t>
      </w:r>
      <w:r w:rsidRPr="00B807F3">
        <w:rPr>
          <w:rFonts w:eastAsiaTheme="minorHAnsi"/>
          <w:i/>
          <w:iCs/>
          <w:color w:val="auto"/>
          <w:sz w:val="24"/>
          <w:szCs w:val="24"/>
          <w:lang w:eastAsia="en-US"/>
        </w:rPr>
        <w:t>Sextortion: Big rise in victims with 'tens of thousands at risk</w:t>
      </w:r>
      <w:r w:rsidRPr="00B807F3">
        <w:rPr>
          <w:rFonts w:eastAsiaTheme="minorHAnsi"/>
          <w:color w:val="auto"/>
          <w:sz w:val="24"/>
          <w:szCs w:val="24"/>
          <w:lang w:eastAsia="en-US"/>
        </w:rPr>
        <w:t xml:space="preserve">, Available at: </w:t>
      </w:r>
      <w:hyperlink r:id="rId61" w:history="1">
        <w:r w:rsidRPr="00B807F3">
          <w:rPr>
            <w:rFonts w:eastAsiaTheme="minorHAnsi"/>
            <w:color w:val="0563C1" w:themeColor="hyperlink"/>
            <w:sz w:val="24"/>
            <w:szCs w:val="24"/>
            <w:u w:val="single"/>
            <w:lang w:eastAsia="en-US"/>
          </w:rPr>
          <w:t>https://www.bbc.co.uk/news/newsbeat-43433015</w:t>
        </w:r>
      </w:hyperlink>
      <w:r w:rsidRPr="00B807F3">
        <w:rPr>
          <w:rFonts w:eastAsiaTheme="minorHAnsi"/>
          <w:color w:val="auto"/>
          <w:sz w:val="24"/>
          <w:szCs w:val="24"/>
          <w:lang w:eastAsia="en-US"/>
        </w:rPr>
        <w:t xml:space="preserve"> (Accessed 7 September 2021).</w:t>
      </w:r>
    </w:p>
    <w:p w14:paraId="2863F3B5"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r w:rsidRPr="00B807F3">
        <w:rPr>
          <w:rFonts w:eastAsiaTheme="minorHAnsi"/>
          <w:color w:val="auto"/>
          <w:sz w:val="24"/>
          <w:szCs w:val="24"/>
          <w:lang w:eastAsia="en-US"/>
        </w:rPr>
        <w:t xml:space="preserve">Wolak, J. and </w:t>
      </w:r>
      <w:proofErr w:type="spellStart"/>
      <w:r w:rsidRPr="00B807F3">
        <w:rPr>
          <w:rFonts w:eastAsiaTheme="minorHAnsi"/>
          <w:color w:val="auto"/>
          <w:sz w:val="24"/>
          <w:szCs w:val="24"/>
          <w:lang w:eastAsia="en-US"/>
        </w:rPr>
        <w:t>Finkelhor</w:t>
      </w:r>
      <w:proofErr w:type="spellEnd"/>
      <w:r w:rsidRPr="00B807F3">
        <w:rPr>
          <w:rFonts w:eastAsiaTheme="minorHAnsi"/>
          <w:color w:val="auto"/>
          <w:sz w:val="24"/>
          <w:szCs w:val="24"/>
          <w:lang w:eastAsia="en-US"/>
        </w:rPr>
        <w:t xml:space="preserve">, D. (2016) ‘Sextortion: Findings from a survey of 1631 victims’, </w:t>
      </w:r>
      <w:r w:rsidRPr="00B807F3">
        <w:rPr>
          <w:rFonts w:eastAsiaTheme="minorHAnsi"/>
          <w:i/>
          <w:iCs/>
          <w:color w:val="auto"/>
          <w:sz w:val="24"/>
          <w:szCs w:val="24"/>
          <w:lang w:eastAsia="en-US"/>
        </w:rPr>
        <w:t xml:space="preserve">Crimes against children research </w:t>
      </w:r>
      <w:proofErr w:type="spellStart"/>
      <w:r w:rsidRPr="00B807F3">
        <w:rPr>
          <w:rFonts w:eastAsiaTheme="minorHAnsi"/>
          <w:i/>
          <w:iCs/>
          <w:color w:val="auto"/>
          <w:sz w:val="24"/>
          <w:szCs w:val="24"/>
          <w:lang w:eastAsia="en-US"/>
        </w:rPr>
        <w:t>center</w:t>
      </w:r>
      <w:proofErr w:type="spellEnd"/>
      <w:r w:rsidRPr="00B807F3">
        <w:rPr>
          <w:rFonts w:eastAsiaTheme="minorHAnsi"/>
          <w:i/>
          <w:iCs/>
          <w:color w:val="auto"/>
          <w:sz w:val="24"/>
          <w:szCs w:val="24"/>
          <w:lang w:eastAsia="en-US"/>
        </w:rPr>
        <w:t xml:space="preserve">: University of New Hampshire. </w:t>
      </w:r>
      <w:r w:rsidRPr="00B807F3">
        <w:rPr>
          <w:rFonts w:eastAsiaTheme="minorHAnsi"/>
          <w:color w:val="auto"/>
          <w:sz w:val="24"/>
          <w:szCs w:val="24"/>
          <w:lang w:eastAsia="en-US"/>
        </w:rPr>
        <w:t xml:space="preserve">Available at: </w:t>
      </w:r>
      <w:hyperlink r:id="rId62" w:history="1">
        <w:r w:rsidRPr="00B807F3">
          <w:rPr>
            <w:rFonts w:eastAsiaTheme="minorHAnsi"/>
            <w:color w:val="0563C1" w:themeColor="hyperlink"/>
            <w:sz w:val="24"/>
            <w:szCs w:val="24"/>
            <w:u w:val="single"/>
            <w:lang w:eastAsia="en-US"/>
          </w:rPr>
          <w:t>https://respect.international/wp-content/uploads/2020/06/Sextortion-Findings-from-a-Survey-of-1631-Victims.pdf</w:t>
        </w:r>
      </w:hyperlink>
      <w:r w:rsidRPr="00B807F3">
        <w:rPr>
          <w:rFonts w:eastAsiaTheme="minorHAnsi"/>
          <w:color w:val="auto"/>
          <w:sz w:val="24"/>
          <w:szCs w:val="24"/>
          <w:lang w:eastAsia="en-US"/>
        </w:rPr>
        <w:t xml:space="preserve"> (Accessed 23 August 2021).</w:t>
      </w:r>
    </w:p>
    <w:p w14:paraId="1D893C66"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roofErr w:type="spellStart"/>
      <w:r w:rsidRPr="00B807F3">
        <w:rPr>
          <w:rFonts w:eastAsiaTheme="minorHAnsi"/>
          <w:color w:val="auto"/>
          <w:sz w:val="24"/>
          <w:szCs w:val="24"/>
          <w:lang w:eastAsia="en-US"/>
        </w:rPr>
        <w:t>Wolack</w:t>
      </w:r>
      <w:proofErr w:type="spellEnd"/>
      <w:r w:rsidRPr="00B807F3">
        <w:rPr>
          <w:rFonts w:eastAsiaTheme="minorHAnsi"/>
          <w:color w:val="auto"/>
          <w:sz w:val="24"/>
          <w:szCs w:val="24"/>
          <w:lang w:eastAsia="en-US"/>
        </w:rPr>
        <w:t>, J. et al (2018) ‘Sextortion of Minors: Characteristics and Dynamics’</w:t>
      </w:r>
      <w:r w:rsidRPr="00B807F3">
        <w:rPr>
          <w:rFonts w:eastAsiaTheme="minorHAnsi"/>
          <w:i/>
          <w:iCs/>
          <w:color w:val="auto"/>
          <w:sz w:val="24"/>
          <w:szCs w:val="24"/>
          <w:lang w:eastAsia="en-US"/>
        </w:rPr>
        <w:t>, Journal of Adolescent Health</w:t>
      </w:r>
      <w:r w:rsidRPr="00B807F3">
        <w:rPr>
          <w:rFonts w:eastAsiaTheme="minorHAnsi"/>
          <w:color w:val="auto"/>
          <w:sz w:val="24"/>
          <w:szCs w:val="24"/>
          <w:lang w:eastAsia="en-US"/>
        </w:rPr>
        <w:t xml:space="preserve">, 62 (1), pp. 72-79. Available at: </w:t>
      </w:r>
      <w:hyperlink r:id="rId63" w:history="1">
        <w:r w:rsidRPr="00B807F3">
          <w:rPr>
            <w:rFonts w:eastAsiaTheme="minorHAnsi"/>
            <w:color w:val="0563C1" w:themeColor="hyperlink"/>
            <w:sz w:val="24"/>
            <w:szCs w:val="24"/>
            <w:u w:val="single"/>
            <w:lang w:eastAsia="en-US"/>
          </w:rPr>
          <w:t>https://doi.org/10.1016/j.jadohealth.2017.08.014</w:t>
        </w:r>
      </w:hyperlink>
      <w:r w:rsidRPr="00B807F3">
        <w:rPr>
          <w:rFonts w:eastAsiaTheme="minorHAnsi"/>
          <w:color w:val="auto"/>
          <w:sz w:val="24"/>
          <w:szCs w:val="24"/>
          <w:lang w:eastAsia="en-US"/>
        </w:rPr>
        <w:t xml:space="preserve"> (Accessed 23 August 2021).</w:t>
      </w:r>
    </w:p>
    <w:p w14:paraId="34DEE022" w14:textId="77777777" w:rsidR="00B807F3" w:rsidRPr="00B807F3" w:rsidRDefault="00B807F3" w:rsidP="00B807F3">
      <w:pPr>
        <w:overflowPunct/>
        <w:autoSpaceDE/>
        <w:autoSpaceDN/>
        <w:adjustRightInd/>
        <w:spacing w:after="160" w:line="259" w:lineRule="auto"/>
        <w:textAlignment w:val="auto"/>
        <w:rPr>
          <w:rFonts w:eastAsiaTheme="minorHAnsi"/>
          <w:color w:val="auto"/>
          <w:sz w:val="24"/>
          <w:szCs w:val="24"/>
          <w:lang w:eastAsia="en-US"/>
        </w:rPr>
      </w:pPr>
    </w:p>
    <w:p w14:paraId="62165D1A" w14:textId="07CFF7FC" w:rsidR="6E85A413" w:rsidRPr="00DD7FFD" w:rsidRDefault="6E85A413" w:rsidP="00DD7FFD">
      <w:pPr>
        <w:keepNext/>
        <w:ind w:right="237"/>
        <w:rPr>
          <w:b/>
          <w:sz w:val="24"/>
          <w:szCs w:val="24"/>
          <w:highlight w:val="yellow"/>
        </w:rPr>
      </w:pPr>
    </w:p>
    <w:sectPr w:rsidR="6E85A413"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121D" w14:textId="77777777" w:rsidR="00D10419" w:rsidRDefault="00D10419">
      <w:r>
        <w:separator/>
      </w:r>
    </w:p>
  </w:endnote>
  <w:endnote w:type="continuationSeparator" w:id="0">
    <w:p w14:paraId="3C56B659" w14:textId="77777777" w:rsidR="00D10419" w:rsidRDefault="00D10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FA9796" w14:textId="77777777" w:rsidR="0022031F" w:rsidRDefault="002203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BDEF5" w14:textId="77777777" w:rsidR="0022031F" w:rsidRDefault="002203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0EED7" w14:textId="77777777" w:rsidR="00D10419" w:rsidRDefault="00D10419">
      <w:r>
        <w:separator/>
      </w:r>
    </w:p>
  </w:footnote>
  <w:footnote w:type="continuationSeparator" w:id="0">
    <w:p w14:paraId="58F5E15C" w14:textId="77777777" w:rsidR="00D10419" w:rsidRDefault="00D104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6FFD7" w14:textId="77777777" w:rsidR="0022031F" w:rsidRDefault="002203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88D4C" w14:textId="77777777" w:rsidR="0022031F" w:rsidRDefault="002203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E10529" w14:textId="77777777" w:rsidR="0022031F" w:rsidRDefault="002203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7592"/>
    <w:rsid w:val="001F3878"/>
    <w:rsid w:val="001F4552"/>
    <w:rsid w:val="002019EB"/>
    <w:rsid w:val="002030F2"/>
    <w:rsid w:val="00205051"/>
    <w:rsid w:val="00211F65"/>
    <w:rsid w:val="0022001B"/>
    <w:rsid w:val="0022031F"/>
    <w:rsid w:val="00220D06"/>
    <w:rsid w:val="002219BA"/>
    <w:rsid w:val="002246A0"/>
    <w:rsid w:val="00224AF9"/>
    <w:rsid w:val="00230439"/>
    <w:rsid w:val="0023052E"/>
    <w:rsid w:val="00235176"/>
    <w:rsid w:val="002359B2"/>
    <w:rsid w:val="00236061"/>
    <w:rsid w:val="0024100E"/>
    <w:rsid w:val="00241C1B"/>
    <w:rsid w:val="0024288B"/>
    <w:rsid w:val="00255D8E"/>
    <w:rsid w:val="00260CE8"/>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3F6C"/>
    <w:rsid w:val="002E7017"/>
    <w:rsid w:val="002F4F6E"/>
    <w:rsid w:val="003015C3"/>
    <w:rsid w:val="0030698D"/>
    <w:rsid w:val="0031350A"/>
    <w:rsid w:val="0031569E"/>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17E4"/>
    <w:rsid w:val="00513C7D"/>
    <w:rsid w:val="005169D1"/>
    <w:rsid w:val="00521123"/>
    <w:rsid w:val="00521221"/>
    <w:rsid w:val="005320DC"/>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13EA"/>
    <w:rsid w:val="005E53BD"/>
    <w:rsid w:val="00606E27"/>
    <w:rsid w:val="006108C9"/>
    <w:rsid w:val="00615C7E"/>
    <w:rsid w:val="0062158D"/>
    <w:rsid w:val="006218FE"/>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106E"/>
    <w:rsid w:val="00964CC6"/>
    <w:rsid w:val="00987EFE"/>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058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07F3"/>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0419"/>
    <w:rsid w:val="00D11C62"/>
    <w:rsid w:val="00D22C8F"/>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FFD"/>
    <w:rsid w:val="00DE556F"/>
    <w:rsid w:val="00DF4CF5"/>
    <w:rsid w:val="00E03B6D"/>
    <w:rsid w:val="00E17160"/>
    <w:rsid w:val="00E27E98"/>
    <w:rsid w:val="00E34061"/>
    <w:rsid w:val="00E35BEC"/>
    <w:rsid w:val="00E413CE"/>
    <w:rsid w:val="00E50821"/>
    <w:rsid w:val="00E50EF8"/>
    <w:rsid w:val="00E50F95"/>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aerphilly.gov.uk/Services/Children-and-families/Services-for-young-people/Youth-offending" TargetMode="External"/><Relationship Id="rId39" Type="http://schemas.openxmlformats.org/officeDocument/2006/relationships/hyperlink" Target="https://www.npcc.police.uk/Crime%20Ops%20Committee/NVAP.pdf" TargetMode="External"/><Relationship Id="rId21" Type="http://schemas.openxmlformats.org/officeDocument/2006/relationships/hyperlink" Target="https://assets.publishing.service.gov.uk/government/uploads/system/uploads/attachment_data/file/341650/Code_of_Ethics_2014_FINAL_July14.pdf" TargetMode="External"/><Relationship Id="rId34" Type="http://schemas.openxmlformats.org/officeDocument/2006/relationships/hyperlink" Target="https://assets.college.police.uk/s3fs-public/2021-02/public-health-approaches.pdf" TargetMode="External"/><Relationship Id="rId42" Type="http://schemas.openxmlformats.org/officeDocument/2006/relationships/hyperlink" Target="https://safelives.org.uk/sites/default/files/resources/DVDS%20guidance%20for%20MARACs%20FINAL.pdf" TargetMode="External"/><Relationship Id="rId47" Type="http://schemas.openxmlformats.org/officeDocument/2006/relationships/hyperlink" Target="https://www.app.college.police.uk/app-content/major-investigation-and-public-protection/managing-sexual-offenders-and-violent-offenders/?highlight=child" TargetMode="External"/><Relationship Id="rId50" Type="http://schemas.openxmlformats.org/officeDocument/2006/relationships/hyperlink" Target="https://assets.publishing.service.gov.uk/government/uploads/system/uploads/attachment_data/file/711097/guide-to-the-general-data-protection-regulation-gdpr-1-0.pdf" TargetMode="External"/><Relationship Id="rId55" Type="http://schemas.openxmlformats.org/officeDocument/2006/relationships/hyperlink" Target="https://www.statista.com/statistics/303565/blackmail-in-england-and-wales-uk-y-on-y/" TargetMode="External"/><Relationship Id="rId63" Type="http://schemas.openxmlformats.org/officeDocument/2006/relationships/hyperlink" Target="https://doi.org/10.1016/j.jadohealth.2017.08.014"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hatworks.college.police.uk/Research/Documents/Great_Police_Leader_REA.pdf" TargetMode="External"/><Relationship Id="rId29" Type="http://schemas.openxmlformats.org/officeDocument/2006/relationships/hyperlink" Target="https://resourcecentre.savethechildren.net/sites/default/files/documents/children_and_the_hra_1998.pdf" TargetMode="External"/><Relationship Id="rId41" Type="http://schemas.openxmlformats.org/officeDocument/2006/relationships/hyperlink" Target="https://whatworks.college.police.uk/Research/Documents/Riskled_policing_and_DASH_risk_model.pdf" TargetMode="External"/><Relationship Id="rId54" Type="http://schemas.openxmlformats.org/officeDocument/2006/relationships/hyperlink" Target="https://www.mdpi.com/1999-5903/10/12/114" TargetMode="External"/><Relationship Id="rId62" Type="http://schemas.openxmlformats.org/officeDocument/2006/relationships/hyperlink" Target="https://respect.international/wp-content/uploads/2020/06/Sextortion-Findings-from-a-Survey-of-1631-Victims.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hatworks.college.police.uk/Research/Documents/150317_Fair_cop%202_FINAL_REPORT.pdf" TargetMode="External"/><Relationship Id="rId32" Type="http://schemas.openxmlformats.org/officeDocument/2006/relationships/hyperlink" Target="https://popcenter.asu.edu/content/problem-analysis-triangle-0" TargetMode="External"/><Relationship Id="rId37" Type="http://schemas.openxmlformats.org/officeDocument/2006/relationships/hyperlink" Target="http://dx.doi.org/10.4135/9781412979993.n259" TargetMode="External"/><Relationship Id="rId40" Type="http://schemas.openxmlformats.org/officeDocument/2006/relationships/hyperlink" Target="https://www.npcc.police.uk/documents/Policing%20Vision.pdf" TargetMode="External"/><Relationship Id="rId45" Type="http://schemas.openxmlformats.org/officeDocument/2006/relationships/hyperlink" Target="https://www.app.college.police.uk/app-content/national-decision-model/the-national-decision-model/" TargetMode="External"/><Relationship Id="rId53" Type="http://schemas.openxmlformats.org/officeDocument/2006/relationships/hyperlink" Target="https://pureadmin.qub.ac.uk/ws/files/202125371/Accepted_Article.pdf" TargetMode="External"/><Relationship Id="rId58" Type="http://schemas.openxmlformats.org/officeDocument/2006/relationships/hyperlink" Target="https://www.nationalcrimeagency.gov.uk/what-we-do/crime-threats/kidnap-and-extortion"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justiceinspectorates.gov.uk/hmicfrs/wp-content/uploads/peel-police-legitimacy-2017-gwent.pdf" TargetMode="External"/><Relationship Id="rId28" Type="http://schemas.openxmlformats.org/officeDocument/2006/relationships/hyperlink" Target="https://www.legislation.gov.uk/ukpga/1971/48/section/1" TargetMode="External"/><Relationship Id="rId36" Type="http://schemas.openxmlformats.org/officeDocument/2006/relationships/hyperlink" Target="https://www.dashriskchecklist.co.uk/dash/" TargetMode="External"/><Relationship Id="rId49" Type="http://schemas.openxmlformats.org/officeDocument/2006/relationships/hyperlink" Target="https://www.legislation.gov.uk/ukpga/2018/12/schedule/2/enacted" TargetMode="External"/><Relationship Id="rId57" Type="http://schemas.openxmlformats.org/officeDocument/2006/relationships/hyperlink" Target="https://paas-s3-broker-prod-lon-6453d964-1d1a-432a-9260-5e0ba7d2fc51.s3.eu-west-2.amazonaws.com/s3fs-public/Recognising-responding-vulnerability-related-risks-guidelines.pdf" TargetMode="External"/><Relationship Id="rId61" Type="http://schemas.openxmlformats.org/officeDocument/2006/relationships/hyperlink" Target="https://www.bbc.co.uk/news/newsbeat-43433015"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section/17/enacted" TargetMode="External"/><Relationship Id="rId44" Type="http://schemas.openxmlformats.org/officeDocument/2006/relationships/hyperlink" Target="https://www.app.college.police.uk/app-content/investigations/investigative-interviewing/" TargetMode="External"/><Relationship Id="rId52" Type="http://schemas.openxmlformats.org/officeDocument/2006/relationships/hyperlink" Target="https://www.legislation.gov.uk/ukpga/2003/42/section/66" TargetMode="External"/><Relationship Id="rId60" Type="http://schemas.openxmlformats.org/officeDocument/2006/relationships/hyperlink" Target="https://www.legislation.gov.uk/ukpga/1968/60/section/21"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ottingham.ac.uk/library/documents/academicskillstoolkit/reflective-writing-model-driscoll.pdf" TargetMode="External"/><Relationship Id="rId27" Type="http://schemas.openxmlformats.org/officeDocument/2006/relationships/hyperlink" Target="https://www.cps.gov.uk/crime-info/youth-crime" TargetMode="External"/><Relationship Id="rId30" Type="http://schemas.openxmlformats.org/officeDocument/2006/relationships/hyperlink" Target="https://howardleague.org/wp-content/uploads/2020/12/Child-Arrests-2019-FINAL-online.pdf" TargetMode="External"/><Relationship Id="rId35" Type="http://schemas.openxmlformats.org/officeDocument/2006/relationships/hyperlink" Target="https://www.legislation.gov.uk/ukpga/1988/33/section/39" TargetMode="External"/><Relationship Id="rId43" Type="http://schemas.openxmlformats.org/officeDocument/2006/relationships/hyperlink" Target="https://popcenter.asu.edu/content/analyzing-repeat-victimization" TargetMode="External"/><Relationship Id="rId48" Type="http://schemas.openxmlformats.org/officeDocument/2006/relationships/hyperlink" Target="https://library.college.police.uk/docs/appref/C909E0418-First-Responders-Brief.pdf" TargetMode="External"/><Relationship Id="rId56" Type="http://schemas.openxmlformats.org/officeDocument/2006/relationships/hyperlink" Target="https://www.college.police.uk/guidance/obtaining-initial-accounts/rapport-building"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nicherms.com/"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brighterfuturesforchildren.org/services/youth-offending-services/" TargetMode="External"/><Relationship Id="rId33" Type="http://schemas.openxmlformats.org/officeDocument/2006/relationships/hyperlink" Target="https://www.cdc.gov/violenceprevention/pdf/preventingACES.pdf" TargetMode="External"/><Relationship Id="rId38" Type="http://schemas.openxmlformats.org/officeDocument/2006/relationships/hyperlink" Target="https://www.justiceinspectorates.gov.uk/hmicfrs/wp-content/uploads/the-police-response-to-domestic-abuse-an-update-report.pdf" TargetMode="External"/><Relationship Id="rId46" Type="http://schemas.openxmlformats.org/officeDocument/2006/relationships/hyperlink" Target="https://www.app.college.police.uk/app-content/national-decision-model/the-national-decision-model/" TargetMode="External"/><Relationship Id="rId59" Type="http://schemas.openxmlformats.org/officeDocument/2006/relationships/hyperlink" Target="https://www.legislation.gov.uk/ukpga/2000/23/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2e89cfda-a374-4413-9f0d-8b601eddeb70"/>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86F42A8F-BC2F-4C87-9B99-3512495841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10167</Words>
  <Characters>62604</Characters>
  <Application>Microsoft Office Word</Application>
  <DocSecurity>0</DocSecurity>
  <Lines>521</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Coomer, Christian</cp:lastModifiedBy>
  <cp:revision>2</cp:revision>
  <cp:lastPrinted>2014-08-26T08:55:00Z</cp:lastPrinted>
  <dcterms:created xsi:type="dcterms:W3CDTF">2021-09-12T18:51:00Z</dcterms:created>
  <dcterms:modified xsi:type="dcterms:W3CDTF">2021-09-12T18:51:00Z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2021-07-24T09:11:28Z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81b29f4c-bee7-437d-8aa1-86a517e9505b</vt:lpwstr>
  </property>
  <property fmtid="{D5CDD505-2E9C-101B-9397-08002B2CF9AE}" pid="9" name="MSIP_Label_f2acd28b-79a3-4a0f-b0ff-4b75658b1549_ContentBits">
    <vt:lpwstr>0</vt:lpwstr>
  </property>
</Properties>
</file>