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3FD0C939" w:rsidR="00583709" w:rsidRPr="000D5004" w:rsidRDefault="00F867C0">
      <w:pPr>
        <w:spacing w:after="165" w:line="360" w:lineRule="auto"/>
        <w:jc w:val="center"/>
        <w:rPr>
          <w:rFonts w:asciiTheme="majorHAnsi" w:eastAsia="Tahoma" w:hAnsiTheme="majorHAnsi" w:cstheme="majorHAnsi"/>
          <w:color w:val="000000"/>
          <w:szCs w:val="24"/>
        </w:rPr>
      </w:pPr>
      <w:r w:rsidRPr="000D5004">
        <w:rPr>
          <w:rFonts w:asciiTheme="majorHAnsi" w:eastAsia="Tahoma" w:hAnsiTheme="majorHAnsi" w:cstheme="majorHAnsi"/>
          <w:color w:val="000000"/>
          <w:sz w:val="40"/>
          <w:szCs w:val="40"/>
        </w:rPr>
        <w:t>Applied Leadership and Management in</w:t>
      </w:r>
      <w:r w:rsidR="008312FD" w:rsidRPr="000D5004">
        <w:rPr>
          <w:rFonts w:asciiTheme="majorHAnsi" w:eastAsia="Tahoma" w:hAnsiTheme="majorHAnsi" w:cstheme="majorHAnsi"/>
          <w:color w:val="000000"/>
          <w:sz w:val="40"/>
          <w:szCs w:val="40"/>
        </w:rPr>
        <w:t xml:space="preserve"> the Workplace</w:t>
      </w:r>
      <w:r w:rsidR="008312FD" w:rsidRPr="000D5004">
        <w:rPr>
          <w:rFonts w:asciiTheme="majorHAnsi" w:eastAsia="Tahoma" w:hAnsiTheme="majorHAnsi" w:cstheme="majorHAnsi"/>
          <w:color w:val="000000"/>
          <w:sz w:val="40"/>
          <w:szCs w:val="40"/>
        </w:rPr>
        <w:br/>
        <w:t xml:space="preserve">Module Assignment Submission </w:t>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rsidRPr="000D5004" w14:paraId="4DD460BA" w14:textId="77777777">
        <w:tc>
          <w:tcPr>
            <w:tcW w:w="3438" w:type="dxa"/>
            <w:shd w:val="clear" w:color="auto" w:fill="D9D9D9"/>
          </w:tcPr>
          <w:p w14:paraId="6CC035E4" w14:textId="77777777" w:rsidR="00583709" w:rsidRPr="000D5004" w:rsidRDefault="008312FD">
            <w:pPr>
              <w:spacing w:before="120" w:after="120" w:line="360" w:lineRule="auto"/>
              <w:rPr>
                <w:rFonts w:asciiTheme="majorHAnsi" w:eastAsia="Tahoma" w:hAnsiTheme="majorHAnsi" w:cstheme="majorHAnsi"/>
                <w:sz w:val="32"/>
                <w:szCs w:val="32"/>
              </w:rPr>
            </w:pPr>
            <w:r w:rsidRPr="000D5004">
              <w:rPr>
                <w:rFonts w:asciiTheme="majorHAnsi" w:eastAsia="Tahoma" w:hAnsiTheme="majorHAnsi" w:cstheme="majorHAnsi"/>
                <w:sz w:val="32"/>
                <w:szCs w:val="32"/>
              </w:rPr>
              <w:t>Student Name:</w:t>
            </w:r>
          </w:p>
        </w:tc>
        <w:tc>
          <w:tcPr>
            <w:tcW w:w="6055" w:type="dxa"/>
          </w:tcPr>
          <w:p w14:paraId="24E05973" w14:textId="4507C186" w:rsidR="00583709" w:rsidRPr="000D5004" w:rsidRDefault="009418A4">
            <w:pPr>
              <w:spacing w:before="120" w:after="120" w:line="360" w:lineRule="auto"/>
              <w:rPr>
                <w:rFonts w:asciiTheme="majorHAnsi" w:eastAsia="Tahoma" w:hAnsiTheme="majorHAnsi" w:cstheme="majorHAnsi"/>
                <w:sz w:val="32"/>
                <w:szCs w:val="32"/>
              </w:rPr>
            </w:pPr>
            <w:r w:rsidRPr="000D5004">
              <w:rPr>
                <w:rFonts w:asciiTheme="majorHAnsi" w:eastAsia="Tahoma" w:hAnsiTheme="majorHAnsi" w:cstheme="majorHAnsi"/>
                <w:sz w:val="32"/>
                <w:szCs w:val="32"/>
              </w:rPr>
              <w:t xml:space="preserve">Leanne Thomas </w:t>
            </w:r>
          </w:p>
        </w:tc>
      </w:tr>
      <w:tr w:rsidR="00583709" w:rsidRPr="000D5004" w14:paraId="637F65EB" w14:textId="77777777">
        <w:tc>
          <w:tcPr>
            <w:tcW w:w="3438" w:type="dxa"/>
            <w:shd w:val="clear" w:color="auto" w:fill="D9D9D9"/>
          </w:tcPr>
          <w:p w14:paraId="678F9224" w14:textId="77777777" w:rsidR="00583709" w:rsidRPr="000D5004" w:rsidRDefault="008312FD">
            <w:pPr>
              <w:spacing w:before="120" w:after="120" w:line="360" w:lineRule="auto"/>
              <w:rPr>
                <w:rFonts w:asciiTheme="majorHAnsi" w:eastAsia="Tahoma" w:hAnsiTheme="majorHAnsi" w:cstheme="majorHAnsi"/>
                <w:sz w:val="32"/>
                <w:szCs w:val="32"/>
              </w:rPr>
            </w:pPr>
            <w:r w:rsidRPr="000D5004">
              <w:rPr>
                <w:rFonts w:asciiTheme="majorHAnsi" w:eastAsia="Tahoma" w:hAnsiTheme="majorHAnsi" w:cstheme="majorHAnsi"/>
                <w:sz w:val="32"/>
                <w:szCs w:val="32"/>
              </w:rPr>
              <w:t>Student Number:</w:t>
            </w:r>
          </w:p>
        </w:tc>
        <w:tc>
          <w:tcPr>
            <w:tcW w:w="6055" w:type="dxa"/>
          </w:tcPr>
          <w:p w14:paraId="09E64F5D" w14:textId="39E3BC7D" w:rsidR="00583709" w:rsidRPr="000D5004" w:rsidRDefault="009418A4">
            <w:pPr>
              <w:spacing w:before="120" w:after="120" w:line="360" w:lineRule="auto"/>
              <w:rPr>
                <w:rFonts w:asciiTheme="majorHAnsi" w:eastAsia="Tahoma" w:hAnsiTheme="majorHAnsi" w:cstheme="majorHAnsi"/>
                <w:sz w:val="32"/>
                <w:szCs w:val="32"/>
              </w:rPr>
            </w:pPr>
            <w:r w:rsidRPr="000D5004">
              <w:rPr>
                <w:rFonts w:asciiTheme="majorHAnsi" w:eastAsia="Tahoma" w:hAnsiTheme="majorHAnsi" w:cstheme="majorHAnsi"/>
                <w:sz w:val="32"/>
                <w:szCs w:val="32"/>
              </w:rPr>
              <w:t>2</w:t>
            </w:r>
            <w:r w:rsidR="00B63832" w:rsidRPr="000D5004">
              <w:rPr>
                <w:rFonts w:asciiTheme="majorHAnsi" w:eastAsia="Tahoma" w:hAnsiTheme="majorHAnsi" w:cstheme="majorHAnsi"/>
                <w:sz w:val="32"/>
                <w:szCs w:val="32"/>
              </w:rPr>
              <w:t>318789</w:t>
            </w:r>
          </w:p>
        </w:tc>
      </w:tr>
      <w:tr w:rsidR="00583709" w:rsidRPr="000D5004" w14:paraId="3194BD4A" w14:textId="77777777">
        <w:tc>
          <w:tcPr>
            <w:tcW w:w="3438" w:type="dxa"/>
            <w:shd w:val="clear" w:color="auto" w:fill="D9D9D9"/>
          </w:tcPr>
          <w:p w14:paraId="2975DEFC" w14:textId="77777777" w:rsidR="00583709" w:rsidRPr="000D5004" w:rsidRDefault="008312FD">
            <w:pPr>
              <w:spacing w:before="120" w:after="120" w:line="360" w:lineRule="auto"/>
              <w:rPr>
                <w:rFonts w:asciiTheme="majorHAnsi" w:eastAsia="Tahoma" w:hAnsiTheme="majorHAnsi" w:cstheme="majorHAnsi"/>
                <w:sz w:val="32"/>
                <w:szCs w:val="32"/>
              </w:rPr>
            </w:pPr>
            <w:r w:rsidRPr="000D5004">
              <w:rPr>
                <w:rFonts w:asciiTheme="majorHAnsi" w:eastAsia="Tahoma" w:hAnsiTheme="majorHAnsi" w:cstheme="majorHAnsi"/>
                <w:sz w:val="32"/>
                <w:szCs w:val="32"/>
              </w:rPr>
              <w:t>Module No:</w:t>
            </w:r>
          </w:p>
        </w:tc>
        <w:tc>
          <w:tcPr>
            <w:tcW w:w="6055" w:type="dxa"/>
          </w:tcPr>
          <w:p w14:paraId="29F831A1" w14:textId="58C23AA4" w:rsidR="00583709" w:rsidRPr="000D5004" w:rsidRDefault="008312FD">
            <w:pPr>
              <w:spacing w:before="120" w:after="120" w:line="360" w:lineRule="auto"/>
              <w:rPr>
                <w:rFonts w:asciiTheme="majorHAnsi" w:eastAsia="Tahoma" w:hAnsiTheme="majorHAnsi" w:cstheme="majorHAnsi"/>
                <w:color w:val="FF0000"/>
                <w:sz w:val="32"/>
                <w:szCs w:val="32"/>
              </w:rPr>
            </w:pPr>
            <w:r w:rsidRPr="000D5004">
              <w:rPr>
                <w:rFonts w:asciiTheme="majorHAnsi" w:eastAsia="Tahoma" w:hAnsiTheme="majorHAnsi" w:cstheme="majorHAnsi"/>
                <w:color w:val="FF0000"/>
                <w:sz w:val="32"/>
                <w:szCs w:val="32"/>
              </w:rPr>
              <w:t>BMSK</w:t>
            </w:r>
            <w:r w:rsidR="006C51FC" w:rsidRPr="000D5004">
              <w:rPr>
                <w:rFonts w:asciiTheme="majorHAnsi" w:eastAsia="Tahoma" w:hAnsiTheme="majorHAnsi" w:cstheme="majorHAnsi"/>
                <w:color w:val="FF0000"/>
                <w:sz w:val="32"/>
                <w:szCs w:val="32"/>
              </w:rPr>
              <w:t>5</w:t>
            </w:r>
            <w:r w:rsidR="009418A4" w:rsidRPr="000D5004">
              <w:rPr>
                <w:rFonts w:asciiTheme="majorHAnsi" w:eastAsia="Tahoma" w:hAnsiTheme="majorHAnsi" w:cstheme="majorHAnsi"/>
                <w:color w:val="FF0000"/>
                <w:sz w:val="32"/>
                <w:szCs w:val="32"/>
              </w:rPr>
              <w:t>010</w:t>
            </w:r>
          </w:p>
        </w:tc>
      </w:tr>
      <w:tr w:rsidR="00583709" w:rsidRPr="000D5004" w14:paraId="0A18C513" w14:textId="77777777">
        <w:trPr>
          <w:trHeight w:val="413"/>
        </w:trPr>
        <w:tc>
          <w:tcPr>
            <w:tcW w:w="3438" w:type="dxa"/>
            <w:shd w:val="clear" w:color="auto" w:fill="D9D9D9"/>
          </w:tcPr>
          <w:p w14:paraId="322E8485" w14:textId="77777777" w:rsidR="00583709" w:rsidRPr="000D5004" w:rsidRDefault="008312FD">
            <w:pPr>
              <w:spacing w:before="120" w:after="120" w:line="360" w:lineRule="auto"/>
              <w:rPr>
                <w:rFonts w:asciiTheme="majorHAnsi" w:eastAsia="Tahoma" w:hAnsiTheme="majorHAnsi" w:cstheme="majorHAnsi"/>
                <w:sz w:val="32"/>
                <w:szCs w:val="32"/>
              </w:rPr>
            </w:pPr>
            <w:r w:rsidRPr="000D5004">
              <w:rPr>
                <w:rFonts w:asciiTheme="majorHAnsi" w:eastAsia="Tahoma" w:hAnsiTheme="majorHAnsi" w:cstheme="majorHAnsi"/>
                <w:sz w:val="32"/>
                <w:szCs w:val="32"/>
              </w:rPr>
              <w:t>Module Title:</w:t>
            </w:r>
          </w:p>
        </w:tc>
        <w:tc>
          <w:tcPr>
            <w:tcW w:w="6055" w:type="dxa"/>
          </w:tcPr>
          <w:p w14:paraId="3D9EA47B" w14:textId="570EE5F5" w:rsidR="00583709" w:rsidRPr="000D5004" w:rsidRDefault="00EC798C">
            <w:pPr>
              <w:spacing w:before="120" w:after="120" w:line="360" w:lineRule="auto"/>
              <w:rPr>
                <w:rFonts w:asciiTheme="majorHAnsi" w:eastAsia="Tahoma" w:hAnsiTheme="majorHAnsi" w:cstheme="majorHAnsi"/>
                <w:color w:val="FF0000"/>
                <w:sz w:val="32"/>
                <w:szCs w:val="32"/>
              </w:rPr>
            </w:pPr>
            <w:r w:rsidRPr="000D5004">
              <w:rPr>
                <w:rFonts w:asciiTheme="majorHAnsi" w:eastAsia="Tahoma" w:hAnsiTheme="majorHAnsi" w:cstheme="majorHAnsi"/>
                <w:color w:val="FF0000"/>
                <w:sz w:val="32"/>
                <w:szCs w:val="32"/>
              </w:rPr>
              <w:t xml:space="preserve">Developing the </w:t>
            </w:r>
            <w:r w:rsidR="009418A4" w:rsidRPr="000D5004">
              <w:rPr>
                <w:rFonts w:asciiTheme="majorHAnsi" w:eastAsia="Tahoma" w:hAnsiTheme="majorHAnsi" w:cstheme="majorHAnsi"/>
                <w:color w:val="FF0000"/>
                <w:sz w:val="32"/>
                <w:szCs w:val="32"/>
              </w:rPr>
              <w:t>Learning Organisation</w:t>
            </w:r>
          </w:p>
        </w:tc>
      </w:tr>
    </w:tbl>
    <w:p w14:paraId="700B284E" w14:textId="77777777" w:rsidR="00583709" w:rsidRPr="000D5004" w:rsidRDefault="008312FD">
      <w:pPr>
        <w:spacing w:before="120" w:after="120" w:line="360" w:lineRule="auto"/>
        <w:rPr>
          <w:rFonts w:asciiTheme="majorHAnsi" w:eastAsia="Tahoma" w:hAnsiTheme="majorHAnsi" w:cstheme="majorHAnsi"/>
          <w:b/>
          <w:color w:val="000000"/>
          <w:szCs w:val="24"/>
        </w:rPr>
      </w:pPr>
      <w:r w:rsidRPr="000D5004">
        <w:rPr>
          <w:rFonts w:asciiTheme="majorHAnsi" w:eastAsia="Tahoma" w:hAnsiTheme="majorHAnsi" w:cstheme="majorHAnsi"/>
          <w:b/>
          <w:color w:val="000000"/>
          <w:szCs w:val="24"/>
        </w:rPr>
        <w:t>Statement of Confirmation of Authenticity</w:t>
      </w:r>
    </w:p>
    <w:p w14:paraId="77162AC0" w14:textId="77777777" w:rsidR="00583709" w:rsidRPr="000D5004" w:rsidRDefault="008312FD" w:rsidP="00D742ED">
      <w:pPr>
        <w:spacing w:before="120" w:after="120" w:line="240" w:lineRule="auto"/>
        <w:rPr>
          <w:rFonts w:asciiTheme="majorHAnsi" w:eastAsia="Tahoma" w:hAnsiTheme="majorHAnsi" w:cstheme="majorHAnsi"/>
          <w:color w:val="000000"/>
          <w:sz w:val="22"/>
        </w:rPr>
      </w:pPr>
      <w:r w:rsidRPr="000D5004">
        <w:rPr>
          <w:rFonts w:asciiTheme="majorHAnsi" w:eastAsia="Tahoma" w:hAnsiTheme="majorHAnsi" w:cstheme="majorHAnsi"/>
          <w:color w:val="000000"/>
          <w:sz w:val="22"/>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0D5004" w:rsidRDefault="008312FD" w:rsidP="00D742ED">
      <w:pPr>
        <w:spacing w:before="120" w:after="120" w:line="240" w:lineRule="auto"/>
        <w:rPr>
          <w:rFonts w:asciiTheme="majorHAnsi" w:eastAsia="Tahoma" w:hAnsiTheme="majorHAnsi" w:cstheme="majorHAnsi"/>
          <w:color w:val="000000"/>
          <w:sz w:val="22"/>
        </w:rPr>
      </w:pPr>
      <w:r w:rsidRPr="000D5004">
        <w:rPr>
          <w:rFonts w:asciiTheme="majorHAnsi" w:eastAsia="Tahoma" w:hAnsiTheme="majorHAnsi" w:cstheme="majorHAnsi"/>
          <w:color w:val="000000"/>
          <w:sz w:val="22"/>
        </w:rPr>
        <w:t>Attention is drawn to the plagiarism and unfair practice policies of both the University and of ILM.</w:t>
      </w:r>
    </w:p>
    <w:p w14:paraId="616510F2" w14:textId="46C94898" w:rsidR="00D742ED" w:rsidRDefault="00D742ED" w:rsidP="00D742ED">
      <w:pPr>
        <w:rPr>
          <w:rFonts w:asciiTheme="majorHAnsi" w:hAnsiTheme="majorHAnsi" w:cstheme="majorHAnsi"/>
        </w:rPr>
      </w:pPr>
      <w:r w:rsidRPr="000D5004">
        <w:rPr>
          <w:rFonts w:asciiTheme="majorHAnsi" w:hAnsiTheme="majorHAnsi" w:cstheme="majorHAnsi"/>
          <w:b/>
          <w:bCs/>
        </w:rPr>
        <w:t>AI Declaration:</w:t>
      </w:r>
      <w:r w:rsidRPr="000D5004">
        <w:rPr>
          <w:rFonts w:asciiTheme="majorHAnsi" w:hAnsiTheme="majorHAnsi" w:cstheme="majorHAnsi"/>
        </w:rPr>
        <w:t xml:space="preserve"> I confirm that </w:t>
      </w:r>
      <w:r w:rsidRPr="000D5004">
        <w:rPr>
          <w:rFonts w:asciiTheme="majorHAnsi" w:hAnsiTheme="majorHAnsi" w:cstheme="majorHAnsi"/>
          <w:b/>
          <w:bCs/>
        </w:rPr>
        <w:t>I have not used Generative AI</w:t>
      </w:r>
      <w:r w:rsidRPr="000D5004">
        <w:rPr>
          <w:rFonts w:asciiTheme="majorHAnsi" w:hAnsiTheme="majorHAnsi" w:cstheme="majorHAnsi"/>
        </w:rPr>
        <w:t xml:space="preserve"> to create any text, creative materials or code for submission. Any AI use was limited to permitted research, assignment structure and proofreading of my own work. AI may be used to help plan the structure or format of a table, but the content must be my own. AI must not be used to create graphs, charts, images or other assessed visual material for submission unless specifically permitted in the assignment brief.</w:t>
      </w:r>
    </w:p>
    <w:p w14:paraId="3EAC3FC9" w14:textId="77777777" w:rsidR="000D5004" w:rsidRDefault="000D5004" w:rsidP="00D742ED">
      <w:pPr>
        <w:rPr>
          <w:rFonts w:asciiTheme="majorHAnsi" w:hAnsiTheme="majorHAnsi" w:cstheme="majorHAnsi"/>
        </w:rPr>
      </w:pPr>
    </w:p>
    <w:p w14:paraId="3B9995C0" w14:textId="77777777" w:rsidR="000D5004" w:rsidRPr="000D5004" w:rsidRDefault="000D5004" w:rsidP="00D742ED">
      <w:pPr>
        <w:rPr>
          <w:rFonts w:asciiTheme="majorHAnsi" w:hAnsiTheme="majorHAnsi" w:cstheme="majorHAnsi"/>
        </w:rPr>
      </w:pPr>
    </w:p>
    <w:p w14:paraId="5C61974A" w14:textId="110580D1" w:rsidR="00583709" w:rsidRPr="000D5004" w:rsidRDefault="00583709">
      <w:pPr>
        <w:rPr>
          <w:rFonts w:asciiTheme="majorHAnsi" w:eastAsia="Tahoma" w:hAnsiTheme="majorHAnsi" w:cstheme="majorHAnsi"/>
          <w:color w:val="000000"/>
          <w:szCs w:val="24"/>
        </w:rPr>
      </w:pPr>
    </w:p>
    <w:p w14:paraId="588D0369" w14:textId="492FC92C" w:rsidR="00D742ED" w:rsidRPr="00D742ED" w:rsidRDefault="008312FD">
      <w:pPr>
        <w:keepNext/>
        <w:keepLines/>
        <w:pBdr>
          <w:top w:val="nil"/>
          <w:left w:val="nil"/>
          <w:bottom w:val="nil"/>
          <w:right w:val="nil"/>
          <w:between w:val="nil"/>
        </w:pBdr>
        <w:spacing w:before="240" w:after="0"/>
        <w:rPr>
          <w:rFonts w:cs="Arial"/>
          <w:b/>
          <w:bCs/>
          <w:sz w:val="32"/>
          <w:szCs w:val="32"/>
        </w:rPr>
      </w:pPr>
      <w:r w:rsidRPr="00D742ED">
        <w:rPr>
          <w:rFonts w:cs="Arial"/>
          <w:b/>
          <w:bCs/>
          <w:sz w:val="32"/>
          <w:szCs w:val="32"/>
        </w:rPr>
        <w:lastRenderedPageBreak/>
        <w:t>Table of Contents</w:t>
      </w:r>
    </w:p>
    <w:sdt>
      <w:sdtPr>
        <w:id w:val="-2053372548"/>
        <w:docPartObj>
          <w:docPartGallery w:val="Table of Contents"/>
          <w:docPartUnique/>
        </w:docPartObj>
      </w:sdtPr>
      <w:sdtEndPr>
        <w:rPr>
          <w:rFonts w:asciiTheme="majorHAnsi" w:hAnsiTheme="majorHAnsi" w:cstheme="majorHAnsi"/>
          <w:szCs w:val="24"/>
        </w:rPr>
      </w:sdtEndPr>
      <w:sdtContent>
        <w:p w14:paraId="756BB523" w14:textId="31BBAA6A" w:rsidR="000B142C" w:rsidRPr="00272DA5" w:rsidRDefault="008312FD" w:rsidP="0076166B">
          <w:pPr>
            <w:pStyle w:val="TOC1"/>
            <w:tabs>
              <w:tab w:val="right" w:pos="9350"/>
            </w:tabs>
            <w:spacing w:after="0"/>
            <w:rPr>
              <w:rFonts w:asciiTheme="majorHAnsi" w:eastAsiaTheme="minorEastAsia" w:hAnsiTheme="majorHAnsi" w:cstheme="majorHAnsi"/>
              <w:b/>
              <w:bCs/>
              <w:noProof/>
              <w:kern w:val="2"/>
              <w:szCs w:val="24"/>
              <w:lang w:eastAsia="en-GB"/>
              <w14:ligatures w14:val="standardContextual"/>
            </w:rPr>
          </w:pPr>
          <w:r w:rsidRPr="00272DA5">
            <w:rPr>
              <w:rFonts w:asciiTheme="majorHAnsi" w:hAnsiTheme="majorHAnsi" w:cstheme="majorHAnsi"/>
              <w:b/>
              <w:bCs/>
              <w:szCs w:val="24"/>
            </w:rPr>
            <w:fldChar w:fldCharType="begin"/>
          </w:r>
          <w:r w:rsidRPr="00272DA5">
            <w:rPr>
              <w:rFonts w:asciiTheme="majorHAnsi" w:hAnsiTheme="majorHAnsi" w:cstheme="majorHAnsi"/>
              <w:b/>
              <w:bCs/>
              <w:szCs w:val="24"/>
            </w:rPr>
            <w:instrText xml:space="preserve"> TOC \h \u \z </w:instrText>
          </w:r>
          <w:r w:rsidRPr="00272DA5">
            <w:rPr>
              <w:rFonts w:asciiTheme="majorHAnsi" w:hAnsiTheme="majorHAnsi" w:cstheme="majorHAnsi"/>
              <w:b/>
              <w:bCs/>
              <w:szCs w:val="24"/>
            </w:rPr>
            <w:fldChar w:fldCharType="separate"/>
          </w:r>
          <w:hyperlink w:anchor="_Toc240035778" w:history="1">
            <w:r w:rsidR="000B142C" w:rsidRPr="00272DA5">
              <w:rPr>
                <w:rStyle w:val="Hyperlink"/>
                <w:rFonts w:asciiTheme="majorHAnsi" w:hAnsiTheme="majorHAnsi" w:cstheme="majorHAnsi"/>
                <w:b/>
                <w:bCs/>
                <w:noProof/>
                <w:szCs w:val="24"/>
                <w:u w:val="none"/>
              </w:rPr>
              <w:t>1.0 Introduction</w:t>
            </w:r>
            <w:r w:rsidR="000B142C" w:rsidRPr="00272DA5">
              <w:rPr>
                <w:rFonts w:asciiTheme="majorHAnsi" w:hAnsiTheme="majorHAnsi" w:cstheme="majorHAnsi"/>
                <w:b/>
                <w:bCs/>
                <w:noProof/>
                <w:webHidden/>
                <w:szCs w:val="24"/>
              </w:rPr>
              <w:tab/>
            </w:r>
            <w:r w:rsidR="000B142C" w:rsidRPr="00272DA5">
              <w:rPr>
                <w:rFonts w:asciiTheme="majorHAnsi" w:hAnsiTheme="majorHAnsi" w:cstheme="majorHAnsi"/>
                <w:b/>
                <w:bCs/>
                <w:noProof/>
                <w:webHidden/>
                <w:szCs w:val="24"/>
              </w:rPr>
              <w:fldChar w:fldCharType="begin"/>
            </w:r>
            <w:r w:rsidR="000B142C" w:rsidRPr="00272DA5">
              <w:rPr>
                <w:rFonts w:asciiTheme="majorHAnsi" w:hAnsiTheme="majorHAnsi" w:cstheme="majorHAnsi"/>
                <w:b/>
                <w:bCs/>
                <w:noProof/>
                <w:webHidden/>
                <w:szCs w:val="24"/>
              </w:rPr>
              <w:instrText xml:space="preserve"> PAGEREF _Toc240035778 \h </w:instrText>
            </w:r>
            <w:r w:rsidR="000B142C" w:rsidRPr="00272DA5">
              <w:rPr>
                <w:rFonts w:asciiTheme="majorHAnsi" w:hAnsiTheme="majorHAnsi" w:cstheme="majorHAnsi"/>
                <w:b/>
                <w:bCs/>
                <w:noProof/>
                <w:webHidden/>
                <w:szCs w:val="24"/>
              </w:rPr>
            </w:r>
            <w:r w:rsidR="000B142C" w:rsidRPr="00272DA5">
              <w:rPr>
                <w:rFonts w:asciiTheme="majorHAnsi" w:hAnsiTheme="majorHAnsi" w:cstheme="majorHAnsi"/>
                <w:b/>
                <w:bCs/>
                <w:noProof/>
                <w:webHidden/>
                <w:szCs w:val="24"/>
              </w:rPr>
              <w:fldChar w:fldCharType="separate"/>
            </w:r>
            <w:r w:rsidR="000B142C" w:rsidRPr="00272DA5">
              <w:rPr>
                <w:rFonts w:asciiTheme="majorHAnsi" w:hAnsiTheme="majorHAnsi" w:cstheme="majorHAnsi"/>
                <w:b/>
                <w:bCs/>
                <w:noProof/>
                <w:webHidden/>
                <w:szCs w:val="24"/>
              </w:rPr>
              <w:t>3</w:t>
            </w:r>
            <w:r w:rsidR="000B142C" w:rsidRPr="00272DA5">
              <w:rPr>
                <w:rFonts w:asciiTheme="majorHAnsi" w:hAnsiTheme="majorHAnsi" w:cstheme="majorHAnsi"/>
                <w:b/>
                <w:bCs/>
                <w:noProof/>
                <w:webHidden/>
                <w:szCs w:val="24"/>
              </w:rPr>
              <w:fldChar w:fldCharType="end"/>
            </w:r>
          </w:hyperlink>
        </w:p>
        <w:p w14:paraId="4010ED43" w14:textId="0AE9BA63" w:rsidR="000B142C" w:rsidRPr="00272DA5" w:rsidRDefault="000B142C" w:rsidP="0076166B">
          <w:pPr>
            <w:pStyle w:val="TOC1"/>
            <w:tabs>
              <w:tab w:val="right" w:pos="9350"/>
            </w:tabs>
            <w:spacing w:after="0"/>
            <w:rPr>
              <w:rFonts w:asciiTheme="majorHAnsi" w:eastAsiaTheme="minorEastAsia" w:hAnsiTheme="majorHAnsi" w:cstheme="majorHAnsi"/>
              <w:b/>
              <w:bCs/>
              <w:noProof/>
              <w:kern w:val="2"/>
              <w:szCs w:val="24"/>
              <w:lang w:eastAsia="en-GB"/>
              <w14:ligatures w14:val="standardContextual"/>
            </w:rPr>
          </w:pPr>
          <w:hyperlink w:anchor="_Toc240035779" w:history="1">
            <w:r w:rsidRPr="00272DA5">
              <w:rPr>
                <w:rStyle w:val="Hyperlink"/>
                <w:rFonts w:asciiTheme="majorHAnsi" w:hAnsiTheme="majorHAnsi" w:cstheme="majorHAnsi"/>
                <w:b/>
                <w:bCs/>
                <w:noProof/>
                <w:szCs w:val="24"/>
                <w:u w:val="none"/>
              </w:rPr>
              <w:t xml:space="preserve">2.0 </w:t>
            </w:r>
            <w:r w:rsidR="00D705E2" w:rsidRPr="00272DA5">
              <w:rPr>
                <w:rStyle w:val="Hyperlink"/>
                <w:rFonts w:asciiTheme="majorHAnsi" w:hAnsiTheme="majorHAnsi" w:cstheme="majorHAnsi"/>
                <w:b/>
                <w:bCs/>
                <w:noProof/>
                <w:szCs w:val="24"/>
                <w:u w:val="none"/>
              </w:rPr>
              <w:t>Benefi</w:t>
            </w:r>
            <w:r w:rsidR="002F4AE2" w:rsidRPr="00272DA5">
              <w:rPr>
                <w:rStyle w:val="Hyperlink"/>
                <w:rFonts w:asciiTheme="majorHAnsi" w:hAnsiTheme="majorHAnsi" w:cstheme="majorHAnsi"/>
                <w:b/>
                <w:bCs/>
                <w:noProof/>
                <w:szCs w:val="24"/>
                <w:u w:val="none"/>
              </w:rPr>
              <w:t>ts of Developing Individuals in the Work Place</w:t>
            </w:r>
            <w:r w:rsidRPr="00272DA5">
              <w:rPr>
                <w:rFonts w:asciiTheme="majorHAnsi" w:hAnsiTheme="majorHAnsi" w:cstheme="majorHAnsi"/>
                <w:b/>
                <w:bCs/>
                <w:noProof/>
                <w:webHidden/>
                <w:szCs w:val="24"/>
              </w:rPr>
              <w:tab/>
            </w:r>
            <w:r w:rsidRPr="00272DA5">
              <w:rPr>
                <w:rFonts w:asciiTheme="majorHAnsi" w:hAnsiTheme="majorHAnsi" w:cstheme="majorHAnsi"/>
                <w:b/>
                <w:bCs/>
                <w:noProof/>
                <w:webHidden/>
                <w:szCs w:val="24"/>
              </w:rPr>
              <w:fldChar w:fldCharType="begin"/>
            </w:r>
            <w:r w:rsidRPr="00272DA5">
              <w:rPr>
                <w:rFonts w:asciiTheme="majorHAnsi" w:hAnsiTheme="majorHAnsi" w:cstheme="majorHAnsi"/>
                <w:b/>
                <w:bCs/>
                <w:noProof/>
                <w:webHidden/>
                <w:szCs w:val="24"/>
              </w:rPr>
              <w:instrText xml:space="preserve"> PAGEREF _Toc240035779 \h </w:instrText>
            </w:r>
            <w:r w:rsidRPr="00272DA5">
              <w:rPr>
                <w:rFonts w:asciiTheme="majorHAnsi" w:hAnsiTheme="majorHAnsi" w:cstheme="majorHAnsi"/>
                <w:b/>
                <w:bCs/>
                <w:noProof/>
                <w:webHidden/>
                <w:szCs w:val="24"/>
              </w:rPr>
            </w:r>
            <w:r w:rsidRPr="00272DA5">
              <w:rPr>
                <w:rFonts w:asciiTheme="majorHAnsi" w:hAnsiTheme="majorHAnsi" w:cstheme="majorHAnsi"/>
                <w:b/>
                <w:bCs/>
                <w:noProof/>
                <w:webHidden/>
                <w:szCs w:val="24"/>
              </w:rPr>
              <w:fldChar w:fldCharType="separate"/>
            </w:r>
            <w:r w:rsidRPr="00272DA5">
              <w:rPr>
                <w:rFonts w:asciiTheme="majorHAnsi" w:hAnsiTheme="majorHAnsi" w:cstheme="majorHAnsi"/>
                <w:b/>
                <w:bCs/>
                <w:noProof/>
                <w:webHidden/>
                <w:szCs w:val="24"/>
              </w:rPr>
              <w:t>4</w:t>
            </w:r>
            <w:r w:rsidRPr="00272DA5">
              <w:rPr>
                <w:rFonts w:asciiTheme="majorHAnsi" w:hAnsiTheme="majorHAnsi" w:cstheme="majorHAnsi"/>
                <w:b/>
                <w:bCs/>
                <w:noProof/>
                <w:webHidden/>
                <w:szCs w:val="24"/>
              </w:rPr>
              <w:fldChar w:fldCharType="end"/>
            </w:r>
          </w:hyperlink>
        </w:p>
        <w:p w14:paraId="646AEC65" w14:textId="647B49F1" w:rsidR="000B142C" w:rsidRPr="00272DA5" w:rsidRDefault="000B142C" w:rsidP="0076166B">
          <w:pPr>
            <w:pStyle w:val="TOC2"/>
            <w:tabs>
              <w:tab w:val="right" w:pos="9350"/>
            </w:tabs>
            <w:spacing w:after="0"/>
            <w:rPr>
              <w:rFonts w:asciiTheme="majorHAnsi" w:eastAsiaTheme="minorEastAsia" w:hAnsiTheme="majorHAnsi" w:cstheme="majorHAnsi"/>
              <w:b/>
              <w:bCs/>
              <w:noProof/>
              <w:kern w:val="2"/>
              <w:szCs w:val="24"/>
              <w:lang w:eastAsia="en-GB"/>
              <w14:ligatures w14:val="standardContextual"/>
            </w:rPr>
          </w:pPr>
          <w:hyperlink w:anchor="_Toc240035780" w:history="1">
            <w:r w:rsidRPr="00272DA5">
              <w:rPr>
                <w:rStyle w:val="Hyperlink"/>
                <w:rFonts w:asciiTheme="majorHAnsi" w:hAnsiTheme="majorHAnsi" w:cstheme="majorHAnsi"/>
                <w:b/>
                <w:bCs/>
                <w:noProof/>
                <w:szCs w:val="24"/>
                <w:u w:val="none"/>
              </w:rPr>
              <w:t>2.1</w:t>
            </w:r>
            <w:r w:rsidR="00570F5B" w:rsidRPr="00272DA5">
              <w:rPr>
                <w:rStyle w:val="Hyperlink"/>
                <w:rFonts w:asciiTheme="majorHAnsi" w:hAnsiTheme="majorHAnsi" w:cstheme="majorHAnsi"/>
                <w:b/>
                <w:bCs/>
                <w:noProof/>
                <w:szCs w:val="24"/>
                <w:u w:val="none"/>
              </w:rPr>
              <w:t>Theoretical Perspectives on Employee De</w:t>
            </w:r>
            <w:r w:rsidR="002C05D3" w:rsidRPr="00272DA5">
              <w:rPr>
                <w:rStyle w:val="Hyperlink"/>
                <w:rFonts w:asciiTheme="majorHAnsi" w:hAnsiTheme="majorHAnsi" w:cstheme="majorHAnsi"/>
                <w:b/>
                <w:bCs/>
                <w:noProof/>
                <w:szCs w:val="24"/>
                <w:u w:val="none"/>
              </w:rPr>
              <w:t>velopment</w:t>
            </w:r>
            <w:r w:rsidRPr="00272DA5">
              <w:rPr>
                <w:rFonts w:asciiTheme="majorHAnsi" w:hAnsiTheme="majorHAnsi" w:cstheme="majorHAnsi"/>
                <w:b/>
                <w:bCs/>
                <w:noProof/>
                <w:webHidden/>
                <w:szCs w:val="24"/>
              </w:rPr>
              <w:tab/>
            </w:r>
            <w:r w:rsidR="009F021D">
              <w:rPr>
                <w:rFonts w:asciiTheme="majorHAnsi" w:hAnsiTheme="majorHAnsi" w:cstheme="majorHAnsi"/>
                <w:b/>
                <w:bCs/>
                <w:noProof/>
                <w:webHidden/>
                <w:szCs w:val="24"/>
              </w:rPr>
              <w:t>5</w:t>
            </w:r>
          </w:hyperlink>
        </w:p>
        <w:p w14:paraId="74FBBC59" w14:textId="25122E08" w:rsidR="000B142C" w:rsidRPr="00272DA5" w:rsidRDefault="000B142C" w:rsidP="0076166B">
          <w:pPr>
            <w:pStyle w:val="TOC2"/>
            <w:tabs>
              <w:tab w:val="right" w:pos="9350"/>
            </w:tabs>
            <w:spacing w:after="0"/>
            <w:rPr>
              <w:rFonts w:asciiTheme="majorHAnsi" w:eastAsiaTheme="minorEastAsia" w:hAnsiTheme="majorHAnsi" w:cstheme="majorHAnsi"/>
              <w:b/>
              <w:bCs/>
              <w:noProof/>
              <w:kern w:val="2"/>
              <w:szCs w:val="24"/>
              <w:lang w:eastAsia="en-GB"/>
              <w14:ligatures w14:val="standardContextual"/>
            </w:rPr>
          </w:pPr>
          <w:hyperlink w:anchor="_Toc240035781" w:history="1">
            <w:r w:rsidRPr="00272DA5">
              <w:rPr>
                <w:rStyle w:val="Hyperlink"/>
                <w:rFonts w:asciiTheme="majorHAnsi" w:hAnsiTheme="majorHAnsi" w:cstheme="majorHAnsi"/>
                <w:b/>
                <w:bCs/>
                <w:noProof/>
                <w:szCs w:val="24"/>
                <w:u w:val="none"/>
              </w:rPr>
              <w:t xml:space="preserve">2.2 </w:t>
            </w:r>
            <w:r w:rsidR="002F15CA" w:rsidRPr="00272DA5">
              <w:rPr>
                <w:rStyle w:val="Hyperlink"/>
                <w:rFonts w:asciiTheme="majorHAnsi" w:hAnsiTheme="majorHAnsi" w:cstheme="majorHAnsi"/>
                <w:b/>
                <w:bCs/>
                <w:noProof/>
                <w:szCs w:val="24"/>
                <w:u w:val="none"/>
              </w:rPr>
              <w:t>Benefits to Accomplish</w:t>
            </w:r>
            <w:r w:rsidR="00052223" w:rsidRPr="00272DA5">
              <w:rPr>
                <w:rStyle w:val="Hyperlink"/>
                <w:rFonts w:asciiTheme="majorHAnsi" w:hAnsiTheme="majorHAnsi" w:cstheme="majorHAnsi"/>
                <w:b/>
                <w:bCs/>
                <w:noProof/>
                <w:szCs w:val="24"/>
                <w:u w:val="none"/>
              </w:rPr>
              <w:t xml:space="preserve"> – Keys as an Organisation</w:t>
            </w:r>
            <w:r w:rsidRPr="00272DA5">
              <w:rPr>
                <w:rFonts w:asciiTheme="majorHAnsi" w:hAnsiTheme="majorHAnsi" w:cstheme="majorHAnsi"/>
                <w:b/>
                <w:bCs/>
                <w:noProof/>
                <w:webHidden/>
                <w:szCs w:val="24"/>
              </w:rPr>
              <w:tab/>
            </w:r>
            <w:r w:rsidR="009F021D">
              <w:rPr>
                <w:rFonts w:asciiTheme="majorHAnsi" w:hAnsiTheme="majorHAnsi" w:cstheme="majorHAnsi"/>
                <w:b/>
                <w:bCs/>
                <w:noProof/>
                <w:webHidden/>
                <w:szCs w:val="24"/>
              </w:rPr>
              <w:t>6</w:t>
            </w:r>
          </w:hyperlink>
        </w:p>
        <w:p w14:paraId="7875A47B" w14:textId="1073C238" w:rsidR="000B142C" w:rsidRPr="00272DA5" w:rsidRDefault="000B142C" w:rsidP="0076166B">
          <w:pPr>
            <w:pStyle w:val="TOC1"/>
            <w:tabs>
              <w:tab w:val="right" w:pos="9350"/>
            </w:tabs>
            <w:spacing w:after="0"/>
            <w:rPr>
              <w:rFonts w:asciiTheme="majorHAnsi" w:eastAsiaTheme="minorEastAsia" w:hAnsiTheme="majorHAnsi" w:cstheme="majorHAnsi"/>
              <w:b/>
              <w:bCs/>
              <w:noProof/>
              <w:kern w:val="2"/>
              <w:szCs w:val="24"/>
              <w:lang w:eastAsia="en-GB"/>
              <w14:ligatures w14:val="standardContextual"/>
            </w:rPr>
          </w:pPr>
          <w:hyperlink w:anchor="_Toc240035782" w:history="1">
            <w:r w:rsidRPr="00272DA5">
              <w:rPr>
                <w:rStyle w:val="Hyperlink"/>
                <w:rFonts w:asciiTheme="majorHAnsi" w:hAnsiTheme="majorHAnsi" w:cstheme="majorHAnsi"/>
                <w:b/>
                <w:bCs/>
                <w:noProof/>
                <w:szCs w:val="24"/>
                <w:u w:val="none"/>
              </w:rPr>
              <w:t xml:space="preserve">3.0 </w:t>
            </w:r>
            <w:r w:rsidR="00A956CC" w:rsidRPr="00272DA5">
              <w:rPr>
                <w:rStyle w:val="Hyperlink"/>
                <w:rFonts w:asciiTheme="majorHAnsi" w:hAnsiTheme="majorHAnsi" w:cstheme="majorHAnsi"/>
                <w:b/>
                <w:bCs/>
                <w:noProof/>
                <w:szCs w:val="24"/>
                <w:u w:val="none"/>
              </w:rPr>
              <w:t>Managing Individual Expectations Regarding Personal Development</w:t>
            </w:r>
            <w:r w:rsidRPr="00272DA5">
              <w:rPr>
                <w:rFonts w:asciiTheme="majorHAnsi" w:hAnsiTheme="majorHAnsi" w:cstheme="majorHAnsi"/>
                <w:b/>
                <w:bCs/>
                <w:noProof/>
                <w:webHidden/>
                <w:szCs w:val="24"/>
              </w:rPr>
              <w:tab/>
            </w:r>
            <w:r w:rsidR="000F2288">
              <w:rPr>
                <w:rFonts w:asciiTheme="majorHAnsi" w:hAnsiTheme="majorHAnsi" w:cstheme="majorHAnsi"/>
                <w:b/>
                <w:bCs/>
                <w:noProof/>
                <w:webHidden/>
                <w:szCs w:val="24"/>
              </w:rPr>
              <w:t>6</w:t>
            </w:r>
          </w:hyperlink>
        </w:p>
        <w:p w14:paraId="5433F027" w14:textId="32AA9378" w:rsidR="000B142C" w:rsidRPr="00272DA5" w:rsidRDefault="000B142C" w:rsidP="0076166B">
          <w:pPr>
            <w:pStyle w:val="TOC2"/>
            <w:tabs>
              <w:tab w:val="right" w:pos="9350"/>
            </w:tabs>
            <w:spacing w:after="0"/>
            <w:rPr>
              <w:rFonts w:asciiTheme="majorHAnsi" w:eastAsiaTheme="minorEastAsia" w:hAnsiTheme="majorHAnsi" w:cstheme="majorHAnsi"/>
              <w:b/>
              <w:bCs/>
              <w:noProof/>
              <w:kern w:val="2"/>
              <w:szCs w:val="24"/>
              <w:lang w:eastAsia="en-GB"/>
              <w14:ligatures w14:val="standardContextual"/>
            </w:rPr>
          </w:pPr>
          <w:hyperlink w:anchor="_Toc240035783" w:history="1">
            <w:r w:rsidRPr="00272DA5">
              <w:rPr>
                <w:rStyle w:val="Hyperlink"/>
                <w:rFonts w:asciiTheme="majorHAnsi" w:hAnsiTheme="majorHAnsi" w:cstheme="majorHAnsi"/>
                <w:b/>
                <w:bCs/>
                <w:noProof/>
                <w:szCs w:val="24"/>
                <w:u w:val="none"/>
              </w:rPr>
              <w:t xml:space="preserve">3.1 </w:t>
            </w:r>
            <w:r w:rsidR="005B3BA5" w:rsidRPr="00272DA5">
              <w:rPr>
                <w:rStyle w:val="Hyperlink"/>
                <w:rFonts w:asciiTheme="majorHAnsi" w:hAnsiTheme="majorHAnsi" w:cstheme="majorHAnsi"/>
                <w:b/>
                <w:bCs/>
                <w:noProof/>
                <w:szCs w:val="24"/>
                <w:u w:val="none"/>
              </w:rPr>
              <w:t>Understanding Employ</w:t>
            </w:r>
            <w:r w:rsidR="00B74F97" w:rsidRPr="00272DA5">
              <w:rPr>
                <w:rStyle w:val="Hyperlink"/>
                <w:rFonts w:asciiTheme="majorHAnsi" w:hAnsiTheme="majorHAnsi" w:cstheme="majorHAnsi"/>
                <w:b/>
                <w:bCs/>
                <w:noProof/>
                <w:szCs w:val="24"/>
                <w:u w:val="none"/>
              </w:rPr>
              <w:t>ee Expectations</w:t>
            </w:r>
            <w:r w:rsidRPr="00272DA5">
              <w:rPr>
                <w:rFonts w:asciiTheme="majorHAnsi" w:hAnsiTheme="majorHAnsi" w:cstheme="majorHAnsi"/>
                <w:b/>
                <w:bCs/>
                <w:noProof/>
                <w:webHidden/>
                <w:szCs w:val="24"/>
              </w:rPr>
              <w:tab/>
            </w:r>
            <w:r w:rsidR="000F2288">
              <w:rPr>
                <w:rFonts w:asciiTheme="majorHAnsi" w:hAnsiTheme="majorHAnsi" w:cstheme="majorHAnsi"/>
                <w:b/>
                <w:bCs/>
                <w:noProof/>
                <w:webHidden/>
                <w:szCs w:val="24"/>
              </w:rPr>
              <w:t>8</w:t>
            </w:r>
          </w:hyperlink>
        </w:p>
        <w:p w14:paraId="6790F08A" w14:textId="6CE49A2D" w:rsidR="000B142C" w:rsidRPr="00272DA5" w:rsidRDefault="00B74F97" w:rsidP="0076166B">
          <w:pPr>
            <w:pStyle w:val="TOC1"/>
            <w:tabs>
              <w:tab w:val="right" w:pos="9350"/>
            </w:tabs>
            <w:spacing w:after="0"/>
            <w:rPr>
              <w:rFonts w:asciiTheme="majorHAnsi" w:eastAsiaTheme="minorEastAsia" w:hAnsiTheme="majorHAnsi" w:cstheme="majorHAnsi"/>
              <w:b/>
              <w:bCs/>
              <w:noProof/>
              <w:kern w:val="2"/>
              <w:szCs w:val="24"/>
              <w:lang w:eastAsia="en-GB"/>
              <w14:ligatures w14:val="standardContextual"/>
            </w:rPr>
          </w:pPr>
          <w:r w:rsidRPr="00272DA5">
            <w:rPr>
              <w:rFonts w:asciiTheme="majorHAnsi" w:hAnsiTheme="majorHAnsi" w:cstheme="majorHAnsi"/>
              <w:b/>
              <w:bCs/>
              <w:noProof/>
              <w:szCs w:val="24"/>
            </w:rPr>
            <w:t xml:space="preserve">   </w:t>
          </w:r>
          <w:r w:rsidR="00550ECC" w:rsidRPr="00272DA5">
            <w:rPr>
              <w:rFonts w:asciiTheme="majorHAnsi" w:hAnsiTheme="majorHAnsi" w:cstheme="majorHAnsi"/>
              <w:b/>
              <w:bCs/>
              <w:noProof/>
              <w:szCs w:val="24"/>
            </w:rPr>
            <w:t xml:space="preserve"> </w:t>
          </w:r>
          <w:hyperlink w:anchor="_Toc240035784" w:history="1">
            <w:r w:rsidRPr="00272DA5">
              <w:rPr>
                <w:rStyle w:val="Hyperlink"/>
                <w:rFonts w:asciiTheme="majorHAnsi" w:hAnsiTheme="majorHAnsi" w:cstheme="majorHAnsi"/>
                <w:b/>
                <w:bCs/>
                <w:noProof/>
                <w:szCs w:val="24"/>
                <w:u w:val="none"/>
              </w:rPr>
              <w:t>3.2</w:t>
            </w:r>
            <w:r w:rsidR="000B142C" w:rsidRPr="00272DA5">
              <w:rPr>
                <w:rStyle w:val="Hyperlink"/>
                <w:rFonts w:asciiTheme="majorHAnsi" w:hAnsiTheme="majorHAnsi" w:cstheme="majorHAnsi"/>
                <w:b/>
                <w:bCs/>
                <w:noProof/>
                <w:szCs w:val="24"/>
                <w:u w:val="none"/>
              </w:rPr>
              <w:t xml:space="preserve"> </w:t>
            </w:r>
            <w:r w:rsidR="007E6645" w:rsidRPr="00272DA5">
              <w:rPr>
                <w:rStyle w:val="Hyperlink"/>
                <w:rFonts w:asciiTheme="majorHAnsi" w:hAnsiTheme="majorHAnsi" w:cstheme="majorHAnsi"/>
                <w:b/>
                <w:bCs/>
                <w:noProof/>
                <w:szCs w:val="24"/>
                <w:u w:val="none"/>
              </w:rPr>
              <w:t>Role of Deputy Manager</w:t>
            </w:r>
            <w:r w:rsidR="000B142C" w:rsidRPr="00272DA5">
              <w:rPr>
                <w:rFonts w:asciiTheme="majorHAnsi" w:hAnsiTheme="majorHAnsi" w:cstheme="majorHAnsi"/>
                <w:b/>
                <w:bCs/>
                <w:noProof/>
                <w:webHidden/>
                <w:szCs w:val="24"/>
              </w:rPr>
              <w:tab/>
            </w:r>
            <w:r w:rsidR="000F2288">
              <w:rPr>
                <w:rFonts w:asciiTheme="majorHAnsi" w:hAnsiTheme="majorHAnsi" w:cstheme="majorHAnsi"/>
                <w:b/>
                <w:bCs/>
                <w:noProof/>
                <w:webHidden/>
                <w:szCs w:val="24"/>
              </w:rPr>
              <w:t>8</w:t>
            </w:r>
          </w:hyperlink>
        </w:p>
        <w:p w14:paraId="3E68DF4F" w14:textId="5B344E7E" w:rsidR="000B142C" w:rsidRPr="00272DA5" w:rsidRDefault="007E6645" w:rsidP="0076166B">
          <w:pPr>
            <w:pStyle w:val="TOC1"/>
            <w:tabs>
              <w:tab w:val="right" w:pos="9350"/>
            </w:tabs>
            <w:spacing w:after="0"/>
            <w:rPr>
              <w:rFonts w:asciiTheme="majorHAnsi" w:eastAsiaTheme="minorEastAsia" w:hAnsiTheme="majorHAnsi" w:cstheme="majorHAnsi"/>
              <w:b/>
              <w:bCs/>
              <w:noProof/>
              <w:kern w:val="2"/>
              <w:szCs w:val="24"/>
              <w:lang w:eastAsia="en-GB"/>
              <w14:ligatures w14:val="standardContextual"/>
            </w:rPr>
          </w:pPr>
          <w:hyperlink w:anchor="_Toc240035785" w:history="1">
            <w:r w:rsidRPr="00272DA5">
              <w:rPr>
                <w:rStyle w:val="Hyperlink"/>
                <w:rFonts w:asciiTheme="majorHAnsi" w:hAnsiTheme="majorHAnsi" w:cstheme="majorHAnsi"/>
                <w:b/>
                <w:bCs/>
                <w:noProof/>
                <w:szCs w:val="24"/>
                <w:u w:val="none"/>
              </w:rPr>
              <w:t xml:space="preserve">   </w:t>
            </w:r>
            <w:r w:rsidR="00550ECC" w:rsidRPr="00272DA5">
              <w:rPr>
                <w:rStyle w:val="Hyperlink"/>
                <w:rFonts w:asciiTheme="majorHAnsi" w:hAnsiTheme="majorHAnsi" w:cstheme="majorHAnsi"/>
                <w:b/>
                <w:bCs/>
                <w:noProof/>
                <w:szCs w:val="24"/>
                <w:u w:val="none"/>
              </w:rPr>
              <w:t xml:space="preserve"> </w:t>
            </w:r>
            <w:r w:rsidRPr="00272DA5">
              <w:rPr>
                <w:rStyle w:val="Hyperlink"/>
                <w:rFonts w:asciiTheme="majorHAnsi" w:hAnsiTheme="majorHAnsi" w:cstheme="majorHAnsi"/>
                <w:b/>
                <w:bCs/>
                <w:noProof/>
                <w:szCs w:val="24"/>
                <w:u w:val="none"/>
              </w:rPr>
              <w:t xml:space="preserve">3.3 </w:t>
            </w:r>
            <w:r w:rsidR="00A71CBB" w:rsidRPr="00272DA5">
              <w:rPr>
                <w:rStyle w:val="Hyperlink"/>
                <w:rFonts w:asciiTheme="majorHAnsi" w:hAnsiTheme="majorHAnsi" w:cstheme="majorHAnsi"/>
                <w:b/>
                <w:bCs/>
                <w:noProof/>
                <w:szCs w:val="24"/>
                <w:u w:val="none"/>
              </w:rPr>
              <w:t xml:space="preserve">Communicate and Feedback Methods </w:t>
            </w:r>
            <w:r w:rsidR="000B142C" w:rsidRPr="00272DA5">
              <w:rPr>
                <w:rFonts w:asciiTheme="majorHAnsi" w:hAnsiTheme="majorHAnsi" w:cstheme="majorHAnsi"/>
                <w:b/>
                <w:bCs/>
                <w:noProof/>
                <w:webHidden/>
                <w:szCs w:val="24"/>
              </w:rPr>
              <w:tab/>
            </w:r>
            <w:r w:rsidR="009F021D">
              <w:rPr>
                <w:rFonts w:asciiTheme="majorHAnsi" w:hAnsiTheme="majorHAnsi" w:cstheme="majorHAnsi"/>
                <w:b/>
                <w:bCs/>
                <w:noProof/>
                <w:webHidden/>
                <w:szCs w:val="24"/>
              </w:rPr>
              <w:t>9</w:t>
            </w:r>
          </w:hyperlink>
        </w:p>
        <w:p w14:paraId="584BB93B" w14:textId="3E94C810" w:rsidR="000B142C" w:rsidRPr="00272DA5" w:rsidRDefault="000300AA" w:rsidP="0076166B">
          <w:pPr>
            <w:pStyle w:val="TOC1"/>
            <w:tabs>
              <w:tab w:val="right" w:pos="9350"/>
            </w:tabs>
            <w:spacing w:after="0"/>
            <w:rPr>
              <w:rFonts w:asciiTheme="majorHAnsi" w:eastAsiaTheme="minorEastAsia" w:hAnsiTheme="majorHAnsi" w:cstheme="majorHAnsi"/>
              <w:b/>
              <w:bCs/>
              <w:noProof/>
              <w:kern w:val="2"/>
              <w:szCs w:val="24"/>
              <w:lang w:eastAsia="en-GB"/>
              <w14:ligatures w14:val="standardContextual"/>
            </w:rPr>
          </w:pPr>
          <w:r w:rsidRPr="00272DA5">
            <w:rPr>
              <w:rFonts w:asciiTheme="majorHAnsi" w:hAnsiTheme="majorHAnsi" w:cstheme="majorHAnsi"/>
              <w:b/>
              <w:bCs/>
              <w:noProof/>
              <w:szCs w:val="24"/>
            </w:rPr>
            <w:t>4.0 Formal Learning Oppor</w:t>
          </w:r>
          <w:r w:rsidR="00DE6701" w:rsidRPr="00272DA5">
            <w:rPr>
              <w:rFonts w:asciiTheme="majorHAnsi" w:hAnsiTheme="majorHAnsi" w:cstheme="majorHAnsi"/>
              <w:b/>
              <w:bCs/>
              <w:noProof/>
              <w:szCs w:val="24"/>
            </w:rPr>
            <w:t xml:space="preserve">tunities </w:t>
          </w:r>
          <w:hyperlink w:anchor="_Toc240035786" w:history="1">
            <w:r w:rsidR="000B142C" w:rsidRPr="00272DA5">
              <w:rPr>
                <w:rFonts w:asciiTheme="majorHAnsi" w:hAnsiTheme="majorHAnsi" w:cstheme="majorHAnsi"/>
                <w:b/>
                <w:bCs/>
                <w:noProof/>
                <w:webHidden/>
                <w:szCs w:val="24"/>
              </w:rPr>
              <w:tab/>
            </w:r>
            <w:r w:rsidR="00B72D45">
              <w:rPr>
                <w:rFonts w:asciiTheme="majorHAnsi" w:hAnsiTheme="majorHAnsi" w:cstheme="majorHAnsi"/>
                <w:b/>
                <w:bCs/>
                <w:noProof/>
                <w:webHidden/>
                <w:szCs w:val="24"/>
              </w:rPr>
              <w:t>11</w:t>
            </w:r>
          </w:hyperlink>
        </w:p>
        <w:p w14:paraId="0D5178CB" w14:textId="58A414CD" w:rsidR="002E14B2" w:rsidRPr="00272DA5" w:rsidRDefault="008312FD" w:rsidP="0076166B">
          <w:pPr>
            <w:tabs>
              <w:tab w:val="left" w:pos="6300"/>
            </w:tabs>
            <w:spacing w:after="0"/>
            <w:rPr>
              <w:rFonts w:asciiTheme="majorHAnsi" w:hAnsiTheme="majorHAnsi" w:cstheme="majorHAnsi"/>
              <w:b/>
              <w:bCs/>
              <w:i/>
              <w:iCs/>
              <w:szCs w:val="24"/>
            </w:rPr>
          </w:pPr>
          <w:r w:rsidRPr="00272DA5">
            <w:rPr>
              <w:rFonts w:asciiTheme="majorHAnsi" w:hAnsiTheme="majorHAnsi" w:cstheme="majorHAnsi"/>
              <w:b/>
              <w:bCs/>
              <w:szCs w:val="24"/>
            </w:rPr>
            <w:fldChar w:fldCharType="end"/>
          </w:r>
          <w:r w:rsidR="00A74525" w:rsidRPr="00272DA5">
            <w:rPr>
              <w:rFonts w:asciiTheme="majorHAnsi" w:hAnsiTheme="majorHAnsi" w:cstheme="majorHAnsi"/>
              <w:b/>
              <w:bCs/>
              <w:i/>
              <w:iCs/>
              <w:szCs w:val="24"/>
            </w:rPr>
            <w:t xml:space="preserve"> </w:t>
          </w:r>
          <w:r w:rsidR="00550ECC" w:rsidRPr="00272DA5">
            <w:rPr>
              <w:rFonts w:asciiTheme="majorHAnsi" w:hAnsiTheme="majorHAnsi" w:cstheme="majorHAnsi"/>
              <w:b/>
              <w:bCs/>
              <w:i/>
              <w:iCs/>
              <w:szCs w:val="24"/>
            </w:rPr>
            <w:t xml:space="preserve"> </w:t>
          </w:r>
          <w:r w:rsidR="00A74525" w:rsidRPr="00272DA5">
            <w:rPr>
              <w:rFonts w:asciiTheme="majorHAnsi" w:hAnsiTheme="majorHAnsi" w:cstheme="majorHAnsi"/>
              <w:b/>
              <w:bCs/>
              <w:i/>
              <w:iCs/>
              <w:szCs w:val="24"/>
            </w:rPr>
            <w:t xml:space="preserve"> 4.1 </w:t>
          </w:r>
          <w:r w:rsidR="001C36B8" w:rsidRPr="00272DA5">
            <w:rPr>
              <w:rFonts w:asciiTheme="majorHAnsi" w:hAnsiTheme="majorHAnsi" w:cstheme="majorHAnsi"/>
              <w:b/>
              <w:bCs/>
              <w:i/>
              <w:iCs/>
              <w:szCs w:val="24"/>
            </w:rPr>
            <w:t>Critical Comparison of Development Vehic</w:t>
          </w:r>
          <w:r w:rsidR="00C20A08" w:rsidRPr="00272DA5">
            <w:rPr>
              <w:rFonts w:asciiTheme="majorHAnsi" w:hAnsiTheme="majorHAnsi" w:cstheme="majorHAnsi"/>
              <w:b/>
              <w:bCs/>
              <w:i/>
              <w:iCs/>
              <w:szCs w:val="24"/>
            </w:rPr>
            <w:t xml:space="preserve">les </w:t>
          </w:r>
          <w:r w:rsidR="00C20A08" w:rsidRPr="00272DA5">
            <w:rPr>
              <w:rFonts w:asciiTheme="majorHAnsi" w:hAnsiTheme="majorHAnsi" w:cstheme="majorHAnsi"/>
              <w:b/>
              <w:bCs/>
              <w:i/>
              <w:iCs/>
              <w:szCs w:val="24"/>
            </w:rPr>
            <w:tab/>
          </w:r>
          <w:r w:rsidR="00855884">
            <w:rPr>
              <w:rFonts w:asciiTheme="majorHAnsi" w:hAnsiTheme="majorHAnsi" w:cstheme="majorHAnsi"/>
              <w:b/>
              <w:bCs/>
              <w:i/>
              <w:iCs/>
              <w:szCs w:val="24"/>
            </w:rPr>
            <w:t xml:space="preserve">                                                   1</w:t>
          </w:r>
          <w:r w:rsidR="008A21D5">
            <w:rPr>
              <w:rFonts w:asciiTheme="majorHAnsi" w:hAnsiTheme="majorHAnsi" w:cstheme="majorHAnsi"/>
              <w:b/>
              <w:bCs/>
              <w:i/>
              <w:iCs/>
              <w:szCs w:val="24"/>
            </w:rPr>
            <w:t>2</w:t>
          </w:r>
        </w:p>
        <w:p w14:paraId="7CB51DFA" w14:textId="155D5B4B" w:rsidR="00FD1FD1" w:rsidRPr="00272DA5" w:rsidRDefault="002E14B2" w:rsidP="0076166B">
          <w:pPr>
            <w:tabs>
              <w:tab w:val="left" w:pos="6300"/>
            </w:tabs>
            <w:spacing w:after="0"/>
            <w:rPr>
              <w:rFonts w:asciiTheme="majorHAnsi" w:hAnsiTheme="majorHAnsi" w:cstheme="majorHAnsi"/>
              <w:b/>
              <w:bCs/>
              <w:i/>
              <w:iCs/>
              <w:szCs w:val="24"/>
            </w:rPr>
          </w:pPr>
          <w:r w:rsidRPr="00272DA5">
            <w:rPr>
              <w:rFonts w:asciiTheme="majorHAnsi" w:hAnsiTheme="majorHAnsi" w:cstheme="majorHAnsi"/>
              <w:b/>
              <w:bCs/>
              <w:i/>
              <w:iCs/>
              <w:szCs w:val="24"/>
            </w:rPr>
            <w:t xml:space="preserve">5.0 </w:t>
          </w:r>
          <w:r w:rsidR="0076166B" w:rsidRPr="00272DA5">
            <w:rPr>
              <w:rFonts w:asciiTheme="majorHAnsi" w:hAnsiTheme="majorHAnsi" w:cstheme="majorHAnsi"/>
              <w:b/>
              <w:bCs/>
              <w:i/>
              <w:iCs/>
              <w:szCs w:val="24"/>
            </w:rPr>
            <w:t>Personal Development Plan and Performance Management</w:t>
          </w:r>
          <w:r w:rsidR="00855884">
            <w:rPr>
              <w:rFonts w:asciiTheme="majorHAnsi" w:hAnsiTheme="majorHAnsi" w:cstheme="majorHAnsi"/>
              <w:b/>
              <w:bCs/>
              <w:i/>
              <w:iCs/>
              <w:szCs w:val="24"/>
            </w:rPr>
            <w:t xml:space="preserve">                                                   1</w:t>
          </w:r>
          <w:r w:rsidR="009372E1">
            <w:rPr>
              <w:rFonts w:asciiTheme="majorHAnsi" w:hAnsiTheme="majorHAnsi" w:cstheme="majorHAnsi"/>
              <w:b/>
              <w:bCs/>
              <w:i/>
              <w:iCs/>
              <w:szCs w:val="24"/>
            </w:rPr>
            <w:t>4</w:t>
          </w:r>
        </w:p>
        <w:p w14:paraId="4C025025" w14:textId="17B6F0BA" w:rsidR="00547B35" w:rsidRPr="00272DA5" w:rsidRDefault="00FD1FD1" w:rsidP="0076166B">
          <w:pPr>
            <w:tabs>
              <w:tab w:val="left" w:pos="6300"/>
            </w:tabs>
            <w:spacing w:after="0"/>
            <w:rPr>
              <w:rFonts w:asciiTheme="majorHAnsi" w:hAnsiTheme="majorHAnsi" w:cstheme="majorHAnsi"/>
              <w:b/>
              <w:bCs/>
              <w:szCs w:val="24"/>
            </w:rPr>
          </w:pPr>
          <w:r w:rsidRPr="00272DA5">
            <w:rPr>
              <w:rFonts w:asciiTheme="majorHAnsi" w:hAnsiTheme="majorHAnsi" w:cstheme="majorHAnsi"/>
              <w:b/>
              <w:bCs/>
              <w:szCs w:val="24"/>
            </w:rPr>
            <w:t xml:space="preserve">  </w:t>
          </w:r>
          <w:r w:rsidR="00550ECC" w:rsidRPr="00272DA5">
            <w:rPr>
              <w:rFonts w:asciiTheme="majorHAnsi" w:hAnsiTheme="majorHAnsi" w:cstheme="majorHAnsi"/>
              <w:b/>
              <w:bCs/>
              <w:szCs w:val="24"/>
            </w:rPr>
            <w:t xml:space="preserve"> </w:t>
          </w:r>
          <w:r w:rsidRPr="00272DA5">
            <w:rPr>
              <w:rFonts w:asciiTheme="majorHAnsi" w:hAnsiTheme="majorHAnsi" w:cstheme="majorHAnsi"/>
              <w:b/>
              <w:bCs/>
              <w:szCs w:val="24"/>
            </w:rPr>
            <w:t>5.1 Employee Profile</w:t>
          </w:r>
          <w:r w:rsidR="00A05512">
            <w:rPr>
              <w:rFonts w:asciiTheme="majorHAnsi" w:hAnsiTheme="majorHAnsi" w:cstheme="majorHAnsi"/>
              <w:b/>
              <w:bCs/>
              <w:szCs w:val="24"/>
            </w:rPr>
            <w:t xml:space="preserve">                                                                                                                              1</w:t>
          </w:r>
          <w:r w:rsidR="009372E1">
            <w:rPr>
              <w:rFonts w:asciiTheme="majorHAnsi" w:hAnsiTheme="majorHAnsi" w:cstheme="majorHAnsi"/>
              <w:b/>
              <w:bCs/>
              <w:szCs w:val="24"/>
            </w:rPr>
            <w:t>4</w:t>
          </w:r>
        </w:p>
        <w:p w14:paraId="036309A3" w14:textId="1C4FCF56" w:rsidR="0096360A" w:rsidRPr="00272DA5" w:rsidRDefault="00547B35" w:rsidP="0076166B">
          <w:pPr>
            <w:tabs>
              <w:tab w:val="left" w:pos="6300"/>
            </w:tabs>
            <w:spacing w:after="0"/>
            <w:rPr>
              <w:rFonts w:asciiTheme="majorHAnsi" w:hAnsiTheme="majorHAnsi" w:cstheme="majorHAnsi"/>
              <w:b/>
              <w:bCs/>
              <w:szCs w:val="24"/>
            </w:rPr>
          </w:pPr>
          <w:r w:rsidRPr="00272DA5">
            <w:rPr>
              <w:rFonts w:asciiTheme="majorHAnsi" w:hAnsiTheme="majorHAnsi" w:cstheme="majorHAnsi"/>
              <w:b/>
              <w:bCs/>
              <w:szCs w:val="24"/>
            </w:rPr>
            <w:t xml:space="preserve">  </w:t>
          </w:r>
          <w:r w:rsidR="00550ECC" w:rsidRPr="00272DA5">
            <w:rPr>
              <w:rFonts w:asciiTheme="majorHAnsi" w:hAnsiTheme="majorHAnsi" w:cstheme="majorHAnsi"/>
              <w:b/>
              <w:bCs/>
              <w:szCs w:val="24"/>
            </w:rPr>
            <w:t xml:space="preserve"> </w:t>
          </w:r>
          <w:r w:rsidRPr="00272DA5">
            <w:rPr>
              <w:rFonts w:asciiTheme="majorHAnsi" w:hAnsiTheme="majorHAnsi" w:cstheme="majorHAnsi"/>
              <w:b/>
              <w:bCs/>
              <w:szCs w:val="24"/>
            </w:rPr>
            <w:t xml:space="preserve">5.2 Skills Gap Analysis </w:t>
          </w:r>
          <w:r w:rsidR="00A05512">
            <w:rPr>
              <w:rFonts w:asciiTheme="majorHAnsi" w:hAnsiTheme="majorHAnsi" w:cstheme="majorHAnsi"/>
              <w:b/>
              <w:bCs/>
              <w:szCs w:val="24"/>
            </w:rPr>
            <w:t xml:space="preserve">                                                                                                                           1</w:t>
          </w:r>
          <w:r w:rsidR="009372E1">
            <w:rPr>
              <w:rFonts w:asciiTheme="majorHAnsi" w:hAnsiTheme="majorHAnsi" w:cstheme="majorHAnsi"/>
              <w:b/>
              <w:bCs/>
              <w:szCs w:val="24"/>
            </w:rPr>
            <w:t>4</w:t>
          </w:r>
        </w:p>
        <w:p w14:paraId="2D49DF4C" w14:textId="57D56246" w:rsidR="00772F2C" w:rsidRPr="00272DA5" w:rsidRDefault="0096360A" w:rsidP="0076166B">
          <w:pPr>
            <w:tabs>
              <w:tab w:val="left" w:pos="6300"/>
            </w:tabs>
            <w:spacing w:after="0"/>
            <w:rPr>
              <w:rFonts w:asciiTheme="majorHAnsi" w:hAnsiTheme="majorHAnsi" w:cstheme="majorHAnsi"/>
              <w:b/>
              <w:bCs/>
              <w:szCs w:val="24"/>
            </w:rPr>
          </w:pPr>
          <w:r w:rsidRPr="00272DA5">
            <w:rPr>
              <w:rFonts w:asciiTheme="majorHAnsi" w:hAnsiTheme="majorHAnsi" w:cstheme="majorHAnsi"/>
              <w:b/>
              <w:bCs/>
              <w:szCs w:val="24"/>
            </w:rPr>
            <w:t xml:space="preserve">  </w:t>
          </w:r>
          <w:r w:rsidR="00550ECC" w:rsidRPr="00272DA5">
            <w:rPr>
              <w:rFonts w:asciiTheme="majorHAnsi" w:hAnsiTheme="majorHAnsi" w:cstheme="majorHAnsi"/>
              <w:b/>
              <w:bCs/>
              <w:szCs w:val="24"/>
            </w:rPr>
            <w:t xml:space="preserve"> </w:t>
          </w:r>
          <w:r w:rsidRPr="00272DA5">
            <w:rPr>
              <w:rFonts w:asciiTheme="majorHAnsi" w:hAnsiTheme="majorHAnsi" w:cstheme="majorHAnsi"/>
              <w:b/>
              <w:bCs/>
              <w:szCs w:val="24"/>
            </w:rPr>
            <w:t xml:space="preserve">5.3 </w:t>
          </w:r>
          <w:r w:rsidR="00772F2C" w:rsidRPr="00272DA5">
            <w:rPr>
              <w:rFonts w:asciiTheme="majorHAnsi" w:hAnsiTheme="majorHAnsi" w:cstheme="majorHAnsi"/>
              <w:b/>
              <w:bCs/>
              <w:szCs w:val="24"/>
            </w:rPr>
            <w:t xml:space="preserve">Personal Development Plan </w:t>
          </w:r>
          <w:r w:rsidR="00A05512">
            <w:rPr>
              <w:rFonts w:asciiTheme="majorHAnsi" w:hAnsiTheme="majorHAnsi" w:cstheme="majorHAnsi"/>
              <w:b/>
              <w:bCs/>
              <w:szCs w:val="24"/>
            </w:rPr>
            <w:t xml:space="preserve">                                                                                                          1</w:t>
          </w:r>
          <w:r w:rsidR="009372E1">
            <w:rPr>
              <w:rFonts w:asciiTheme="majorHAnsi" w:hAnsiTheme="majorHAnsi" w:cstheme="majorHAnsi"/>
              <w:b/>
              <w:bCs/>
              <w:szCs w:val="24"/>
            </w:rPr>
            <w:t>5</w:t>
          </w:r>
        </w:p>
        <w:p w14:paraId="1D2E7414" w14:textId="7A192158" w:rsidR="00B3393E" w:rsidRPr="00272DA5" w:rsidRDefault="00772F2C" w:rsidP="0076166B">
          <w:pPr>
            <w:tabs>
              <w:tab w:val="left" w:pos="6300"/>
            </w:tabs>
            <w:spacing w:after="0"/>
            <w:rPr>
              <w:rFonts w:asciiTheme="majorHAnsi" w:hAnsiTheme="majorHAnsi" w:cstheme="majorHAnsi"/>
              <w:b/>
              <w:bCs/>
              <w:szCs w:val="24"/>
            </w:rPr>
          </w:pPr>
          <w:r w:rsidRPr="00272DA5">
            <w:rPr>
              <w:rFonts w:asciiTheme="majorHAnsi" w:hAnsiTheme="majorHAnsi" w:cstheme="majorHAnsi"/>
              <w:b/>
              <w:bCs/>
              <w:szCs w:val="24"/>
            </w:rPr>
            <w:t xml:space="preserve">  </w:t>
          </w:r>
          <w:r w:rsidR="00550ECC" w:rsidRPr="00272DA5">
            <w:rPr>
              <w:rFonts w:asciiTheme="majorHAnsi" w:hAnsiTheme="majorHAnsi" w:cstheme="majorHAnsi"/>
              <w:b/>
              <w:bCs/>
              <w:szCs w:val="24"/>
            </w:rPr>
            <w:t xml:space="preserve"> </w:t>
          </w:r>
          <w:r w:rsidRPr="00272DA5">
            <w:rPr>
              <w:rFonts w:asciiTheme="majorHAnsi" w:hAnsiTheme="majorHAnsi" w:cstheme="majorHAnsi"/>
              <w:b/>
              <w:bCs/>
              <w:szCs w:val="24"/>
            </w:rPr>
            <w:t>5.4 Managing Performance</w:t>
          </w:r>
          <w:r w:rsidR="00AB2955">
            <w:rPr>
              <w:rFonts w:asciiTheme="majorHAnsi" w:hAnsiTheme="majorHAnsi" w:cstheme="majorHAnsi"/>
              <w:b/>
              <w:bCs/>
              <w:szCs w:val="24"/>
            </w:rPr>
            <w:t xml:space="preserve">                                                                                                                   1</w:t>
          </w:r>
          <w:r w:rsidR="00824868">
            <w:rPr>
              <w:rFonts w:asciiTheme="majorHAnsi" w:hAnsiTheme="majorHAnsi" w:cstheme="majorHAnsi"/>
              <w:b/>
              <w:bCs/>
              <w:szCs w:val="24"/>
            </w:rPr>
            <w:t>5</w:t>
          </w:r>
        </w:p>
        <w:p w14:paraId="19C5B294" w14:textId="4710D2FD" w:rsidR="002E47FE" w:rsidRPr="00272DA5" w:rsidRDefault="00B3393E" w:rsidP="0076166B">
          <w:pPr>
            <w:tabs>
              <w:tab w:val="left" w:pos="6300"/>
            </w:tabs>
            <w:spacing w:after="0"/>
            <w:rPr>
              <w:rFonts w:asciiTheme="majorHAnsi" w:hAnsiTheme="majorHAnsi" w:cstheme="majorHAnsi"/>
              <w:b/>
              <w:bCs/>
              <w:szCs w:val="24"/>
            </w:rPr>
          </w:pPr>
          <w:r w:rsidRPr="00272DA5">
            <w:rPr>
              <w:rFonts w:asciiTheme="majorHAnsi" w:hAnsiTheme="majorHAnsi" w:cstheme="majorHAnsi"/>
              <w:b/>
              <w:bCs/>
              <w:szCs w:val="24"/>
            </w:rPr>
            <w:t xml:space="preserve">  </w:t>
          </w:r>
          <w:r w:rsidR="00550ECC" w:rsidRPr="00272DA5">
            <w:rPr>
              <w:rFonts w:asciiTheme="majorHAnsi" w:hAnsiTheme="majorHAnsi" w:cstheme="majorHAnsi"/>
              <w:b/>
              <w:bCs/>
              <w:szCs w:val="24"/>
            </w:rPr>
            <w:t xml:space="preserve"> </w:t>
          </w:r>
          <w:r w:rsidRPr="00272DA5">
            <w:rPr>
              <w:rFonts w:asciiTheme="majorHAnsi" w:hAnsiTheme="majorHAnsi" w:cstheme="majorHAnsi"/>
              <w:b/>
              <w:bCs/>
              <w:szCs w:val="24"/>
            </w:rPr>
            <w:t xml:space="preserve">5.5 Reflection on Sustainability </w:t>
          </w:r>
          <w:r w:rsidR="00AB2955">
            <w:rPr>
              <w:rFonts w:asciiTheme="majorHAnsi" w:hAnsiTheme="majorHAnsi" w:cstheme="majorHAnsi"/>
              <w:b/>
              <w:bCs/>
              <w:szCs w:val="24"/>
            </w:rPr>
            <w:t xml:space="preserve">                                                                                                           1</w:t>
          </w:r>
          <w:r w:rsidR="0062584A">
            <w:rPr>
              <w:rFonts w:asciiTheme="majorHAnsi" w:hAnsiTheme="majorHAnsi" w:cstheme="majorHAnsi"/>
              <w:b/>
              <w:bCs/>
              <w:szCs w:val="24"/>
            </w:rPr>
            <w:t>8</w:t>
          </w:r>
        </w:p>
        <w:p w14:paraId="6A4DABF1" w14:textId="0ABD6C0D" w:rsidR="002E47FE" w:rsidRPr="00272DA5" w:rsidRDefault="002E47FE" w:rsidP="0076166B">
          <w:pPr>
            <w:tabs>
              <w:tab w:val="left" w:pos="6300"/>
            </w:tabs>
            <w:spacing w:after="0"/>
            <w:rPr>
              <w:rFonts w:asciiTheme="majorHAnsi" w:hAnsiTheme="majorHAnsi" w:cstheme="majorHAnsi"/>
              <w:b/>
              <w:bCs/>
              <w:szCs w:val="24"/>
            </w:rPr>
          </w:pPr>
          <w:r w:rsidRPr="00272DA5">
            <w:rPr>
              <w:rFonts w:asciiTheme="majorHAnsi" w:hAnsiTheme="majorHAnsi" w:cstheme="majorHAnsi"/>
              <w:b/>
              <w:bCs/>
              <w:szCs w:val="24"/>
            </w:rPr>
            <w:t xml:space="preserve">6.0 </w:t>
          </w:r>
          <w:r w:rsidR="00F22756" w:rsidRPr="00272DA5">
            <w:rPr>
              <w:rFonts w:asciiTheme="majorHAnsi" w:hAnsiTheme="majorHAnsi" w:cstheme="majorHAnsi"/>
              <w:b/>
              <w:bCs/>
              <w:szCs w:val="24"/>
            </w:rPr>
            <w:t xml:space="preserve">Conclusion </w:t>
          </w:r>
          <w:r w:rsidRPr="00272DA5">
            <w:rPr>
              <w:rFonts w:asciiTheme="majorHAnsi" w:hAnsiTheme="majorHAnsi" w:cstheme="majorHAnsi"/>
              <w:b/>
              <w:bCs/>
              <w:szCs w:val="24"/>
            </w:rPr>
            <w:t xml:space="preserve"> </w:t>
          </w:r>
          <w:r w:rsidR="00A339C7">
            <w:rPr>
              <w:rFonts w:asciiTheme="majorHAnsi" w:hAnsiTheme="majorHAnsi" w:cstheme="majorHAnsi"/>
              <w:b/>
              <w:bCs/>
              <w:szCs w:val="24"/>
            </w:rPr>
            <w:t xml:space="preserve">                                                                                                                                           </w:t>
          </w:r>
          <w:r w:rsidR="00531CA7">
            <w:rPr>
              <w:rFonts w:asciiTheme="majorHAnsi" w:hAnsiTheme="majorHAnsi" w:cstheme="majorHAnsi"/>
              <w:b/>
              <w:bCs/>
              <w:szCs w:val="24"/>
            </w:rPr>
            <w:t>19</w:t>
          </w:r>
        </w:p>
        <w:p w14:paraId="2BF66C93" w14:textId="1C0E6949" w:rsidR="00583709" w:rsidRPr="00272DA5" w:rsidRDefault="00EC32A6" w:rsidP="0076166B">
          <w:pPr>
            <w:tabs>
              <w:tab w:val="left" w:pos="6300"/>
            </w:tabs>
            <w:spacing w:after="0"/>
            <w:rPr>
              <w:rFonts w:asciiTheme="majorHAnsi" w:hAnsiTheme="majorHAnsi" w:cstheme="majorHAnsi"/>
              <w:szCs w:val="24"/>
            </w:rPr>
          </w:pPr>
          <w:r w:rsidRPr="00272DA5">
            <w:rPr>
              <w:rFonts w:asciiTheme="majorHAnsi" w:hAnsiTheme="majorHAnsi" w:cstheme="majorHAnsi"/>
              <w:b/>
              <w:bCs/>
              <w:szCs w:val="24"/>
            </w:rPr>
            <w:t xml:space="preserve">7.0 </w:t>
          </w:r>
          <w:r w:rsidR="002E47FE" w:rsidRPr="00272DA5">
            <w:rPr>
              <w:rFonts w:asciiTheme="majorHAnsi" w:hAnsiTheme="majorHAnsi" w:cstheme="majorHAnsi"/>
              <w:b/>
              <w:bCs/>
              <w:szCs w:val="24"/>
            </w:rPr>
            <w:t>References</w:t>
          </w:r>
          <w:r w:rsidR="002E47FE" w:rsidRPr="00272DA5">
            <w:rPr>
              <w:rFonts w:asciiTheme="majorHAnsi" w:hAnsiTheme="majorHAnsi" w:cstheme="majorHAnsi"/>
              <w:szCs w:val="24"/>
            </w:rPr>
            <w:t xml:space="preserve"> </w:t>
          </w:r>
          <w:r w:rsidR="00C049BD">
            <w:rPr>
              <w:rFonts w:asciiTheme="majorHAnsi" w:hAnsiTheme="majorHAnsi" w:cstheme="majorHAnsi"/>
              <w:szCs w:val="24"/>
            </w:rPr>
            <w:t xml:space="preserve">                                                                                                                                      </w:t>
          </w:r>
          <w:r w:rsidR="00531CA7">
            <w:rPr>
              <w:rFonts w:asciiTheme="majorHAnsi" w:hAnsiTheme="majorHAnsi" w:cstheme="majorHAnsi"/>
              <w:b/>
              <w:bCs/>
              <w:szCs w:val="24"/>
            </w:rPr>
            <w:t>18-21</w:t>
          </w:r>
        </w:p>
      </w:sdtContent>
    </w:sdt>
    <w:p w14:paraId="2821F778" w14:textId="77777777" w:rsidR="007C463F" w:rsidRPr="00272DA5" w:rsidRDefault="007C463F">
      <w:pPr>
        <w:rPr>
          <w:rFonts w:asciiTheme="majorHAnsi" w:eastAsia="Arial" w:hAnsiTheme="majorHAnsi" w:cstheme="majorHAnsi"/>
          <w:color w:val="2E75B5"/>
          <w:szCs w:val="24"/>
        </w:rPr>
      </w:pPr>
    </w:p>
    <w:p w14:paraId="1025CAF0" w14:textId="77777777" w:rsidR="007C463F" w:rsidRPr="00272DA5" w:rsidRDefault="007C463F">
      <w:pPr>
        <w:rPr>
          <w:rFonts w:asciiTheme="majorHAnsi" w:eastAsia="Arial" w:hAnsiTheme="majorHAnsi" w:cstheme="majorHAnsi"/>
          <w:color w:val="2E75B5"/>
          <w:szCs w:val="24"/>
        </w:rPr>
      </w:pPr>
    </w:p>
    <w:p w14:paraId="03192BFD" w14:textId="77777777" w:rsidR="007C463F" w:rsidRPr="00272DA5" w:rsidRDefault="007C463F">
      <w:pPr>
        <w:rPr>
          <w:rFonts w:asciiTheme="majorHAnsi" w:eastAsia="Arial" w:hAnsiTheme="majorHAnsi" w:cstheme="majorHAnsi"/>
          <w:color w:val="2E75B5"/>
          <w:szCs w:val="24"/>
        </w:rPr>
      </w:pPr>
    </w:p>
    <w:p w14:paraId="57F6695F" w14:textId="77777777" w:rsidR="007C463F" w:rsidRPr="00272DA5" w:rsidRDefault="007C463F">
      <w:pPr>
        <w:rPr>
          <w:rFonts w:asciiTheme="majorHAnsi" w:eastAsia="Arial" w:hAnsiTheme="majorHAnsi" w:cstheme="majorHAnsi"/>
          <w:color w:val="2E75B5"/>
          <w:szCs w:val="24"/>
        </w:rPr>
      </w:pPr>
    </w:p>
    <w:p w14:paraId="3EF5DC6D" w14:textId="77777777" w:rsidR="007C463F" w:rsidRPr="00272DA5" w:rsidRDefault="007C463F">
      <w:pPr>
        <w:rPr>
          <w:rFonts w:asciiTheme="majorHAnsi" w:eastAsia="Arial" w:hAnsiTheme="majorHAnsi" w:cstheme="majorHAnsi"/>
          <w:color w:val="2E75B5"/>
          <w:szCs w:val="24"/>
        </w:rPr>
      </w:pPr>
    </w:p>
    <w:p w14:paraId="201B8724" w14:textId="77777777" w:rsidR="007C463F" w:rsidRPr="00272DA5" w:rsidRDefault="007C463F">
      <w:pPr>
        <w:rPr>
          <w:rFonts w:asciiTheme="majorHAnsi" w:eastAsia="Arial" w:hAnsiTheme="majorHAnsi" w:cstheme="majorHAnsi"/>
          <w:color w:val="2E75B5"/>
          <w:szCs w:val="24"/>
        </w:rPr>
      </w:pPr>
    </w:p>
    <w:p w14:paraId="3B5D05E0" w14:textId="77777777" w:rsidR="00DA3242" w:rsidRPr="00272DA5" w:rsidRDefault="00DA3242">
      <w:pPr>
        <w:rPr>
          <w:rFonts w:asciiTheme="majorHAnsi" w:eastAsia="Arial" w:hAnsiTheme="majorHAnsi" w:cstheme="majorHAnsi"/>
          <w:color w:val="2E75B5"/>
          <w:szCs w:val="24"/>
        </w:rPr>
      </w:pPr>
    </w:p>
    <w:p w14:paraId="793F21D2" w14:textId="77777777" w:rsidR="00DA3242" w:rsidRDefault="00DA3242">
      <w:pPr>
        <w:rPr>
          <w:rFonts w:asciiTheme="majorHAnsi" w:eastAsia="Arial" w:hAnsiTheme="majorHAnsi" w:cstheme="majorHAnsi"/>
          <w:color w:val="2E75B5"/>
          <w:szCs w:val="24"/>
        </w:rPr>
      </w:pPr>
    </w:p>
    <w:p w14:paraId="048C2D37" w14:textId="77777777" w:rsidR="008A3B67" w:rsidRPr="00272DA5" w:rsidRDefault="008A3B67">
      <w:pPr>
        <w:rPr>
          <w:rFonts w:asciiTheme="majorHAnsi" w:eastAsia="Arial" w:hAnsiTheme="majorHAnsi" w:cstheme="majorHAnsi"/>
          <w:color w:val="2E75B5"/>
          <w:szCs w:val="24"/>
        </w:rPr>
      </w:pPr>
    </w:p>
    <w:p w14:paraId="45206C87" w14:textId="77777777" w:rsidR="007C463F" w:rsidRPr="00272DA5" w:rsidRDefault="007C463F">
      <w:pPr>
        <w:rPr>
          <w:rFonts w:asciiTheme="majorHAnsi" w:eastAsia="Arial" w:hAnsiTheme="majorHAnsi" w:cstheme="majorHAnsi"/>
          <w:color w:val="2E75B5"/>
          <w:szCs w:val="24"/>
        </w:rPr>
      </w:pPr>
    </w:p>
    <w:p w14:paraId="301963E6" w14:textId="77777777" w:rsidR="00DA3242" w:rsidRPr="00272DA5" w:rsidRDefault="00DA3242">
      <w:pPr>
        <w:rPr>
          <w:rFonts w:asciiTheme="majorHAnsi" w:eastAsia="Arial" w:hAnsiTheme="majorHAnsi" w:cstheme="majorHAnsi"/>
          <w:color w:val="2E75B5"/>
          <w:szCs w:val="24"/>
        </w:rPr>
      </w:pPr>
    </w:p>
    <w:p w14:paraId="000F4AD6" w14:textId="77777777" w:rsidR="007C463F" w:rsidRPr="00272DA5" w:rsidRDefault="007C463F">
      <w:pPr>
        <w:rPr>
          <w:rFonts w:asciiTheme="majorHAnsi" w:eastAsia="Arial" w:hAnsiTheme="majorHAnsi" w:cstheme="majorHAnsi"/>
          <w:color w:val="2E75B5"/>
          <w:szCs w:val="24"/>
        </w:rPr>
      </w:pPr>
    </w:p>
    <w:p w14:paraId="3C07AC38" w14:textId="77777777" w:rsidR="007C463F" w:rsidRPr="00272DA5" w:rsidRDefault="007C463F" w:rsidP="00B76E33">
      <w:pPr>
        <w:spacing w:after="0"/>
        <w:rPr>
          <w:rFonts w:asciiTheme="majorHAnsi" w:hAnsiTheme="majorHAnsi" w:cstheme="majorHAnsi"/>
          <w:szCs w:val="24"/>
        </w:rPr>
      </w:pPr>
    </w:p>
    <w:p w14:paraId="39418C0A" w14:textId="2E9D7421" w:rsidR="00DA3242" w:rsidRPr="00272DA5" w:rsidRDefault="005831A9" w:rsidP="00B76E33">
      <w:pPr>
        <w:pStyle w:val="Heading1"/>
        <w:numPr>
          <w:ilvl w:val="0"/>
          <w:numId w:val="3"/>
        </w:numPr>
        <w:rPr>
          <w:rFonts w:asciiTheme="majorHAnsi" w:hAnsiTheme="majorHAnsi" w:cstheme="majorHAnsi"/>
          <w:b/>
          <w:bCs/>
          <w:color w:val="auto"/>
          <w:sz w:val="24"/>
          <w:szCs w:val="24"/>
        </w:rPr>
      </w:pPr>
      <w:bookmarkStart w:id="0" w:name="_1ci93xb" w:colFirst="0" w:colLast="0"/>
      <w:bookmarkStart w:id="1" w:name="_Toc240035778"/>
      <w:bookmarkEnd w:id="0"/>
      <w:r w:rsidRPr="00272DA5">
        <w:rPr>
          <w:rFonts w:asciiTheme="majorHAnsi" w:hAnsiTheme="majorHAnsi" w:cstheme="majorHAnsi"/>
          <w:b/>
          <w:bCs/>
          <w:color w:val="auto"/>
          <w:sz w:val="24"/>
          <w:szCs w:val="24"/>
        </w:rPr>
        <w:lastRenderedPageBreak/>
        <w:t>Introduction</w:t>
      </w:r>
      <w:bookmarkEnd w:id="1"/>
    </w:p>
    <w:p w14:paraId="01333275" w14:textId="77777777" w:rsidR="00DA3242" w:rsidRPr="00272DA5" w:rsidRDefault="00DA3242" w:rsidP="00B76E33">
      <w:pPr>
        <w:spacing w:after="0"/>
        <w:rPr>
          <w:rFonts w:asciiTheme="majorHAnsi" w:hAnsiTheme="majorHAnsi" w:cstheme="majorHAnsi"/>
          <w:szCs w:val="24"/>
        </w:rPr>
      </w:pPr>
    </w:p>
    <w:p w14:paraId="2E014E23" w14:textId="27861912" w:rsidR="001543B6" w:rsidRPr="00272DA5" w:rsidRDefault="001543B6" w:rsidP="00B76E33">
      <w:pPr>
        <w:spacing w:after="0"/>
        <w:rPr>
          <w:rFonts w:asciiTheme="majorHAnsi" w:hAnsiTheme="majorHAnsi" w:cstheme="majorHAnsi"/>
          <w:b/>
          <w:bCs/>
          <w:szCs w:val="24"/>
        </w:rPr>
      </w:pPr>
      <w:r w:rsidRPr="00272DA5">
        <w:rPr>
          <w:rFonts w:asciiTheme="majorHAnsi" w:hAnsiTheme="majorHAnsi" w:cstheme="majorHAnsi"/>
          <w:szCs w:val="24"/>
        </w:rPr>
        <w:t xml:space="preserve">This report examines the relationship between employee development, workplace relationships and organisational performance within Accomplish, part of Keys Group. It also explores how effective performance management and personal development planning can support workforce capability, leadership development and improved outcomes for individuals receiving </w:t>
      </w:r>
      <w:r w:rsidR="00F06988" w:rsidRPr="00272DA5">
        <w:rPr>
          <w:rFonts w:asciiTheme="majorHAnsi" w:hAnsiTheme="majorHAnsi" w:cstheme="majorHAnsi"/>
          <w:szCs w:val="24"/>
        </w:rPr>
        <w:t xml:space="preserve">person centred </w:t>
      </w:r>
      <w:r w:rsidRPr="00272DA5">
        <w:rPr>
          <w:rFonts w:asciiTheme="majorHAnsi" w:hAnsiTheme="majorHAnsi" w:cstheme="majorHAnsi"/>
          <w:szCs w:val="24"/>
        </w:rPr>
        <w:t>support.</w:t>
      </w:r>
    </w:p>
    <w:p w14:paraId="5DD37F00" w14:textId="442E0F17" w:rsidR="002F555A" w:rsidRPr="00272DA5" w:rsidRDefault="002F555A" w:rsidP="002F555A">
      <w:pPr>
        <w:rPr>
          <w:rFonts w:asciiTheme="majorHAnsi" w:hAnsiTheme="majorHAnsi" w:cstheme="majorHAnsi"/>
          <w:szCs w:val="24"/>
        </w:rPr>
      </w:pPr>
      <w:r w:rsidRPr="00272DA5">
        <w:rPr>
          <w:rFonts w:asciiTheme="majorHAnsi" w:hAnsiTheme="majorHAnsi" w:cstheme="majorHAnsi"/>
          <w:szCs w:val="24"/>
        </w:rPr>
        <w:t xml:space="preserve">Accomplish provides residential and supported living services for adults with learning disabilities, autism, mental health needs and acquired brain injuries. The residential service in which I work supports eight residents with complex mental health and behavioural needs and employs eighteen members of staff, including support workers, senior support workers, team leaders and management. As Deputy Manager, I am responsible for supporting staff development, monitoring performance, ensuring compliance with safeguarding requirements and Care </w:t>
      </w:r>
      <w:r w:rsidR="00514BBB">
        <w:rPr>
          <w:rFonts w:asciiTheme="majorHAnsi" w:hAnsiTheme="majorHAnsi" w:cstheme="majorHAnsi"/>
          <w:szCs w:val="24"/>
        </w:rPr>
        <w:t>Inspectorate Wales</w:t>
      </w:r>
      <w:r w:rsidRPr="00272DA5">
        <w:rPr>
          <w:rFonts w:asciiTheme="majorHAnsi" w:hAnsiTheme="majorHAnsi" w:cstheme="majorHAnsi"/>
          <w:szCs w:val="24"/>
        </w:rPr>
        <w:t xml:space="preserve"> (</w:t>
      </w:r>
      <w:r w:rsidR="00514BBB">
        <w:rPr>
          <w:rFonts w:asciiTheme="majorHAnsi" w:hAnsiTheme="majorHAnsi" w:cstheme="majorHAnsi"/>
          <w:szCs w:val="24"/>
        </w:rPr>
        <w:t>CIW</w:t>
      </w:r>
      <w:r w:rsidRPr="00272DA5">
        <w:rPr>
          <w:rFonts w:asciiTheme="majorHAnsi" w:hAnsiTheme="majorHAnsi" w:cstheme="majorHAnsi"/>
          <w:szCs w:val="24"/>
        </w:rPr>
        <w:t>) standards, and maintaining the delivery of safe, effective and person-centred care. This workplace context provides a practical example of how employee development can influence service quality, staff retention, workplace relationships and organisational performance.</w:t>
      </w:r>
    </w:p>
    <w:p w14:paraId="67EC8EBD" w14:textId="77777777" w:rsidR="001543B6" w:rsidRPr="00272DA5" w:rsidRDefault="001543B6" w:rsidP="001543B6">
      <w:pPr>
        <w:rPr>
          <w:rFonts w:asciiTheme="majorHAnsi" w:hAnsiTheme="majorHAnsi" w:cstheme="majorHAnsi"/>
          <w:b/>
          <w:bCs/>
          <w:szCs w:val="24"/>
        </w:rPr>
      </w:pPr>
      <w:r w:rsidRPr="00272DA5">
        <w:rPr>
          <w:rFonts w:asciiTheme="majorHAnsi" w:hAnsiTheme="majorHAnsi" w:cstheme="majorHAnsi"/>
          <w:szCs w:val="24"/>
        </w:rPr>
        <w:t>The concept of the learning organisation is central to workforce development within modern health and social care services. Senge (1990) argues that organisations achieve sustainable success by promoting continuous learning, knowledge sharing and collaborative problem-solving. Similarly, the Chartered Institute of Personnel and Development (CIPD, 2023) emphasises that learning and development should be aligned with organisational objectives to improve employee capability, engagement and organisational performance. Becker's (1993) Human Capital Theory further suggests that investment in employee knowledge and skills contributes directly to productivity and long-term organisational effectiveness.</w:t>
      </w:r>
    </w:p>
    <w:p w14:paraId="792CD7EE" w14:textId="77777777" w:rsidR="001543B6" w:rsidRPr="00272DA5" w:rsidRDefault="001543B6" w:rsidP="001543B6">
      <w:pPr>
        <w:rPr>
          <w:rFonts w:asciiTheme="majorHAnsi" w:hAnsiTheme="majorHAnsi" w:cstheme="majorHAnsi"/>
          <w:b/>
          <w:bCs/>
          <w:szCs w:val="24"/>
        </w:rPr>
      </w:pPr>
      <w:r w:rsidRPr="00272DA5">
        <w:rPr>
          <w:rFonts w:asciiTheme="majorHAnsi" w:hAnsiTheme="majorHAnsi" w:cstheme="majorHAnsi"/>
          <w:szCs w:val="24"/>
        </w:rPr>
        <w:t>Strong workplace relationships and effective performance management are equally important. Within Accomplish, staff development directly influences the quality of support provided to residents.</w:t>
      </w:r>
    </w:p>
    <w:p w14:paraId="168FCD6E" w14:textId="77777777" w:rsidR="005831A9" w:rsidRPr="00272DA5" w:rsidRDefault="005831A9">
      <w:pPr>
        <w:rPr>
          <w:rFonts w:asciiTheme="majorHAnsi" w:hAnsiTheme="majorHAnsi" w:cstheme="majorHAnsi"/>
          <w:szCs w:val="24"/>
        </w:rPr>
      </w:pPr>
    </w:p>
    <w:p w14:paraId="204F5FBF" w14:textId="2018E35A" w:rsidR="005831A9" w:rsidRPr="00272DA5" w:rsidRDefault="005831A9">
      <w:pPr>
        <w:rPr>
          <w:rFonts w:asciiTheme="majorHAnsi" w:hAnsiTheme="majorHAnsi" w:cstheme="majorHAnsi"/>
          <w:szCs w:val="24"/>
        </w:rPr>
      </w:pPr>
    </w:p>
    <w:p w14:paraId="15DF728E" w14:textId="77777777" w:rsidR="000B142C" w:rsidRPr="00272DA5" w:rsidRDefault="000B142C" w:rsidP="005831A9">
      <w:pPr>
        <w:pStyle w:val="Heading1"/>
        <w:rPr>
          <w:rFonts w:asciiTheme="majorHAnsi" w:hAnsiTheme="majorHAnsi" w:cstheme="majorHAnsi"/>
          <w:b/>
          <w:bCs/>
          <w:color w:val="auto"/>
          <w:sz w:val="24"/>
          <w:szCs w:val="24"/>
        </w:rPr>
      </w:pPr>
    </w:p>
    <w:p w14:paraId="6118527C" w14:textId="77777777" w:rsidR="000B142C" w:rsidRPr="00272DA5" w:rsidRDefault="000B142C" w:rsidP="000B142C">
      <w:pPr>
        <w:rPr>
          <w:rFonts w:asciiTheme="majorHAnsi" w:hAnsiTheme="majorHAnsi" w:cstheme="majorHAnsi"/>
          <w:szCs w:val="24"/>
        </w:rPr>
      </w:pPr>
    </w:p>
    <w:p w14:paraId="014AAEB7" w14:textId="77777777" w:rsidR="000B142C" w:rsidRPr="00272DA5" w:rsidRDefault="000B142C" w:rsidP="000B142C">
      <w:pPr>
        <w:rPr>
          <w:rFonts w:asciiTheme="majorHAnsi" w:hAnsiTheme="majorHAnsi" w:cstheme="majorHAnsi"/>
          <w:szCs w:val="24"/>
        </w:rPr>
      </w:pPr>
    </w:p>
    <w:p w14:paraId="096D61F7" w14:textId="77777777" w:rsidR="000B142C" w:rsidRPr="00272DA5" w:rsidRDefault="000B142C" w:rsidP="000B142C">
      <w:pPr>
        <w:rPr>
          <w:rFonts w:asciiTheme="majorHAnsi" w:hAnsiTheme="majorHAnsi" w:cstheme="majorHAnsi"/>
          <w:szCs w:val="24"/>
        </w:rPr>
      </w:pPr>
    </w:p>
    <w:p w14:paraId="2C4CC8E0" w14:textId="77777777" w:rsidR="00911BD3" w:rsidRPr="00272DA5" w:rsidRDefault="00911BD3" w:rsidP="00FC5E0F">
      <w:pPr>
        <w:rPr>
          <w:rFonts w:asciiTheme="majorHAnsi" w:hAnsiTheme="majorHAnsi" w:cstheme="majorHAnsi"/>
          <w:b/>
          <w:bCs/>
          <w:szCs w:val="24"/>
        </w:rPr>
      </w:pPr>
    </w:p>
    <w:p w14:paraId="1BF120C5" w14:textId="77777777" w:rsidR="0005084C" w:rsidRPr="00272DA5" w:rsidRDefault="0005084C" w:rsidP="0005084C">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lastRenderedPageBreak/>
        <w:t>2.0 Benefits of Developing Individuals in the Workplace</w:t>
      </w:r>
    </w:p>
    <w:p w14:paraId="45D90157" w14:textId="070DC7EF" w:rsidR="00A27BF3"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 xml:space="preserve">Employee development is a strategic responsibility within health and social care, where professional competence influences service quality, organisational effectiveness and regulatory compliance. Within Accomplish, part of Keys Group, investment in training, supervision, mentoring and career development can strengthen workforce capability while promoting person-centred support. However, organisational benefits depend upon whether employees transfer learning into practice and whether managers evaluate its effectiveness. </w:t>
      </w:r>
      <w:r w:rsidR="00053B88" w:rsidRPr="00053B88">
        <w:rPr>
          <w:rFonts w:asciiTheme="majorHAnsi" w:hAnsiTheme="majorHAnsi" w:cstheme="majorHAnsi"/>
          <w:color w:val="000000" w:themeColor="text1"/>
          <w:sz w:val="24"/>
          <w:szCs w:val="24"/>
        </w:rPr>
        <w:t>Investing in employees' knowledge and skills increases both individual productivity and organisational efficacy, according to human capital theory (Becker, 1993). Employee abilities that are significant, rare, and difficult to duplicate can offer a sustained competitive advantage, according to the Resource-Based View (Barney, 1991).  The Social Exchange Theory states that when companies encourage their employees' professional development, they are more likely to exhibit commitment, engagement, and positive workplace behaviours (Blau, 1964).</w:t>
      </w:r>
    </w:p>
    <w:p w14:paraId="17A434EE" w14:textId="4943B73A" w:rsidR="0005084C" w:rsidRPr="00272DA5" w:rsidRDefault="0005084C" w:rsidP="0005084C">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2.1 Theoretical Perspectives on Employee Development</w:t>
      </w:r>
    </w:p>
    <w:p w14:paraId="118F5C64" w14:textId="77777777" w:rsidR="0005084C" w:rsidRPr="00272DA5" w:rsidRDefault="0005084C" w:rsidP="0005084C">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Human Capital Theory</w:t>
      </w:r>
    </w:p>
    <w:p w14:paraId="43D81835"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Human Capital Theory proposes that investment in employee knowledge, skills and abilities enhances individual productivity and organisational effectiveness (Becker, 1993). The theory views training and development as a long-term organisational investment rather than an operational expense. Research by Schultz (1961) further supports the argument that education and training create economic value through enhanced workforce capability. However, Human Capital Theory assumes that increased knowledge automatically leads to improved performance. Consequently, training alone is insufficient unless supported by effective supervision, coaching and performance management.</w:t>
      </w:r>
    </w:p>
    <w:p w14:paraId="542585B7" w14:textId="77777777" w:rsidR="0005084C" w:rsidRPr="00272DA5" w:rsidRDefault="0005084C" w:rsidP="0005084C">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Resource-Based View (RBV)</w:t>
      </w:r>
    </w:p>
    <w:p w14:paraId="3E879CDD"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Barney's (1991) Resource-Based View argues that organisations achieve sustained success through resources that are valuable, rare, difficult to imitate and non-substitutable. Employee knowledge, experience and professional expertise therefore represent strategic assets that competitors cannot easily replicate. Within Accomplish, experienced support workers and team leaders possess extensive knowledge of individuals' communication methods, behavioural triggers, risk management plans and personal preferences. Through mentoring, induction programmes and ongoing professional development, Accomplish can retain and expand this expertise, strengthening organisational capability and service quality. Unlike Human Capital Theory, RBV focuses on how employee development contributes to organisational sustainability and strategic advantage rather than solely improving individual productivity. Despite these strengths, RBV has limitations in social care settings. Consequently, effective succession planning, mentoring and knowledge-sharing systems are essential to reduce dependency on key individuals (Wright et al., 2001).</w:t>
      </w:r>
    </w:p>
    <w:p w14:paraId="7399ACE3" w14:textId="77777777" w:rsidR="0005084C" w:rsidRPr="00272DA5" w:rsidRDefault="0005084C" w:rsidP="0005084C">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Social Exchange Theory</w:t>
      </w:r>
    </w:p>
    <w:p w14:paraId="698A822A"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lastRenderedPageBreak/>
        <w:t>Social Exchange Theory suggests that employees reciprocate positive treatment from their employer through increased commitment, loyalty and performance (Blau, 1964). When organisations invest in employee development, employees are more likely to feel valued and supported, creating stronger psychological contracts between employees and managers. Within Accomplish, opportunities for training, supervision, career progression and leadership development can improve employee engagement and motivation. This is particularly important in social care, where staff retention remains a significant challenge. However, the theory assumes that employees will always respond positively to organisational investment, despite external factors such as workload pressures, alternative employment opportunities and personal circumstances.</w:t>
      </w:r>
    </w:p>
    <w:p w14:paraId="01B06F49" w14:textId="77777777" w:rsidR="0005084C" w:rsidRPr="00272DA5" w:rsidRDefault="0005084C" w:rsidP="0005084C">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Learning Organisation Theory</w:t>
      </w:r>
    </w:p>
    <w:p w14:paraId="68A9F7D1"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Senge (1990) argues that organisations achieve sustainable success when they create cultures that encourage continuous learning, knowledge sharing and collective problem-solving. Learning organisations support both individual and team development, enabling employees to adapt to changing environments and improve performance. Within Accomplish, learning occurs through supervision, reflective practice, mandatory training, team meetings and incident reviews. This contributes to safer services, continuous quality improvement and regulatory compliance. Nevertheless, creating a genuine learning culture requires significant managerial commitment, time and resources.</w:t>
      </w:r>
    </w:p>
    <w:p w14:paraId="5B9504E3"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Collectively, these theories demonstrate that employee development extends beyond individual learning and can generate significant organisational benefits. Within Accomplish, investment in workforce development contributes to employee retention, organisational performance and leadership continuity.</w:t>
      </w:r>
    </w:p>
    <w:p w14:paraId="7EE961E3" w14:textId="77777777" w:rsidR="0005084C" w:rsidRPr="00272DA5" w:rsidRDefault="0005084C" w:rsidP="0005084C">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2.2 Benefits to Accomplish as an Organisation</w:t>
      </w:r>
    </w:p>
    <w:p w14:paraId="5A5D311B" w14:textId="77777777" w:rsidR="0005084C" w:rsidRPr="00272DA5" w:rsidRDefault="0005084C" w:rsidP="0005084C">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Improved Employee Retention</w:t>
      </w:r>
    </w:p>
    <w:p w14:paraId="4431CB86"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Professional development can contribute to employee retention by creating opportunities for career progression and enhancing job satisfaction. Social Exchange Theory suggests that employees who perceive organisational investment are more likely to demonstrate commitment and loyalty (Blau, 1964).</w:t>
      </w:r>
    </w:p>
    <w:p w14:paraId="4559B10A"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For Accomplish, supporting employees to achieve vocational qualifications such as QCF Levels 2-5 in Health and Social Care, undertake specialist training and progress into senior roles may reduce recruitment costs and reliance on agency staff. Retaining experienced employees also preserves professional expertise and established relationships with residents, particularly those who depend upon familiarity, consistency and trusting relationships to maintain emotional wellbeing and reduce anxiety. However, development opportunities may also enhance employees' external employability, increasing the risk of turnover. Consequently, Accomplish must complement development initiatives with effective leadership, career progression opportunities and positive working conditions. Retention outcomes should therefore be evaluated through turnover data, staff surveys, supervision records and exit interviews rather than assuming that training alone increases organisational commitment.</w:t>
      </w:r>
    </w:p>
    <w:p w14:paraId="1CE9B2EA" w14:textId="77777777" w:rsidR="0005084C" w:rsidRPr="00272DA5" w:rsidRDefault="0005084C" w:rsidP="0005084C">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lastRenderedPageBreak/>
        <w:t>Improved Organisational Performance</w:t>
      </w:r>
    </w:p>
    <w:p w14:paraId="4C816C29"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Employee development can improve operational effectiveness, accountability and regulatory compliance. Human Capital Theory suggests that investment in workforce capability contributes to improved organisational performance and productivity (Becker, 1993). In social care settings, training helps employees understand professional responsibilities, safeguarding duties and documentation requirements.</w:t>
      </w:r>
    </w:p>
    <w:p w14:paraId="1C1F40BB"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Within Accomplish, improved understanding of electronic care planning systems, reporting procedures and risk management processes can reduce recording errors and strengthen audit outcomes. Enhanced knowledge may also support compliance with Care Inspectorate Wales (CIW) regulatory requirements and internal quality assurance processes. However, compliance indicators alone do not provide a complete measure of service effectiveness, as positive audit outcomes do not necessarily demonstrate improved resident wellbeing, independence or quality of life.</w:t>
      </w:r>
    </w:p>
    <w:p w14:paraId="7603059F" w14:textId="77777777" w:rsidR="0005084C" w:rsidRPr="00272DA5" w:rsidRDefault="0005084C" w:rsidP="0005084C">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Effective Succession Planning</w:t>
      </w:r>
    </w:p>
    <w:p w14:paraId="6CFB8DBC"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Developing employees for leadership positions supports organisational stability, workforce sustainability and leadership continuity. Effective succession planning enables organisations to retain critical knowledge, reduce the impact of leadership vacancies and ensure continuity of service delivery.</w:t>
      </w:r>
    </w:p>
    <w:p w14:paraId="09795192" w14:textId="77777777" w:rsidR="0005084C" w:rsidRPr="00272DA5" w:rsidRDefault="0005084C" w:rsidP="0005084C">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Within Accomplish, Team Leaders can develop management capabilities through mentoring, delegated responsibilities, leadership training and involvement in operational decision-making. For example, participation in staff supervision, quality audits, investigations and rota management can prepare employees for future Deputy Manager or Registered Manager positions.</w:t>
      </w:r>
    </w:p>
    <w:p w14:paraId="5A295BD5" w14:textId="7DA87D63" w:rsidR="00582F52" w:rsidRPr="00B76E33" w:rsidRDefault="0005084C" w:rsidP="00B76E33">
      <w:pPr>
        <w:pStyle w:val="Heading2"/>
        <w:rPr>
          <w:rFonts w:asciiTheme="majorHAnsi" w:hAnsiTheme="majorHAnsi" w:cstheme="majorHAnsi"/>
          <w:color w:val="000000" w:themeColor="text1"/>
          <w:sz w:val="24"/>
          <w:szCs w:val="24"/>
        </w:rPr>
      </w:pPr>
      <w:r w:rsidRPr="00272DA5">
        <w:rPr>
          <w:rFonts w:asciiTheme="majorHAnsi" w:hAnsiTheme="majorHAnsi" w:cstheme="majorHAnsi"/>
          <w:color w:val="000000" w:themeColor="text1"/>
          <w:sz w:val="24"/>
          <w:szCs w:val="24"/>
        </w:rPr>
        <w:t>Despite these benefits, strong care practice does not automatically translate into effective leadership performance. Therefore, leadership potential should be developed through structured learning, coaching and competency-based assessment rather than relying solely on experience within care roles.</w:t>
      </w:r>
    </w:p>
    <w:p w14:paraId="2EB2B180" w14:textId="1850430F" w:rsidR="00582F52" w:rsidRPr="00272DA5" w:rsidRDefault="0042625B" w:rsidP="00582F52">
      <w:pPr>
        <w:spacing w:after="0"/>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2.3 Overall Critical Evaluation</w:t>
      </w:r>
    </w:p>
    <w:p w14:paraId="5B19680E" w14:textId="7DFB59D8" w:rsidR="0042625B" w:rsidRPr="00272DA5" w:rsidRDefault="0042625B" w:rsidP="00582F52">
      <w:pPr>
        <w:spacing w:after="0"/>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Employee development provides Accomplish with several interconnected organisational benefits, including improved quality of care, employee retention, operational effectiveness and leadership succession. Human Capital Theory suggests that investment in workforce capability can enhance individual and organisational performance (Becker, 1993), while the Resource-Based View identifies employee knowledge and expertise as strategic assets that contribute to long-term organisational success (Barney, 1991). Social Exchange Theory further highlights the importance of workplace relationships, arguing that employees are more likely to demonstrate commitment and positive work behaviours when they feel valued and supported by their employer (Blau, 1964).</w:t>
      </w:r>
    </w:p>
    <w:p w14:paraId="78B9BD2B" w14:textId="77777777" w:rsidR="0042625B" w:rsidRPr="00272DA5" w:rsidRDefault="0042625B" w:rsidP="0042625B">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 xml:space="preserve">However, a critical evaluation suggests that training alone is insufficient to achieve these outcomes. CIPD (2023) emphasises that effective learning and development requires organisational support, managerial commitment and ongoing evaluation to ensure learning is </w:t>
      </w:r>
      <w:r w:rsidRPr="00272DA5">
        <w:rPr>
          <w:rFonts w:asciiTheme="majorHAnsi" w:hAnsiTheme="majorHAnsi" w:cstheme="majorHAnsi"/>
          <w:color w:val="000000" w:themeColor="text1"/>
          <w:szCs w:val="24"/>
        </w:rPr>
        <w:lastRenderedPageBreak/>
        <w:t>transferred into workplace practice. Similarly, Kirkpatrick and Kirkpatrick (2016) argue that organisations should assess behavioural change and organisational impact rather than merely measuring training completion rates.</w:t>
      </w:r>
    </w:p>
    <w:p w14:paraId="089B23E5" w14:textId="77777777" w:rsidR="0042625B" w:rsidRPr="00272DA5" w:rsidRDefault="0042625B" w:rsidP="0042625B">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Within Accomplish, successful development strategies should therefore align with organisational objectives, Care Inspectorate Wales (CIW) requirements and the individual needs of residents. Furthermore, creating a learning culture that encourages knowledge sharing, reflective practice and continuous improvement can strengthen both employee capability and organisational resilience (Senge, 1990).</w:t>
      </w:r>
    </w:p>
    <w:p w14:paraId="42BCB2AD" w14:textId="77777777" w:rsidR="0042625B" w:rsidRPr="00272DA5" w:rsidRDefault="0042625B" w:rsidP="0042625B">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Overall, the theoretical perspectives provide complementary insights into employee development. Human Capital Theory focuses on productivity and workforce capability, the Resource-Based View emphasises organisational knowledge and sustainability, and Social Exchange Theory highlights employee engagement and commitment. Ultimately, the effectiveness of employee development should be measured not only by organisational efficiency and compliance but also by demonstrable improvements in residents' safety, wellbeing, independence and quality of life.</w:t>
      </w:r>
    </w:p>
    <w:p w14:paraId="511440C6" w14:textId="77777777" w:rsidR="00613083" w:rsidRPr="00272DA5" w:rsidRDefault="00613083" w:rsidP="00613083">
      <w:pPr>
        <w:rPr>
          <w:rFonts w:asciiTheme="majorHAnsi" w:hAnsiTheme="majorHAnsi" w:cstheme="majorHAnsi"/>
          <w:b/>
          <w:bCs/>
          <w:szCs w:val="24"/>
        </w:rPr>
      </w:pPr>
    </w:p>
    <w:p w14:paraId="1105D4C2" w14:textId="77777777" w:rsidR="00613083" w:rsidRPr="00272DA5" w:rsidRDefault="00613083" w:rsidP="00613083">
      <w:pPr>
        <w:rPr>
          <w:rFonts w:asciiTheme="majorHAnsi" w:hAnsiTheme="majorHAnsi" w:cstheme="majorHAnsi"/>
          <w:b/>
          <w:bCs/>
          <w:szCs w:val="24"/>
        </w:rPr>
      </w:pPr>
    </w:p>
    <w:p w14:paraId="27BFCE60" w14:textId="77777777" w:rsidR="00613083" w:rsidRPr="00272DA5" w:rsidRDefault="00613083" w:rsidP="00613083">
      <w:pPr>
        <w:rPr>
          <w:rFonts w:asciiTheme="majorHAnsi" w:hAnsiTheme="majorHAnsi" w:cstheme="majorHAnsi"/>
          <w:b/>
          <w:bCs/>
          <w:szCs w:val="24"/>
        </w:rPr>
      </w:pPr>
    </w:p>
    <w:p w14:paraId="639A835D" w14:textId="77777777" w:rsidR="00983F41" w:rsidRPr="00272DA5" w:rsidRDefault="00983F41" w:rsidP="00613083">
      <w:pPr>
        <w:rPr>
          <w:rFonts w:asciiTheme="majorHAnsi" w:hAnsiTheme="majorHAnsi" w:cstheme="majorHAnsi"/>
          <w:b/>
          <w:bCs/>
          <w:szCs w:val="24"/>
        </w:rPr>
      </w:pPr>
    </w:p>
    <w:p w14:paraId="71F72935" w14:textId="77777777" w:rsidR="00983F41" w:rsidRPr="00272DA5" w:rsidRDefault="00983F41" w:rsidP="00613083">
      <w:pPr>
        <w:rPr>
          <w:rFonts w:asciiTheme="majorHAnsi" w:hAnsiTheme="majorHAnsi" w:cstheme="majorHAnsi"/>
          <w:b/>
          <w:bCs/>
          <w:szCs w:val="24"/>
        </w:rPr>
      </w:pPr>
    </w:p>
    <w:p w14:paraId="17E862DC" w14:textId="77777777" w:rsidR="00983F41" w:rsidRPr="00272DA5" w:rsidRDefault="00983F41" w:rsidP="00613083">
      <w:pPr>
        <w:rPr>
          <w:rFonts w:asciiTheme="majorHAnsi" w:hAnsiTheme="majorHAnsi" w:cstheme="majorHAnsi"/>
          <w:b/>
          <w:bCs/>
          <w:szCs w:val="24"/>
        </w:rPr>
      </w:pPr>
    </w:p>
    <w:p w14:paraId="35C48D26" w14:textId="77777777" w:rsidR="00983F41" w:rsidRPr="00272DA5" w:rsidRDefault="00983F41" w:rsidP="00613083">
      <w:pPr>
        <w:rPr>
          <w:rFonts w:asciiTheme="majorHAnsi" w:hAnsiTheme="majorHAnsi" w:cstheme="majorHAnsi"/>
          <w:b/>
          <w:bCs/>
          <w:szCs w:val="24"/>
        </w:rPr>
      </w:pPr>
    </w:p>
    <w:p w14:paraId="38E9D45D" w14:textId="77777777" w:rsidR="00983F41" w:rsidRPr="00272DA5" w:rsidRDefault="00983F41" w:rsidP="00613083">
      <w:pPr>
        <w:rPr>
          <w:rFonts w:asciiTheme="majorHAnsi" w:hAnsiTheme="majorHAnsi" w:cstheme="majorHAnsi"/>
          <w:b/>
          <w:bCs/>
          <w:szCs w:val="24"/>
        </w:rPr>
      </w:pPr>
    </w:p>
    <w:p w14:paraId="68C33C76" w14:textId="77777777" w:rsidR="00983F41" w:rsidRPr="00272DA5" w:rsidRDefault="00983F41" w:rsidP="00613083">
      <w:pPr>
        <w:rPr>
          <w:rFonts w:asciiTheme="majorHAnsi" w:hAnsiTheme="majorHAnsi" w:cstheme="majorHAnsi"/>
          <w:b/>
          <w:bCs/>
          <w:szCs w:val="24"/>
        </w:rPr>
      </w:pPr>
    </w:p>
    <w:p w14:paraId="29BFCA7E" w14:textId="77777777" w:rsidR="00983F41" w:rsidRPr="00272DA5" w:rsidRDefault="00983F41" w:rsidP="00613083">
      <w:pPr>
        <w:rPr>
          <w:rFonts w:asciiTheme="majorHAnsi" w:hAnsiTheme="majorHAnsi" w:cstheme="majorHAnsi"/>
          <w:b/>
          <w:bCs/>
          <w:szCs w:val="24"/>
        </w:rPr>
      </w:pPr>
    </w:p>
    <w:p w14:paraId="3D424E74" w14:textId="77777777" w:rsidR="00983F41" w:rsidRPr="00272DA5" w:rsidRDefault="00983F41" w:rsidP="00613083">
      <w:pPr>
        <w:rPr>
          <w:rFonts w:asciiTheme="majorHAnsi" w:hAnsiTheme="majorHAnsi" w:cstheme="majorHAnsi"/>
          <w:b/>
          <w:bCs/>
          <w:szCs w:val="24"/>
        </w:rPr>
      </w:pPr>
    </w:p>
    <w:p w14:paraId="317B1183" w14:textId="77777777" w:rsidR="00983F41" w:rsidRPr="00272DA5" w:rsidRDefault="00983F41" w:rsidP="00613083">
      <w:pPr>
        <w:rPr>
          <w:rFonts w:asciiTheme="majorHAnsi" w:hAnsiTheme="majorHAnsi" w:cstheme="majorHAnsi"/>
          <w:b/>
          <w:bCs/>
          <w:szCs w:val="24"/>
        </w:rPr>
      </w:pPr>
    </w:p>
    <w:p w14:paraId="28DE3DBA" w14:textId="77777777" w:rsidR="00983F41" w:rsidRPr="00272DA5" w:rsidRDefault="00983F41" w:rsidP="00613083">
      <w:pPr>
        <w:rPr>
          <w:rFonts w:asciiTheme="majorHAnsi" w:hAnsiTheme="majorHAnsi" w:cstheme="majorHAnsi"/>
          <w:b/>
          <w:bCs/>
          <w:szCs w:val="24"/>
        </w:rPr>
      </w:pPr>
    </w:p>
    <w:p w14:paraId="05D4E6C4" w14:textId="77777777" w:rsidR="002218FD" w:rsidRDefault="002218FD" w:rsidP="00613083">
      <w:pPr>
        <w:rPr>
          <w:rFonts w:asciiTheme="majorHAnsi" w:hAnsiTheme="majorHAnsi" w:cstheme="majorHAnsi"/>
          <w:b/>
          <w:bCs/>
          <w:szCs w:val="24"/>
        </w:rPr>
      </w:pPr>
    </w:p>
    <w:p w14:paraId="66CF030F" w14:textId="77777777" w:rsidR="00B76E33" w:rsidRPr="00272DA5" w:rsidRDefault="00B76E33" w:rsidP="00613083">
      <w:pPr>
        <w:rPr>
          <w:rFonts w:asciiTheme="majorHAnsi" w:hAnsiTheme="majorHAnsi" w:cstheme="majorHAnsi"/>
          <w:b/>
          <w:bCs/>
          <w:szCs w:val="24"/>
        </w:rPr>
      </w:pPr>
    </w:p>
    <w:p w14:paraId="045CFFB0" w14:textId="77777777" w:rsidR="00613083" w:rsidRPr="00272DA5" w:rsidRDefault="00613083" w:rsidP="00613083">
      <w:pPr>
        <w:pStyle w:val="Heading1"/>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lastRenderedPageBreak/>
        <w:t xml:space="preserve">3. Managing Individual Expectations Regarding Personal Development </w:t>
      </w:r>
    </w:p>
    <w:p w14:paraId="7EC9A8FF"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Managing employees' expectations regarding personal development is a fundamental leadership responsibility within health and social care. Within Accomplish, part of Keys Group, effective expectation management relies on open communication, constructive feedback and realistic development planning. As Deputy Manager, my role is to support employee growth whilst ensuring expectations remain achievable and aligned with organisational requirements. Effective management of development expectations can increase motivation, engagement and retention while reducing dissatisfaction and unrealistic assumptions about promotion opportunities (CIPD, 2023).</w:t>
      </w:r>
    </w:p>
    <w:p w14:paraId="19654955" w14:textId="77777777" w:rsidR="00613083" w:rsidRPr="00272DA5" w:rsidRDefault="00613083" w:rsidP="00613083">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3.1 Understanding Employee Expectations</w:t>
      </w:r>
    </w:p>
    <w:p w14:paraId="5DBAFDBF" w14:textId="77777777" w:rsidR="00613083" w:rsidRPr="00272DA5" w:rsidRDefault="00613083" w:rsidP="00613083">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Psychological Contract Theory</w:t>
      </w:r>
    </w:p>
    <w:p w14:paraId="69A5673E"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Rousseau (1989) defines the psychological contract as an individual's perception of the mutual obligations between themselves and their employer. Guest (2004) argues that psychological contracts significantly influence employee commitment, trust and job satisfaction.</w:t>
      </w:r>
    </w:p>
    <w:p w14:paraId="0976B415"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Within Accomplish, a Support Worker completing additional qualifications may expect progression into a Team Leader role. However, qualifications alone do not guarantee promotion, as leadership positions require appropriate competencies, organisational need and available vacancies. If these expectations are not discussed openly, employees may experience frustration, reduced morale and decreased engagement.</w:t>
      </w:r>
    </w:p>
    <w:p w14:paraId="29E73517"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The theory highlights the importance of trust and transparent communication. However, psychological contracts remain subjective and can be interpreted differently by managers and employees. Consequently, during supervision and appraisal meetings, I would clearly explain promotion criteria, development opportunities and organisational constraints to ensure expectations remain realistic and achievable.</w:t>
      </w:r>
    </w:p>
    <w:p w14:paraId="7B3733C5"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Vroom's (1964) Expectancy Theory proposes that motivation is influenced by expectancy, instrumentality and valence. Employees are more likely to engage in learning when they believe their effort will improve performance and support desired outcomes.</w:t>
      </w:r>
    </w:p>
    <w:p w14:paraId="0FC9FF6F"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From this perspective, development programmes can enhance both performance and employee engagement.</w:t>
      </w:r>
    </w:p>
    <w:p w14:paraId="53590A55"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However, Porter and Lawler (1968) argue that motivation is influenced by multiple factors, including rewards, organisational structures and perceived fairness. This approach balances encouragement with realistic expectation management.</w:t>
      </w:r>
    </w:p>
    <w:p w14:paraId="19EE43E3" w14:textId="77777777" w:rsidR="00613083" w:rsidRPr="00272DA5" w:rsidRDefault="00613083" w:rsidP="00613083">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3.2 Role of the Deputy Manager</w:t>
      </w:r>
    </w:p>
    <w:p w14:paraId="64AF093E"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As Deputy Manager, I support employee development through supervision, performance reviews, coaching, mentoring and the identification of learning needs. The CIPD (2023) highlights the importance of managers in facilitating workplace learning and supporting career development.</w:t>
      </w:r>
    </w:p>
    <w:p w14:paraId="2A028F0E"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lastRenderedPageBreak/>
        <w:t>During supervision, I discuss individual strengths, development areas, performance concerns and career aspirations.</w:t>
      </w:r>
    </w:p>
    <w:p w14:paraId="3F36C568" w14:textId="77777777" w:rsidR="00613083" w:rsidRPr="00272DA5" w:rsidRDefault="00613083" w:rsidP="00613083">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A Personal Development Plan (PDP) can then be created using SMART objectives, which Doran (1981) identifies as Specific, Measurable, Achievable, Relevant and Time-bound. For instance, an employee may be tasked with leading two staff handovers and participating in supervision sessions over a three-month period while receiving structured feedback.</w:t>
      </w:r>
    </w:p>
    <w:p w14:paraId="43090641" w14:textId="62122AE7" w:rsidR="00941196" w:rsidRPr="00272DA5" w:rsidRDefault="00941196"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Annual appraisals also provide opportunities to review development progress, identify training requirements and discuss longer-term career goals. However, effective managers must remain realistic.</w:t>
      </w:r>
    </w:p>
    <w:p w14:paraId="39228869" w14:textId="77777777" w:rsidR="00613083" w:rsidRPr="00272DA5" w:rsidRDefault="00613083" w:rsidP="00613083">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3.3 Communication and Feedback Methods</w:t>
      </w:r>
    </w:p>
    <w:p w14:paraId="7CD7E93A" w14:textId="77777777" w:rsidR="00613083" w:rsidRPr="00272DA5" w:rsidRDefault="00613083" w:rsidP="00613083">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To ensure fair and objective assessment, I would use consistent criteria, multiple observations and documented examples rather than relying on a single incident. Development records and appraisal feedback should be shared only with authorised individuals and stored securely, with staff given an opportunity to respond to assessments.</w:t>
      </w:r>
    </w:p>
    <w:p w14:paraId="021B420C"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Effective communication is essential when managing personal development expectations. Within Accomplish, supervision, appraisals, reflective practice and informal one-to-one discussions each contribute to employee growth and engagement.</w:t>
      </w:r>
    </w:p>
    <w:p w14:paraId="6AC17018"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Formal supervision provides a structured environment for reviewing performance, identifying development needs and monitoring progress. However, supervision may lose value if it focuses exclusively on operational issues rather than development.</w:t>
      </w:r>
    </w:p>
    <w:p w14:paraId="19F6293B"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Annual appraisals support strategic career planning and help employees reflect on longer-term aspirations. Nevertheless, relying solely on annual reviews may be ineffective because development needs can change throughout the year.</w:t>
      </w:r>
    </w:p>
    <w:p w14:paraId="1398851E"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Reflective practice is another important tool. Schön (1983) suggests that reflection enables professionals to learn from experience and improve future performance. However, this approach requires psychological safety, as employees may be reluctant to openly discuss mistakes if they fear criticism (Edmondson, 1999).</w:t>
      </w:r>
    </w:p>
    <w:p w14:paraId="5D378AB7"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Informal one-to-one discussions provide timely feedback and support, particularly following challenging situations. While these conversations strengthen workplace relationships, key development decisions should be recorded to ensure transparency, consistency and fairness.</w:t>
      </w:r>
    </w:p>
    <w:p w14:paraId="36D17EE0" w14:textId="77777777" w:rsidR="00613083" w:rsidRPr="00272DA5" w:rsidRDefault="00613083" w:rsidP="00613083">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t>Applying the GROW Model and SMART Objectives</w:t>
      </w:r>
    </w:p>
    <w:p w14:paraId="1DFD1C89"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Whitmore's (2017) GROW Model provides a structured coaching framework based on Goal, Reality, Options and Will.</w:t>
      </w:r>
    </w:p>
    <w:p w14:paraId="3DE80A4C" w14:textId="1409DF52" w:rsidR="00A62B30" w:rsidRPr="00272DA5" w:rsidRDefault="00613083" w:rsidP="00613083">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SMART objectives then convert these discussions into measurable development targets. This ensures that progress can be monitored and reviewed during supervision sessions while helping employees understand realistic timescales and expectations.</w:t>
      </w:r>
    </w:p>
    <w:p w14:paraId="3614A23C" w14:textId="77777777" w:rsidR="00613083" w:rsidRPr="00272DA5" w:rsidRDefault="00613083" w:rsidP="00613083">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lastRenderedPageBreak/>
        <w:t>Critical Evaluation</w:t>
      </w:r>
    </w:p>
    <w:p w14:paraId="50A0B1B6"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In practice, regular supervision supported by reflective practice, coaching and ongoing feedback is likely to be the most effective approach within residential and supported living services. Annual appraisals remain valuable for reviewing long-term aspirations but should complement rather than replace continuous developmental conversations.</w:t>
      </w:r>
    </w:p>
    <w:p w14:paraId="75D569A9" w14:textId="770BBEB1" w:rsidR="002218FD" w:rsidRDefault="00613083" w:rsidP="00613083">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Overall, managing employee expectations requires a balance between ambition and realism. By aligning individual aspirations with organisational capability, Accomplish can strengthen motivation, professional competence, employee engagement and service quality.</w:t>
      </w:r>
    </w:p>
    <w:p w14:paraId="0737778D" w14:textId="77777777" w:rsidR="009372E1" w:rsidRDefault="009372E1" w:rsidP="00613083">
      <w:pPr>
        <w:rPr>
          <w:rFonts w:asciiTheme="majorHAnsi" w:hAnsiTheme="majorHAnsi" w:cstheme="majorHAnsi"/>
          <w:color w:val="000000" w:themeColor="text1"/>
          <w:szCs w:val="24"/>
        </w:rPr>
      </w:pPr>
    </w:p>
    <w:p w14:paraId="6525771B" w14:textId="77777777" w:rsidR="009372E1" w:rsidRDefault="009372E1" w:rsidP="00613083">
      <w:pPr>
        <w:rPr>
          <w:rFonts w:asciiTheme="majorHAnsi" w:hAnsiTheme="majorHAnsi" w:cstheme="majorHAnsi"/>
          <w:color w:val="000000" w:themeColor="text1"/>
          <w:szCs w:val="24"/>
        </w:rPr>
      </w:pPr>
    </w:p>
    <w:p w14:paraId="53D914EF" w14:textId="77777777" w:rsidR="009372E1" w:rsidRDefault="009372E1" w:rsidP="00613083">
      <w:pPr>
        <w:rPr>
          <w:rFonts w:asciiTheme="majorHAnsi" w:hAnsiTheme="majorHAnsi" w:cstheme="majorHAnsi"/>
          <w:color w:val="000000" w:themeColor="text1"/>
          <w:szCs w:val="24"/>
        </w:rPr>
      </w:pPr>
    </w:p>
    <w:p w14:paraId="3BE86E8C" w14:textId="77777777" w:rsidR="009372E1" w:rsidRDefault="009372E1" w:rsidP="00613083">
      <w:pPr>
        <w:rPr>
          <w:rFonts w:asciiTheme="majorHAnsi" w:hAnsiTheme="majorHAnsi" w:cstheme="majorHAnsi"/>
          <w:color w:val="000000" w:themeColor="text1"/>
          <w:szCs w:val="24"/>
        </w:rPr>
      </w:pPr>
    </w:p>
    <w:p w14:paraId="325E7287" w14:textId="77777777" w:rsidR="009372E1" w:rsidRDefault="009372E1" w:rsidP="00613083">
      <w:pPr>
        <w:rPr>
          <w:rFonts w:asciiTheme="majorHAnsi" w:hAnsiTheme="majorHAnsi" w:cstheme="majorHAnsi"/>
          <w:color w:val="000000" w:themeColor="text1"/>
          <w:szCs w:val="24"/>
        </w:rPr>
      </w:pPr>
    </w:p>
    <w:p w14:paraId="2F0FE8BB" w14:textId="77777777" w:rsidR="009372E1" w:rsidRDefault="009372E1" w:rsidP="00613083">
      <w:pPr>
        <w:rPr>
          <w:rFonts w:asciiTheme="majorHAnsi" w:hAnsiTheme="majorHAnsi" w:cstheme="majorHAnsi"/>
          <w:color w:val="000000" w:themeColor="text1"/>
          <w:szCs w:val="24"/>
        </w:rPr>
      </w:pPr>
    </w:p>
    <w:p w14:paraId="4FEED620" w14:textId="77777777" w:rsidR="009372E1" w:rsidRDefault="009372E1" w:rsidP="00613083">
      <w:pPr>
        <w:rPr>
          <w:rFonts w:asciiTheme="majorHAnsi" w:hAnsiTheme="majorHAnsi" w:cstheme="majorHAnsi"/>
          <w:color w:val="000000" w:themeColor="text1"/>
          <w:szCs w:val="24"/>
        </w:rPr>
      </w:pPr>
    </w:p>
    <w:p w14:paraId="4E646B18" w14:textId="77777777" w:rsidR="009372E1" w:rsidRDefault="009372E1" w:rsidP="00613083">
      <w:pPr>
        <w:rPr>
          <w:rFonts w:asciiTheme="majorHAnsi" w:hAnsiTheme="majorHAnsi" w:cstheme="majorHAnsi"/>
          <w:color w:val="000000" w:themeColor="text1"/>
          <w:szCs w:val="24"/>
        </w:rPr>
      </w:pPr>
    </w:p>
    <w:p w14:paraId="658E303D" w14:textId="77777777" w:rsidR="009372E1" w:rsidRDefault="009372E1" w:rsidP="00613083">
      <w:pPr>
        <w:rPr>
          <w:rFonts w:asciiTheme="majorHAnsi" w:hAnsiTheme="majorHAnsi" w:cstheme="majorHAnsi"/>
          <w:color w:val="000000" w:themeColor="text1"/>
          <w:szCs w:val="24"/>
        </w:rPr>
      </w:pPr>
    </w:p>
    <w:p w14:paraId="41918575" w14:textId="77777777" w:rsidR="009372E1" w:rsidRDefault="009372E1" w:rsidP="00613083">
      <w:pPr>
        <w:rPr>
          <w:rFonts w:asciiTheme="majorHAnsi" w:hAnsiTheme="majorHAnsi" w:cstheme="majorHAnsi"/>
          <w:color w:val="000000" w:themeColor="text1"/>
          <w:szCs w:val="24"/>
        </w:rPr>
      </w:pPr>
    </w:p>
    <w:p w14:paraId="1D10C96B" w14:textId="77777777" w:rsidR="009372E1" w:rsidRDefault="009372E1" w:rsidP="00613083">
      <w:pPr>
        <w:rPr>
          <w:rFonts w:asciiTheme="majorHAnsi" w:hAnsiTheme="majorHAnsi" w:cstheme="majorHAnsi"/>
          <w:color w:val="000000" w:themeColor="text1"/>
          <w:szCs w:val="24"/>
        </w:rPr>
      </w:pPr>
    </w:p>
    <w:p w14:paraId="69A89B1A" w14:textId="77777777" w:rsidR="009372E1" w:rsidRDefault="009372E1" w:rsidP="00613083">
      <w:pPr>
        <w:rPr>
          <w:rFonts w:asciiTheme="majorHAnsi" w:hAnsiTheme="majorHAnsi" w:cstheme="majorHAnsi"/>
          <w:color w:val="000000" w:themeColor="text1"/>
          <w:szCs w:val="24"/>
        </w:rPr>
      </w:pPr>
    </w:p>
    <w:p w14:paraId="02660C0A" w14:textId="77777777" w:rsidR="009372E1" w:rsidRDefault="009372E1" w:rsidP="00613083">
      <w:pPr>
        <w:rPr>
          <w:rFonts w:asciiTheme="majorHAnsi" w:hAnsiTheme="majorHAnsi" w:cstheme="majorHAnsi"/>
          <w:color w:val="000000" w:themeColor="text1"/>
          <w:szCs w:val="24"/>
        </w:rPr>
      </w:pPr>
    </w:p>
    <w:p w14:paraId="3725FE17" w14:textId="77777777" w:rsidR="009372E1" w:rsidRDefault="009372E1" w:rsidP="00613083">
      <w:pPr>
        <w:rPr>
          <w:rFonts w:asciiTheme="majorHAnsi" w:hAnsiTheme="majorHAnsi" w:cstheme="majorHAnsi"/>
          <w:color w:val="000000" w:themeColor="text1"/>
          <w:szCs w:val="24"/>
        </w:rPr>
      </w:pPr>
    </w:p>
    <w:p w14:paraId="345AD417" w14:textId="77777777" w:rsidR="009372E1" w:rsidRDefault="009372E1" w:rsidP="00613083">
      <w:pPr>
        <w:rPr>
          <w:rFonts w:asciiTheme="majorHAnsi" w:hAnsiTheme="majorHAnsi" w:cstheme="majorHAnsi"/>
          <w:color w:val="000000" w:themeColor="text1"/>
          <w:szCs w:val="24"/>
        </w:rPr>
      </w:pPr>
    </w:p>
    <w:p w14:paraId="2FEE8D6B" w14:textId="77777777" w:rsidR="009372E1" w:rsidRDefault="009372E1" w:rsidP="00613083">
      <w:pPr>
        <w:rPr>
          <w:rFonts w:asciiTheme="majorHAnsi" w:hAnsiTheme="majorHAnsi" w:cstheme="majorHAnsi"/>
          <w:color w:val="000000" w:themeColor="text1"/>
          <w:szCs w:val="24"/>
        </w:rPr>
      </w:pPr>
    </w:p>
    <w:p w14:paraId="2D61F74A" w14:textId="77777777" w:rsidR="009372E1" w:rsidRDefault="009372E1" w:rsidP="00613083">
      <w:pPr>
        <w:rPr>
          <w:rFonts w:asciiTheme="majorHAnsi" w:hAnsiTheme="majorHAnsi" w:cstheme="majorHAnsi"/>
          <w:color w:val="000000" w:themeColor="text1"/>
          <w:szCs w:val="24"/>
        </w:rPr>
      </w:pPr>
    </w:p>
    <w:p w14:paraId="3A9359FD" w14:textId="77777777" w:rsidR="009372E1" w:rsidRDefault="009372E1" w:rsidP="00613083">
      <w:pPr>
        <w:rPr>
          <w:rFonts w:asciiTheme="majorHAnsi" w:hAnsiTheme="majorHAnsi" w:cstheme="majorHAnsi"/>
          <w:color w:val="000000" w:themeColor="text1"/>
          <w:szCs w:val="24"/>
        </w:rPr>
      </w:pPr>
    </w:p>
    <w:p w14:paraId="32A792C9" w14:textId="77777777" w:rsidR="009372E1" w:rsidRDefault="009372E1" w:rsidP="00613083">
      <w:pPr>
        <w:rPr>
          <w:rFonts w:asciiTheme="majorHAnsi" w:hAnsiTheme="majorHAnsi" w:cstheme="majorHAnsi"/>
          <w:color w:val="000000" w:themeColor="text1"/>
          <w:szCs w:val="24"/>
        </w:rPr>
      </w:pPr>
    </w:p>
    <w:p w14:paraId="43B39214" w14:textId="77777777" w:rsidR="009372E1" w:rsidRDefault="009372E1" w:rsidP="00613083">
      <w:pPr>
        <w:rPr>
          <w:rFonts w:asciiTheme="majorHAnsi" w:hAnsiTheme="majorHAnsi" w:cstheme="majorHAnsi"/>
          <w:color w:val="000000" w:themeColor="text1"/>
          <w:szCs w:val="24"/>
        </w:rPr>
      </w:pPr>
    </w:p>
    <w:p w14:paraId="5AADE53B" w14:textId="77777777" w:rsidR="009372E1" w:rsidRPr="0097455A" w:rsidRDefault="009372E1" w:rsidP="00613083">
      <w:pPr>
        <w:rPr>
          <w:rFonts w:asciiTheme="majorHAnsi" w:hAnsiTheme="majorHAnsi" w:cstheme="majorHAnsi"/>
          <w:b/>
          <w:bCs/>
          <w:color w:val="000000" w:themeColor="text1"/>
          <w:szCs w:val="24"/>
        </w:rPr>
      </w:pPr>
    </w:p>
    <w:p w14:paraId="04BD5BFE" w14:textId="77777777" w:rsidR="00613083" w:rsidRPr="00272DA5" w:rsidRDefault="00613083" w:rsidP="00613083">
      <w:pPr>
        <w:pStyle w:val="Heading2"/>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lastRenderedPageBreak/>
        <w:t>4.0 Formal Learning Opportunities</w:t>
      </w:r>
    </w:p>
    <w:p w14:paraId="6F7EC137" w14:textId="77777777" w:rsidR="00613083" w:rsidRPr="00272DA5" w:rsidRDefault="00613083" w:rsidP="00613083">
      <w:pPr>
        <w:rPr>
          <w:rFonts w:asciiTheme="majorHAnsi" w:hAnsiTheme="majorHAnsi" w:cstheme="majorHAnsi"/>
          <w:b/>
          <w:bCs/>
          <w:color w:val="000000" w:themeColor="text1"/>
          <w:szCs w:val="24"/>
        </w:rPr>
      </w:pPr>
      <w:r w:rsidRPr="00272DA5">
        <w:rPr>
          <w:rFonts w:asciiTheme="majorHAnsi" w:hAnsiTheme="majorHAnsi" w:cstheme="majorHAnsi"/>
          <w:color w:val="000000" w:themeColor="text1"/>
          <w:szCs w:val="24"/>
        </w:rPr>
        <w:t>Formal learning provides structured opportunities for employees to develop professional knowledge, practical competence and recognised qualifications. Within Accomplish, formal development supports safe practice, regulatory compliance, career progression and workforce capability. However, the effectiveness of formal learning depends upon whether employees transfer acquired knowledge into workplace practice.</w:t>
      </w:r>
    </w:p>
    <w:p w14:paraId="10103FB6" w14:textId="77777777" w:rsidR="003B3FC0" w:rsidRPr="00272DA5" w:rsidRDefault="003B3FC0" w:rsidP="003B3FC0">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Mandatory Training</w:t>
      </w:r>
    </w:p>
    <w:p w14:paraId="5A68D33A" w14:textId="6B606E6A"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Mandatory training forms the foundation of professional practice within health and social care. In Wales, employees must register with Social Care Wales and comply with professional standards to work within the sector</w:t>
      </w:r>
      <w:r w:rsidR="00A06766">
        <w:rPr>
          <w:rFonts w:asciiTheme="majorHAnsi" w:hAnsiTheme="majorHAnsi" w:cstheme="majorHAnsi"/>
          <w:color w:val="000000" w:themeColor="text1"/>
          <w:szCs w:val="24"/>
        </w:rPr>
        <w:t xml:space="preserve"> </w:t>
      </w:r>
      <w:r w:rsidR="00A06766" w:rsidRPr="00A06766">
        <w:rPr>
          <w:rFonts w:asciiTheme="majorHAnsi" w:hAnsiTheme="majorHAnsi" w:cstheme="majorHAnsi"/>
          <w:color w:val="000000" w:themeColor="text1"/>
          <w:szCs w:val="24"/>
        </w:rPr>
        <w:t>Social Care Wales. (2024)</w:t>
      </w:r>
      <w:r w:rsidRPr="00A06766">
        <w:rPr>
          <w:rFonts w:asciiTheme="majorHAnsi" w:hAnsiTheme="majorHAnsi" w:cstheme="majorHAnsi"/>
          <w:color w:val="000000" w:themeColor="text1"/>
          <w:szCs w:val="24"/>
        </w:rPr>
        <w:t>.</w:t>
      </w:r>
      <w:r w:rsidRPr="00272DA5">
        <w:rPr>
          <w:rFonts w:asciiTheme="majorHAnsi" w:hAnsiTheme="majorHAnsi" w:cstheme="majorHAnsi"/>
          <w:color w:val="000000" w:themeColor="text1"/>
          <w:szCs w:val="24"/>
        </w:rPr>
        <w:t xml:space="preserve"> Mandatory training supports this requirement by ensuring employees understand their legal, ethical and professional responsibilities.</w:t>
      </w:r>
    </w:p>
    <w:p w14:paraId="027C350F"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For example, safeguarding training enables employees to recognise indicators of abuse, follow reporting procedures and protect vulnerable individuals. Similarly, medication training promotes safe administration practices, reducing the likelihood of medication errors and associated risks to residents.</w:t>
      </w:r>
    </w:p>
    <w:p w14:paraId="720C43E2"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Nevertheless, mandatory training can become a compliance-driven activity where success is measured by completion rates rather than improvements in practice. Kirkpatrick and Kirkpatrick (2016) argue that organisations should evaluate not only attendance but also learning, behavioural change and organisational outcomes. Therefore, Accomplish should assess competence through observation, supervision, medication audits and incident reviews to determine whether learning has translated into safer care delivery.</w:t>
      </w:r>
    </w:p>
    <w:p w14:paraId="5B952139" w14:textId="77777777" w:rsidR="003B3FC0" w:rsidRPr="00272DA5" w:rsidRDefault="003B3FC0" w:rsidP="003B3FC0">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Professional Qualifications</w:t>
      </w:r>
    </w:p>
    <w:p w14:paraId="03287CAD"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Professional qualifications such as Level 3 Adult Care and Level 5 Leadership and Management provide structured opportunities for long-term professional development.</w:t>
      </w:r>
    </w:p>
    <w:p w14:paraId="43439AB7"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 xml:space="preserve">Level 3 qualifications strengthen knowledge of person-centred practice, safeguarding, communication and legal frameworks, whilst Level 5 programmes enhance leadership, workforce planning, decision-making and quality assurance skills. </w:t>
      </w:r>
      <w:proofErr w:type="spellStart"/>
      <w:r w:rsidRPr="00272DA5">
        <w:rPr>
          <w:rFonts w:asciiTheme="majorHAnsi" w:hAnsiTheme="majorHAnsi" w:cstheme="majorHAnsi"/>
          <w:color w:val="000000" w:themeColor="text1"/>
          <w:szCs w:val="24"/>
        </w:rPr>
        <w:t>Garavan</w:t>
      </w:r>
      <w:proofErr w:type="spellEnd"/>
      <w:r w:rsidRPr="00272DA5">
        <w:rPr>
          <w:rFonts w:asciiTheme="majorHAnsi" w:hAnsiTheme="majorHAnsi" w:cstheme="majorHAnsi"/>
          <w:color w:val="000000" w:themeColor="text1"/>
          <w:szCs w:val="24"/>
        </w:rPr>
        <w:t xml:space="preserve"> et al. (2012) suggest that structured development programmes contribute to organisational capability by preparing employees for future roles and responsibilities.</w:t>
      </w:r>
    </w:p>
    <w:p w14:paraId="13933C39"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As Deputy Manager, I recognise that qualifications enable employees to connect academic knowledge with workplace practice. For example, employees completing leadership qualifications can apply learning directly to supervision, performance management and quality improvement activities.</w:t>
      </w:r>
    </w:p>
    <w:p w14:paraId="127A03BE"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lastRenderedPageBreak/>
        <w:t>However, qualifications require significant investment of time, funding and commitment. Consequently, formal qualifications should be combined with practical learning opportunities to maximise their effectiveness and workplace value.</w:t>
      </w:r>
    </w:p>
    <w:p w14:paraId="6DEE49DE" w14:textId="77777777" w:rsidR="003B3FC0" w:rsidRPr="00272DA5" w:rsidRDefault="003B3FC0" w:rsidP="003B3FC0">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Apprenticeships</w:t>
      </w:r>
    </w:p>
    <w:p w14:paraId="6994AC2D"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Apprenticeships combine employment, formal study and workplace learning, enabling employees to develop skills while remaining in productive roles. They provide an effective route for career progression and support workforce sustainability by developing talent internally.</w:t>
      </w:r>
    </w:p>
    <w:p w14:paraId="079E3529"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Within Accomplish, apprenticeships can help Support Workers progress into senior roles while gaining recognised qualifications. They also promote employee engagement because learning is directly linked to workplace responsibilities and real-life practice.</w:t>
      </w:r>
    </w:p>
    <w:p w14:paraId="0EAFD675" w14:textId="00BBE82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However, apprenticeships require substantial organisational support, including mentoring, protected learning time and assessment requirements. Without sufficient support, employees may struggle to balance operational responsibilities with academic demands.</w:t>
      </w:r>
    </w:p>
    <w:p w14:paraId="0AC2F9C2" w14:textId="77777777" w:rsidR="003B3FC0" w:rsidRPr="00272DA5" w:rsidRDefault="003B3FC0" w:rsidP="003B3FC0">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4.1 Critical Comparison of Development Vehicles</w:t>
      </w:r>
    </w:p>
    <w:p w14:paraId="74F4443E"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Whilst formal learning standardises core knowledge, its effectiveness is limited where employees cannot demonstrate practical competence. In contrast, mentoring and job shadowing support context-specific learning but can promote inconsistent practice unless mentors are competent and appropriately supervised. For Employee A, a blended approach is therefore justified because leadership capability is demonstrated through workplace performance rather than training completion alone.</w:t>
      </w:r>
    </w:p>
    <w:p w14:paraId="59EAE446"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The effectiveness of development vehicles depends upon individual learning needs, organisational objectives and the nature of the skills being developed. Pedler et al. (1997) argue that learning organisations utilise multiple development approaches rather than relying on a single method.</w:t>
      </w:r>
    </w:p>
    <w:p w14:paraId="2344450C"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Formal qualifications provide recognised knowledge and support career progression but can be costly and time-consuming. Coaching and mentoring offer personalised development and immediate workplace relevance, although their effectiveness depends largely upon the skills and commitment of the coach or mentor.</w:t>
      </w:r>
    </w:p>
    <w:p w14:paraId="0D199B41"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Job shadowing provides valuable exposure to workplace responsibilities and helps employees understand future roles. However, observation alone cannot demonstrate competence without subsequent practical application and feedback.</w:t>
      </w:r>
    </w:p>
    <w:p w14:paraId="2A65C170"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Digital learning offers significant advantages in flexibility, accessibility and cost-effectiveness. CIPD (2023) highlights the increasing importance of technology-enabled learning in modern organisations. However, e-learning often lacks the practical assessment and feedback necessary for developing the interpersonal, leadership and decision-making skills required within social care environments.</w:t>
      </w:r>
    </w:p>
    <w:p w14:paraId="1CBAC1B4"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lastRenderedPageBreak/>
        <w:t>Kolb's (1984) Experiential Learning Theory suggests that development is most effective when learning combines experience, reflection, conceptual understanding and active experimentation. This perspective supports the argument that no single development vehicle is sufficient to meet all organisational and individual learning needs.</w:t>
      </w:r>
    </w:p>
    <w:p w14:paraId="43A5CBF7" w14:textId="37CD36E9"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Figure 1. Kolb's Experiential Learning Cycle (Kolb, 1984):</w:t>
      </w:r>
      <w:r w:rsidRPr="00272DA5">
        <w:rPr>
          <w:rFonts w:asciiTheme="majorHAnsi" w:hAnsiTheme="majorHAnsi" w:cstheme="majorHAnsi"/>
          <w:color w:val="000000" w:themeColor="text1"/>
          <w:szCs w:val="24"/>
        </w:rPr>
        <w:br/>
        <w:t>Concrete Experience</w:t>
      </w:r>
      <w:r w:rsidR="00FC7ACF" w:rsidRPr="00272DA5">
        <w:rPr>
          <w:rFonts w:asciiTheme="majorHAnsi" w:hAnsiTheme="majorHAnsi" w:cstheme="majorHAnsi"/>
          <w:color w:val="000000" w:themeColor="text1"/>
          <w:szCs w:val="24"/>
        </w:rPr>
        <w:t xml:space="preserve"> </w:t>
      </w:r>
      <w:r w:rsidR="0027281F" w:rsidRPr="00272DA5">
        <w:rPr>
          <w:rFonts w:asciiTheme="majorHAnsi" w:hAnsiTheme="majorHAnsi" w:cstheme="majorHAnsi"/>
          <w:color w:val="000000" w:themeColor="text1"/>
          <w:szCs w:val="24"/>
        </w:rPr>
        <w:t xml:space="preserve">- </w:t>
      </w:r>
      <w:r w:rsidRPr="00272DA5">
        <w:rPr>
          <w:rFonts w:asciiTheme="majorHAnsi" w:hAnsiTheme="majorHAnsi" w:cstheme="majorHAnsi"/>
          <w:color w:val="000000" w:themeColor="text1"/>
          <w:szCs w:val="24"/>
        </w:rPr>
        <w:t xml:space="preserve">Reflective Observation </w:t>
      </w:r>
      <w:r w:rsidR="0027281F" w:rsidRPr="00272DA5">
        <w:rPr>
          <w:rFonts w:asciiTheme="majorHAnsi" w:hAnsiTheme="majorHAnsi" w:cstheme="majorHAnsi"/>
          <w:color w:val="000000" w:themeColor="text1"/>
          <w:szCs w:val="24"/>
        </w:rPr>
        <w:t xml:space="preserve">- </w:t>
      </w:r>
      <w:r w:rsidRPr="00272DA5">
        <w:rPr>
          <w:rFonts w:asciiTheme="majorHAnsi" w:hAnsiTheme="majorHAnsi" w:cstheme="majorHAnsi"/>
          <w:color w:val="000000" w:themeColor="text1"/>
          <w:szCs w:val="24"/>
        </w:rPr>
        <w:t xml:space="preserve">Abstract Conceptualisation </w:t>
      </w:r>
      <w:r w:rsidR="0027281F" w:rsidRPr="00272DA5">
        <w:rPr>
          <w:rFonts w:asciiTheme="majorHAnsi" w:hAnsiTheme="majorHAnsi" w:cstheme="majorHAnsi"/>
          <w:color w:val="000000" w:themeColor="text1"/>
          <w:szCs w:val="24"/>
        </w:rPr>
        <w:t xml:space="preserve">- </w:t>
      </w:r>
      <w:r w:rsidRPr="00272DA5">
        <w:rPr>
          <w:rFonts w:asciiTheme="majorHAnsi" w:hAnsiTheme="majorHAnsi" w:cstheme="majorHAnsi"/>
          <w:color w:val="000000" w:themeColor="text1"/>
          <w:szCs w:val="24"/>
        </w:rPr>
        <w:t>Active Experimentation → Concrete Experience.</w:t>
      </w:r>
    </w:p>
    <w:p w14:paraId="4A8E97B3" w14:textId="77777777" w:rsidR="003B3FC0" w:rsidRPr="00272DA5" w:rsidRDefault="003B3FC0" w:rsidP="003B3FC0">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For example, a Support Worker may lead a handover, reflect on feedback received, identify improvements in communication and subsequently apply these changes during a future handover.</w:t>
      </w:r>
    </w:p>
    <w:p w14:paraId="5B5E871E" w14:textId="77777777" w:rsidR="003B3FC0" w:rsidRPr="00272DA5" w:rsidRDefault="003B3FC0" w:rsidP="003B3FC0">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Overall Critical Evaluation and Conclusion</w:t>
      </w:r>
    </w:p>
    <w:p w14:paraId="4CDA8664" w14:textId="77777777" w:rsidR="002E0712" w:rsidRPr="002E0712" w:rsidRDefault="002E0712" w:rsidP="002E0712">
      <w:pPr>
        <w:rPr>
          <w:rFonts w:asciiTheme="majorHAnsi" w:hAnsiTheme="majorHAnsi" w:cstheme="majorHAnsi"/>
          <w:color w:val="000000" w:themeColor="text1"/>
          <w:szCs w:val="24"/>
        </w:rPr>
      </w:pPr>
      <w:r w:rsidRPr="002E0712">
        <w:rPr>
          <w:rFonts w:asciiTheme="majorHAnsi" w:hAnsiTheme="majorHAnsi" w:cstheme="majorHAnsi"/>
          <w:color w:val="000000" w:themeColor="text1"/>
          <w:szCs w:val="24"/>
        </w:rPr>
        <w:t xml:space="preserve">A critical evaluation suggests that the most effective development strategy within Accomplish is a </w:t>
      </w:r>
      <w:r w:rsidRPr="00467AA0">
        <w:rPr>
          <w:rFonts w:asciiTheme="majorHAnsi" w:hAnsiTheme="majorHAnsi" w:cstheme="majorHAnsi"/>
          <w:color w:val="000000" w:themeColor="text1"/>
          <w:szCs w:val="24"/>
        </w:rPr>
        <w:t>blended learning approach</w:t>
      </w:r>
      <w:r w:rsidRPr="002E0712">
        <w:rPr>
          <w:rFonts w:asciiTheme="majorHAnsi" w:hAnsiTheme="majorHAnsi" w:cstheme="majorHAnsi"/>
          <w:color w:val="000000" w:themeColor="text1"/>
          <w:szCs w:val="24"/>
        </w:rPr>
        <w:t xml:space="preserve"> that combines formal education, workplace learning and digital development opportunities. Human Capital Theory (Becker, 1993) supports investment in employee development to improve organisational performance, while Senge’s (1990) Learning Organisation Theory highlights the value of continuous learning and knowledge sharing.</w:t>
      </w:r>
    </w:p>
    <w:p w14:paraId="76629612" w14:textId="77777777" w:rsidR="002E0712" w:rsidRPr="002E0712" w:rsidRDefault="002E0712" w:rsidP="002E0712">
      <w:pPr>
        <w:rPr>
          <w:rFonts w:asciiTheme="majorHAnsi" w:hAnsiTheme="majorHAnsi" w:cstheme="majorHAnsi"/>
          <w:color w:val="000000" w:themeColor="text1"/>
          <w:szCs w:val="24"/>
        </w:rPr>
      </w:pPr>
      <w:r w:rsidRPr="002E0712">
        <w:rPr>
          <w:rFonts w:asciiTheme="majorHAnsi" w:hAnsiTheme="majorHAnsi" w:cstheme="majorHAnsi"/>
          <w:color w:val="000000" w:themeColor="text1"/>
          <w:szCs w:val="24"/>
        </w:rPr>
        <w:t>Mandatory training and professional qualifications provide essential knowledge and regulatory understanding, whereas digital learning increases accessibility and supports continuous professional development. However, digital learning should complement, rather than replace, practical workplace experience.</w:t>
      </w:r>
    </w:p>
    <w:p w14:paraId="3F243862" w14:textId="77777777" w:rsidR="002E0712" w:rsidRPr="002E0712" w:rsidRDefault="002E0712" w:rsidP="002E0712">
      <w:pPr>
        <w:rPr>
          <w:rFonts w:asciiTheme="majorHAnsi" w:hAnsiTheme="majorHAnsi" w:cstheme="majorHAnsi"/>
          <w:color w:val="000000" w:themeColor="text1"/>
          <w:szCs w:val="24"/>
        </w:rPr>
      </w:pPr>
      <w:r w:rsidRPr="002E0712">
        <w:rPr>
          <w:rFonts w:asciiTheme="majorHAnsi" w:hAnsiTheme="majorHAnsi" w:cstheme="majorHAnsi"/>
          <w:color w:val="000000" w:themeColor="text1"/>
          <w:szCs w:val="24"/>
        </w:rPr>
        <w:t>As Deputy Manager, I would use supervision, competency observations, performance reviews and reflective practice to evaluate learning outcomes. This ensures development is measured through improvements in employee performance, leadership capability and quality of care, rather than training completion alone.</w:t>
      </w:r>
    </w:p>
    <w:p w14:paraId="6B93ED94" w14:textId="77777777" w:rsidR="002E0712" w:rsidRPr="002E0712" w:rsidRDefault="002E0712" w:rsidP="002E0712">
      <w:pPr>
        <w:rPr>
          <w:rFonts w:asciiTheme="majorHAnsi" w:hAnsiTheme="majorHAnsi" w:cstheme="majorHAnsi"/>
          <w:color w:val="000000" w:themeColor="text1"/>
          <w:szCs w:val="24"/>
        </w:rPr>
      </w:pPr>
      <w:r w:rsidRPr="002E0712">
        <w:rPr>
          <w:rFonts w:asciiTheme="majorHAnsi" w:hAnsiTheme="majorHAnsi" w:cstheme="majorHAnsi"/>
          <w:color w:val="000000" w:themeColor="text1"/>
          <w:szCs w:val="24"/>
        </w:rPr>
        <w:t>Overall, although development methods should reflect individual and organisational needs, evidence suggests that combining formal qualifications, workplace learning and continuous professional development offers the greatest potential for sustainable employee growth and service improvement.</w:t>
      </w:r>
    </w:p>
    <w:p w14:paraId="4460F7E9" w14:textId="77777777" w:rsidR="00E445DD" w:rsidRPr="00272DA5" w:rsidRDefault="00E445DD" w:rsidP="00613083">
      <w:pPr>
        <w:rPr>
          <w:rFonts w:asciiTheme="majorHAnsi" w:hAnsiTheme="majorHAnsi" w:cstheme="majorHAnsi"/>
          <w:b/>
          <w:bCs/>
          <w:color w:val="000000" w:themeColor="text1"/>
          <w:szCs w:val="24"/>
        </w:rPr>
      </w:pPr>
    </w:p>
    <w:p w14:paraId="3A7B567D" w14:textId="77777777" w:rsidR="00824868" w:rsidRDefault="00824868" w:rsidP="00613083">
      <w:pPr>
        <w:rPr>
          <w:rFonts w:asciiTheme="majorHAnsi" w:hAnsiTheme="majorHAnsi" w:cstheme="majorHAnsi"/>
          <w:b/>
          <w:bCs/>
          <w:color w:val="000000" w:themeColor="text1"/>
          <w:szCs w:val="24"/>
        </w:rPr>
      </w:pPr>
    </w:p>
    <w:p w14:paraId="475B82EF" w14:textId="77777777" w:rsidR="00824868" w:rsidRDefault="00824868" w:rsidP="00613083">
      <w:pPr>
        <w:rPr>
          <w:rFonts w:asciiTheme="majorHAnsi" w:hAnsiTheme="majorHAnsi" w:cstheme="majorHAnsi"/>
          <w:b/>
          <w:bCs/>
          <w:color w:val="000000" w:themeColor="text1"/>
          <w:szCs w:val="24"/>
        </w:rPr>
      </w:pPr>
    </w:p>
    <w:p w14:paraId="479E4E0B" w14:textId="77777777" w:rsidR="00824868" w:rsidRDefault="00824868" w:rsidP="00613083">
      <w:pPr>
        <w:rPr>
          <w:rFonts w:asciiTheme="majorHAnsi" w:hAnsiTheme="majorHAnsi" w:cstheme="majorHAnsi"/>
          <w:b/>
          <w:bCs/>
          <w:color w:val="000000" w:themeColor="text1"/>
          <w:szCs w:val="24"/>
        </w:rPr>
      </w:pPr>
    </w:p>
    <w:p w14:paraId="1C1D28D5" w14:textId="77777777" w:rsidR="00247BBC" w:rsidRPr="00272DA5" w:rsidRDefault="00247BBC" w:rsidP="00247BBC">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5. Personal Development Plan and Performance Management</w:t>
      </w:r>
    </w:p>
    <w:p w14:paraId="33890CC3" w14:textId="1F2915F0" w:rsidR="00BA2D35" w:rsidRPr="00272DA5" w:rsidRDefault="00BA2D35"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lastRenderedPageBreak/>
        <w:t>This section examines how an individual's development needs can be identified, addressed and evaluated through a structured Personal Development Plan (PDP). It also considers how performance management processes can be used to monitor progress, provide feedback and support continuous improvement. Using a hypothetical employee within Accomplish, the section demonstrates how development activities can be aligned with organisational objectives, service requirements and career aspirations whilst supporting effective performance management and long-term workforce sustainability.</w:t>
      </w:r>
    </w:p>
    <w:p w14:paraId="25B4297B" w14:textId="77777777" w:rsidR="00247BBC" w:rsidRPr="00272DA5" w:rsidRDefault="00247BBC" w:rsidP="00247BBC">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5.1 Employee Profile</w:t>
      </w:r>
    </w:p>
    <w:p w14:paraId="0BA80CB5"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A Personal Development Plan (PDP) provides a structured framework for identifying learning needs, setting development objectives and monitoring professional growth. CIPD (2023) emphasises that effective development planning supports employee engagement, retention and workforce sustainability when linked to measurable performance outcomes.</w:t>
      </w:r>
    </w:p>
    <w:p w14:paraId="48FC37FF"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Within Accomplish, part of Keys Group, the following hypothetical example focuses on Employee A, a Support Worker within a residential mental health service supporting eight residents with complex needs. During supervision, they have expressed an ambition to progress into a Team Leader role within the next 12 months.</w:t>
      </w:r>
    </w:p>
    <w:p w14:paraId="0EFD0CFA"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Employee A demonstrates reliability, positive relationships with residents and sound safeguarding practice. However, further development is required in leadership, medication competency, report writing, professional confidence and the management of behaviours that challenge.</w:t>
      </w:r>
    </w:p>
    <w:p w14:paraId="1CE79668"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As Deputy Manager, I would develop a collaborative PDP that aligns Employee A's career aspirations with organisational requirements and service needs. This approach reflects Expectancy Theory (Vroom, 1964), which highlights the importance of balancing employee motivation with realistic opportunities for progression.</w:t>
      </w:r>
    </w:p>
    <w:p w14:paraId="7B81E779" w14:textId="77777777" w:rsidR="00247BBC" w:rsidRPr="00272DA5" w:rsidRDefault="00247BBC" w:rsidP="00247BBC">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5.2 Skills Gap Analysis</w:t>
      </w:r>
    </w:p>
    <w:p w14:paraId="419A090A"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A skills gap analysis enables managers to compare existing competencies against those required for a future role. According to Noe (2020), identifying specific development needs ensures learning interventions are targeted and aligned with organisational objectives rather than relying upon generic training provision.</w:t>
      </w:r>
    </w:p>
    <w:p w14:paraId="4D5996AE"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The analysis identified several areas requiring development before Employee A could effectively undertake Team Leader responsibilities.</w:t>
      </w:r>
    </w:p>
    <w:p w14:paraId="00F66715"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The assessment would utilise multiple sources of evidence, including supervision records, direct observations, incident reports, competency assessments, training records and self-reflection. Combining managerial feedback, performance evidence and employee reflection provides a more accurate understanding of development requirements and reduces subjectivity.</w:t>
      </w:r>
    </w:p>
    <w:p w14:paraId="0A31AC90" w14:textId="2463EFDF" w:rsidR="00B76E33" w:rsidRPr="00A735A6"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lastRenderedPageBreak/>
        <w:t>The process also promotes fairness and transparency because decisions regarding progression are based upon objective evidence rather than assumptions, personal opinion or length of service alone.</w:t>
      </w:r>
    </w:p>
    <w:p w14:paraId="4F7646E0" w14:textId="06C3376B" w:rsidR="00247BBC" w:rsidRPr="00272DA5" w:rsidRDefault="00247BBC" w:rsidP="00247BBC">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5.3 Personal Development Plan</w:t>
      </w:r>
    </w:p>
    <w:p w14:paraId="0789EB9D"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The PDP is designed using SMART objectives, enabling progress to be measured against specific outcomes (Doran, 1981). Each objective directly addresses an identified skills gap while supporting organisational priorities such as quality of care, regulatory compliance and leadership succession planning.</w:t>
      </w:r>
    </w:p>
    <w:p w14:paraId="512094F1"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The proposed development activities combine formal learning, coaching, mentoring, job shadowing and workplace experience. This reflects best practice because leadership competence is developed through both formal learning and practical application.</w:t>
      </w:r>
    </w:p>
    <w:p w14:paraId="69FEB026"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Whilst the PDP provides a structured pathway for development, successful completion of learning activities does not automatically demonstrate readiness for promotion. This distinction is important because qualifications and training courses primarily assess knowledge acquisition, whereas leadership positions require consistent application of knowledge within complex workplace environments.</w:t>
      </w:r>
    </w:p>
    <w:p w14:paraId="6AB89066"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Monthly reviews would monitor progress, identify barriers and allow objectives to be adjusted where necessary. However, flexibility remains essential because organisational priorities, staffing requirements and individual circumstances may change throughout the development period.</w:t>
      </w:r>
    </w:p>
    <w:p w14:paraId="458876CA" w14:textId="77777777" w:rsidR="00247BBC" w:rsidRPr="00272DA5" w:rsidRDefault="00247BBC" w:rsidP="00247BBC">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5.4 Managing Performance</w:t>
      </w:r>
    </w:p>
    <w:p w14:paraId="1F420624" w14:textId="75C9A780"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Performance Management Cycle (Applied to Employee A)</w:t>
      </w:r>
    </w:p>
    <w:p w14:paraId="42F255FD" w14:textId="7F969935"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 xml:space="preserve">PLAN </w:t>
      </w:r>
      <w:r w:rsidR="00E322F7" w:rsidRPr="00272DA5">
        <w:rPr>
          <w:rFonts w:asciiTheme="majorHAnsi" w:hAnsiTheme="majorHAnsi" w:cstheme="majorHAnsi"/>
          <w:color w:val="000000" w:themeColor="text1"/>
          <w:szCs w:val="24"/>
        </w:rPr>
        <w:t xml:space="preserve">- </w:t>
      </w:r>
      <w:r w:rsidRPr="00272DA5">
        <w:rPr>
          <w:rFonts w:asciiTheme="majorHAnsi" w:hAnsiTheme="majorHAnsi" w:cstheme="majorHAnsi"/>
          <w:color w:val="000000" w:themeColor="text1"/>
          <w:szCs w:val="24"/>
        </w:rPr>
        <w:t xml:space="preserve">MONITOR </w:t>
      </w:r>
      <w:r w:rsidR="00E322F7" w:rsidRPr="00272DA5">
        <w:rPr>
          <w:rFonts w:asciiTheme="majorHAnsi" w:hAnsiTheme="majorHAnsi" w:cstheme="majorHAnsi"/>
          <w:color w:val="000000" w:themeColor="text1"/>
          <w:szCs w:val="24"/>
        </w:rPr>
        <w:t xml:space="preserve">- </w:t>
      </w:r>
      <w:r w:rsidRPr="00272DA5">
        <w:rPr>
          <w:rFonts w:asciiTheme="majorHAnsi" w:hAnsiTheme="majorHAnsi" w:cstheme="majorHAnsi"/>
          <w:color w:val="000000" w:themeColor="text1"/>
          <w:szCs w:val="24"/>
        </w:rPr>
        <w:t xml:space="preserve">REVIEW </w:t>
      </w:r>
      <w:r w:rsidR="00E322F7" w:rsidRPr="00272DA5">
        <w:rPr>
          <w:rFonts w:asciiTheme="majorHAnsi" w:hAnsiTheme="majorHAnsi" w:cstheme="majorHAnsi"/>
          <w:color w:val="000000" w:themeColor="text1"/>
          <w:szCs w:val="24"/>
        </w:rPr>
        <w:t xml:space="preserve">- </w:t>
      </w:r>
      <w:r w:rsidRPr="00272DA5">
        <w:rPr>
          <w:rFonts w:asciiTheme="majorHAnsi" w:hAnsiTheme="majorHAnsi" w:cstheme="majorHAnsi"/>
          <w:color w:val="000000" w:themeColor="text1"/>
          <w:szCs w:val="24"/>
        </w:rPr>
        <w:t xml:space="preserve">DEVELOP </w:t>
      </w:r>
      <w:r w:rsidR="00E322F7" w:rsidRPr="00272DA5">
        <w:rPr>
          <w:rFonts w:asciiTheme="majorHAnsi" w:hAnsiTheme="majorHAnsi" w:cstheme="majorHAnsi"/>
          <w:color w:val="000000" w:themeColor="text1"/>
          <w:szCs w:val="24"/>
        </w:rPr>
        <w:t>-</w:t>
      </w:r>
      <w:r w:rsidRPr="00272DA5">
        <w:rPr>
          <w:rFonts w:asciiTheme="majorHAnsi" w:hAnsiTheme="majorHAnsi" w:cstheme="majorHAnsi"/>
          <w:color w:val="000000" w:themeColor="text1"/>
          <w:szCs w:val="24"/>
        </w:rPr>
        <w:t xml:space="preserve"> PLAN</w:t>
      </w:r>
    </w:p>
    <w:p w14:paraId="65D9AC9D" w14:textId="77777777" w:rsidR="00247BBC" w:rsidRPr="00272DA5" w:rsidRDefault="00247BBC" w:rsidP="00247BBC">
      <w:pPr>
        <w:numPr>
          <w:ilvl w:val="0"/>
          <w:numId w:val="4"/>
        </w:num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Agree SMART objectives and evidence requirements.</w:t>
      </w:r>
    </w:p>
    <w:p w14:paraId="6ABFFDD7" w14:textId="77777777" w:rsidR="00247BBC" w:rsidRPr="00272DA5" w:rsidRDefault="00247BBC" w:rsidP="00247BBC">
      <w:pPr>
        <w:numPr>
          <w:ilvl w:val="0"/>
          <w:numId w:val="4"/>
        </w:num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Observe practice and record feedback.</w:t>
      </w:r>
    </w:p>
    <w:p w14:paraId="627A1624" w14:textId="77777777" w:rsidR="00247BBC" w:rsidRPr="00272DA5" w:rsidRDefault="00247BBC" w:rsidP="00247BBC">
      <w:pPr>
        <w:numPr>
          <w:ilvl w:val="0"/>
          <w:numId w:val="4"/>
        </w:num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Compare evidence against agreed standards.</w:t>
      </w:r>
    </w:p>
    <w:p w14:paraId="00B058A5" w14:textId="77777777" w:rsidR="00247BBC" w:rsidRPr="00272DA5" w:rsidRDefault="00247BBC" w:rsidP="00247BBC">
      <w:pPr>
        <w:numPr>
          <w:ilvl w:val="0"/>
          <w:numId w:val="4"/>
        </w:num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Adjust coaching, training and objectives.</w:t>
      </w:r>
    </w:p>
    <w:p w14:paraId="08456532" w14:textId="77777777" w:rsidR="00247BBC" w:rsidRPr="00272DA5" w:rsidRDefault="00247BBC" w:rsidP="00247BBC">
      <w:pPr>
        <w:numPr>
          <w:ilvl w:val="0"/>
          <w:numId w:val="4"/>
        </w:num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Repeat through monthly supervision and formal reviews at six and twelve months.</w:t>
      </w:r>
    </w:p>
    <w:p w14:paraId="6947EBEE"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Performance management is a continuous process involving objective setting, monitoring, feedback and performance review.</w:t>
      </w:r>
    </w:p>
    <w:p w14:paraId="600675B1" w14:textId="70FBEDEE" w:rsidR="00E322F7" w:rsidRPr="00AB295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 xml:space="preserve">Within Accomplish, I would utilise the Performance Management Cycle to ensure Employee A's development activities remain aligned with service objectives and quality standards. The cycle </w:t>
      </w:r>
      <w:r w:rsidRPr="00272DA5">
        <w:rPr>
          <w:rFonts w:asciiTheme="majorHAnsi" w:hAnsiTheme="majorHAnsi" w:cstheme="majorHAnsi"/>
          <w:color w:val="000000" w:themeColor="text1"/>
          <w:szCs w:val="24"/>
        </w:rPr>
        <w:lastRenderedPageBreak/>
        <w:t>would involve planning, monitoring, reviewing and improving performance through regular supervision, coaching and competency assessments.</w:t>
      </w:r>
    </w:p>
    <w:p w14:paraId="49C91A31" w14:textId="68D5756B" w:rsidR="00247BBC" w:rsidRPr="00272DA5" w:rsidRDefault="00247BBC" w:rsidP="00247BBC">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KPI Monitoring</w:t>
      </w:r>
    </w:p>
    <w:p w14:paraId="42FEB03A"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 xml:space="preserve">Performance indicators would include documentation accuracy, medication competency completion, leadership observations, training milestones and participation in development activities. However, a significant limitation of KPI-based approaches is their focus on measurable outputs. </w:t>
      </w:r>
      <w:proofErr w:type="spellStart"/>
      <w:r w:rsidRPr="00272DA5">
        <w:rPr>
          <w:rFonts w:asciiTheme="majorHAnsi" w:hAnsiTheme="majorHAnsi" w:cstheme="majorHAnsi"/>
          <w:color w:val="000000" w:themeColor="text1"/>
          <w:szCs w:val="24"/>
        </w:rPr>
        <w:t>Brudan</w:t>
      </w:r>
      <w:proofErr w:type="spellEnd"/>
      <w:r w:rsidRPr="00272DA5">
        <w:rPr>
          <w:rFonts w:asciiTheme="majorHAnsi" w:hAnsiTheme="majorHAnsi" w:cstheme="majorHAnsi"/>
          <w:color w:val="000000" w:themeColor="text1"/>
          <w:szCs w:val="24"/>
        </w:rPr>
        <w:t xml:space="preserve"> (2010) argues that quantitative indicators may overlook wider aspects of professional performance, including relationship-building, compassion and professional judgement.</w:t>
      </w:r>
    </w:p>
    <w:p w14:paraId="3FBB8686"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Therefore, KPIs should be balanced with qualitative measures such as resident feedback, reflective discussions, behavioural observations and evidence of person-centred practice.</w:t>
      </w:r>
    </w:p>
    <w:p w14:paraId="18249A46" w14:textId="77777777" w:rsidR="00247BBC" w:rsidRPr="00272DA5" w:rsidRDefault="00247BBC" w:rsidP="00247BBC">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Supervision and Appraisals</w:t>
      </w:r>
    </w:p>
    <w:p w14:paraId="4F3F2FDE"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Regular supervision enables progress to be reviewed, barriers to development identified and objectives revised where necessary. Annual appraisal provides an opportunity to evaluate long-term progress and future career aspirations.</w:t>
      </w:r>
    </w:p>
    <w:p w14:paraId="461C3994"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However, annual reviews alone are insufficient because performance concerns require timely intervention and support. Continuous feedback is therefore more effective than retrospective evaluation and enables issues to be addressed before they impact service quality.</w:t>
      </w:r>
    </w:p>
    <w:p w14:paraId="43D9CC1D" w14:textId="77777777" w:rsidR="00247BBC" w:rsidRPr="00272DA5" w:rsidRDefault="00247BBC" w:rsidP="00247BBC">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Feedback and Observation</w:t>
      </w:r>
    </w:p>
    <w:p w14:paraId="15785D37"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Direct observation allows managers to assess competence within real workplace settings.</w:t>
      </w:r>
    </w:p>
    <w:p w14:paraId="459CB0F1"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Nevertheless, observations may capture only isolated examples of performance. To improve reliability, observations should occur on multiple occasions and be combined with additional evidence sources such as resident outcomes, documentation quality, colleague feedback and competency assessments.</w:t>
      </w:r>
    </w:p>
    <w:p w14:paraId="273CDC9A" w14:textId="77777777" w:rsidR="00247BBC" w:rsidRPr="00272DA5" w:rsidRDefault="00247BBC" w:rsidP="00247BBC">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Coaching Through the GROW Model</w:t>
      </w:r>
    </w:p>
    <w:p w14:paraId="64E7CB9F"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Whitmore's (2017) GROW Model structures coaching conversations around Goal, Reality, Options and Will. Rather than providing solutions, coaching encourages employees to evaluate challenges, identify options and take ownership of their development.</w:t>
      </w:r>
    </w:p>
    <w:p w14:paraId="2B7B7E23"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This approach promotes self-awareness, accountability and reflective practice, all of which are important qualities for future leaders within social care services.</w:t>
      </w:r>
    </w:p>
    <w:p w14:paraId="3BA2C35B" w14:textId="77777777" w:rsidR="00247BBC" w:rsidRPr="00272DA5" w:rsidRDefault="00247BBC" w:rsidP="00247BBC">
      <w:pPr>
        <w:rPr>
          <w:rFonts w:asciiTheme="majorHAnsi" w:hAnsiTheme="majorHAnsi" w:cstheme="majorHAnsi"/>
          <w:b/>
          <w:bCs/>
          <w:color w:val="000000" w:themeColor="text1"/>
          <w:szCs w:val="24"/>
        </w:rPr>
      </w:pPr>
      <w:r w:rsidRPr="00272DA5">
        <w:rPr>
          <w:rFonts w:asciiTheme="majorHAnsi" w:hAnsiTheme="majorHAnsi" w:cstheme="majorHAnsi"/>
          <w:b/>
          <w:bCs/>
          <w:color w:val="000000" w:themeColor="text1"/>
          <w:szCs w:val="24"/>
        </w:rPr>
        <w:t>5.5 Reflection on Sustainability</w:t>
      </w:r>
    </w:p>
    <w:p w14:paraId="6E2D4E33"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 xml:space="preserve">The cost and sustainability of development also require critical consideration. Protected learning time, mentoring capacity and staffing cover should be evaluated alongside potential </w:t>
      </w:r>
      <w:r w:rsidRPr="00272DA5">
        <w:rPr>
          <w:rFonts w:asciiTheme="majorHAnsi" w:hAnsiTheme="majorHAnsi" w:cstheme="majorHAnsi"/>
          <w:color w:val="000000" w:themeColor="text1"/>
          <w:szCs w:val="24"/>
        </w:rPr>
        <w:lastRenderedPageBreak/>
        <w:t>reductions in agency usage, errors, absenteeism and employee turnover. These benefits should be evidenced through service data rather than assumed.</w:t>
      </w:r>
    </w:p>
    <w:p w14:paraId="5B1DFA0E"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Sustainable workforce development requires organisations to focus on long-term capability rather than addressing immediate training requirements alone. Senge (1990) argues that learning organisations create cultures in which continuous learning, knowledge sharing and professional growth support organisational effectiveness and adaptation.</w:t>
      </w:r>
    </w:p>
    <w:p w14:paraId="280ECAEC"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Within Accomplish, structured PDPs can strengthen succession planning, reduce reliance on external recruitment and improve workforce resilience by preparing employees for future leadership responsibilities. Developing existing employees also preserves organisational knowledge, including understanding residents' individual needs, behavioural support strategies and service-specific practices.</w:t>
      </w:r>
    </w:p>
    <w:p w14:paraId="5A8B7F6C"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However, development initiatives require significant organisational commitment. Time for supervision, access to training, financial investment and managerial support are all necessary for successful implementation.</w:t>
      </w:r>
    </w:p>
    <w:p w14:paraId="34A43B36"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As Deputy Manager, I would therefore ensure that development opportunities remain realistic, inclusive and regularly evaluated. Although Employee A's progression cannot be guaranteed, the competencies developed through the PDP would improve current performance while contributing to organisational capability and service quality.</w:t>
      </w:r>
    </w:p>
    <w:p w14:paraId="1B804C74" w14:textId="77777777" w:rsidR="00247BBC" w:rsidRPr="00272DA5" w:rsidRDefault="00247BBC" w:rsidP="00247BBC">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Overall, a structured PDP supported by continuous performance management provides a sustainable approach to workforce development. By combining SMART objectives, ongoing supervision, coaching and evidence-based evaluation, Accomplish can improve individual competence, strengthen leadership succession and support the delivery of safe, effective and person-centred care.</w:t>
      </w:r>
    </w:p>
    <w:p w14:paraId="572DAC01" w14:textId="77777777" w:rsidR="005F7051" w:rsidRPr="00EC3968" w:rsidRDefault="005F7051" w:rsidP="00613083">
      <w:pPr>
        <w:rPr>
          <w:color w:val="000000" w:themeColor="text1"/>
        </w:rPr>
      </w:pPr>
    </w:p>
    <w:p w14:paraId="5DD90F37" w14:textId="77777777" w:rsidR="005F7051" w:rsidRDefault="005F7051" w:rsidP="00613083">
      <w:pPr>
        <w:rPr>
          <w:b/>
          <w:bCs/>
          <w:color w:val="000000" w:themeColor="text1"/>
        </w:rPr>
      </w:pPr>
    </w:p>
    <w:p w14:paraId="335DB05C" w14:textId="77777777" w:rsidR="005F7051" w:rsidRDefault="005F7051" w:rsidP="00613083">
      <w:pPr>
        <w:rPr>
          <w:b/>
          <w:bCs/>
          <w:color w:val="000000" w:themeColor="text1"/>
        </w:rPr>
      </w:pPr>
    </w:p>
    <w:p w14:paraId="35645ACF" w14:textId="77777777" w:rsidR="005F7051" w:rsidRDefault="005F7051" w:rsidP="00613083">
      <w:pPr>
        <w:rPr>
          <w:b/>
          <w:bCs/>
          <w:color w:val="000000" w:themeColor="text1"/>
        </w:rPr>
      </w:pPr>
    </w:p>
    <w:p w14:paraId="375F8CD6" w14:textId="77777777" w:rsidR="002C0198" w:rsidRDefault="002C0198" w:rsidP="00613083">
      <w:pPr>
        <w:rPr>
          <w:b/>
          <w:bCs/>
          <w:color w:val="000000" w:themeColor="text1"/>
        </w:rPr>
      </w:pPr>
    </w:p>
    <w:p w14:paraId="40A7ACF7" w14:textId="77777777" w:rsidR="00B12758" w:rsidRDefault="00B12758" w:rsidP="00613083">
      <w:pPr>
        <w:rPr>
          <w:b/>
          <w:bCs/>
          <w:color w:val="000000" w:themeColor="text1"/>
        </w:rPr>
      </w:pPr>
    </w:p>
    <w:p w14:paraId="44204E2D" w14:textId="77777777" w:rsidR="00B12758" w:rsidRDefault="00B12758" w:rsidP="00613083">
      <w:pPr>
        <w:rPr>
          <w:b/>
          <w:bCs/>
          <w:color w:val="000000" w:themeColor="text1"/>
        </w:rPr>
      </w:pPr>
    </w:p>
    <w:p w14:paraId="64C66150" w14:textId="77777777" w:rsidR="00B12758" w:rsidRDefault="00B12758" w:rsidP="00613083">
      <w:pPr>
        <w:rPr>
          <w:b/>
          <w:bCs/>
          <w:color w:val="000000" w:themeColor="text1"/>
        </w:rPr>
      </w:pPr>
    </w:p>
    <w:p w14:paraId="266A8CBD" w14:textId="77777777" w:rsidR="0062584A" w:rsidRDefault="0062584A" w:rsidP="00613083">
      <w:pPr>
        <w:rPr>
          <w:b/>
          <w:bCs/>
          <w:color w:val="000000" w:themeColor="text1"/>
        </w:rPr>
      </w:pPr>
    </w:p>
    <w:p w14:paraId="0F7DB322" w14:textId="77777777" w:rsidR="00B76E33" w:rsidRPr="00272DA5" w:rsidRDefault="00B76E33" w:rsidP="00613083">
      <w:pPr>
        <w:rPr>
          <w:rFonts w:asciiTheme="majorHAnsi" w:hAnsiTheme="majorHAnsi" w:cstheme="majorHAnsi"/>
          <w:b/>
          <w:bCs/>
          <w:color w:val="000000" w:themeColor="text1"/>
        </w:rPr>
      </w:pPr>
    </w:p>
    <w:p w14:paraId="37D38F72" w14:textId="77777777" w:rsidR="00613083" w:rsidRPr="00272DA5" w:rsidRDefault="00613083" w:rsidP="00613083">
      <w:pPr>
        <w:pStyle w:val="Heading1"/>
        <w:rPr>
          <w:rFonts w:asciiTheme="majorHAnsi" w:hAnsiTheme="majorHAnsi" w:cstheme="majorHAnsi"/>
          <w:b/>
          <w:bCs/>
          <w:color w:val="000000" w:themeColor="text1"/>
          <w:sz w:val="24"/>
          <w:szCs w:val="24"/>
        </w:rPr>
      </w:pPr>
      <w:r w:rsidRPr="00272DA5">
        <w:rPr>
          <w:rFonts w:asciiTheme="majorHAnsi" w:hAnsiTheme="majorHAnsi" w:cstheme="majorHAnsi"/>
          <w:b/>
          <w:bCs/>
          <w:color w:val="000000" w:themeColor="text1"/>
          <w:sz w:val="24"/>
          <w:szCs w:val="24"/>
        </w:rPr>
        <w:lastRenderedPageBreak/>
        <w:t>6. Conclusion</w:t>
      </w:r>
    </w:p>
    <w:p w14:paraId="77E8EC61" w14:textId="77777777" w:rsidR="00272DA5" w:rsidRPr="00272DA5" w:rsidRDefault="00272DA5" w:rsidP="00272DA5">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This report has critically examined the role of employee development in improving workplace relationships, individual achievement and organisational performance within Accomplish, part of Keys Group.</w:t>
      </w:r>
    </w:p>
    <w:p w14:paraId="3DC14FDB" w14:textId="77777777" w:rsidR="00272DA5" w:rsidRPr="00272DA5" w:rsidRDefault="00272DA5" w:rsidP="00272DA5">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The discussion of Human Capital Theory, the Resource-Based View, Social Exchange Theory and Learning Organisation Theory demonstrated how learning and development can enhance employee competence, strengthen organisational capability, improve retention and support sustainable organisational success. However, the analysis identified that development activities only achieve value when learning is effectively transferred into workplace practice and reinforced through supervision, coaching, mentoring and continuous performance management. Training completion alone does not guarantee improved performance, safer practice or positive outcomes for residents.</w:t>
      </w:r>
    </w:p>
    <w:p w14:paraId="3C215FE6" w14:textId="77777777" w:rsidR="00272DA5" w:rsidRPr="00272DA5" w:rsidRDefault="00272DA5" w:rsidP="00272DA5">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The report further demonstrated that managing employee expectations is a critical leadership responsibility. Within Accomplish, employees may aspire to gain qualifications, undertake specialist training and progress into leadership positions. As Deputy Manager, maintaining transparent communication, realistic goal setting and constructive feedback is essential to balancing employee aspirations with organisational opportunities and operational requirements. The application of Psychological Contract Theory and Expectancy Theory highlighted the importance of trust, fairness and motivation when supporting employee development.</w:t>
      </w:r>
    </w:p>
    <w:p w14:paraId="6768BE23" w14:textId="77777777" w:rsidR="00272DA5" w:rsidRPr="00272DA5" w:rsidRDefault="00272DA5" w:rsidP="00272DA5">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A critical evaluation of development vehicles demonstrated that no single approach can meet all learning needs. Formal qualifications, mandatory training, coaching, mentoring, job shadowing and digital learning each offer distinct benefits and limitations. Consequently, a blended approach is most effective because it combines theoretical knowledge with practical experience and reflective learning.</w:t>
      </w:r>
    </w:p>
    <w:p w14:paraId="38533EC6" w14:textId="77777777" w:rsidR="00272DA5" w:rsidRPr="00272DA5" w:rsidRDefault="00272DA5" w:rsidP="00272DA5">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The Personal Development Plan illustrated how structured development, supported by SMART objectives, regular supervision, coaching and performance management, can improve employee capability while supporting organisational objectives. Effective performance management enables managers to monitor progress, identify barriers to development and support continuous improvement.</w:t>
      </w:r>
    </w:p>
    <w:p w14:paraId="6840F728" w14:textId="4313FE83" w:rsidR="00F27842" w:rsidRPr="00467AA0" w:rsidRDefault="00272DA5" w:rsidP="00983F41">
      <w:pPr>
        <w:rPr>
          <w:rFonts w:asciiTheme="majorHAnsi" w:hAnsiTheme="majorHAnsi" w:cstheme="majorHAnsi"/>
          <w:color w:val="000000" w:themeColor="text1"/>
          <w:szCs w:val="24"/>
        </w:rPr>
      </w:pPr>
      <w:r w:rsidRPr="00272DA5">
        <w:rPr>
          <w:rFonts w:asciiTheme="majorHAnsi" w:hAnsiTheme="majorHAnsi" w:cstheme="majorHAnsi"/>
          <w:color w:val="000000" w:themeColor="text1"/>
          <w:szCs w:val="24"/>
        </w:rPr>
        <w:t>Overall, the report concludes that Accomplish can strengthen organisational performance, workforce resilience and quality of care through an integrated approach to employee development. Ultimately, success should be measured not by training completion alone but by demonstrable improvements in employee competence, leadership capability, staff retention, regulatory compliance and the quality of life of the individuals supported by the service</w:t>
      </w:r>
      <w:r w:rsidR="00467AA0">
        <w:rPr>
          <w:rFonts w:asciiTheme="majorHAnsi" w:hAnsiTheme="majorHAnsi" w:cstheme="majorHAnsi"/>
          <w:color w:val="000000" w:themeColor="text1"/>
          <w:szCs w:val="24"/>
        </w:rPr>
        <w:t>.</w:t>
      </w:r>
    </w:p>
    <w:p w14:paraId="257FA372" w14:textId="16E6FE0D" w:rsidR="00613083" w:rsidRPr="000E78E4" w:rsidRDefault="00613083" w:rsidP="00613083">
      <w:pPr>
        <w:pStyle w:val="Heading1"/>
        <w:rPr>
          <w:rFonts w:asciiTheme="majorHAnsi" w:hAnsiTheme="majorHAnsi" w:cstheme="majorHAnsi"/>
          <w:b/>
          <w:bCs/>
          <w:color w:val="000000" w:themeColor="text1"/>
          <w:sz w:val="24"/>
          <w:szCs w:val="24"/>
        </w:rPr>
      </w:pPr>
      <w:r w:rsidRPr="000E78E4">
        <w:rPr>
          <w:rFonts w:asciiTheme="majorHAnsi" w:hAnsiTheme="majorHAnsi" w:cstheme="majorHAnsi"/>
          <w:b/>
          <w:bCs/>
          <w:color w:val="000000" w:themeColor="text1"/>
          <w:sz w:val="24"/>
          <w:szCs w:val="24"/>
        </w:rPr>
        <w:lastRenderedPageBreak/>
        <w:t>References</w:t>
      </w:r>
    </w:p>
    <w:p w14:paraId="2CAE0570"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Accomplish. (2024). </w:t>
      </w:r>
      <w:r w:rsidRPr="00480E4E">
        <w:rPr>
          <w:rFonts w:asciiTheme="majorHAnsi" w:hAnsiTheme="majorHAnsi" w:cstheme="majorHAnsi"/>
          <w:i/>
          <w:iCs/>
          <w:color w:val="000000" w:themeColor="text1"/>
          <w:szCs w:val="24"/>
        </w:rPr>
        <w:t>Adult residential and supported living services</w:t>
      </w:r>
      <w:r w:rsidRPr="00480E4E">
        <w:rPr>
          <w:rFonts w:asciiTheme="majorHAnsi" w:hAnsiTheme="majorHAnsi" w:cstheme="majorHAnsi"/>
          <w:color w:val="000000" w:themeColor="text1"/>
          <w:szCs w:val="24"/>
        </w:rPr>
        <w:t>. https://www.accomplish-group.co.uk/</w:t>
      </w:r>
    </w:p>
    <w:p w14:paraId="2B1355EE"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Accomplish. (2024). </w:t>
      </w:r>
      <w:r w:rsidRPr="00480E4E">
        <w:rPr>
          <w:rFonts w:asciiTheme="majorHAnsi" w:hAnsiTheme="majorHAnsi" w:cstheme="majorHAnsi"/>
          <w:i/>
          <w:iCs/>
          <w:color w:val="000000" w:themeColor="text1"/>
          <w:szCs w:val="24"/>
        </w:rPr>
        <w:t>About Accomplish and specialist support services</w:t>
      </w:r>
      <w:r w:rsidRPr="00480E4E">
        <w:rPr>
          <w:rFonts w:asciiTheme="majorHAnsi" w:hAnsiTheme="majorHAnsi" w:cstheme="majorHAnsi"/>
          <w:color w:val="000000" w:themeColor="text1"/>
          <w:szCs w:val="24"/>
        </w:rPr>
        <w:t>. https://www.accomplish-group.co.uk/</w:t>
      </w:r>
    </w:p>
    <w:p w14:paraId="1FD466CD"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Armstrong, M., &amp; Taylor, S. (2023). </w:t>
      </w:r>
      <w:r w:rsidRPr="00480E4E">
        <w:rPr>
          <w:rFonts w:asciiTheme="majorHAnsi" w:hAnsiTheme="majorHAnsi" w:cstheme="majorHAnsi"/>
          <w:i/>
          <w:iCs/>
          <w:color w:val="000000" w:themeColor="text1"/>
          <w:szCs w:val="24"/>
        </w:rPr>
        <w:t>Armstrong's handbook of human resource management practice</w:t>
      </w:r>
      <w:r w:rsidRPr="00480E4E">
        <w:rPr>
          <w:rFonts w:asciiTheme="majorHAnsi" w:hAnsiTheme="majorHAnsi" w:cstheme="majorHAnsi"/>
          <w:color w:val="000000" w:themeColor="text1"/>
          <w:szCs w:val="24"/>
        </w:rPr>
        <w:t xml:space="preserve"> (16th ed.). Kogan Page.</w:t>
      </w:r>
    </w:p>
    <w:p w14:paraId="32788A0F"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Barney, J. (1991). Firm resources and sustained competitive advantage. </w:t>
      </w:r>
      <w:r w:rsidRPr="00480E4E">
        <w:rPr>
          <w:rFonts w:asciiTheme="majorHAnsi" w:hAnsiTheme="majorHAnsi" w:cstheme="majorHAnsi"/>
          <w:i/>
          <w:iCs/>
          <w:color w:val="000000" w:themeColor="text1"/>
          <w:szCs w:val="24"/>
        </w:rPr>
        <w:t>Journal of Management, 17</w:t>
      </w:r>
      <w:r w:rsidRPr="00480E4E">
        <w:rPr>
          <w:rFonts w:asciiTheme="majorHAnsi" w:hAnsiTheme="majorHAnsi" w:cstheme="majorHAnsi"/>
          <w:color w:val="000000" w:themeColor="text1"/>
          <w:szCs w:val="24"/>
        </w:rPr>
        <w:t>(1), 99-120. https://doi.org/10.1177/014920639101700108</w:t>
      </w:r>
    </w:p>
    <w:p w14:paraId="55553525"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Becker, G. S. (1993). </w:t>
      </w:r>
      <w:r w:rsidRPr="00480E4E">
        <w:rPr>
          <w:rFonts w:asciiTheme="majorHAnsi" w:hAnsiTheme="majorHAnsi" w:cstheme="majorHAnsi"/>
          <w:i/>
          <w:iCs/>
          <w:color w:val="000000" w:themeColor="text1"/>
          <w:szCs w:val="24"/>
        </w:rPr>
        <w:t>Human capital: A theoretical and empirical analysis, with special reference to education</w:t>
      </w:r>
      <w:r w:rsidRPr="00480E4E">
        <w:rPr>
          <w:rFonts w:asciiTheme="majorHAnsi" w:hAnsiTheme="majorHAnsi" w:cstheme="majorHAnsi"/>
          <w:color w:val="000000" w:themeColor="text1"/>
          <w:szCs w:val="24"/>
        </w:rPr>
        <w:t xml:space="preserve"> (3rd ed.). University of Chicago Press.</w:t>
      </w:r>
    </w:p>
    <w:p w14:paraId="40E4A229"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Blau, P. M. (1964). </w:t>
      </w:r>
      <w:r w:rsidRPr="00480E4E">
        <w:rPr>
          <w:rFonts w:asciiTheme="majorHAnsi" w:hAnsiTheme="majorHAnsi" w:cstheme="majorHAnsi"/>
          <w:i/>
          <w:iCs/>
          <w:color w:val="000000" w:themeColor="text1"/>
          <w:szCs w:val="24"/>
        </w:rPr>
        <w:t>Exchange and power in social life</w:t>
      </w:r>
      <w:r w:rsidRPr="00480E4E">
        <w:rPr>
          <w:rFonts w:asciiTheme="majorHAnsi" w:hAnsiTheme="majorHAnsi" w:cstheme="majorHAnsi"/>
          <w:color w:val="000000" w:themeColor="text1"/>
          <w:szCs w:val="24"/>
        </w:rPr>
        <w:t>. Wiley.</w:t>
      </w:r>
    </w:p>
    <w:p w14:paraId="1E2DD0F2"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Boud, D., Cohen, R., &amp; Sampson, J. (2001). </w:t>
      </w:r>
      <w:r w:rsidRPr="00480E4E">
        <w:rPr>
          <w:rFonts w:asciiTheme="majorHAnsi" w:hAnsiTheme="majorHAnsi" w:cstheme="majorHAnsi"/>
          <w:i/>
          <w:iCs/>
          <w:color w:val="000000" w:themeColor="text1"/>
          <w:szCs w:val="24"/>
        </w:rPr>
        <w:t>Peer learning in higher education: Learning from and with each other</w:t>
      </w:r>
      <w:r w:rsidRPr="00480E4E">
        <w:rPr>
          <w:rFonts w:asciiTheme="majorHAnsi" w:hAnsiTheme="majorHAnsi" w:cstheme="majorHAnsi"/>
          <w:color w:val="000000" w:themeColor="text1"/>
          <w:szCs w:val="24"/>
        </w:rPr>
        <w:t>. Kogan Page.</w:t>
      </w:r>
    </w:p>
    <w:p w14:paraId="5EB5836B" w14:textId="77777777" w:rsidR="00613083" w:rsidRPr="00480E4E" w:rsidRDefault="00613083" w:rsidP="00613083">
      <w:pPr>
        <w:rPr>
          <w:rFonts w:asciiTheme="majorHAnsi" w:hAnsiTheme="majorHAnsi" w:cstheme="majorHAnsi"/>
          <w:color w:val="000000" w:themeColor="text1"/>
          <w:szCs w:val="24"/>
        </w:rPr>
      </w:pPr>
      <w:proofErr w:type="spellStart"/>
      <w:r w:rsidRPr="00480E4E">
        <w:rPr>
          <w:rFonts w:asciiTheme="majorHAnsi" w:hAnsiTheme="majorHAnsi" w:cstheme="majorHAnsi"/>
          <w:color w:val="000000" w:themeColor="text1"/>
          <w:szCs w:val="24"/>
        </w:rPr>
        <w:t>Brudan</w:t>
      </w:r>
      <w:proofErr w:type="spellEnd"/>
      <w:r w:rsidRPr="00480E4E">
        <w:rPr>
          <w:rFonts w:asciiTheme="majorHAnsi" w:hAnsiTheme="majorHAnsi" w:cstheme="majorHAnsi"/>
          <w:color w:val="000000" w:themeColor="text1"/>
          <w:szCs w:val="24"/>
        </w:rPr>
        <w:t xml:space="preserve">, A. (2010). Rediscovering performance management: Systems, learning and integration. </w:t>
      </w:r>
      <w:r w:rsidRPr="00480E4E">
        <w:rPr>
          <w:rFonts w:asciiTheme="majorHAnsi" w:hAnsiTheme="majorHAnsi" w:cstheme="majorHAnsi"/>
          <w:i/>
          <w:iCs/>
          <w:color w:val="000000" w:themeColor="text1"/>
          <w:szCs w:val="24"/>
        </w:rPr>
        <w:t>Measuring Business Excellence, 14</w:t>
      </w:r>
      <w:r w:rsidRPr="00480E4E">
        <w:rPr>
          <w:rFonts w:asciiTheme="majorHAnsi" w:hAnsiTheme="majorHAnsi" w:cstheme="majorHAnsi"/>
          <w:color w:val="000000" w:themeColor="text1"/>
          <w:szCs w:val="24"/>
        </w:rPr>
        <w:t>(1), 109-123.</w:t>
      </w:r>
    </w:p>
    <w:p w14:paraId="747F7FDA"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Chartered Institute of Personnel and Development (CIPD). (2023). </w:t>
      </w:r>
      <w:r w:rsidRPr="00480E4E">
        <w:rPr>
          <w:rFonts w:asciiTheme="majorHAnsi" w:hAnsiTheme="majorHAnsi" w:cstheme="majorHAnsi"/>
          <w:i/>
          <w:iCs/>
          <w:color w:val="000000" w:themeColor="text1"/>
          <w:szCs w:val="24"/>
        </w:rPr>
        <w:t>Learning at work survey 2023</w:t>
      </w:r>
      <w:r w:rsidRPr="00480E4E">
        <w:rPr>
          <w:rFonts w:asciiTheme="majorHAnsi" w:hAnsiTheme="majorHAnsi" w:cstheme="majorHAnsi"/>
          <w:color w:val="000000" w:themeColor="text1"/>
          <w:szCs w:val="24"/>
        </w:rPr>
        <w:t>. CIPD.</w:t>
      </w:r>
    </w:p>
    <w:p w14:paraId="5A58C22F"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Doran, G. T. (1981). There's a SMART way to write management's goals and objectives. </w:t>
      </w:r>
      <w:r w:rsidRPr="00480E4E">
        <w:rPr>
          <w:rFonts w:asciiTheme="majorHAnsi" w:hAnsiTheme="majorHAnsi" w:cstheme="majorHAnsi"/>
          <w:i/>
          <w:iCs/>
          <w:color w:val="000000" w:themeColor="text1"/>
          <w:szCs w:val="24"/>
        </w:rPr>
        <w:t>Management Review, 70</w:t>
      </w:r>
      <w:r w:rsidRPr="00480E4E">
        <w:rPr>
          <w:rFonts w:asciiTheme="majorHAnsi" w:hAnsiTheme="majorHAnsi" w:cstheme="majorHAnsi"/>
          <w:color w:val="000000" w:themeColor="text1"/>
          <w:szCs w:val="24"/>
        </w:rPr>
        <w:t>(11), 35-36.</w:t>
      </w:r>
    </w:p>
    <w:p w14:paraId="1A1E65CF"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Edmondson, A. C. (1999). Psychological safety and learning behaviour in work teams. </w:t>
      </w:r>
      <w:r w:rsidRPr="00480E4E">
        <w:rPr>
          <w:rFonts w:asciiTheme="majorHAnsi" w:hAnsiTheme="majorHAnsi" w:cstheme="majorHAnsi"/>
          <w:i/>
          <w:iCs/>
          <w:color w:val="000000" w:themeColor="text1"/>
          <w:szCs w:val="24"/>
        </w:rPr>
        <w:t>Administrative Science Quarterly, 44</w:t>
      </w:r>
      <w:r w:rsidRPr="00480E4E">
        <w:rPr>
          <w:rFonts w:asciiTheme="majorHAnsi" w:hAnsiTheme="majorHAnsi" w:cstheme="majorHAnsi"/>
          <w:color w:val="000000" w:themeColor="text1"/>
          <w:szCs w:val="24"/>
        </w:rPr>
        <w:t>(2), 350-383.</w:t>
      </w:r>
    </w:p>
    <w:p w14:paraId="1B347CC9"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Eisenberger, R., Huntington, R., Hutchison, S., &amp; Sowa, D. (1986). Perceived organisational support. </w:t>
      </w:r>
      <w:r w:rsidRPr="00480E4E">
        <w:rPr>
          <w:rFonts w:asciiTheme="majorHAnsi" w:hAnsiTheme="majorHAnsi" w:cstheme="majorHAnsi"/>
          <w:i/>
          <w:iCs/>
          <w:color w:val="000000" w:themeColor="text1"/>
          <w:szCs w:val="24"/>
        </w:rPr>
        <w:t>Journal of Applied Psychology, 71</w:t>
      </w:r>
      <w:r w:rsidRPr="00480E4E">
        <w:rPr>
          <w:rFonts w:asciiTheme="majorHAnsi" w:hAnsiTheme="majorHAnsi" w:cstheme="majorHAnsi"/>
          <w:color w:val="000000" w:themeColor="text1"/>
          <w:szCs w:val="24"/>
        </w:rPr>
        <w:t>(3), 500-507. https://doi.org/10.1037/0021-9010.71.3.500</w:t>
      </w:r>
    </w:p>
    <w:p w14:paraId="47A3E28B" w14:textId="77777777" w:rsidR="00613083" w:rsidRPr="00480E4E" w:rsidRDefault="00613083" w:rsidP="00613083">
      <w:pPr>
        <w:rPr>
          <w:rFonts w:asciiTheme="majorHAnsi" w:hAnsiTheme="majorHAnsi" w:cstheme="majorHAnsi"/>
          <w:color w:val="000000" w:themeColor="text1"/>
          <w:szCs w:val="24"/>
        </w:rPr>
      </w:pPr>
      <w:proofErr w:type="spellStart"/>
      <w:r w:rsidRPr="00480E4E">
        <w:rPr>
          <w:rFonts w:asciiTheme="majorHAnsi" w:hAnsiTheme="majorHAnsi" w:cstheme="majorHAnsi"/>
          <w:color w:val="000000" w:themeColor="text1"/>
          <w:szCs w:val="24"/>
        </w:rPr>
        <w:t>Eraut</w:t>
      </w:r>
      <w:proofErr w:type="spellEnd"/>
      <w:r w:rsidRPr="00480E4E">
        <w:rPr>
          <w:rFonts w:asciiTheme="majorHAnsi" w:hAnsiTheme="majorHAnsi" w:cstheme="majorHAnsi"/>
          <w:color w:val="000000" w:themeColor="text1"/>
          <w:szCs w:val="24"/>
        </w:rPr>
        <w:t xml:space="preserve">, M. (2004). Informal learning in the workplace. </w:t>
      </w:r>
      <w:r w:rsidRPr="00480E4E">
        <w:rPr>
          <w:rFonts w:asciiTheme="majorHAnsi" w:hAnsiTheme="majorHAnsi" w:cstheme="majorHAnsi"/>
          <w:i/>
          <w:iCs/>
          <w:color w:val="000000" w:themeColor="text1"/>
          <w:szCs w:val="24"/>
        </w:rPr>
        <w:t>Studies in Continuing Education, 26</w:t>
      </w:r>
      <w:r w:rsidRPr="00480E4E">
        <w:rPr>
          <w:rFonts w:asciiTheme="majorHAnsi" w:hAnsiTheme="majorHAnsi" w:cstheme="majorHAnsi"/>
          <w:color w:val="000000" w:themeColor="text1"/>
          <w:szCs w:val="24"/>
        </w:rPr>
        <w:t>(2), 247-273. https://doi.org/10.1080/158037042000225245</w:t>
      </w:r>
    </w:p>
    <w:p w14:paraId="7536B8D2" w14:textId="77777777" w:rsidR="00613083" w:rsidRPr="00480E4E" w:rsidRDefault="00613083" w:rsidP="00613083">
      <w:pPr>
        <w:rPr>
          <w:rFonts w:asciiTheme="majorHAnsi" w:hAnsiTheme="majorHAnsi" w:cstheme="majorHAnsi"/>
          <w:color w:val="000000" w:themeColor="text1"/>
          <w:szCs w:val="24"/>
        </w:rPr>
      </w:pPr>
      <w:proofErr w:type="spellStart"/>
      <w:r w:rsidRPr="00480E4E">
        <w:rPr>
          <w:rFonts w:asciiTheme="majorHAnsi" w:hAnsiTheme="majorHAnsi" w:cstheme="majorHAnsi"/>
          <w:color w:val="000000" w:themeColor="text1"/>
          <w:szCs w:val="24"/>
        </w:rPr>
        <w:t>Garavan</w:t>
      </w:r>
      <w:proofErr w:type="spellEnd"/>
      <w:r w:rsidRPr="00480E4E">
        <w:rPr>
          <w:rFonts w:asciiTheme="majorHAnsi" w:hAnsiTheme="majorHAnsi" w:cstheme="majorHAnsi"/>
          <w:color w:val="000000" w:themeColor="text1"/>
          <w:szCs w:val="24"/>
        </w:rPr>
        <w:t xml:space="preserve">, T. N., Carbery, R., &amp; Rock, A. (2012). Mapping talent development: Definition, scope and architecture. </w:t>
      </w:r>
      <w:r w:rsidRPr="00480E4E">
        <w:rPr>
          <w:rFonts w:asciiTheme="majorHAnsi" w:hAnsiTheme="majorHAnsi" w:cstheme="majorHAnsi"/>
          <w:i/>
          <w:iCs/>
          <w:color w:val="000000" w:themeColor="text1"/>
          <w:szCs w:val="24"/>
        </w:rPr>
        <w:t>European Journal of Training and Development, 36</w:t>
      </w:r>
      <w:r w:rsidRPr="00480E4E">
        <w:rPr>
          <w:rFonts w:asciiTheme="majorHAnsi" w:hAnsiTheme="majorHAnsi" w:cstheme="majorHAnsi"/>
          <w:color w:val="000000" w:themeColor="text1"/>
          <w:szCs w:val="24"/>
        </w:rPr>
        <w:t>(1), 5-24. https://doi.org/10.1108/03090591211192601</w:t>
      </w:r>
    </w:p>
    <w:p w14:paraId="4F5D57AF"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Goleman, D. (2000). Leadership that gets results. </w:t>
      </w:r>
      <w:r w:rsidRPr="00480E4E">
        <w:rPr>
          <w:rFonts w:asciiTheme="majorHAnsi" w:hAnsiTheme="majorHAnsi" w:cstheme="majorHAnsi"/>
          <w:i/>
          <w:iCs/>
          <w:color w:val="000000" w:themeColor="text1"/>
          <w:szCs w:val="24"/>
        </w:rPr>
        <w:t>Harvard Business Review, 78</w:t>
      </w:r>
      <w:r w:rsidRPr="00480E4E">
        <w:rPr>
          <w:rFonts w:asciiTheme="majorHAnsi" w:hAnsiTheme="majorHAnsi" w:cstheme="majorHAnsi"/>
          <w:color w:val="000000" w:themeColor="text1"/>
          <w:szCs w:val="24"/>
        </w:rPr>
        <w:t>(2), 78-90.</w:t>
      </w:r>
    </w:p>
    <w:p w14:paraId="4AF9B71B"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lastRenderedPageBreak/>
        <w:t xml:space="preserve">Guest, D. E. (2004). The psychology of the employment relationship: An analysis based on the psychological contract. </w:t>
      </w:r>
      <w:r w:rsidRPr="00480E4E">
        <w:rPr>
          <w:rFonts w:asciiTheme="majorHAnsi" w:hAnsiTheme="majorHAnsi" w:cstheme="majorHAnsi"/>
          <w:i/>
          <w:iCs/>
          <w:color w:val="000000" w:themeColor="text1"/>
          <w:szCs w:val="24"/>
        </w:rPr>
        <w:t>Applied Psychology, 53</w:t>
      </w:r>
      <w:r w:rsidRPr="00480E4E">
        <w:rPr>
          <w:rFonts w:asciiTheme="majorHAnsi" w:hAnsiTheme="majorHAnsi" w:cstheme="majorHAnsi"/>
          <w:color w:val="000000" w:themeColor="text1"/>
          <w:szCs w:val="24"/>
        </w:rPr>
        <w:t>(4), 541-555. https://doi.org/10.1111/j.1464-0597.2004.00187.x</w:t>
      </w:r>
    </w:p>
    <w:p w14:paraId="68F25B2D"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Hawkins, P., &amp; Shohet, R. (2012). </w:t>
      </w:r>
      <w:r w:rsidRPr="00480E4E">
        <w:rPr>
          <w:rFonts w:asciiTheme="majorHAnsi" w:hAnsiTheme="majorHAnsi" w:cstheme="majorHAnsi"/>
          <w:i/>
          <w:iCs/>
          <w:color w:val="000000" w:themeColor="text1"/>
          <w:szCs w:val="24"/>
        </w:rPr>
        <w:t>Supervision in the helping professions</w:t>
      </w:r>
      <w:r w:rsidRPr="00480E4E">
        <w:rPr>
          <w:rFonts w:asciiTheme="majorHAnsi" w:hAnsiTheme="majorHAnsi" w:cstheme="majorHAnsi"/>
          <w:color w:val="000000" w:themeColor="text1"/>
          <w:szCs w:val="24"/>
        </w:rPr>
        <w:t xml:space="preserve"> (4th ed.). Open University Press.</w:t>
      </w:r>
    </w:p>
    <w:p w14:paraId="34A0BB6B"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Kirkpatrick, J. D., &amp; Kirkpatrick, W. K. (2016). </w:t>
      </w:r>
      <w:r w:rsidRPr="00480E4E">
        <w:rPr>
          <w:rFonts w:asciiTheme="majorHAnsi" w:hAnsiTheme="majorHAnsi" w:cstheme="majorHAnsi"/>
          <w:i/>
          <w:iCs/>
          <w:color w:val="000000" w:themeColor="text1"/>
          <w:szCs w:val="24"/>
        </w:rPr>
        <w:t>Kirkpatrick's four levels of training evaluation</w:t>
      </w:r>
      <w:r w:rsidRPr="00480E4E">
        <w:rPr>
          <w:rFonts w:asciiTheme="majorHAnsi" w:hAnsiTheme="majorHAnsi" w:cstheme="majorHAnsi"/>
          <w:color w:val="000000" w:themeColor="text1"/>
          <w:szCs w:val="24"/>
        </w:rPr>
        <w:t>. ATD Press.</w:t>
      </w:r>
    </w:p>
    <w:p w14:paraId="1542CB32"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Kolb, D. A. (1984). </w:t>
      </w:r>
      <w:r w:rsidRPr="00480E4E">
        <w:rPr>
          <w:rFonts w:asciiTheme="majorHAnsi" w:hAnsiTheme="majorHAnsi" w:cstheme="majorHAnsi"/>
          <w:i/>
          <w:iCs/>
          <w:color w:val="000000" w:themeColor="text1"/>
          <w:szCs w:val="24"/>
        </w:rPr>
        <w:t>Experiential learning: Experience as the source of learning and development</w:t>
      </w:r>
      <w:r w:rsidRPr="00480E4E">
        <w:rPr>
          <w:rFonts w:asciiTheme="majorHAnsi" w:hAnsiTheme="majorHAnsi" w:cstheme="majorHAnsi"/>
          <w:color w:val="000000" w:themeColor="text1"/>
          <w:szCs w:val="24"/>
        </w:rPr>
        <w:t>. Prentice Hall.</w:t>
      </w:r>
    </w:p>
    <w:p w14:paraId="3E79F00A"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Kram, K. E. (1985). </w:t>
      </w:r>
      <w:r w:rsidRPr="00480E4E">
        <w:rPr>
          <w:rFonts w:asciiTheme="majorHAnsi" w:hAnsiTheme="majorHAnsi" w:cstheme="majorHAnsi"/>
          <w:i/>
          <w:iCs/>
          <w:color w:val="000000" w:themeColor="text1"/>
          <w:szCs w:val="24"/>
        </w:rPr>
        <w:t>Mentoring at work: Developmental relationships in organizational life</w:t>
      </w:r>
      <w:r w:rsidRPr="00480E4E">
        <w:rPr>
          <w:rFonts w:asciiTheme="majorHAnsi" w:hAnsiTheme="majorHAnsi" w:cstheme="majorHAnsi"/>
          <w:color w:val="000000" w:themeColor="text1"/>
          <w:szCs w:val="24"/>
        </w:rPr>
        <w:t>. Scott Foresman.</w:t>
      </w:r>
    </w:p>
    <w:p w14:paraId="66FA9648"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London, M. (2014). </w:t>
      </w:r>
      <w:r w:rsidRPr="00480E4E">
        <w:rPr>
          <w:rFonts w:asciiTheme="majorHAnsi" w:hAnsiTheme="majorHAnsi" w:cstheme="majorHAnsi"/>
          <w:i/>
          <w:iCs/>
          <w:color w:val="000000" w:themeColor="text1"/>
          <w:szCs w:val="24"/>
        </w:rPr>
        <w:t>The power of feedback: Giving, seeking and using feedback for performance improvement</w:t>
      </w:r>
      <w:r w:rsidRPr="00480E4E">
        <w:rPr>
          <w:rFonts w:asciiTheme="majorHAnsi" w:hAnsiTheme="majorHAnsi" w:cstheme="majorHAnsi"/>
          <w:color w:val="000000" w:themeColor="text1"/>
          <w:szCs w:val="24"/>
        </w:rPr>
        <w:t xml:space="preserve"> (2nd ed.). Routledge.</w:t>
      </w:r>
    </w:p>
    <w:p w14:paraId="30C99210" w14:textId="1E6119F3" w:rsidR="00062E94" w:rsidRPr="00480E4E" w:rsidRDefault="00062E94"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Mental Capacity Act 2005, c. 9. https://www.legislation.gov.uk/ukpga/2005/9/contents</w:t>
      </w:r>
    </w:p>
    <w:p w14:paraId="36644284"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Noe, R. A. (2020). </w:t>
      </w:r>
      <w:r w:rsidRPr="00480E4E">
        <w:rPr>
          <w:rFonts w:asciiTheme="majorHAnsi" w:hAnsiTheme="majorHAnsi" w:cstheme="majorHAnsi"/>
          <w:i/>
          <w:iCs/>
          <w:color w:val="000000" w:themeColor="text1"/>
          <w:szCs w:val="24"/>
        </w:rPr>
        <w:t>Employee training and development</w:t>
      </w:r>
      <w:r w:rsidRPr="00480E4E">
        <w:rPr>
          <w:rFonts w:asciiTheme="majorHAnsi" w:hAnsiTheme="majorHAnsi" w:cstheme="majorHAnsi"/>
          <w:color w:val="000000" w:themeColor="text1"/>
          <w:szCs w:val="24"/>
        </w:rPr>
        <w:t xml:space="preserve"> (8th ed.). McGraw-Hill Education.</w:t>
      </w:r>
    </w:p>
    <w:p w14:paraId="3F588D2E"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Pedler, M., Burgoyne, J., &amp; Boydell, T. (1997). </w:t>
      </w:r>
      <w:r w:rsidRPr="00480E4E">
        <w:rPr>
          <w:rFonts w:asciiTheme="majorHAnsi" w:hAnsiTheme="majorHAnsi" w:cstheme="majorHAnsi"/>
          <w:i/>
          <w:iCs/>
          <w:color w:val="000000" w:themeColor="text1"/>
          <w:szCs w:val="24"/>
        </w:rPr>
        <w:t>The learning company: A strategy for sustainable development</w:t>
      </w:r>
      <w:r w:rsidRPr="00480E4E">
        <w:rPr>
          <w:rFonts w:asciiTheme="majorHAnsi" w:hAnsiTheme="majorHAnsi" w:cstheme="majorHAnsi"/>
          <w:color w:val="000000" w:themeColor="text1"/>
          <w:szCs w:val="24"/>
        </w:rPr>
        <w:t xml:space="preserve"> (2nd ed.). McGraw-Hill.</w:t>
      </w:r>
    </w:p>
    <w:p w14:paraId="432D05A3"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Porter, L. W., &amp; Lawler, E. E. (1968). </w:t>
      </w:r>
      <w:r w:rsidRPr="00480E4E">
        <w:rPr>
          <w:rFonts w:asciiTheme="majorHAnsi" w:hAnsiTheme="majorHAnsi" w:cstheme="majorHAnsi"/>
          <w:i/>
          <w:iCs/>
          <w:color w:val="000000" w:themeColor="text1"/>
          <w:szCs w:val="24"/>
        </w:rPr>
        <w:t>Managerial attitudes and performance</w:t>
      </w:r>
      <w:r w:rsidRPr="00480E4E">
        <w:rPr>
          <w:rFonts w:asciiTheme="majorHAnsi" w:hAnsiTheme="majorHAnsi" w:cstheme="majorHAnsi"/>
          <w:color w:val="000000" w:themeColor="text1"/>
          <w:szCs w:val="24"/>
        </w:rPr>
        <w:t>. Irwin.</w:t>
      </w:r>
    </w:p>
    <w:p w14:paraId="313E1595"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Rousseau, D. M. (1989). Psychological and implied contracts in organisations. </w:t>
      </w:r>
      <w:r w:rsidRPr="00480E4E">
        <w:rPr>
          <w:rFonts w:asciiTheme="majorHAnsi" w:hAnsiTheme="majorHAnsi" w:cstheme="majorHAnsi"/>
          <w:i/>
          <w:iCs/>
          <w:color w:val="000000" w:themeColor="text1"/>
          <w:szCs w:val="24"/>
        </w:rPr>
        <w:t>Employee Responsibilities and Rights Journal, 2</w:t>
      </w:r>
      <w:r w:rsidRPr="00480E4E">
        <w:rPr>
          <w:rFonts w:asciiTheme="majorHAnsi" w:hAnsiTheme="majorHAnsi" w:cstheme="majorHAnsi"/>
          <w:color w:val="000000" w:themeColor="text1"/>
          <w:szCs w:val="24"/>
        </w:rPr>
        <w:t>(2), 121-139. https://doi.org/10.1007/BF01384942</w:t>
      </w:r>
    </w:p>
    <w:p w14:paraId="35CEC707"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Schön, D. A. (1983). </w:t>
      </w:r>
      <w:r w:rsidRPr="00480E4E">
        <w:rPr>
          <w:rFonts w:asciiTheme="majorHAnsi" w:hAnsiTheme="majorHAnsi" w:cstheme="majorHAnsi"/>
          <w:i/>
          <w:iCs/>
          <w:color w:val="000000" w:themeColor="text1"/>
          <w:szCs w:val="24"/>
        </w:rPr>
        <w:t>The reflective practitioner: How professionals think in action</w:t>
      </w:r>
      <w:r w:rsidRPr="00480E4E">
        <w:rPr>
          <w:rFonts w:asciiTheme="majorHAnsi" w:hAnsiTheme="majorHAnsi" w:cstheme="majorHAnsi"/>
          <w:color w:val="000000" w:themeColor="text1"/>
          <w:szCs w:val="24"/>
        </w:rPr>
        <w:t>. Basic Books.</w:t>
      </w:r>
    </w:p>
    <w:p w14:paraId="58B61F79"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Schultz, T. W. (1961). Investment in human capital. </w:t>
      </w:r>
      <w:r w:rsidRPr="00480E4E">
        <w:rPr>
          <w:rFonts w:asciiTheme="majorHAnsi" w:hAnsiTheme="majorHAnsi" w:cstheme="majorHAnsi"/>
          <w:i/>
          <w:iCs/>
          <w:color w:val="000000" w:themeColor="text1"/>
          <w:szCs w:val="24"/>
        </w:rPr>
        <w:t>American Economic Review, 51</w:t>
      </w:r>
      <w:r w:rsidRPr="00480E4E">
        <w:rPr>
          <w:rFonts w:asciiTheme="majorHAnsi" w:hAnsiTheme="majorHAnsi" w:cstheme="majorHAnsi"/>
          <w:color w:val="000000" w:themeColor="text1"/>
          <w:szCs w:val="24"/>
        </w:rPr>
        <w:t>(1), 1-17.</w:t>
      </w:r>
    </w:p>
    <w:p w14:paraId="0641CDBC" w14:textId="77777777" w:rsidR="000E78E4" w:rsidRPr="00480E4E" w:rsidRDefault="00613083" w:rsidP="00613083">
      <w:pPr>
        <w:rPr>
          <w:rFonts w:asciiTheme="majorHAnsi" w:hAnsiTheme="majorHAnsi" w:cstheme="majorHAnsi"/>
          <w:i/>
          <w:iCs/>
          <w:color w:val="000000" w:themeColor="text1"/>
          <w:szCs w:val="24"/>
        </w:rPr>
      </w:pPr>
      <w:r w:rsidRPr="00480E4E">
        <w:rPr>
          <w:rFonts w:asciiTheme="majorHAnsi" w:hAnsiTheme="majorHAnsi" w:cstheme="majorHAnsi"/>
          <w:color w:val="000000" w:themeColor="text1"/>
          <w:szCs w:val="24"/>
        </w:rPr>
        <w:t xml:space="preserve">Senge, P. M. (1990). </w:t>
      </w:r>
      <w:r w:rsidRPr="00480E4E">
        <w:rPr>
          <w:rFonts w:asciiTheme="majorHAnsi" w:hAnsiTheme="majorHAnsi" w:cstheme="majorHAnsi"/>
          <w:i/>
          <w:iCs/>
          <w:color w:val="000000" w:themeColor="text1"/>
          <w:szCs w:val="24"/>
        </w:rPr>
        <w:t xml:space="preserve">The fifth discipline: The art and practice of the learning </w:t>
      </w:r>
    </w:p>
    <w:p w14:paraId="5DE24D2E" w14:textId="13462D3A" w:rsidR="00613083" w:rsidRDefault="00613083" w:rsidP="00613083">
      <w:pPr>
        <w:rPr>
          <w:rFonts w:asciiTheme="majorHAnsi" w:hAnsiTheme="majorHAnsi" w:cstheme="majorHAnsi"/>
          <w:color w:val="000000" w:themeColor="text1"/>
          <w:szCs w:val="24"/>
        </w:rPr>
      </w:pPr>
      <w:r w:rsidRPr="00480E4E">
        <w:rPr>
          <w:rFonts w:asciiTheme="majorHAnsi" w:hAnsiTheme="majorHAnsi" w:cstheme="majorHAnsi"/>
          <w:i/>
          <w:iCs/>
          <w:color w:val="000000" w:themeColor="text1"/>
          <w:szCs w:val="24"/>
        </w:rPr>
        <w:t>organization</w:t>
      </w:r>
      <w:r w:rsidRPr="00480E4E">
        <w:rPr>
          <w:rFonts w:asciiTheme="majorHAnsi" w:hAnsiTheme="majorHAnsi" w:cstheme="majorHAnsi"/>
          <w:color w:val="000000" w:themeColor="text1"/>
          <w:szCs w:val="24"/>
        </w:rPr>
        <w:t>. Doubleday.</w:t>
      </w:r>
    </w:p>
    <w:p w14:paraId="453C69C4" w14:textId="00E2495D" w:rsidR="00A06766" w:rsidRPr="00480E4E" w:rsidRDefault="00A06766" w:rsidP="00613083">
      <w:pPr>
        <w:rPr>
          <w:rFonts w:asciiTheme="majorHAnsi" w:hAnsiTheme="majorHAnsi" w:cstheme="majorHAnsi"/>
          <w:color w:val="000000" w:themeColor="text1"/>
          <w:szCs w:val="24"/>
        </w:rPr>
      </w:pPr>
      <w:r w:rsidRPr="00A06766">
        <w:rPr>
          <w:rFonts w:asciiTheme="majorHAnsi" w:hAnsiTheme="majorHAnsi" w:cstheme="majorHAnsi"/>
          <w:color w:val="000000" w:themeColor="text1"/>
          <w:szCs w:val="24"/>
        </w:rPr>
        <w:t xml:space="preserve">Social Care Wales. (2024). Code of professional practice for social care workers. </w:t>
      </w:r>
      <w:hyperlink r:id="rId8" w:history="1">
        <w:r w:rsidRPr="00A06766">
          <w:rPr>
            <w:rStyle w:val="Hyperlink"/>
            <w:rFonts w:asciiTheme="majorHAnsi" w:hAnsiTheme="majorHAnsi" w:cstheme="majorHAnsi"/>
            <w:szCs w:val="24"/>
          </w:rPr>
          <w:t>https://socialcare.wales/codes-of-practice-and-guidance/code-of-professional-practice-for-social-care-workers</w:t>
        </w:r>
      </w:hyperlink>
    </w:p>
    <w:p w14:paraId="7B40142D" w14:textId="1951F998" w:rsidR="000E78E4" w:rsidRPr="00480E4E" w:rsidRDefault="000E78E4"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Social Services and Well-being (Wales) Act 2014, </w:t>
      </w:r>
      <w:r w:rsidR="00A06766">
        <w:rPr>
          <w:rFonts w:asciiTheme="majorHAnsi" w:hAnsiTheme="majorHAnsi" w:cstheme="majorHAnsi"/>
          <w:color w:val="000000" w:themeColor="text1"/>
          <w:szCs w:val="24"/>
        </w:rPr>
        <w:t>ANAW</w:t>
      </w:r>
      <w:r w:rsidRPr="00480E4E">
        <w:rPr>
          <w:rFonts w:asciiTheme="majorHAnsi" w:hAnsiTheme="majorHAnsi" w:cstheme="majorHAnsi"/>
          <w:color w:val="000000" w:themeColor="text1"/>
          <w:szCs w:val="24"/>
        </w:rPr>
        <w:t xml:space="preserve"> 4. https://www.legislation.gov.uk/anaw/2014/4/contents</w:t>
      </w:r>
    </w:p>
    <w:p w14:paraId="4DB7D0F3"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Swart, J., Mann, C., Brown, S., &amp; Price, A. (2019). </w:t>
      </w:r>
      <w:r w:rsidRPr="00480E4E">
        <w:rPr>
          <w:rFonts w:asciiTheme="majorHAnsi" w:hAnsiTheme="majorHAnsi" w:cstheme="majorHAnsi"/>
          <w:i/>
          <w:iCs/>
          <w:color w:val="000000" w:themeColor="text1"/>
          <w:szCs w:val="24"/>
        </w:rPr>
        <w:t>Human resource development: Strategy and tactics</w:t>
      </w:r>
      <w:r w:rsidRPr="00480E4E">
        <w:rPr>
          <w:rFonts w:asciiTheme="majorHAnsi" w:hAnsiTheme="majorHAnsi" w:cstheme="majorHAnsi"/>
          <w:color w:val="000000" w:themeColor="text1"/>
          <w:szCs w:val="24"/>
        </w:rPr>
        <w:t xml:space="preserve"> (3rd ed.). Routledge.</w:t>
      </w:r>
    </w:p>
    <w:p w14:paraId="1FD7E20E"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lastRenderedPageBreak/>
        <w:t xml:space="preserve">Vroom, V. H. (1964). </w:t>
      </w:r>
      <w:r w:rsidRPr="00480E4E">
        <w:rPr>
          <w:rFonts w:asciiTheme="majorHAnsi" w:hAnsiTheme="majorHAnsi" w:cstheme="majorHAnsi"/>
          <w:i/>
          <w:iCs/>
          <w:color w:val="000000" w:themeColor="text1"/>
          <w:szCs w:val="24"/>
        </w:rPr>
        <w:t>Work and motivation</w:t>
      </w:r>
      <w:r w:rsidRPr="00480E4E">
        <w:rPr>
          <w:rFonts w:asciiTheme="majorHAnsi" w:hAnsiTheme="majorHAnsi" w:cstheme="majorHAnsi"/>
          <w:color w:val="000000" w:themeColor="text1"/>
          <w:szCs w:val="24"/>
        </w:rPr>
        <w:t>. Wiley.</w:t>
      </w:r>
    </w:p>
    <w:p w14:paraId="3807FC84"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Whitmore, J. (2017). </w:t>
      </w:r>
      <w:r w:rsidRPr="00480E4E">
        <w:rPr>
          <w:rFonts w:asciiTheme="majorHAnsi" w:hAnsiTheme="majorHAnsi" w:cstheme="majorHAnsi"/>
          <w:i/>
          <w:iCs/>
          <w:color w:val="000000" w:themeColor="text1"/>
          <w:szCs w:val="24"/>
        </w:rPr>
        <w:t>Coaching for performance: The principles and practice of coaching and leadership</w:t>
      </w:r>
      <w:r w:rsidRPr="00480E4E">
        <w:rPr>
          <w:rFonts w:asciiTheme="majorHAnsi" w:hAnsiTheme="majorHAnsi" w:cstheme="majorHAnsi"/>
          <w:color w:val="000000" w:themeColor="text1"/>
          <w:szCs w:val="24"/>
        </w:rPr>
        <w:t xml:space="preserve"> (5th ed.). Nicholas Brealey Publishing.</w:t>
      </w:r>
    </w:p>
    <w:p w14:paraId="256F2E18" w14:textId="77777777" w:rsidR="00613083" w:rsidRPr="00480E4E" w:rsidRDefault="00613083" w:rsidP="00613083">
      <w:pPr>
        <w:rPr>
          <w:rFonts w:asciiTheme="majorHAnsi" w:hAnsiTheme="majorHAnsi" w:cstheme="majorHAnsi"/>
          <w:color w:val="000000" w:themeColor="text1"/>
          <w:szCs w:val="24"/>
        </w:rPr>
      </w:pPr>
      <w:r w:rsidRPr="00480E4E">
        <w:rPr>
          <w:rFonts w:asciiTheme="majorHAnsi" w:hAnsiTheme="majorHAnsi" w:cstheme="majorHAnsi"/>
          <w:color w:val="000000" w:themeColor="text1"/>
          <w:szCs w:val="24"/>
        </w:rPr>
        <w:t xml:space="preserve">Wright, P. M., Dunford, B. B., &amp; Snell, S. A. (2001). Human resources and the resource-based view of the firm. </w:t>
      </w:r>
      <w:r w:rsidRPr="00480E4E">
        <w:rPr>
          <w:rFonts w:asciiTheme="majorHAnsi" w:hAnsiTheme="majorHAnsi" w:cstheme="majorHAnsi"/>
          <w:i/>
          <w:iCs/>
          <w:color w:val="000000" w:themeColor="text1"/>
          <w:szCs w:val="24"/>
        </w:rPr>
        <w:t>Journal of Management, 27</w:t>
      </w:r>
      <w:r w:rsidRPr="00480E4E">
        <w:rPr>
          <w:rFonts w:asciiTheme="majorHAnsi" w:hAnsiTheme="majorHAnsi" w:cstheme="majorHAnsi"/>
          <w:color w:val="000000" w:themeColor="text1"/>
          <w:szCs w:val="24"/>
        </w:rPr>
        <w:t>(6), 701-721. https://doi.org/10.1177/014920630102700607</w:t>
      </w:r>
    </w:p>
    <w:p w14:paraId="354815E7" w14:textId="057FAF67" w:rsidR="00613083" w:rsidRPr="00480E4E" w:rsidRDefault="00613083" w:rsidP="00613083">
      <w:pPr>
        <w:rPr>
          <w:color w:val="000000" w:themeColor="text1"/>
        </w:rPr>
      </w:pPr>
    </w:p>
    <w:p w14:paraId="297D07D3" w14:textId="77777777" w:rsidR="00613083" w:rsidRPr="00480E4E" w:rsidRDefault="00613083" w:rsidP="00613083"/>
    <w:p w14:paraId="3BD29E3E" w14:textId="77777777" w:rsidR="00583709" w:rsidRPr="00480E4E" w:rsidRDefault="00583709"/>
    <w:sectPr w:rsidR="00583709" w:rsidRPr="00480E4E">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EBE7C" w14:textId="77777777" w:rsidR="007C6BFB" w:rsidRDefault="007C6BFB" w:rsidP="005831A9">
      <w:pPr>
        <w:spacing w:after="0" w:line="240" w:lineRule="auto"/>
      </w:pPr>
      <w:r>
        <w:separator/>
      </w:r>
    </w:p>
  </w:endnote>
  <w:endnote w:type="continuationSeparator" w:id="0">
    <w:p w14:paraId="13FB4912" w14:textId="77777777" w:rsidR="007C6BFB" w:rsidRDefault="007C6BFB"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72791" w14:textId="77777777" w:rsidR="007C6BFB" w:rsidRDefault="007C6BFB" w:rsidP="005831A9">
      <w:pPr>
        <w:spacing w:after="0" w:line="240" w:lineRule="auto"/>
      </w:pPr>
      <w:r>
        <w:separator/>
      </w:r>
    </w:p>
  </w:footnote>
  <w:footnote w:type="continuationSeparator" w:id="0">
    <w:p w14:paraId="0E11E4D5" w14:textId="77777777" w:rsidR="007C6BFB" w:rsidRDefault="007C6BFB"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416874"/>
    <w:multiLevelType w:val="hybridMultilevel"/>
    <w:tmpl w:val="DB944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8A6769"/>
    <w:multiLevelType w:val="multilevel"/>
    <w:tmpl w:val="013A6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B94BF7"/>
    <w:multiLevelType w:val="multilevel"/>
    <w:tmpl w:val="FDBE123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2061897713">
    <w:abstractNumId w:val="0"/>
  </w:num>
  <w:num w:numId="2" w16cid:durableId="1830172072">
    <w:abstractNumId w:val="1"/>
  </w:num>
  <w:num w:numId="3" w16cid:durableId="923490286">
    <w:abstractNumId w:val="3"/>
  </w:num>
  <w:num w:numId="4" w16cid:durableId="13133689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6642"/>
    <w:rsid w:val="000243C7"/>
    <w:rsid w:val="00025921"/>
    <w:rsid w:val="000300AA"/>
    <w:rsid w:val="0003064D"/>
    <w:rsid w:val="0003340F"/>
    <w:rsid w:val="000444C2"/>
    <w:rsid w:val="00045FCA"/>
    <w:rsid w:val="0005084C"/>
    <w:rsid w:val="00052223"/>
    <w:rsid w:val="00053B88"/>
    <w:rsid w:val="00054A72"/>
    <w:rsid w:val="00062E94"/>
    <w:rsid w:val="000811A9"/>
    <w:rsid w:val="000853D5"/>
    <w:rsid w:val="00085F3E"/>
    <w:rsid w:val="000A0FBB"/>
    <w:rsid w:val="000A4ADB"/>
    <w:rsid w:val="000B0C59"/>
    <w:rsid w:val="000B142C"/>
    <w:rsid w:val="000C56D7"/>
    <w:rsid w:val="000D5004"/>
    <w:rsid w:val="000E78E4"/>
    <w:rsid w:val="000F2288"/>
    <w:rsid w:val="000F29EC"/>
    <w:rsid w:val="001068D0"/>
    <w:rsid w:val="00116962"/>
    <w:rsid w:val="00131F6B"/>
    <w:rsid w:val="00136037"/>
    <w:rsid w:val="001543B6"/>
    <w:rsid w:val="00183B04"/>
    <w:rsid w:val="001C09E0"/>
    <w:rsid w:val="001C3207"/>
    <w:rsid w:val="001C36B8"/>
    <w:rsid w:val="001E749E"/>
    <w:rsid w:val="002218FD"/>
    <w:rsid w:val="00225DC7"/>
    <w:rsid w:val="002450A3"/>
    <w:rsid w:val="00247BBC"/>
    <w:rsid w:val="0027281F"/>
    <w:rsid w:val="00272DA5"/>
    <w:rsid w:val="0028162B"/>
    <w:rsid w:val="002B3153"/>
    <w:rsid w:val="002C0198"/>
    <w:rsid w:val="002C05D3"/>
    <w:rsid w:val="002D77C0"/>
    <w:rsid w:val="002E0712"/>
    <w:rsid w:val="002E14B2"/>
    <w:rsid w:val="002E47FE"/>
    <w:rsid w:val="002F15CA"/>
    <w:rsid w:val="002F4AE2"/>
    <w:rsid w:val="002F555A"/>
    <w:rsid w:val="0032340A"/>
    <w:rsid w:val="003758A6"/>
    <w:rsid w:val="00386F12"/>
    <w:rsid w:val="003B3FC0"/>
    <w:rsid w:val="003D668E"/>
    <w:rsid w:val="003E2DEA"/>
    <w:rsid w:val="003F1671"/>
    <w:rsid w:val="003F5A67"/>
    <w:rsid w:val="00410E16"/>
    <w:rsid w:val="0042625B"/>
    <w:rsid w:val="00450464"/>
    <w:rsid w:val="00467AA0"/>
    <w:rsid w:val="0047646C"/>
    <w:rsid w:val="00480AA6"/>
    <w:rsid w:val="00480E4E"/>
    <w:rsid w:val="004D32FF"/>
    <w:rsid w:val="004E7A70"/>
    <w:rsid w:val="004F64E6"/>
    <w:rsid w:val="004F73BD"/>
    <w:rsid w:val="004F7F16"/>
    <w:rsid w:val="0050251E"/>
    <w:rsid w:val="00514BBB"/>
    <w:rsid w:val="00531CA7"/>
    <w:rsid w:val="00547B35"/>
    <w:rsid w:val="00550ECC"/>
    <w:rsid w:val="00570F5B"/>
    <w:rsid w:val="005771E6"/>
    <w:rsid w:val="00582F52"/>
    <w:rsid w:val="005831A9"/>
    <w:rsid w:val="00583709"/>
    <w:rsid w:val="0059338C"/>
    <w:rsid w:val="00594C03"/>
    <w:rsid w:val="005B3BA5"/>
    <w:rsid w:val="005C105B"/>
    <w:rsid w:val="005D3DFE"/>
    <w:rsid w:val="005E311C"/>
    <w:rsid w:val="005F7051"/>
    <w:rsid w:val="00613083"/>
    <w:rsid w:val="0062584A"/>
    <w:rsid w:val="00657269"/>
    <w:rsid w:val="0068457A"/>
    <w:rsid w:val="006A6BE4"/>
    <w:rsid w:val="006C4F0C"/>
    <w:rsid w:val="006C51FC"/>
    <w:rsid w:val="006D3BB7"/>
    <w:rsid w:val="00726B02"/>
    <w:rsid w:val="0076166B"/>
    <w:rsid w:val="00767209"/>
    <w:rsid w:val="00772030"/>
    <w:rsid w:val="00772F2C"/>
    <w:rsid w:val="007B093E"/>
    <w:rsid w:val="007B7137"/>
    <w:rsid w:val="007C463F"/>
    <w:rsid w:val="007C6BFB"/>
    <w:rsid w:val="007E5C4B"/>
    <w:rsid w:val="007E6645"/>
    <w:rsid w:val="008204A7"/>
    <w:rsid w:val="00824868"/>
    <w:rsid w:val="008312FD"/>
    <w:rsid w:val="00831AE9"/>
    <w:rsid w:val="00855884"/>
    <w:rsid w:val="00894679"/>
    <w:rsid w:val="008A21D5"/>
    <w:rsid w:val="008A3B67"/>
    <w:rsid w:val="008F3320"/>
    <w:rsid w:val="00904419"/>
    <w:rsid w:val="00911BD3"/>
    <w:rsid w:val="009372E1"/>
    <w:rsid w:val="00941196"/>
    <w:rsid w:val="009418A4"/>
    <w:rsid w:val="009523D5"/>
    <w:rsid w:val="0096360A"/>
    <w:rsid w:val="009654A8"/>
    <w:rsid w:val="0097455A"/>
    <w:rsid w:val="00983F41"/>
    <w:rsid w:val="009D0662"/>
    <w:rsid w:val="009E4358"/>
    <w:rsid w:val="009F021D"/>
    <w:rsid w:val="00A05512"/>
    <w:rsid w:val="00A06766"/>
    <w:rsid w:val="00A27BF3"/>
    <w:rsid w:val="00A339C7"/>
    <w:rsid w:val="00A5396F"/>
    <w:rsid w:val="00A552E4"/>
    <w:rsid w:val="00A56580"/>
    <w:rsid w:val="00A56B78"/>
    <w:rsid w:val="00A62B30"/>
    <w:rsid w:val="00A71002"/>
    <w:rsid w:val="00A71CBB"/>
    <w:rsid w:val="00A735A6"/>
    <w:rsid w:val="00A74525"/>
    <w:rsid w:val="00A956CC"/>
    <w:rsid w:val="00AB1F88"/>
    <w:rsid w:val="00AB2955"/>
    <w:rsid w:val="00B12758"/>
    <w:rsid w:val="00B3393E"/>
    <w:rsid w:val="00B5142E"/>
    <w:rsid w:val="00B63832"/>
    <w:rsid w:val="00B72D45"/>
    <w:rsid w:val="00B74F97"/>
    <w:rsid w:val="00B76E33"/>
    <w:rsid w:val="00B92C2B"/>
    <w:rsid w:val="00B9421F"/>
    <w:rsid w:val="00BA2D35"/>
    <w:rsid w:val="00BD6870"/>
    <w:rsid w:val="00BE23AC"/>
    <w:rsid w:val="00BF3C42"/>
    <w:rsid w:val="00C049BD"/>
    <w:rsid w:val="00C13B48"/>
    <w:rsid w:val="00C20A08"/>
    <w:rsid w:val="00C20F9B"/>
    <w:rsid w:val="00C25258"/>
    <w:rsid w:val="00C3678E"/>
    <w:rsid w:val="00C47D89"/>
    <w:rsid w:val="00C9226F"/>
    <w:rsid w:val="00CD66BC"/>
    <w:rsid w:val="00CE430D"/>
    <w:rsid w:val="00CE7200"/>
    <w:rsid w:val="00CF0464"/>
    <w:rsid w:val="00CF371F"/>
    <w:rsid w:val="00CF6447"/>
    <w:rsid w:val="00D03A9C"/>
    <w:rsid w:val="00D117DB"/>
    <w:rsid w:val="00D52D7F"/>
    <w:rsid w:val="00D705E2"/>
    <w:rsid w:val="00D742ED"/>
    <w:rsid w:val="00DA3242"/>
    <w:rsid w:val="00DD5A5C"/>
    <w:rsid w:val="00DE6701"/>
    <w:rsid w:val="00DE7836"/>
    <w:rsid w:val="00E014DB"/>
    <w:rsid w:val="00E17FF7"/>
    <w:rsid w:val="00E322F7"/>
    <w:rsid w:val="00E445DD"/>
    <w:rsid w:val="00E841CA"/>
    <w:rsid w:val="00EC32A6"/>
    <w:rsid w:val="00EC3968"/>
    <w:rsid w:val="00EC798C"/>
    <w:rsid w:val="00EF1815"/>
    <w:rsid w:val="00F06988"/>
    <w:rsid w:val="00F22756"/>
    <w:rsid w:val="00F24CAC"/>
    <w:rsid w:val="00F266C2"/>
    <w:rsid w:val="00F27842"/>
    <w:rsid w:val="00F31F7F"/>
    <w:rsid w:val="00F4235B"/>
    <w:rsid w:val="00F45668"/>
    <w:rsid w:val="00F54C22"/>
    <w:rsid w:val="00F675A7"/>
    <w:rsid w:val="00F70077"/>
    <w:rsid w:val="00F867C0"/>
    <w:rsid w:val="00FC5E0F"/>
    <w:rsid w:val="00FC7ACF"/>
    <w:rsid w:val="00FD1FD1"/>
    <w:rsid w:val="00FD5989"/>
    <w:rsid w:val="00FE4C34"/>
    <w:rsid w:val="00FF53E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Calibri"/>
        <w:sz w:val="24"/>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paragraph" w:styleId="TOCHeading">
    <w:name w:val="TOC Heading"/>
    <w:basedOn w:val="Heading1"/>
    <w:next w:val="Normal"/>
    <w:uiPriority w:val="39"/>
    <w:unhideWhenUsed/>
    <w:qFormat/>
    <w:rsid w:val="00B74F97"/>
    <w:pPr>
      <w:outlineLvl w:val="9"/>
    </w:pPr>
    <w:rPr>
      <w:rFonts w:asciiTheme="majorHAnsi" w:eastAsiaTheme="majorEastAsia" w:hAnsiTheme="majorHAnsi" w:cstheme="majorBidi"/>
      <w:color w:val="365F91" w:themeColor="accent1" w:themeShade="BF"/>
      <w:lang w:eastAsia="en-GB"/>
    </w:rPr>
  </w:style>
  <w:style w:type="paragraph" w:styleId="TOC3">
    <w:name w:val="toc 3"/>
    <w:basedOn w:val="Normal"/>
    <w:next w:val="Normal"/>
    <w:autoRedefine/>
    <w:uiPriority w:val="39"/>
    <w:unhideWhenUsed/>
    <w:rsid w:val="00B74F97"/>
    <w:pPr>
      <w:spacing w:after="100"/>
      <w:ind w:left="440"/>
    </w:pPr>
    <w:rPr>
      <w:rFonts w:asciiTheme="minorHAnsi" w:eastAsiaTheme="minorEastAsia" w:hAnsiTheme="minorHAnsi" w:cs="Times New Roman"/>
      <w:sz w:val="22"/>
      <w:lang w:eastAsia="en-GB"/>
    </w:rPr>
  </w:style>
  <w:style w:type="character" w:styleId="UnresolvedMention">
    <w:name w:val="Unresolved Mention"/>
    <w:basedOn w:val="DefaultParagraphFont"/>
    <w:uiPriority w:val="99"/>
    <w:semiHidden/>
    <w:unhideWhenUsed/>
    <w:rsid w:val="00A067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socialcare.wales/codes-of-practice-and-guidance/code-of-professional-practice-for-social-care-workers?utm_source=chatgpt.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6848</Words>
  <Characters>39039</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Michaela Schriek</dc:creator>
  <cp:lastModifiedBy>CLARE MAYNE</cp:lastModifiedBy>
  <cp:revision>25</cp:revision>
  <dcterms:created xsi:type="dcterms:W3CDTF">2026-10-17T15:31:00Z</dcterms:created>
  <dcterms:modified xsi:type="dcterms:W3CDTF">2026-10-18T12:35:00Z</dcterms:modified>
</cp:coreProperties>
</file>