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5374957"/>
        <w:docPartObj>
          <w:docPartGallery w:val="Cover Pages"/>
          <w:docPartUnique/>
        </w:docPartObj>
      </w:sdtPr>
      <w:sdtEndPr/>
      <w:sdtContent>
        <w:p w14:paraId="1773233E" w14:textId="14CB27E2" w:rsidR="00875506" w:rsidRDefault="00875506">
          <w:r>
            <w:rPr>
              <w:noProof/>
            </w:rPr>
            <mc:AlternateContent>
              <mc:Choice Requires="wpg">
                <w:drawing>
                  <wp:anchor distT="0" distB="0" distL="114300" distR="114300" simplePos="0" relativeHeight="251662336" behindDoc="0" locked="0" layoutInCell="1" allowOverlap="1" wp14:anchorId="371BB274" wp14:editId="3C99D7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7C2D8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DC9997" wp14:editId="4DFD1D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C376DD" w14:textId="510A8202" w:rsidR="00875506" w:rsidRDefault="00875506">
                                    <w:pPr>
                                      <w:pStyle w:val="NoSpacing"/>
                                      <w:jc w:val="right"/>
                                      <w:rPr>
                                        <w:color w:val="595959" w:themeColor="text1" w:themeTint="A6"/>
                                        <w:sz w:val="28"/>
                                        <w:szCs w:val="28"/>
                                      </w:rPr>
                                    </w:pPr>
                                    <w:r>
                                      <w:rPr>
                                        <w:color w:val="595959" w:themeColor="text1" w:themeTint="A6"/>
                                        <w:sz w:val="28"/>
                                        <w:szCs w:val="28"/>
                                      </w:rPr>
                                      <w:t>Jack Banner (2200212)</w:t>
                                    </w:r>
                                  </w:p>
                                </w:sdtContent>
                              </w:sdt>
                              <w:p w14:paraId="38B3FE83" w14:textId="566A86DE" w:rsidR="00875506" w:rsidRDefault="000768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12018">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DC9997"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C376DD" w14:textId="510A8202" w:rsidR="00875506" w:rsidRDefault="00875506">
                              <w:pPr>
                                <w:pStyle w:val="NoSpacing"/>
                                <w:jc w:val="right"/>
                                <w:rPr>
                                  <w:color w:val="595959" w:themeColor="text1" w:themeTint="A6"/>
                                  <w:sz w:val="28"/>
                                  <w:szCs w:val="28"/>
                                </w:rPr>
                              </w:pPr>
                              <w:r>
                                <w:rPr>
                                  <w:color w:val="595959" w:themeColor="text1" w:themeTint="A6"/>
                                  <w:sz w:val="28"/>
                                  <w:szCs w:val="28"/>
                                </w:rPr>
                                <w:t>Jack Banner (2200212)</w:t>
                              </w:r>
                            </w:p>
                          </w:sdtContent>
                        </w:sdt>
                        <w:p w14:paraId="38B3FE83" w14:textId="566A86DE" w:rsidR="00875506" w:rsidRDefault="000768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12018">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D6303C8" wp14:editId="50C5D3E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F611B8" w14:textId="1B014658" w:rsidR="00875506" w:rsidRDefault="000768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797A">
                                      <w:rPr>
                                        <w:caps/>
                                        <w:color w:val="4472C4" w:themeColor="accent1"/>
                                        <w:sz w:val="64"/>
                                        <w:szCs w:val="64"/>
                                      </w:rPr>
                                      <w:t>Scenario Question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12AAD7" w14:textId="43F70C90" w:rsidR="00875506" w:rsidRDefault="00E7342F">
                                    <w:pPr>
                                      <w:jc w:val="right"/>
                                      <w:rPr>
                                        <w:smallCaps/>
                                        <w:color w:val="404040" w:themeColor="text1" w:themeTint="BF"/>
                                        <w:sz w:val="36"/>
                                        <w:szCs w:val="36"/>
                                      </w:rPr>
                                    </w:pPr>
                                    <w:r w:rsidRPr="00E7342F">
                                      <w:rPr>
                                        <w:color w:val="404040" w:themeColor="text1" w:themeTint="BF"/>
                                        <w:sz w:val="36"/>
                                        <w:szCs w:val="36"/>
                                      </w:rPr>
                                      <w:t>BMPL4009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6303C8"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FF611B8" w14:textId="1B014658" w:rsidR="00875506" w:rsidRDefault="0007685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797A">
                                <w:rPr>
                                  <w:caps/>
                                  <w:color w:val="4472C4" w:themeColor="accent1"/>
                                  <w:sz w:val="64"/>
                                  <w:szCs w:val="64"/>
                                </w:rPr>
                                <w:t>Scenario Question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12AAD7" w14:textId="43F70C90" w:rsidR="00875506" w:rsidRDefault="00E7342F">
                              <w:pPr>
                                <w:jc w:val="right"/>
                                <w:rPr>
                                  <w:smallCaps/>
                                  <w:color w:val="404040" w:themeColor="text1" w:themeTint="BF"/>
                                  <w:sz w:val="36"/>
                                  <w:szCs w:val="36"/>
                                </w:rPr>
                              </w:pPr>
                              <w:r w:rsidRPr="00E7342F">
                                <w:rPr>
                                  <w:color w:val="404040" w:themeColor="text1" w:themeTint="BF"/>
                                  <w:sz w:val="36"/>
                                  <w:szCs w:val="36"/>
                                </w:rPr>
                                <w:t>BMPL4009</w:t>
                              </w:r>
                            </w:p>
                          </w:sdtContent>
                        </w:sdt>
                      </w:txbxContent>
                    </v:textbox>
                    <w10:wrap type="square" anchorx="page" anchory="page"/>
                  </v:shape>
                </w:pict>
              </mc:Fallback>
            </mc:AlternateContent>
          </w:r>
        </w:p>
        <w:p w14:paraId="5E5787A5" w14:textId="388D3B55" w:rsidR="00875506" w:rsidRDefault="00875506">
          <w:r>
            <w:br w:type="page"/>
          </w:r>
        </w:p>
      </w:sdtContent>
    </w:sdt>
    <w:sdt>
      <w:sdtPr>
        <w:rPr>
          <w:rFonts w:asciiTheme="minorHAnsi" w:eastAsiaTheme="minorHAnsi" w:hAnsiTheme="minorHAnsi" w:cstheme="minorBidi"/>
          <w:color w:val="auto"/>
          <w:sz w:val="22"/>
          <w:szCs w:val="22"/>
          <w:lang w:val="en-GB"/>
        </w:rPr>
        <w:id w:val="-1452553240"/>
        <w:docPartObj>
          <w:docPartGallery w:val="Table of Contents"/>
          <w:docPartUnique/>
        </w:docPartObj>
      </w:sdtPr>
      <w:sdtEndPr>
        <w:rPr>
          <w:b/>
          <w:bCs/>
          <w:noProof/>
        </w:rPr>
      </w:sdtEndPr>
      <w:sdtContent>
        <w:p w14:paraId="1A42FFF1" w14:textId="1622EBA0" w:rsidR="00E12018" w:rsidRDefault="00E12018">
          <w:pPr>
            <w:pStyle w:val="TOCHeading"/>
          </w:pPr>
          <w:r>
            <w:t>Contents</w:t>
          </w:r>
        </w:p>
        <w:p w14:paraId="2677CEF7" w14:textId="202E6350" w:rsidR="00A31447" w:rsidRDefault="00E120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936468" w:history="1">
            <w:r w:rsidR="00A31447" w:rsidRPr="00023B37">
              <w:rPr>
                <w:rStyle w:val="Hyperlink"/>
                <w:noProof/>
              </w:rPr>
              <w:t>Introduction</w:t>
            </w:r>
            <w:r w:rsidR="00A31447">
              <w:rPr>
                <w:noProof/>
                <w:webHidden/>
              </w:rPr>
              <w:tab/>
            </w:r>
            <w:r w:rsidR="00A31447">
              <w:rPr>
                <w:noProof/>
                <w:webHidden/>
              </w:rPr>
              <w:fldChar w:fldCharType="begin"/>
            </w:r>
            <w:r w:rsidR="00A31447">
              <w:rPr>
                <w:noProof/>
                <w:webHidden/>
              </w:rPr>
              <w:instrText xml:space="preserve"> PAGEREF _Toc133936468 \h </w:instrText>
            </w:r>
            <w:r w:rsidR="00A31447">
              <w:rPr>
                <w:noProof/>
                <w:webHidden/>
              </w:rPr>
            </w:r>
            <w:r w:rsidR="00A31447">
              <w:rPr>
                <w:noProof/>
                <w:webHidden/>
              </w:rPr>
              <w:fldChar w:fldCharType="separate"/>
            </w:r>
            <w:r w:rsidR="00A31447">
              <w:rPr>
                <w:noProof/>
                <w:webHidden/>
              </w:rPr>
              <w:t>2</w:t>
            </w:r>
            <w:r w:rsidR="00A31447">
              <w:rPr>
                <w:noProof/>
                <w:webHidden/>
              </w:rPr>
              <w:fldChar w:fldCharType="end"/>
            </w:r>
          </w:hyperlink>
        </w:p>
        <w:p w14:paraId="5D4B936C" w14:textId="36C2FA3A" w:rsidR="00A31447" w:rsidRDefault="00076852">
          <w:pPr>
            <w:pStyle w:val="TOC1"/>
            <w:tabs>
              <w:tab w:val="right" w:leader="dot" w:pos="9016"/>
            </w:tabs>
            <w:rPr>
              <w:rFonts w:eastAsiaTheme="minorEastAsia"/>
              <w:noProof/>
              <w:lang w:eastAsia="en-GB"/>
            </w:rPr>
          </w:pPr>
          <w:hyperlink w:anchor="_Toc133936469" w:history="1">
            <w:r w:rsidR="00A31447" w:rsidRPr="00023B37">
              <w:rPr>
                <w:rStyle w:val="Hyperlink"/>
                <w:noProof/>
              </w:rPr>
              <w:t>Actus Reus and Mens Reu</w:t>
            </w:r>
            <w:r w:rsidR="00A31447">
              <w:rPr>
                <w:noProof/>
                <w:webHidden/>
              </w:rPr>
              <w:tab/>
            </w:r>
            <w:r w:rsidR="00A31447">
              <w:rPr>
                <w:noProof/>
                <w:webHidden/>
              </w:rPr>
              <w:fldChar w:fldCharType="begin"/>
            </w:r>
            <w:r w:rsidR="00A31447">
              <w:rPr>
                <w:noProof/>
                <w:webHidden/>
              </w:rPr>
              <w:instrText xml:space="preserve"> PAGEREF _Toc133936469 \h </w:instrText>
            </w:r>
            <w:r w:rsidR="00A31447">
              <w:rPr>
                <w:noProof/>
                <w:webHidden/>
              </w:rPr>
            </w:r>
            <w:r w:rsidR="00A31447">
              <w:rPr>
                <w:noProof/>
                <w:webHidden/>
              </w:rPr>
              <w:fldChar w:fldCharType="separate"/>
            </w:r>
            <w:r w:rsidR="00A31447">
              <w:rPr>
                <w:noProof/>
                <w:webHidden/>
              </w:rPr>
              <w:t>2</w:t>
            </w:r>
            <w:r w:rsidR="00A31447">
              <w:rPr>
                <w:noProof/>
                <w:webHidden/>
              </w:rPr>
              <w:fldChar w:fldCharType="end"/>
            </w:r>
          </w:hyperlink>
        </w:p>
        <w:p w14:paraId="37639131" w14:textId="4EE6D1A7" w:rsidR="00A31447" w:rsidRDefault="00076852">
          <w:pPr>
            <w:pStyle w:val="TOC1"/>
            <w:tabs>
              <w:tab w:val="right" w:leader="dot" w:pos="9016"/>
            </w:tabs>
            <w:rPr>
              <w:rFonts w:eastAsiaTheme="minorEastAsia"/>
              <w:noProof/>
              <w:lang w:eastAsia="en-GB"/>
            </w:rPr>
          </w:pPr>
          <w:hyperlink w:anchor="_Toc133936470" w:history="1">
            <w:r w:rsidR="00A31447" w:rsidRPr="00023B37">
              <w:rPr>
                <w:rStyle w:val="Hyperlink"/>
                <w:noProof/>
              </w:rPr>
              <w:t>Main Body</w:t>
            </w:r>
            <w:r w:rsidR="00A31447">
              <w:rPr>
                <w:noProof/>
                <w:webHidden/>
              </w:rPr>
              <w:tab/>
            </w:r>
            <w:r w:rsidR="00A31447">
              <w:rPr>
                <w:noProof/>
                <w:webHidden/>
              </w:rPr>
              <w:fldChar w:fldCharType="begin"/>
            </w:r>
            <w:r w:rsidR="00A31447">
              <w:rPr>
                <w:noProof/>
                <w:webHidden/>
              </w:rPr>
              <w:instrText xml:space="preserve"> PAGEREF _Toc133936470 \h </w:instrText>
            </w:r>
            <w:r w:rsidR="00A31447">
              <w:rPr>
                <w:noProof/>
                <w:webHidden/>
              </w:rPr>
            </w:r>
            <w:r w:rsidR="00A31447">
              <w:rPr>
                <w:noProof/>
                <w:webHidden/>
              </w:rPr>
              <w:fldChar w:fldCharType="separate"/>
            </w:r>
            <w:r w:rsidR="00A31447">
              <w:rPr>
                <w:noProof/>
                <w:webHidden/>
              </w:rPr>
              <w:t>2</w:t>
            </w:r>
            <w:r w:rsidR="00A31447">
              <w:rPr>
                <w:noProof/>
                <w:webHidden/>
              </w:rPr>
              <w:fldChar w:fldCharType="end"/>
            </w:r>
          </w:hyperlink>
        </w:p>
        <w:p w14:paraId="17617B26" w14:textId="01C5E16B" w:rsidR="00E12018" w:rsidRDefault="00E12018">
          <w:r>
            <w:rPr>
              <w:b/>
              <w:bCs/>
              <w:noProof/>
            </w:rPr>
            <w:fldChar w:fldCharType="end"/>
          </w:r>
        </w:p>
      </w:sdtContent>
    </w:sdt>
    <w:p w14:paraId="62E96486" w14:textId="5E74A7ED" w:rsidR="00E12018" w:rsidRDefault="00E12018"/>
    <w:p w14:paraId="3C5B2A0E" w14:textId="77777777" w:rsidR="00E12018" w:rsidRDefault="00E12018">
      <w:r>
        <w:br w:type="page"/>
      </w:r>
    </w:p>
    <w:p w14:paraId="6EB2DA7C" w14:textId="597F0B75" w:rsidR="006A059B" w:rsidRDefault="00E12018" w:rsidP="00E12018">
      <w:pPr>
        <w:pStyle w:val="Heading1"/>
      </w:pPr>
      <w:bookmarkStart w:id="0" w:name="_Toc133936468"/>
      <w:r>
        <w:lastRenderedPageBreak/>
        <w:t>Introduction</w:t>
      </w:r>
      <w:bookmarkEnd w:id="0"/>
    </w:p>
    <w:p w14:paraId="3BB6A857" w14:textId="4B57F80B" w:rsidR="00E12018" w:rsidRDefault="00E12018" w:rsidP="00E12018">
      <w:r>
        <w:t xml:space="preserve">     Throughout this paper I aim to </w:t>
      </w:r>
      <w:r w:rsidR="00D44EBE">
        <w:t>demonstrate my understanding of criminal law and legislation by applying it to a scenario question</w:t>
      </w:r>
      <w:r w:rsidR="00447B52">
        <w:t xml:space="preserve"> where I will discuss potential charges and how they piece together with the given circumstances. </w:t>
      </w:r>
    </w:p>
    <w:p w14:paraId="549320AF" w14:textId="77777777" w:rsidR="0084556B" w:rsidRDefault="0084556B" w:rsidP="00E12018"/>
    <w:p w14:paraId="2B83F856" w14:textId="227F6B52" w:rsidR="0084556B" w:rsidRDefault="0084556B" w:rsidP="0084556B">
      <w:pPr>
        <w:pStyle w:val="Heading1"/>
      </w:pPr>
      <w:bookmarkStart w:id="1" w:name="_Toc133936469"/>
      <w:r>
        <w:t>Actus Reus and Mens Reu</w:t>
      </w:r>
      <w:bookmarkEnd w:id="1"/>
    </w:p>
    <w:p w14:paraId="3D08DA18" w14:textId="705B727F" w:rsidR="008B584A" w:rsidRDefault="0084556B" w:rsidP="00E12018">
      <w:r>
        <w:t xml:space="preserve">     For ease of explanation in the main body, here I would also like to explain </w:t>
      </w:r>
      <w:r w:rsidR="00F418A1">
        <w:t xml:space="preserve">the basic concepts of </w:t>
      </w:r>
      <w:r>
        <w:t>actus reus and Mens rea</w:t>
      </w:r>
      <w:r w:rsidR="00235E49">
        <w:t>.</w:t>
      </w:r>
      <w:r w:rsidR="00580F97">
        <w:t xml:space="preserve"> Actus reus, translating to “guilty act” in Latin refers to </w:t>
      </w:r>
      <w:r w:rsidR="0092525B">
        <w:t xml:space="preserve">the actual physical acts of a crime. This typically includes satisfying </w:t>
      </w:r>
      <w:r w:rsidR="00684570">
        <w:t>all</w:t>
      </w:r>
      <w:r w:rsidR="0092525B">
        <w:t xml:space="preserve"> the individual elements of a crime within </w:t>
      </w:r>
      <w:r w:rsidR="00684570">
        <w:t>its</w:t>
      </w:r>
      <w:r w:rsidR="0092525B">
        <w:t xml:space="preserve"> definition </w:t>
      </w:r>
      <w:r w:rsidR="00171AD8">
        <w:t xml:space="preserve">for the actus reus to be </w:t>
      </w:r>
      <w:r w:rsidR="00684E6A">
        <w:t xml:space="preserve">present, </w:t>
      </w:r>
      <w:r w:rsidR="00171AD8">
        <w:t>includ</w:t>
      </w:r>
      <w:r w:rsidR="00684E6A">
        <w:t>ing</w:t>
      </w:r>
      <w:r w:rsidR="00171AD8">
        <w:t xml:space="preserve"> elements of conduct, consequence and circumstance</w:t>
      </w:r>
      <w:r w:rsidR="001809D1">
        <w:t>.</w:t>
      </w:r>
      <w:r w:rsidR="00C85B9F">
        <w:t xml:space="preserve"> Mens rea, translating to “guilty mind” in Latin, regards the </w:t>
      </w:r>
      <w:r w:rsidR="00165453">
        <w:t>thought process and mindset of the defendant in committing the crime. Here</w:t>
      </w:r>
      <w:r w:rsidR="00014904">
        <w:t xml:space="preserve">, for the crimes </w:t>
      </w:r>
      <w:r w:rsidR="00FA1DF1">
        <w:t>I</w:t>
      </w:r>
      <w:r w:rsidR="00014904">
        <w:t xml:space="preserve"> will be coving, there are 3 levels of blameworthiness we need to take into consideration. Direct Intention </w:t>
      </w:r>
      <w:r w:rsidR="00D24EFB">
        <w:t xml:space="preserve">is where the aim or intention of the </w:t>
      </w:r>
      <w:r w:rsidR="00684570">
        <w:t>defendant’s</w:t>
      </w:r>
      <w:r w:rsidR="00D24EFB">
        <w:t xml:space="preserve"> action was to bring about the prohibited result (actus reus). </w:t>
      </w:r>
      <w:r w:rsidR="00AC295A">
        <w:t xml:space="preserve">Oblique intention is where the outcome was not their intention, it was virtual certain as a result of their </w:t>
      </w:r>
      <w:r w:rsidR="002A142F">
        <w:t>conduct,</w:t>
      </w:r>
      <w:r w:rsidR="003066D2">
        <w:t xml:space="preserve"> and they appreciate that risk. Recklessness </w:t>
      </w:r>
      <w:r w:rsidR="005B0982">
        <w:t>is where the defendant is aware of the risk</w:t>
      </w:r>
      <w:r w:rsidR="002A142F">
        <w:t xml:space="preserve"> of their actions,</w:t>
      </w:r>
      <w:r w:rsidR="005B0982">
        <w:t xml:space="preserve"> and </w:t>
      </w:r>
      <w:r w:rsidR="002A142F">
        <w:t>still unreasonably takes that risk.</w:t>
      </w:r>
    </w:p>
    <w:p w14:paraId="786BFBF8" w14:textId="7F07578A" w:rsidR="008B584A" w:rsidRDefault="008B584A" w:rsidP="008B584A">
      <w:pPr>
        <w:pStyle w:val="Heading1"/>
      </w:pPr>
      <w:bookmarkStart w:id="2" w:name="_Toc133936470"/>
      <w:r>
        <w:t>Main Body</w:t>
      </w:r>
      <w:bookmarkEnd w:id="2"/>
    </w:p>
    <w:p w14:paraId="0636C4DB" w14:textId="4A7740C7" w:rsidR="008B584A" w:rsidRDefault="008B584A" w:rsidP="008B584A">
      <w:r>
        <w:t xml:space="preserve">    </w:t>
      </w:r>
      <w:r w:rsidR="005F79DD">
        <w:t>The first potential charge that I have identified from the scenario is assault. T</w:t>
      </w:r>
      <w:r w:rsidR="00A53984">
        <w:t xml:space="preserve">he </w:t>
      </w:r>
      <w:r w:rsidR="005F79DD">
        <w:t>sentencing</w:t>
      </w:r>
      <w:r w:rsidR="00A53984">
        <w:t xml:space="preserve"> guidelines </w:t>
      </w:r>
      <w:r w:rsidR="002128EB">
        <w:t>of</w:t>
      </w:r>
      <w:r w:rsidR="00A53984">
        <w:t xml:space="preserve"> assault in defined in S.39 of the Criminal Justice Act 1988; however, assault itself is defined in common law. As set out in Fagan v Metropolitan Police Commissioner [1968], a person commits assault where he “intentionally or recklessly causes the victim to apprehend immediate unlawful personal violence”. Breaking this down</w:t>
      </w:r>
      <w:r w:rsidR="00F46691">
        <w:t xml:space="preserve"> to</w:t>
      </w:r>
      <w:r w:rsidR="00A53984">
        <w:t xml:space="preserve"> the actus reus of the charge, it would be some conduct from the defendant, the victim</w:t>
      </w:r>
      <w:r w:rsidR="00A53984" w:rsidRPr="00742C82">
        <w:t xml:space="preserve"> apprehended immediate unlawful personal violence</w:t>
      </w:r>
      <w:r w:rsidR="00A53984">
        <w:t xml:space="preserve">, caused by the conduct of the defendant. Starting with the defendants conduct, as outlined in </w:t>
      </w:r>
      <w:r w:rsidR="00A53984" w:rsidRPr="00A16034">
        <w:t>R v Constanza [1997]</w:t>
      </w:r>
      <w:r w:rsidR="00A53984">
        <w:t xml:space="preserve">, words alone can be sufficient to cause a victim to apprehend harm, therefor fulfilling the needs for assault. </w:t>
      </w:r>
      <w:r w:rsidR="001F6B07">
        <w:t xml:space="preserve">Apprehension would be the belief </w:t>
      </w:r>
      <w:r w:rsidR="00624655">
        <w:t xml:space="preserve">of immediate violence. </w:t>
      </w:r>
      <w:r w:rsidR="007C6A41">
        <w:t xml:space="preserve">Immediate was </w:t>
      </w:r>
      <w:r w:rsidR="0037483A">
        <w:t xml:space="preserve">set out in </w:t>
      </w:r>
      <w:r w:rsidR="0037483A" w:rsidRPr="0037483A">
        <w:t>Thomas v National Union of Mineworkers [1986]</w:t>
      </w:r>
      <w:r w:rsidR="0037483A">
        <w:t xml:space="preserve"> where the court came to the decision that </w:t>
      </w:r>
      <w:r w:rsidR="00730E81">
        <w:t xml:space="preserve">the </w:t>
      </w:r>
      <w:r w:rsidR="00235E49">
        <w:t>defendants’</w:t>
      </w:r>
      <w:r w:rsidR="00730E81">
        <w:t xml:space="preserve"> actions could not constitute assault due to the lack of the capacity to </w:t>
      </w:r>
      <w:r w:rsidR="00040398">
        <w:t>immediately act on the threats that had been made.</w:t>
      </w:r>
      <w:r w:rsidR="00395522">
        <w:t xml:space="preserve"> This was again further </w:t>
      </w:r>
      <w:r w:rsidR="006E1E28">
        <w:t xml:space="preserve">expanded on in R v Constanza [1997] where the court ruled </w:t>
      </w:r>
      <w:r w:rsidR="00290922">
        <w:t xml:space="preserve">it is sufficient to demonstrate that the victim was in fear </w:t>
      </w:r>
      <w:r w:rsidR="007D5B1F">
        <w:t xml:space="preserve">of violence </w:t>
      </w:r>
      <w:r w:rsidR="007D5B1F" w:rsidRPr="007D5B1F">
        <w:t>“at some time not excluding the immediate future”</w:t>
      </w:r>
      <w:r w:rsidR="007D5B1F">
        <w:t>.</w:t>
      </w:r>
      <w:r w:rsidR="00EC6672">
        <w:t xml:space="preserve"> Then quite </w:t>
      </w:r>
      <w:r w:rsidR="00D36CA8">
        <w:t>self-explanatory</w:t>
      </w:r>
      <w:r w:rsidR="00EC6672">
        <w:t>, the belief needs to stem from the conduct of the defendant.</w:t>
      </w:r>
      <w:r w:rsidR="00590D1A">
        <w:t xml:space="preserve"> </w:t>
      </w:r>
      <w:r w:rsidR="00A50BBE">
        <w:t xml:space="preserve">In this scenario the defendant would be Polly, and the victim of the assault would be </w:t>
      </w:r>
      <w:r w:rsidR="0033554E">
        <w:t>Roxanne. The text states that Polly “</w:t>
      </w:r>
      <w:r w:rsidR="00712E80" w:rsidRPr="00712E80">
        <w:t>walks up to Roxanne, calls her a “bitch” and gestures her middle finger at her</w:t>
      </w:r>
      <w:r w:rsidR="00712E80">
        <w:t>”.</w:t>
      </w:r>
      <w:r w:rsidR="00D36CA8">
        <w:t xml:space="preserve"> Where Polly did not directly </w:t>
      </w:r>
      <w:r w:rsidR="00C839FB">
        <w:t>attack the victim, which would be battery, Roxanne can still argue that an assault occurred in court. The conduct element from Polly’s ac</w:t>
      </w:r>
      <w:r w:rsidR="005B21F7">
        <w:t xml:space="preserve">tions is present, and to fulfil the actus reus of the crime they can simply argue that the conduct </w:t>
      </w:r>
      <w:r w:rsidR="00697C03">
        <w:t xml:space="preserve">put Roxanne in </w:t>
      </w:r>
      <w:r w:rsidR="00281353">
        <w:t>apprehension of immediate personal violence</w:t>
      </w:r>
      <w:r w:rsidR="0022450D">
        <w:t xml:space="preserve">, whether it is true or not. Also, </w:t>
      </w:r>
      <w:r w:rsidR="009F59B6">
        <w:t>I think that she would satisfy the mens rea elements through recklessness. I would go against</w:t>
      </w:r>
      <w:r w:rsidR="00854648">
        <w:t xml:space="preserve"> both direct and oblique intention </w:t>
      </w:r>
      <w:r w:rsidR="004E4A56">
        <w:t>since</w:t>
      </w:r>
      <w:r w:rsidR="00854648">
        <w:t xml:space="preserve"> she didn’t </w:t>
      </w:r>
      <w:r w:rsidR="004E4A56">
        <w:t>make</w:t>
      </w:r>
      <w:r w:rsidR="00854648">
        <w:t xml:space="preserve"> a threat; however, it could </w:t>
      </w:r>
      <w:r w:rsidR="004133C3">
        <w:t>be</w:t>
      </w:r>
      <w:r w:rsidR="00854648">
        <w:t xml:space="preserve"> argued that she was reckless to the fact that </w:t>
      </w:r>
      <w:r w:rsidR="00292205">
        <w:t>her aggressive mannerisms could likely cause Roxanne to apprehend that immediate personal violence.</w:t>
      </w:r>
      <w:r w:rsidR="006C536B">
        <w:t xml:space="preserve"> </w:t>
      </w:r>
      <w:r w:rsidR="00831BAA">
        <w:t>In these circumstances, the defences of self-defence or the prevention of a crime are not able to be used.</w:t>
      </w:r>
    </w:p>
    <w:p w14:paraId="0A7100A4" w14:textId="546510BB" w:rsidR="006C536B" w:rsidRPr="008B584A" w:rsidRDefault="006C536B" w:rsidP="008B584A">
      <w:r>
        <w:lastRenderedPageBreak/>
        <w:t xml:space="preserve">     </w:t>
      </w:r>
      <w:r w:rsidR="00A52086">
        <w:t>T</w:t>
      </w:r>
      <w:r w:rsidR="000B250F">
        <w:t>he second charge that I have found is criminal damage.</w:t>
      </w:r>
      <w:r w:rsidR="009531E9">
        <w:t xml:space="preserve"> As stated in the scenario, “</w:t>
      </w:r>
      <w:r w:rsidR="009531E9" w:rsidRPr="009531E9">
        <w:t>Polly notices Roxanne's moped and using a broken glass in the carpark, severs the brake cables</w:t>
      </w:r>
      <w:r w:rsidR="00D46406">
        <w:t>”</w:t>
      </w:r>
      <w:r w:rsidR="009531E9" w:rsidRPr="009531E9">
        <w:t>.</w:t>
      </w:r>
      <w:r w:rsidR="000B250F">
        <w:t xml:space="preserve"> Starting with</w:t>
      </w:r>
      <w:r w:rsidR="00553A0A">
        <w:t xml:space="preserve"> the</w:t>
      </w:r>
      <w:r w:rsidR="000B250F">
        <w:t xml:space="preserve"> basic criminal damage</w:t>
      </w:r>
      <w:r w:rsidR="00553A0A">
        <w:t xml:space="preserve"> definition</w:t>
      </w:r>
      <w:r w:rsidR="000B250F">
        <w:t>, as set out in</w:t>
      </w:r>
      <w:r w:rsidR="00CD217B">
        <w:t xml:space="preserve"> S.1 of the Criminal Damage Act 1971</w:t>
      </w:r>
      <w:r w:rsidR="00553A0A">
        <w:t xml:space="preserve">, </w:t>
      </w:r>
      <w:r w:rsidR="00080DB6">
        <w:t>“</w:t>
      </w:r>
      <w:r w:rsidR="00080DB6" w:rsidRPr="00080DB6">
        <w:t>A person who without lawful excuse destroys or damages any property belonging to another intending to destroy or damage any such property or being reckless as to whether any such property would be destroyed or damaged shall be guilty of an offence</w:t>
      </w:r>
      <w:r w:rsidR="00080DB6">
        <w:t>”.</w:t>
      </w:r>
      <w:r w:rsidR="00327301">
        <w:t xml:space="preserve"> Again, starting with the actus reus elements, from this definition they would be </w:t>
      </w:r>
      <w:r w:rsidR="00E427CC">
        <w:t>without lawful excuse</w:t>
      </w:r>
      <w:r w:rsidR="00327301">
        <w:t>,</w:t>
      </w:r>
      <w:r w:rsidR="00E427CC">
        <w:t xml:space="preserve"> damages or destroys, </w:t>
      </w:r>
      <w:r w:rsidR="00E64CC1">
        <w:t>property</w:t>
      </w:r>
      <w:r w:rsidR="00327301">
        <w:t xml:space="preserve"> belonging to another</w:t>
      </w:r>
      <w:r w:rsidR="00E64CC1">
        <w:t xml:space="preserve">. </w:t>
      </w:r>
      <w:r w:rsidR="006639F4">
        <w:t>Beginning with lawful excuse, t</w:t>
      </w:r>
      <w:r w:rsidR="00B7558D">
        <w:t>he first as set out in S.</w:t>
      </w:r>
      <w:r w:rsidR="00D76138">
        <w:t xml:space="preserve">5(2)(a) of the Criminal Damage Act is </w:t>
      </w:r>
      <w:r w:rsidR="00D341A9">
        <w:t>if they are in the belief th</w:t>
      </w:r>
      <w:r w:rsidR="00655546">
        <w:t>at the person able to give consent</w:t>
      </w:r>
      <w:r w:rsidR="00542FF9">
        <w:t xml:space="preserve"> of the damage of their property</w:t>
      </w:r>
      <w:r w:rsidR="00655546">
        <w:t xml:space="preserve"> did </w:t>
      </w:r>
      <w:r w:rsidR="00542FF9">
        <w:t>so, or they are in belief that they would consent if the circumstances.</w:t>
      </w:r>
      <w:r w:rsidR="004F7C0F">
        <w:t xml:space="preserve"> </w:t>
      </w:r>
      <w:r w:rsidR="00900F34">
        <w:t>Due to the nature of the damage cau</w:t>
      </w:r>
      <w:r w:rsidR="00197F71">
        <w:t>sed</w:t>
      </w:r>
      <w:r w:rsidR="00900F34">
        <w:t>, this does not apply.</w:t>
      </w:r>
      <w:r w:rsidR="00197F71">
        <w:t xml:space="preserve"> </w:t>
      </w:r>
      <w:r w:rsidR="00505988">
        <w:t>The second lawful excuse under S.5</w:t>
      </w:r>
      <w:r w:rsidR="0034533F">
        <w:t xml:space="preserve">(2)(b) of the Criminal Damage Acts is </w:t>
      </w:r>
      <w:r w:rsidR="00AC7E76">
        <w:t>that the property, belonging to themselves or another was in immediate need of protection</w:t>
      </w:r>
      <w:r w:rsidR="00912C76">
        <w:t xml:space="preserve"> and that the damage/destruction was reasonable and caused as a means of protection. Again, this cannot apply to Polly as she cut </w:t>
      </w:r>
      <w:r w:rsidR="00165159">
        <w:t>brake</w:t>
      </w:r>
      <w:r w:rsidR="007F2E86">
        <w:t xml:space="preserve"> </w:t>
      </w:r>
      <w:r w:rsidR="00B1358F">
        <w:tab/>
      </w:r>
      <w:r w:rsidR="007F2E86">
        <w:t>cables with no intention of protecting property.</w:t>
      </w:r>
      <w:r w:rsidR="000B6125">
        <w:t xml:space="preserve"> </w:t>
      </w:r>
      <w:r w:rsidR="00165159">
        <w:t xml:space="preserve">For the “damage or destroyed” element, </w:t>
      </w:r>
      <w:r w:rsidR="00793BE5">
        <w:t>there is not definition in statute.</w:t>
      </w:r>
      <w:r w:rsidR="006D301C">
        <w:t xml:space="preserve"> As seen in</w:t>
      </w:r>
      <w:r w:rsidR="006D301C" w:rsidRPr="006D301C">
        <w:t xml:space="preserve"> Morphitis v. Salmon [1990]</w:t>
      </w:r>
      <w:r w:rsidR="006D301C">
        <w:t xml:space="preserve">, criminal damage can be satisfied with the impaired value of usefulness of </w:t>
      </w:r>
      <w:r w:rsidR="00637059">
        <w:t>the</w:t>
      </w:r>
      <w:r w:rsidR="006D301C">
        <w:t xml:space="preserve"> property, not just the physical harm. </w:t>
      </w:r>
      <w:r w:rsidR="00637059">
        <w:t>In this case, not only did Polly physically damage the brake cable, but she also rendered it unfit for purpose meaning she satisfies this element of the mens rea.</w:t>
      </w:r>
      <w:r w:rsidR="00D32153">
        <w:t xml:space="preserve"> Property is defined under S.10</w:t>
      </w:r>
      <w:r w:rsidR="00A801C4">
        <w:t>(1) of the Criminal Damage Act</w:t>
      </w:r>
      <w:r w:rsidR="0041733B">
        <w:t xml:space="preserve"> as property which is “tangible”. </w:t>
      </w:r>
      <w:r w:rsidR="0047501E">
        <w:t>Basically,</w:t>
      </w:r>
      <w:r w:rsidR="00FF7732">
        <w:t xml:space="preserve"> anything that can be touched.</w:t>
      </w:r>
      <w:r w:rsidR="0047501E">
        <w:t xml:space="preserve"> This is true in the case of </w:t>
      </w:r>
      <w:r w:rsidR="00AA4A11">
        <w:t>Roxanne’s moped</w:t>
      </w:r>
      <w:r w:rsidR="00DF2679">
        <w:t xml:space="preserve"> as it is real</w:t>
      </w:r>
      <w:r w:rsidR="00AA4A11">
        <w:t>.</w:t>
      </w:r>
      <w:r w:rsidR="00DF2679">
        <w:t xml:space="preserve"> </w:t>
      </w:r>
      <w:r w:rsidR="002B7ED4">
        <w:t>Last</w:t>
      </w:r>
      <w:r w:rsidR="003300BB">
        <w:t xml:space="preserve">ly, “belonging to another” is defined under </w:t>
      </w:r>
      <w:r w:rsidR="00802BB7">
        <w:t xml:space="preserve">S.10(2) of the act as belonging to any person if they have custody or control over it, </w:t>
      </w:r>
      <w:r w:rsidR="00B3630C">
        <w:t xml:space="preserve">a proprietary right or </w:t>
      </w:r>
      <w:r w:rsidR="009B2EEB">
        <w:t>interest</w:t>
      </w:r>
      <w:r w:rsidR="00B3630C">
        <w:t xml:space="preserve"> or h</w:t>
      </w:r>
      <w:r w:rsidR="009B2EEB">
        <w:t xml:space="preserve">aving a charge over the property. In this case, </w:t>
      </w:r>
      <w:r w:rsidR="0080203F">
        <w:t xml:space="preserve">with the moped belonging </w:t>
      </w:r>
      <w:r w:rsidR="00A219A4">
        <w:t xml:space="preserve">to Roxanne she would have that proprietary interest completing the actus reus for basic </w:t>
      </w:r>
      <w:r w:rsidR="00E21D77">
        <w:t>criminal damage, with direct intention to cause such damage</w:t>
      </w:r>
      <w:r w:rsidR="00E510EB">
        <w:t xml:space="preserve"> under the mens rea. However, I think that the charge could be upgraded to </w:t>
      </w:r>
      <w:r w:rsidR="00D528E0">
        <w:t>aggravated</w:t>
      </w:r>
      <w:r w:rsidR="009E06A4">
        <w:t xml:space="preserve"> criminal damage with the additional element of </w:t>
      </w:r>
      <w:r w:rsidR="00D528E0">
        <w:t xml:space="preserve">endangerment of life. The actus reus largely remains the same, but the difference </w:t>
      </w:r>
      <w:r w:rsidR="00B339C9">
        <w:t xml:space="preserve">being set out in S.1(2)(b) of the </w:t>
      </w:r>
      <w:r w:rsidR="00583F07">
        <w:t>criminal damage act as “</w:t>
      </w:r>
      <w:r w:rsidR="00583F07" w:rsidRPr="00583F07">
        <w:t>intending by the destruction or damage to endanger the life of another or being reckless as to whether the life of another would be thereby endangered</w:t>
      </w:r>
      <w:r w:rsidR="00583F07">
        <w:t xml:space="preserve">”. The cutting of a brake cables </w:t>
      </w:r>
      <w:r w:rsidR="00E864E4">
        <w:t>endangers the life of both</w:t>
      </w:r>
      <w:r w:rsidR="000C4BD2">
        <w:t xml:space="preserve"> Roxanne and other road users. It could go any way in court.</w:t>
      </w:r>
      <w:r w:rsidR="00177C6A">
        <w:t xml:space="preserve"> It could be argued for direct intention, </w:t>
      </w:r>
      <w:r w:rsidR="004566B8">
        <w:t xml:space="preserve">where it was her intention to endanger Roxanne’s life </w:t>
      </w:r>
      <w:r w:rsidR="00787B3F">
        <w:t>with the damage supported by her hostile actions towards her leading to this point</w:t>
      </w:r>
      <w:r w:rsidR="004E4A56">
        <w:t xml:space="preserve"> along with the choice of cutting the brake cable over damaging other parts of the moped</w:t>
      </w:r>
      <w:r w:rsidR="00787B3F">
        <w:t xml:space="preserve">. Even if not convicted </w:t>
      </w:r>
      <w:r w:rsidR="00050E3D">
        <w:t xml:space="preserve">with direct intention, I believe that it is virtually certain that she would be charge with oblique intention as, due to the nature of cutting </w:t>
      </w:r>
      <w:r w:rsidR="004E4A56">
        <w:t>brake</w:t>
      </w:r>
      <w:r w:rsidR="00050E3D">
        <w:t xml:space="preserve"> cables, </w:t>
      </w:r>
      <w:r w:rsidR="00E2360C">
        <w:t>it is virtually certain and foreseeable that it would endanger Roxanne’s life.</w:t>
      </w:r>
    </w:p>
    <w:p w14:paraId="39F653B0" w14:textId="68BB8430" w:rsidR="00A53984" w:rsidRDefault="00B11255">
      <w:r>
        <w:t xml:space="preserve">     The last charge that I found was murder. In the situation </w:t>
      </w:r>
      <w:r w:rsidR="005F31E4">
        <w:t>the text says</w:t>
      </w:r>
      <w:r w:rsidR="001E0F6B">
        <w:t xml:space="preserve"> that Polly</w:t>
      </w:r>
      <w:r w:rsidR="005F31E4">
        <w:t xml:space="preserve"> “</w:t>
      </w:r>
      <w:r w:rsidR="001E0F6B" w:rsidRPr="001E0F6B">
        <w:t>notices a glass ashtray which she picks up and smashes Mohammed over the head with. Mohammed dies instantly from the head injury</w:t>
      </w:r>
      <w:r w:rsidR="001E0F6B">
        <w:t>”.</w:t>
      </w:r>
      <w:r w:rsidR="00ED003B">
        <w:t xml:space="preserve"> </w:t>
      </w:r>
      <w:r w:rsidR="00130596">
        <w:t xml:space="preserve">Although adapted, </w:t>
      </w:r>
      <w:r w:rsidR="00336124">
        <w:t>the definition of murder is set in common law coming form Sir Edward Coke in the 17</w:t>
      </w:r>
      <w:r w:rsidR="00336124" w:rsidRPr="00336124">
        <w:rPr>
          <w:vertAlign w:val="superscript"/>
        </w:rPr>
        <w:t>th</w:t>
      </w:r>
      <w:r w:rsidR="00336124">
        <w:t xml:space="preserve"> century.</w:t>
      </w:r>
      <w:r w:rsidR="0046458C">
        <w:t xml:space="preserve"> Murder is committed when a person </w:t>
      </w:r>
      <w:r w:rsidR="00DA0FAD">
        <w:t xml:space="preserve">unlawfully kills another person under the </w:t>
      </w:r>
      <w:r w:rsidR="00B10D87">
        <w:t>king’s</w:t>
      </w:r>
      <w:r w:rsidR="00DA0FAD">
        <w:t xml:space="preserve"> peace</w:t>
      </w:r>
      <w:r w:rsidR="00B10D87">
        <w:t>. Going through the actus reus elements</w:t>
      </w:r>
      <w:r w:rsidR="000E3008">
        <w:t xml:space="preserve">, “not under the </w:t>
      </w:r>
      <w:r w:rsidR="006A2804">
        <w:t>king’s</w:t>
      </w:r>
      <w:r w:rsidR="000E3008">
        <w:t xml:space="preserve"> peace” would refer to </w:t>
      </w:r>
      <w:r w:rsidR="00D71D5E">
        <w:t xml:space="preserve">not killing under pretences such as war. </w:t>
      </w:r>
      <w:r w:rsidR="00B83290">
        <w:t xml:space="preserve">Unlawfully simply </w:t>
      </w:r>
      <w:r w:rsidR="00A856B4">
        <w:t xml:space="preserve">refers to all actus reus and mens rea elements being fulfilled with no partial defence. The </w:t>
      </w:r>
      <w:r w:rsidR="006A2804">
        <w:t xml:space="preserve">victims must be a person, which Mohammed was. Lastly, the </w:t>
      </w:r>
      <w:r w:rsidR="00287588">
        <w:t>defendant</w:t>
      </w:r>
      <w:r w:rsidR="007C3946">
        <w:t>’s</w:t>
      </w:r>
      <w:r w:rsidR="006A2804">
        <w:t xml:space="preserve"> </w:t>
      </w:r>
      <w:r w:rsidR="009B58A3">
        <w:t>acts,</w:t>
      </w:r>
      <w:r w:rsidR="00974B2B">
        <w:t xml:space="preserve"> or omission</w:t>
      </w:r>
      <w:r w:rsidR="006A2804">
        <w:t xml:space="preserve"> must cause</w:t>
      </w:r>
      <w:r w:rsidR="00974B2B">
        <w:t xml:space="preserve"> the</w:t>
      </w:r>
      <w:r w:rsidR="006A2804">
        <w:t xml:space="preserve"> </w:t>
      </w:r>
      <w:r w:rsidR="00974B2B">
        <w:t>death of the victim, which in this case it did with Mohammed.</w:t>
      </w:r>
      <w:r w:rsidR="00472C07">
        <w:t xml:space="preserve"> </w:t>
      </w:r>
      <w:r w:rsidR="00472C07" w:rsidRPr="00472C07">
        <w:t xml:space="preserve">In this situation, Polly's actions were driven by anger and upon hearing Mohammed's confession. It is </w:t>
      </w:r>
      <w:r w:rsidR="004D77F3">
        <w:t>hard to tell</w:t>
      </w:r>
      <w:r w:rsidR="00472C07" w:rsidRPr="00472C07">
        <w:t xml:space="preserve"> </w:t>
      </w:r>
      <w:r w:rsidR="00403115">
        <w:t>if</w:t>
      </w:r>
      <w:r w:rsidR="00472C07" w:rsidRPr="00472C07">
        <w:t xml:space="preserve"> Polly intended to kill Mohammed or merely intended to cause him harm when she picked up the glass ashtray and hit him over the head.</w:t>
      </w:r>
      <w:r w:rsidR="004D77F3">
        <w:t xml:space="preserve"> </w:t>
      </w:r>
      <w:r w:rsidR="004D77F3" w:rsidRPr="004D77F3">
        <w:t xml:space="preserve">If it is found that Polly had the </w:t>
      </w:r>
      <w:r w:rsidR="00403115">
        <w:t>either direct or oblique intention</w:t>
      </w:r>
      <w:r w:rsidR="004D77F3" w:rsidRPr="004D77F3">
        <w:t xml:space="preserve"> to kill Mohammed or </w:t>
      </w:r>
      <w:r w:rsidR="004D77F3" w:rsidRPr="004D77F3">
        <w:lastRenderedPageBreak/>
        <w:t xml:space="preserve">cause him GBH, she would satisfy the mens rea for </w:t>
      </w:r>
      <w:r w:rsidR="00403115" w:rsidRPr="004D77F3">
        <w:t>murder.</w:t>
      </w:r>
      <w:r w:rsidR="00403115">
        <w:t xml:space="preserve"> </w:t>
      </w:r>
      <w:r w:rsidR="00571F3C">
        <w:t xml:space="preserve">As set out in </w:t>
      </w:r>
      <w:proofErr w:type="spellStart"/>
      <w:r w:rsidR="00571F3C">
        <w:t>Woollin</w:t>
      </w:r>
      <w:proofErr w:type="spellEnd"/>
      <w:r w:rsidR="00571F3C">
        <w:t xml:space="preserve"> [1999</w:t>
      </w:r>
      <w:r w:rsidR="00BE792D">
        <w:t xml:space="preserve">], the jury may subjectively draw the </w:t>
      </w:r>
      <w:r w:rsidR="009B58A3">
        <w:t>conclusion of intention based on the evidence</w:t>
      </w:r>
      <w:r w:rsidR="00114093">
        <w:t xml:space="preserve"> at hand</w:t>
      </w:r>
      <w:r w:rsidR="009B58A3">
        <w:t>.</w:t>
      </w:r>
      <w:r w:rsidR="00213E24">
        <w:t xml:space="preserve"> There are however 2 offence that I believe could apply. The first is loss of control. </w:t>
      </w:r>
      <w:r w:rsidR="00EE65F3">
        <w:t xml:space="preserve">Defined in </w:t>
      </w:r>
      <w:r w:rsidR="00EE65F3" w:rsidRPr="00EE65F3">
        <w:t xml:space="preserve">S.54 </w:t>
      </w:r>
      <w:r w:rsidR="00EE65F3">
        <w:t xml:space="preserve">of the </w:t>
      </w:r>
      <w:r w:rsidR="00EE65F3" w:rsidRPr="00EE65F3">
        <w:t>Coroners and Justice Act 2009</w:t>
      </w:r>
      <w:r w:rsidR="00EE65F3">
        <w:t xml:space="preserve">, </w:t>
      </w:r>
      <w:r w:rsidR="00002BD5">
        <w:t xml:space="preserve">it can be argued that there was a present </w:t>
      </w:r>
      <w:r w:rsidR="00601A1A">
        <w:t>loss of self-control triggered by Mohammed’s confession.</w:t>
      </w:r>
      <w:r w:rsidR="00BD6FC5">
        <w:t xml:space="preserve"> The burden of proof is also on the prosecution and the jury must assume that it applies until they prove otherwise.</w:t>
      </w:r>
      <w:r w:rsidR="005E43A6">
        <w:t xml:space="preserve"> The fact of Polly’s schizophrenia </w:t>
      </w:r>
      <w:r w:rsidR="007955B0">
        <w:t xml:space="preserve">would help, but this would apply more to the other partial defence of diminished responsibility. Defined in </w:t>
      </w:r>
      <w:r w:rsidR="00522406">
        <w:t xml:space="preserve">S.52 of the same act, </w:t>
      </w:r>
      <w:r w:rsidR="000400E8">
        <w:t>they can argue that she suffered from an “abnormality</w:t>
      </w:r>
      <w:r w:rsidR="003311E9">
        <w:t xml:space="preserve"> of mental functioning” that must arise from a </w:t>
      </w:r>
      <w:r w:rsidR="00F34312">
        <w:t>recognised</w:t>
      </w:r>
      <w:r w:rsidR="003311E9">
        <w:t xml:space="preserve"> medical condition </w:t>
      </w:r>
      <w:r w:rsidR="00F34312">
        <w:t>that will impair her ability to understand the nature of her conduct, form a rational decision or exercise self-control</w:t>
      </w:r>
      <w:r w:rsidR="00991906">
        <w:t xml:space="preserve">. Lastly this must explain her acts in relation to the killing. This is a </w:t>
      </w:r>
      <w:r w:rsidR="00E03D9C">
        <w:t xml:space="preserve">partial defence that I do think would apply, bringing her </w:t>
      </w:r>
      <w:r w:rsidR="00287588">
        <w:t>charge down to voluntary manslaughter.</w:t>
      </w:r>
    </w:p>
    <w:p w14:paraId="50385B5C" w14:textId="77777777" w:rsidR="00A350AC" w:rsidRDefault="00A350AC"/>
    <w:p w14:paraId="62E63736" w14:textId="7771B932" w:rsidR="00A350AC" w:rsidRDefault="00A350AC" w:rsidP="00A350AC">
      <w:pPr>
        <w:pStyle w:val="Heading1"/>
      </w:pPr>
      <w:r>
        <w:t>Conclusion</w:t>
      </w:r>
    </w:p>
    <w:p w14:paraId="3FFABC16" w14:textId="7910F728" w:rsidR="00A350AC" w:rsidRPr="00A350AC" w:rsidRDefault="00A350AC" w:rsidP="00A350AC">
      <w:r>
        <w:t xml:space="preserve">     To conclude, after looking through the available information and applying my knowledge I believe the final charges that Polly would face are co</w:t>
      </w:r>
      <w:r w:rsidR="00076852">
        <w:t>mmon assault, aggravated criminal damage with the intention to endanger life and voluntary manslaughter.</w:t>
      </w:r>
    </w:p>
    <w:sectPr w:rsidR="00A350AC" w:rsidRPr="00A350AC" w:rsidSect="0087550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7F2434"/>
    <w:rsid w:val="00002BD5"/>
    <w:rsid w:val="00014904"/>
    <w:rsid w:val="000400E8"/>
    <w:rsid w:val="00040398"/>
    <w:rsid w:val="000446E4"/>
    <w:rsid w:val="00050E3D"/>
    <w:rsid w:val="00076852"/>
    <w:rsid w:val="00080DB6"/>
    <w:rsid w:val="000A375C"/>
    <w:rsid w:val="000B250F"/>
    <w:rsid w:val="000B2671"/>
    <w:rsid w:val="000B6125"/>
    <w:rsid w:val="000C4BD2"/>
    <w:rsid w:val="000E3008"/>
    <w:rsid w:val="00114093"/>
    <w:rsid w:val="00130596"/>
    <w:rsid w:val="00165159"/>
    <w:rsid w:val="00165453"/>
    <w:rsid w:val="00166092"/>
    <w:rsid w:val="00171AD8"/>
    <w:rsid w:val="00177C6A"/>
    <w:rsid w:val="001809D1"/>
    <w:rsid w:val="00197F71"/>
    <w:rsid w:val="001E0F6B"/>
    <w:rsid w:val="001F6B07"/>
    <w:rsid w:val="002128EB"/>
    <w:rsid w:val="00213E24"/>
    <w:rsid w:val="0022450D"/>
    <w:rsid w:val="00235E49"/>
    <w:rsid w:val="00281353"/>
    <w:rsid w:val="00287588"/>
    <w:rsid w:val="00290922"/>
    <w:rsid w:val="00292205"/>
    <w:rsid w:val="002A142F"/>
    <w:rsid w:val="002B7ED4"/>
    <w:rsid w:val="002E130A"/>
    <w:rsid w:val="002E2087"/>
    <w:rsid w:val="003066D2"/>
    <w:rsid w:val="00327301"/>
    <w:rsid w:val="003300BB"/>
    <w:rsid w:val="003311E9"/>
    <w:rsid w:val="0033554E"/>
    <w:rsid w:val="00336124"/>
    <w:rsid w:val="00343BE3"/>
    <w:rsid w:val="0034533F"/>
    <w:rsid w:val="00361FF3"/>
    <w:rsid w:val="0037483A"/>
    <w:rsid w:val="003750F0"/>
    <w:rsid w:val="00381F41"/>
    <w:rsid w:val="00395522"/>
    <w:rsid w:val="00403115"/>
    <w:rsid w:val="004133C3"/>
    <w:rsid w:val="0041733B"/>
    <w:rsid w:val="00447B52"/>
    <w:rsid w:val="004566B8"/>
    <w:rsid w:val="0046458C"/>
    <w:rsid w:val="00472C07"/>
    <w:rsid w:val="0047501E"/>
    <w:rsid w:val="004C5A7F"/>
    <w:rsid w:val="004D77F3"/>
    <w:rsid w:val="004E4A56"/>
    <w:rsid w:val="004F7C0F"/>
    <w:rsid w:val="00505988"/>
    <w:rsid w:val="00522406"/>
    <w:rsid w:val="00542FF9"/>
    <w:rsid w:val="00553A0A"/>
    <w:rsid w:val="00571F3C"/>
    <w:rsid w:val="00580F97"/>
    <w:rsid w:val="00583F07"/>
    <w:rsid w:val="00590D1A"/>
    <w:rsid w:val="00592355"/>
    <w:rsid w:val="005B0982"/>
    <w:rsid w:val="005B21F7"/>
    <w:rsid w:val="005E3DFF"/>
    <w:rsid w:val="005E43A6"/>
    <w:rsid w:val="005F31E4"/>
    <w:rsid w:val="005F79DD"/>
    <w:rsid w:val="00601A1A"/>
    <w:rsid w:val="00624655"/>
    <w:rsid w:val="00634FC6"/>
    <w:rsid w:val="00637059"/>
    <w:rsid w:val="00655546"/>
    <w:rsid w:val="006639F4"/>
    <w:rsid w:val="00684570"/>
    <w:rsid w:val="00684E6A"/>
    <w:rsid w:val="00697C03"/>
    <w:rsid w:val="006A059B"/>
    <w:rsid w:val="006A2804"/>
    <w:rsid w:val="006A78A9"/>
    <w:rsid w:val="006C536B"/>
    <w:rsid w:val="006D301C"/>
    <w:rsid w:val="006E1E28"/>
    <w:rsid w:val="006E6A0D"/>
    <w:rsid w:val="00703DA0"/>
    <w:rsid w:val="00712E80"/>
    <w:rsid w:val="00730E81"/>
    <w:rsid w:val="00742C82"/>
    <w:rsid w:val="00787B3F"/>
    <w:rsid w:val="00792CDB"/>
    <w:rsid w:val="00793BE5"/>
    <w:rsid w:val="007955B0"/>
    <w:rsid w:val="007B57F2"/>
    <w:rsid w:val="007C3946"/>
    <w:rsid w:val="007C6A41"/>
    <w:rsid w:val="007D5B1F"/>
    <w:rsid w:val="007F2E86"/>
    <w:rsid w:val="0080203F"/>
    <w:rsid w:val="00802BB7"/>
    <w:rsid w:val="00831BAA"/>
    <w:rsid w:val="0084556B"/>
    <w:rsid w:val="00854648"/>
    <w:rsid w:val="00875506"/>
    <w:rsid w:val="008B584A"/>
    <w:rsid w:val="008C593B"/>
    <w:rsid w:val="008E04F1"/>
    <w:rsid w:val="00900F34"/>
    <w:rsid w:val="00912C76"/>
    <w:rsid w:val="0092525B"/>
    <w:rsid w:val="009531E9"/>
    <w:rsid w:val="00974B2B"/>
    <w:rsid w:val="00991906"/>
    <w:rsid w:val="009B2EEB"/>
    <w:rsid w:val="009B58A3"/>
    <w:rsid w:val="009E06A4"/>
    <w:rsid w:val="009F572D"/>
    <w:rsid w:val="009F59B6"/>
    <w:rsid w:val="00A13A2F"/>
    <w:rsid w:val="00A16034"/>
    <w:rsid w:val="00A219A4"/>
    <w:rsid w:val="00A31447"/>
    <w:rsid w:val="00A350AC"/>
    <w:rsid w:val="00A50BBE"/>
    <w:rsid w:val="00A52086"/>
    <w:rsid w:val="00A53984"/>
    <w:rsid w:val="00A71F0F"/>
    <w:rsid w:val="00A801C4"/>
    <w:rsid w:val="00A856B4"/>
    <w:rsid w:val="00AA4A11"/>
    <w:rsid w:val="00AC295A"/>
    <w:rsid w:val="00AC7E76"/>
    <w:rsid w:val="00B10D87"/>
    <w:rsid w:val="00B11255"/>
    <w:rsid w:val="00B1358F"/>
    <w:rsid w:val="00B339C9"/>
    <w:rsid w:val="00B3630C"/>
    <w:rsid w:val="00B7558D"/>
    <w:rsid w:val="00B83290"/>
    <w:rsid w:val="00BC5BC0"/>
    <w:rsid w:val="00BD33A3"/>
    <w:rsid w:val="00BD6FC5"/>
    <w:rsid w:val="00BE792D"/>
    <w:rsid w:val="00C22DC7"/>
    <w:rsid w:val="00C24498"/>
    <w:rsid w:val="00C3797A"/>
    <w:rsid w:val="00C839FB"/>
    <w:rsid w:val="00C85B9F"/>
    <w:rsid w:val="00CA178B"/>
    <w:rsid w:val="00CD217B"/>
    <w:rsid w:val="00D02280"/>
    <w:rsid w:val="00D24EFB"/>
    <w:rsid w:val="00D32153"/>
    <w:rsid w:val="00D341A9"/>
    <w:rsid w:val="00D36CA8"/>
    <w:rsid w:val="00D44EBE"/>
    <w:rsid w:val="00D46406"/>
    <w:rsid w:val="00D528E0"/>
    <w:rsid w:val="00D71D5E"/>
    <w:rsid w:val="00D76138"/>
    <w:rsid w:val="00D80C6B"/>
    <w:rsid w:val="00DA068D"/>
    <w:rsid w:val="00DA0FAD"/>
    <w:rsid w:val="00DF175A"/>
    <w:rsid w:val="00DF2679"/>
    <w:rsid w:val="00E03D9C"/>
    <w:rsid w:val="00E12018"/>
    <w:rsid w:val="00E21D77"/>
    <w:rsid w:val="00E2360C"/>
    <w:rsid w:val="00E427CC"/>
    <w:rsid w:val="00E510EB"/>
    <w:rsid w:val="00E64CC1"/>
    <w:rsid w:val="00E721A4"/>
    <w:rsid w:val="00E7342F"/>
    <w:rsid w:val="00E864E4"/>
    <w:rsid w:val="00EC6672"/>
    <w:rsid w:val="00ED003B"/>
    <w:rsid w:val="00EE1984"/>
    <w:rsid w:val="00EE65F3"/>
    <w:rsid w:val="00F22DD9"/>
    <w:rsid w:val="00F34312"/>
    <w:rsid w:val="00F418A1"/>
    <w:rsid w:val="00F46691"/>
    <w:rsid w:val="00FA1DF1"/>
    <w:rsid w:val="00FB7755"/>
    <w:rsid w:val="00FF7732"/>
    <w:rsid w:val="627F2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F2434"/>
  <w15:chartTrackingRefBased/>
  <w15:docId w15:val="{2DA5A487-76B2-4B22-BDC7-E11CC0FC1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0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55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5506"/>
    <w:rPr>
      <w:rFonts w:eastAsiaTheme="minorEastAsia"/>
      <w:lang w:val="en-US"/>
    </w:rPr>
  </w:style>
  <w:style w:type="character" w:customStyle="1" w:styleId="Heading1Char">
    <w:name w:val="Heading 1 Char"/>
    <w:basedOn w:val="DefaultParagraphFont"/>
    <w:link w:val="Heading1"/>
    <w:uiPriority w:val="9"/>
    <w:rsid w:val="00E120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2018"/>
    <w:pPr>
      <w:outlineLvl w:val="9"/>
    </w:pPr>
    <w:rPr>
      <w:lang w:val="en-US"/>
    </w:rPr>
  </w:style>
  <w:style w:type="paragraph" w:styleId="TOC1">
    <w:name w:val="toc 1"/>
    <w:basedOn w:val="Normal"/>
    <w:next w:val="Normal"/>
    <w:autoRedefine/>
    <w:uiPriority w:val="39"/>
    <w:unhideWhenUsed/>
    <w:rsid w:val="00684570"/>
    <w:pPr>
      <w:spacing w:after="100"/>
    </w:pPr>
  </w:style>
  <w:style w:type="character" w:styleId="Hyperlink">
    <w:name w:val="Hyperlink"/>
    <w:basedOn w:val="DefaultParagraphFont"/>
    <w:uiPriority w:val="99"/>
    <w:unhideWhenUsed/>
    <w:rsid w:val="006845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1A747C-6C85-423F-985A-8033FCD93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5</Pages>
  <Words>1489</Words>
  <Characters>8488</Characters>
  <Application>Microsoft Office Word</Application>
  <DocSecurity>0</DocSecurity>
  <Lines>70</Lines>
  <Paragraphs>19</Paragraphs>
  <ScaleCrop>false</ScaleCrop>
  <Company/>
  <LinksUpToDate>false</LinksUpToDate>
  <CharactersWithSpaces>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BMPL4009</dc:subject>
  <dc:creator>Jack Banner (2200212)</dc:creator>
  <cp:keywords/>
  <dc:description/>
  <cp:lastModifiedBy>Joe Webber</cp:lastModifiedBy>
  <cp:revision>194</cp:revision>
  <dcterms:created xsi:type="dcterms:W3CDTF">2023-04-28T13:17:00Z</dcterms:created>
  <dcterms:modified xsi:type="dcterms:W3CDTF">2023-05-04T11:40:00Z</dcterms:modified>
</cp:coreProperties>
</file>