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heme="minorHAnsi" w:hAnsi="Times New Roman"/>
          <w:color w:val="156082" w:themeColor="accent1"/>
          <w:kern w:val="2"/>
          <w:sz w:val="24"/>
          <w:lang w:val="en-IN"/>
          <w14:ligatures w14:val="standardContextual"/>
        </w:rPr>
        <w:id w:val="940494269"/>
        <w:docPartObj>
          <w:docPartGallery w:val="Cover Pages"/>
          <w:docPartUnique/>
        </w:docPartObj>
      </w:sdtPr>
      <w:sdtEndPr>
        <w:rPr>
          <w:color w:val="auto"/>
        </w:rPr>
      </w:sdtEndPr>
      <w:sdtContent>
        <w:p w14:paraId="2E2AA5CC" w14:textId="35D02268" w:rsidR="00181DC3" w:rsidRDefault="00181DC3">
          <w:pPr>
            <w:pStyle w:val="NoSpacing"/>
            <w:spacing w:before="1540" w:after="240"/>
            <w:jc w:val="center"/>
            <w:rPr>
              <w:color w:val="156082" w:themeColor="accent1"/>
            </w:rPr>
          </w:pPr>
          <w:r>
            <w:rPr>
              <w:noProof/>
              <w:color w:val="156082" w:themeColor="accent1"/>
            </w:rPr>
            <w:drawing>
              <wp:inline distT="0" distB="0" distL="0" distR="0" wp14:anchorId="73A32ABD" wp14:editId="73D3D1CD">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bCs/>
              <w:caps/>
              <w:color w:val="156082" w:themeColor="accent1"/>
              <w:sz w:val="72"/>
              <w:szCs w:val="72"/>
            </w:rPr>
            <w:alias w:val="Title"/>
            <w:tag w:val=""/>
            <w:id w:val="1735040861"/>
            <w:placeholder>
              <w:docPart w:val="CBF4C7379CDD45769178C66EF841D396"/>
            </w:placeholder>
            <w:dataBinding w:prefixMappings="xmlns:ns0='http://purl.org/dc/elements/1.1/' xmlns:ns1='http://schemas.openxmlformats.org/package/2006/metadata/core-properties' " w:xpath="/ns1:coreProperties[1]/ns0:title[1]" w:storeItemID="{6C3C8BC8-F283-45AE-878A-BAB7291924A1}"/>
            <w:text/>
          </w:sdtPr>
          <w:sdtContent>
            <w:p w14:paraId="352741C0" w14:textId="296EECF5" w:rsidR="00181DC3" w:rsidRDefault="008D4CB2" w:rsidP="00BE4E61">
              <w:pPr>
                <w:pStyle w:val="NoSpacing"/>
                <w:pBdr>
                  <w:top w:val="single" w:sz="6" w:space="6" w:color="156082" w:themeColor="accent1"/>
                  <w:bottom w:val="single" w:sz="6" w:space="1" w:color="156082" w:themeColor="accent1"/>
                </w:pBdr>
                <w:spacing w:after="240"/>
                <w:jc w:val="center"/>
                <w:rPr>
                  <w:rFonts w:asciiTheme="majorHAnsi" w:eastAsiaTheme="majorEastAsia" w:hAnsiTheme="majorHAnsi" w:cstheme="majorBidi"/>
                  <w:caps/>
                  <w:color w:val="156082" w:themeColor="accent1"/>
                  <w:sz w:val="80"/>
                  <w:szCs w:val="80"/>
                </w:rPr>
              </w:pPr>
              <w:r w:rsidRPr="008D4CB2">
                <w:rPr>
                  <w:rFonts w:asciiTheme="majorHAnsi" w:eastAsiaTheme="majorEastAsia" w:hAnsiTheme="majorHAnsi" w:cstheme="majorBidi"/>
                  <w:b/>
                  <w:bCs/>
                  <w:caps/>
                  <w:color w:val="156082" w:themeColor="accent1"/>
                  <w:sz w:val="72"/>
                  <w:szCs w:val="72"/>
                </w:rPr>
                <w:t>Financial Performance Analysis and Capital Investment Appraisal</w:t>
              </w:r>
            </w:p>
          </w:sdtContent>
        </w:sdt>
        <w:sdt>
          <w:sdtPr>
            <w:rPr>
              <w:b/>
              <w:bCs/>
              <w:color w:val="156082" w:themeColor="accent1"/>
              <w:sz w:val="28"/>
              <w:szCs w:val="28"/>
            </w:rPr>
            <w:alias w:val="Subtitle"/>
            <w:tag w:val=""/>
            <w:id w:val="328029620"/>
            <w:placeholder>
              <w:docPart w:val="D61C8D224FB04596ABC22E0AC64C3C1E"/>
            </w:placeholder>
            <w:dataBinding w:prefixMappings="xmlns:ns0='http://purl.org/dc/elements/1.1/' xmlns:ns1='http://schemas.openxmlformats.org/package/2006/metadata/core-properties' " w:xpath="/ns1:coreProperties[1]/ns0:subject[1]" w:storeItemID="{6C3C8BC8-F283-45AE-878A-BAB7291924A1}"/>
            <w:text/>
          </w:sdtPr>
          <w:sdtContent>
            <w:p w14:paraId="3E1236E5" w14:textId="4337C941" w:rsidR="00181DC3" w:rsidRPr="008D4CB2" w:rsidRDefault="008D4CB2">
              <w:pPr>
                <w:pStyle w:val="NoSpacing"/>
                <w:jc w:val="center"/>
                <w:rPr>
                  <w:b/>
                  <w:bCs/>
                  <w:color w:val="156082" w:themeColor="accent1"/>
                  <w:sz w:val="28"/>
                  <w:szCs w:val="28"/>
                </w:rPr>
              </w:pPr>
              <w:r w:rsidRPr="008D4CB2">
                <w:rPr>
                  <w:b/>
                  <w:bCs/>
                  <w:color w:val="156082" w:themeColor="accent1"/>
                  <w:sz w:val="28"/>
                  <w:szCs w:val="28"/>
                </w:rPr>
                <w:t>Finance for Business Managers (BMMB7005D) - Unilever PLC and Westward Plc</w:t>
              </w:r>
            </w:p>
          </w:sdtContent>
        </w:sdt>
        <w:p w14:paraId="5BD0C85B" w14:textId="571D1774" w:rsidR="00181DC3" w:rsidRDefault="00181DC3">
          <w:pPr>
            <w:pStyle w:val="NoSpacing"/>
            <w:spacing w:before="480"/>
            <w:jc w:val="center"/>
            <w:rPr>
              <w:color w:val="156082" w:themeColor="accent1"/>
            </w:rPr>
          </w:pPr>
        </w:p>
        <w:p w14:paraId="3AEDF79C" w14:textId="20E415C1" w:rsidR="00733008" w:rsidRPr="00952ECE" w:rsidRDefault="007A6E68" w:rsidP="00952ECE">
          <w:pPr>
            <w:pStyle w:val="NoSpacing"/>
            <w:rPr>
              <w:color w:val="156082" w:themeColor="accent1"/>
            </w:rPr>
          </w:pPr>
          <w:r>
            <w:rPr>
              <w:noProof/>
              <w:color w:val="156082" w:themeColor="accent1"/>
            </w:rPr>
            <mc:AlternateContent>
              <mc:Choice Requires="wps">
                <w:drawing>
                  <wp:anchor distT="0" distB="0" distL="114300" distR="114300" simplePos="0" relativeHeight="251658240" behindDoc="0" locked="0" layoutInCell="1" allowOverlap="1" wp14:anchorId="323896EF" wp14:editId="3E0E8BCD">
                    <wp:simplePos x="0" y="0"/>
                    <wp:positionH relativeFrom="column">
                      <wp:posOffset>-374592</wp:posOffset>
                    </wp:positionH>
                    <wp:positionV relativeFrom="paragraph">
                      <wp:posOffset>420254</wp:posOffset>
                    </wp:positionV>
                    <wp:extent cx="6553200" cy="967740"/>
                    <wp:effectExtent l="0" t="0" r="0" b="3810"/>
                    <wp:wrapSquare wrapText="bothSides"/>
                    <wp:docPr id="142" name="Text Box 146"/>
                    <wp:cNvGraphicFramePr/>
                    <a:graphic xmlns:a="http://schemas.openxmlformats.org/drawingml/2006/main">
                      <a:graphicData uri="http://schemas.microsoft.com/office/word/2010/wordprocessingShape">
                        <wps:wsp>
                          <wps:cNvSpPr txBox="1"/>
                          <wps:spPr>
                            <a:xfrm>
                              <a:off x="0" y="0"/>
                              <a:ext cx="6553200" cy="9677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1-12T00:00:00Z">
                                    <w:dateFormat w:val="MMMM d, yyyy"/>
                                    <w:lid w:val="en-US"/>
                                    <w:storeMappedDataAs w:val="dateTime"/>
                                    <w:calendar w:val="gregorian"/>
                                  </w:date>
                                </w:sdtPr>
                                <w:sdtContent>
                                  <w:p w14:paraId="24866D8F" w14:textId="00461EA1" w:rsidR="00181DC3" w:rsidRDefault="007A6E68">
                                    <w:pPr>
                                      <w:pStyle w:val="NoSpacing"/>
                                      <w:spacing w:after="40"/>
                                      <w:jc w:val="center"/>
                                      <w:rPr>
                                        <w:caps/>
                                        <w:color w:val="156082" w:themeColor="accent1"/>
                                        <w:sz w:val="28"/>
                                        <w:szCs w:val="28"/>
                                      </w:rPr>
                                    </w:pPr>
                                    <w:r>
                                      <w:rPr>
                                        <w:caps/>
                                        <w:color w:val="156082" w:themeColor="accent1"/>
                                        <w:sz w:val="28"/>
                                        <w:szCs w:val="28"/>
                                      </w:rPr>
                                      <w:t>January 12, 2026</w:t>
                                    </w:r>
                                  </w:p>
                                </w:sdtContent>
                              </w:sdt>
                              <w:p w14:paraId="73D8B993" w14:textId="02D400CD" w:rsidR="00733008" w:rsidRDefault="00000000" w:rsidP="00A24055">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952ECE">
                                      <w:rPr>
                                        <w:caps/>
                                        <w:color w:val="156082" w:themeColor="accent1"/>
                                      </w:rPr>
                                      <w:t xml:space="preserve">     </w:t>
                                    </w:r>
                                  </w:sdtContent>
                                </w:sdt>
                              </w:p>
                              <w:p w14:paraId="10C07481" w14:textId="06380F6F" w:rsidR="00952ECE" w:rsidRDefault="00952ECE" w:rsidP="00952ECE">
                                <w:pPr>
                                  <w:pStyle w:val="NoSpacing"/>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V relativeFrom="margin">
                      <wp14:pctHeight>0</wp14:pctHeight>
                    </wp14:sizeRelV>
                  </wp:anchor>
                </w:drawing>
              </mc:Choice>
              <mc:Fallback>
                <w:pict>
                  <v:shapetype w14:anchorId="323896EF" id="_x0000_t202" coordsize="21600,21600" o:spt="202" path="m,l,21600r21600,l21600,xe">
                    <v:stroke joinstyle="miter"/>
                    <v:path gradientshapeok="t" o:connecttype="rect"/>
                  </v:shapetype>
                  <v:shape id="Text Box 146" o:spid="_x0000_s1026" type="#_x0000_t202" style="position:absolute;margin-left:-29.5pt;margin-top:33.1pt;width:516pt;height:76.2pt;z-index:251658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" filled="f" stroked="f" strokeweight=".5pt">
                    <v:textbox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1-12T00:00:00Z">
                              <w:dateFormat w:val="MMMM d, yyyy"/>
                              <w:lid w:val="en-US"/>
                              <w:storeMappedDataAs w:val="dateTime"/>
                              <w:calendar w:val="gregorian"/>
                            </w:date>
                          </w:sdtPr>
                          <w:sdtContent>
                            <w:p w14:paraId="24866D8F" w14:textId="00461EA1" w:rsidR="00181DC3" w:rsidRDefault="007A6E68">
                              <w:pPr>
                                <w:pStyle w:val="NoSpacing"/>
                                <w:spacing w:after="40"/>
                                <w:jc w:val="center"/>
                                <w:rPr>
                                  <w:caps/>
                                  <w:color w:val="156082" w:themeColor="accent1"/>
                                  <w:sz w:val="28"/>
                                  <w:szCs w:val="28"/>
                                </w:rPr>
                              </w:pPr>
                              <w:r>
                                <w:rPr>
                                  <w:caps/>
                                  <w:color w:val="156082" w:themeColor="accent1"/>
                                  <w:sz w:val="28"/>
                                  <w:szCs w:val="28"/>
                                </w:rPr>
                                <w:t>January 12, 2026</w:t>
                              </w:r>
                            </w:p>
                          </w:sdtContent>
                        </w:sdt>
                        <w:p w14:paraId="73D8B993" w14:textId="02D400CD" w:rsidR="00733008" w:rsidRDefault="00000000" w:rsidP="00A24055">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952ECE">
                                <w:rPr>
                                  <w:caps/>
                                  <w:color w:val="156082" w:themeColor="accent1"/>
                                </w:rPr>
                                <w:t xml:space="preserve">     </w:t>
                              </w:r>
                            </w:sdtContent>
                          </w:sdt>
                        </w:p>
                        <w:p w14:paraId="10C07481" w14:textId="06380F6F" w:rsidR="00952ECE" w:rsidRDefault="00952ECE" w:rsidP="00952ECE">
                          <w:pPr>
                            <w:pStyle w:val="NoSpacing"/>
                            <w:rPr>
                              <w:color w:val="156082" w:themeColor="accent1"/>
                            </w:rPr>
                          </w:pPr>
                        </w:p>
                      </w:txbxContent>
                    </v:textbox>
                    <w10:wrap type="square"/>
                  </v:shape>
                </w:pict>
              </mc:Fallback>
            </mc:AlternateContent>
          </w:r>
          <w:r>
            <w:rPr>
              <w:noProof/>
              <w:color w:val="156082" w:themeColor="accent1"/>
            </w:rPr>
            <w:drawing>
              <wp:anchor distT="0" distB="0" distL="114300" distR="114300" simplePos="0" relativeHeight="251659264" behindDoc="0" locked="0" layoutInCell="1" allowOverlap="1" wp14:anchorId="674EB62E" wp14:editId="05BFFED2">
                <wp:simplePos x="0" y="0"/>
                <wp:positionH relativeFrom="margin">
                  <wp:align>center</wp:align>
                </wp:positionH>
                <wp:positionV relativeFrom="paragraph">
                  <wp:posOffset>3060065</wp:posOffset>
                </wp:positionV>
                <wp:extent cx="1110921" cy="701040"/>
                <wp:effectExtent l="0" t="0" r="0" b="3810"/>
                <wp:wrapNone/>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flipH="1">
                          <a:off x="0" y="0"/>
                          <a:ext cx="1110921" cy="701040"/>
                        </a:xfrm>
                        <a:prstGeom prst="rect">
                          <a:avLst/>
                        </a:prstGeom>
                      </pic:spPr>
                    </pic:pic>
                  </a:graphicData>
                </a:graphic>
              </wp:anchor>
            </w:drawing>
          </w:r>
          <w:r w:rsidR="00181DC3">
            <w:br w:type="page"/>
          </w:r>
          <w:sdt>
            <w:sdtPr>
              <w:rPr>
                <w:caps/>
                <w:color w:val="156082" w:themeColor="accent1"/>
              </w:rPr>
              <w:alias w:val="Company"/>
              <w:tag w:val=""/>
              <w:id w:val="1038858736"/>
              <w:showingPlcHdr/>
              <w:dataBinding w:prefixMappings="xmlns:ns0='http://schemas.openxmlformats.org/officeDocument/2006/extended-properties' " w:xpath="/ns0:Properties[1]/ns0:Company[1]" w:storeItemID="{6668398D-A668-4E3E-A5EB-62B293D839F1}"/>
              <w:text/>
            </w:sdtPr>
            <w:sdtContent>
              <w:r w:rsidR="00952ECE">
                <w:rPr>
                  <w:caps/>
                  <w:color w:val="156082" w:themeColor="accent1"/>
                </w:rPr>
                <w:t xml:space="preserve">     </w:t>
              </w:r>
            </w:sdtContent>
          </w:sdt>
        </w:p>
        <w:p w14:paraId="13068C10" w14:textId="263CE202" w:rsidR="00733008" w:rsidRDefault="00DB5A14" w:rsidP="00DB5A14">
          <w:pPr>
            <w:pStyle w:val="Heading1"/>
          </w:pPr>
          <w:bookmarkStart w:id="0" w:name="_Toc217483960"/>
          <w:r>
            <w:t>Executive Summary</w:t>
          </w:r>
          <w:bookmarkEnd w:id="0"/>
        </w:p>
        <w:p w14:paraId="657B15E8" w14:textId="77777777" w:rsidR="009B3AE4" w:rsidRPr="009B3AE4" w:rsidRDefault="009B3AE4" w:rsidP="009B3AE4">
          <w:r w:rsidRPr="009B3AE4">
            <w:t>The purpose of this report is to provide a comprehensive financial evaluation and strategic investment appraisal to support informed decision-making by senior management and directors. The report is structured in two distinct but complementary parts, addressing both historical financial performance and forward-looking investment decisions, in line with the principles of shareholder wealth maximisation and best practice in financial management.</w:t>
          </w:r>
        </w:p>
        <w:p w14:paraId="3E0450CE" w14:textId="77777777" w:rsidR="009B3AE4" w:rsidRPr="009B3AE4" w:rsidRDefault="009B3AE4" w:rsidP="009B3AE4">
          <w:r w:rsidRPr="009B3AE4">
            <w:rPr>
              <w:b/>
              <w:bCs/>
            </w:rPr>
            <w:t>Part 1</w:t>
          </w:r>
          <w:r w:rsidRPr="009B3AE4">
            <w:t xml:space="preserve"> presents a detailed financial performance analysis of </w:t>
          </w:r>
          <w:r w:rsidRPr="009B3AE4">
            <w:rPr>
              <w:b/>
              <w:bCs/>
            </w:rPr>
            <w:t>Unilever PLC</w:t>
          </w:r>
          <w:r w:rsidRPr="009B3AE4">
            <w:t>, a FTSE 100 listed company, over the financial years 2023 and 2024. Using a structured ratio analysis framework, the report evaluates profitability, liquidity, efficiency, gearing and investor performance. The analysis identifies a clear improvement in operating performance, with rising gross and operating margins and a strong return on capital employed, reflecting effective cost control and operational efficiency. However, the findings also highlight emerging challenges, including declining net income, reduced return on equity, tightening dividend cover and increasing leverage. Liquidity ratios remain weak in isolation, reflecting Unilever’s negative working capital model, while efficiency ratios indicate a modest deterioration in asset and working capital utilisation. Overall, the analysis concludes that while Unilever remains financially robust, continued focus on cash flow management, capital structure discipline and sustainable dividend policy is required to preserve long-term shareholder value.</w:t>
          </w:r>
        </w:p>
        <w:p w14:paraId="469CBB6A" w14:textId="77777777" w:rsidR="009B3AE4" w:rsidRPr="009B3AE4" w:rsidRDefault="009B3AE4" w:rsidP="009B3AE4">
          <w:r w:rsidRPr="009B3AE4">
            <w:rPr>
              <w:b/>
              <w:bCs/>
            </w:rPr>
            <w:t>Part 2</w:t>
          </w:r>
          <w:r w:rsidRPr="009B3AE4">
            <w:t xml:space="preserve"> focuses on </w:t>
          </w:r>
          <w:r w:rsidRPr="009B3AE4">
            <w:rPr>
              <w:b/>
              <w:bCs/>
            </w:rPr>
            <w:t>Westward Plc</w:t>
          </w:r>
          <w:r w:rsidRPr="009B3AE4">
            <w:t xml:space="preserve"> and evaluates three proposed four-year investment options using discounted cash flow techniques. Net Present Value (NPV) analysis demonstrates that all three projects are financially viable, generating positive NPVs at a cost of capital of 6%. Among the options, developing internet sales (Option B) produces the highest NPV and an estimated Internal Rate of Return (IRR) of approximately 27%, significantly exceeding the required rate of return. Under capital rationing conditions, with funds limited to £2.5 million and projects divisible, the optimal investment strategy is to fully undertake Options A and B and partially invest in Option C, resulting in a total NPV of approximately £1.85 million.</w:t>
          </w:r>
        </w:p>
        <w:p w14:paraId="32DDFFA6" w14:textId="65D108AB" w:rsidR="00181DC3" w:rsidRDefault="009B3AE4" w:rsidP="009B3AE4">
          <w:r w:rsidRPr="009B3AE4">
            <w:t xml:space="preserve">The report further interprets the results for management by justifying the theoretical superiority of NPV, explaining the continued managerial appeal of non-discounting methods, and identifying key qualitative factors influencing investment success. In conclusion, it is recommended that Westward Plc proceeds with the proposed investment programme, </w:t>
          </w:r>
          <w:r w:rsidRPr="009B3AE4">
            <w:lastRenderedPageBreak/>
            <w:t>prioritising Option B, and finances the programme through a balanced mix of retained earnings and moderate debt to support growth while maintaining financial resilience.</w:t>
          </w:r>
        </w:p>
      </w:sdtContent>
    </w:sdt>
    <w:sdt>
      <w:sdtPr>
        <w:rPr>
          <w:rFonts w:ascii="Times New Roman" w:eastAsiaTheme="minorHAnsi" w:hAnsi="Times New Roman" w:cstheme="minorBidi"/>
          <w:color w:val="auto"/>
          <w:kern w:val="2"/>
          <w:sz w:val="24"/>
          <w:szCs w:val="22"/>
          <w:lang w:val="en-IN"/>
          <w14:ligatures w14:val="standardContextual"/>
        </w:rPr>
        <w:id w:val="-95947685"/>
        <w:docPartObj>
          <w:docPartGallery w:val="Table of Contents"/>
          <w:docPartUnique/>
        </w:docPartObj>
      </w:sdtPr>
      <w:sdtEndPr>
        <w:rPr>
          <w:b/>
          <w:bCs/>
          <w:noProof/>
        </w:rPr>
      </w:sdtEndPr>
      <w:sdtContent>
        <w:p w14:paraId="65E6CD06" w14:textId="449F6B23" w:rsidR="00455DAD" w:rsidRPr="009B3AE4" w:rsidRDefault="00455DAD">
          <w:pPr>
            <w:pStyle w:val="TOCHeading"/>
            <w:rPr>
              <w:sz w:val="20"/>
              <w:szCs w:val="20"/>
            </w:rPr>
          </w:pPr>
          <w:r w:rsidRPr="009B3AE4">
            <w:rPr>
              <w:sz w:val="20"/>
              <w:szCs w:val="20"/>
            </w:rPr>
            <w:t>Table of Contents</w:t>
          </w:r>
        </w:p>
        <w:p w14:paraId="1CE6E9F9" w14:textId="4A070FB8" w:rsidR="009B3AE4" w:rsidRPr="009B3AE4" w:rsidRDefault="00455DAD">
          <w:pPr>
            <w:pStyle w:val="TOC1"/>
            <w:tabs>
              <w:tab w:val="right" w:leader="dot" w:pos="9016"/>
            </w:tabs>
            <w:rPr>
              <w:rFonts w:asciiTheme="minorHAnsi" w:eastAsiaTheme="minorEastAsia" w:hAnsiTheme="minorHAnsi"/>
              <w:noProof/>
              <w:sz w:val="20"/>
              <w:szCs w:val="20"/>
              <w:lang w:eastAsia="en-IN"/>
            </w:rPr>
          </w:pPr>
          <w:r w:rsidRPr="009B3AE4">
            <w:rPr>
              <w:sz w:val="16"/>
              <w:szCs w:val="14"/>
            </w:rPr>
            <w:fldChar w:fldCharType="begin"/>
          </w:r>
          <w:r w:rsidRPr="009B3AE4">
            <w:rPr>
              <w:sz w:val="16"/>
              <w:szCs w:val="14"/>
            </w:rPr>
            <w:instrText xml:space="preserve"> TOC \o "1-3" \h \z \u </w:instrText>
          </w:r>
          <w:r w:rsidRPr="009B3AE4">
            <w:rPr>
              <w:sz w:val="16"/>
              <w:szCs w:val="14"/>
            </w:rPr>
            <w:fldChar w:fldCharType="separate"/>
          </w:r>
          <w:hyperlink w:anchor="_Toc217483960" w:history="1">
            <w:r w:rsidR="009B3AE4" w:rsidRPr="009B3AE4">
              <w:rPr>
                <w:rStyle w:val="Hyperlink"/>
                <w:noProof/>
                <w:sz w:val="20"/>
                <w:szCs w:val="18"/>
              </w:rPr>
              <w:t>Executive Summary</w:t>
            </w:r>
            <w:r w:rsidR="009B3AE4" w:rsidRPr="009B3AE4">
              <w:rPr>
                <w:noProof/>
                <w:webHidden/>
                <w:sz w:val="20"/>
                <w:szCs w:val="18"/>
              </w:rPr>
              <w:tab/>
            </w:r>
            <w:r w:rsidR="009B3AE4" w:rsidRPr="009B3AE4">
              <w:rPr>
                <w:noProof/>
                <w:webHidden/>
                <w:sz w:val="20"/>
                <w:szCs w:val="18"/>
              </w:rPr>
              <w:fldChar w:fldCharType="begin"/>
            </w:r>
            <w:r w:rsidR="009B3AE4" w:rsidRPr="009B3AE4">
              <w:rPr>
                <w:noProof/>
                <w:webHidden/>
                <w:sz w:val="20"/>
                <w:szCs w:val="18"/>
              </w:rPr>
              <w:instrText xml:space="preserve"> PAGEREF _Toc217483960 \h </w:instrText>
            </w:r>
            <w:r w:rsidR="009B3AE4" w:rsidRPr="009B3AE4">
              <w:rPr>
                <w:noProof/>
                <w:webHidden/>
                <w:sz w:val="20"/>
                <w:szCs w:val="18"/>
              </w:rPr>
            </w:r>
            <w:r w:rsidR="009B3AE4" w:rsidRPr="009B3AE4">
              <w:rPr>
                <w:noProof/>
                <w:webHidden/>
                <w:sz w:val="20"/>
                <w:szCs w:val="18"/>
              </w:rPr>
              <w:fldChar w:fldCharType="separate"/>
            </w:r>
            <w:r w:rsidR="009B3AE4">
              <w:rPr>
                <w:noProof/>
                <w:webHidden/>
                <w:sz w:val="20"/>
                <w:szCs w:val="18"/>
              </w:rPr>
              <w:t>1</w:t>
            </w:r>
            <w:r w:rsidR="009B3AE4" w:rsidRPr="009B3AE4">
              <w:rPr>
                <w:noProof/>
                <w:webHidden/>
                <w:sz w:val="20"/>
                <w:szCs w:val="18"/>
              </w:rPr>
              <w:fldChar w:fldCharType="end"/>
            </w:r>
          </w:hyperlink>
        </w:p>
        <w:p w14:paraId="61AAA3FC" w14:textId="7F598FCB" w:rsidR="009B3AE4" w:rsidRPr="009B3AE4" w:rsidRDefault="009B3AE4">
          <w:pPr>
            <w:pStyle w:val="TOC1"/>
            <w:tabs>
              <w:tab w:val="right" w:leader="dot" w:pos="9016"/>
            </w:tabs>
            <w:rPr>
              <w:rFonts w:asciiTheme="minorHAnsi" w:eastAsiaTheme="minorEastAsia" w:hAnsiTheme="minorHAnsi"/>
              <w:noProof/>
              <w:sz w:val="20"/>
              <w:szCs w:val="20"/>
              <w:lang w:eastAsia="en-IN"/>
            </w:rPr>
          </w:pPr>
          <w:hyperlink w:anchor="_Toc217483961" w:history="1">
            <w:r w:rsidRPr="009B3AE4">
              <w:rPr>
                <w:rStyle w:val="Hyperlink"/>
                <w:noProof/>
                <w:sz w:val="20"/>
                <w:szCs w:val="18"/>
                <w:lang w:val="en-US"/>
              </w:rPr>
              <w:t xml:space="preserve">Part 1 - </w:t>
            </w:r>
            <w:r w:rsidRPr="009B3AE4">
              <w:rPr>
                <w:rStyle w:val="Hyperlink"/>
                <w:noProof/>
                <w:sz w:val="20"/>
                <w:szCs w:val="18"/>
              </w:rPr>
              <w:t>Financial Performance Analysis of Unilever PLC (2022–2023)</w:t>
            </w:r>
            <w:r w:rsidRPr="009B3AE4">
              <w:rPr>
                <w:noProof/>
                <w:webHidden/>
                <w:sz w:val="20"/>
                <w:szCs w:val="18"/>
              </w:rPr>
              <w:tab/>
            </w:r>
            <w:r w:rsidRPr="009B3AE4">
              <w:rPr>
                <w:noProof/>
                <w:webHidden/>
                <w:sz w:val="20"/>
                <w:szCs w:val="18"/>
              </w:rPr>
              <w:fldChar w:fldCharType="begin"/>
            </w:r>
            <w:r w:rsidRPr="009B3AE4">
              <w:rPr>
                <w:noProof/>
                <w:webHidden/>
                <w:sz w:val="20"/>
                <w:szCs w:val="18"/>
              </w:rPr>
              <w:instrText xml:space="preserve"> PAGEREF _Toc217483961 \h </w:instrText>
            </w:r>
            <w:r w:rsidRPr="009B3AE4">
              <w:rPr>
                <w:noProof/>
                <w:webHidden/>
                <w:sz w:val="20"/>
                <w:szCs w:val="18"/>
              </w:rPr>
            </w:r>
            <w:r w:rsidRPr="009B3AE4">
              <w:rPr>
                <w:noProof/>
                <w:webHidden/>
                <w:sz w:val="20"/>
                <w:szCs w:val="18"/>
              </w:rPr>
              <w:fldChar w:fldCharType="separate"/>
            </w:r>
            <w:r>
              <w:rPr>
                <w:noProof/>
                <w:webHidden/>
                <w:sz w:val="20"/>
                <w:szCs w:val="18"/>
              </w:rPr>
              <w:t>3</w:t>
            </w:r>
            <w:r w:rsidRPr="009B3AE4">
              <w:rPr>
                <w:noProof/>
                <w:webHidden/>
                <w:sz w:val="20"/>
                <w:szCs w:val="18"/>
              </w:rPr>
              <w:fldChar w:fldCharType="end"/>
            </w:r>
          </w:hyperlink>
        </w:p>
        <w:p w14:paraId="6A61F308" w14:textId="3A558FA9" w:rsidR="009B3AE4" w:rsidRPr="009B3AE4" w:rsidRDefault="009B3AE4">
          <w:pPr>
            <w:pStyle w:val="TOC2"/>
            <w:tabs>
              <w:tab w:val="right" w:leader="dot" w:pos="9016"/>
            </w:tabs>
            <w:rPr>
              <w:rFonts w:asciiTheme="minorHAnsi" w:eastAsiaTheme="minorEastAsia" w:hAnsiTheme="minorHAnsi"/>
              <w:noProof/>
              <w:sz w:val="20"/>
              <w:szCs w:val="20"/>
              <w:lang w:eastAsia="en-IN"/>
            </w:rPr>
          </w:pPr>
          <w:hyperlink w:anchor="_Toc217483962" w:history="1">
            <w:r w:rsidRPr="009B3AE4">
              <w:rPr>
                <w:rStyle w:val="Hyperlink"/>
                <w:noProof/>
                <w:sz w:val="20"/>
                <w:szCs w:val="18"/>
              </w:rPr>
              <w:t>1. Introduction</w:t>
            </w:r>
            <w:r w:rsidRPr="009B3AE4">
              <w:rPr>
                <w:noProof/>
                <w:webHidden/>
                <w:sz w:val="20"/>
                <w:szCs w:val="18"/>
              </w:rPr>
              <w:tab/>
            </w:r>
            <w:r w:rsidRPr="009B3AE4">
              <w:rPr>
                <w:noProof/>
                <w:webHidden/>
                <w:sz w:val="20"/>
                <w:szCs w:val="18"/>
              </w:rPr>
              <w:fldChar w:fldCharType="begin"/>
            </w:r>
            <w:r w:rsidRPr="009B3AE4">
              <w:rPr>
                <w:noProof/>
                <w:webHidden/>
                <w:sz w:val="20"/>
                <w:szCs w:val="18"/>
              </w:rPr>
              <w:instrText xml:space="preserve"> PAGEREF _Toc217483962 \h </w:instrText>
            </w:r>
            <w:r w:rsidRPr="009B3AE4">
              <w:rPr>
                <w:noProof/>
                <w:webHidden/>
                <w:sz w:val="20"/>
                <w:szCs w:val="18"/>
              </w:rPr>
            </w:r>
            <w:r w:rsidRPr="009B3AE4">
              <w:rPr>
                <w:noProof/>
                <w:webHidden/>
                <w:sz w:val="20"/>
                <w:szCs w:val="18"/>
              </w:rPr>
              <w:fldChar w:fldCharType="separate"/>
            </w:r>
            <w:r>
              <w:rPr>
                <w:noProof/>
                <w:webHidden/>
                <w:sz w:val="20"/>
                <w:szCs w:val="18"/>
              </w:rPr>
              <w:t>3</w:t>
            </w:r>
            <w:r w:rsidRPr="009B3AE4">
              <w:rPr>
                <w:noProof/>
                <w:webHidden/>
                <w:sz w:val="20"/>
                <w:szCs w:val="18"/>
              </w:rPr>
              <w:fldChar w:fldCharType="end"/>
            </w:r>
          </w:hyperlink>
        </w:p>
        <w:p w14:paraId="4AB556BE" w14:textId="4AE6D508" w:rsidR="009B3AE4" w:rsidRPr="009B3AE4" w:rsidRDefault="009B3AE4">
          <w:pPr>
            <w:pStyle w:val="TOC2"/>
            <w:tabs>
              <w:tab w:val="right" w:leader="dot" w:pos="9016"/>
            </w:tabs>
            <w:rPr>
              <w:rFonts w:asciiTheme="minorHAnsi" w:eastAsiaTheme="minorEastAsia" w:hAnsiTheme="minorHAnsi"/>
              <w:noProof/>
              <w:sz w:val="20"/>
              <w:szCs w:val="20"/>
              <w:lang w:eastAsia="en-IN"/>
            </w:rPr>
          </w:pPr>
          <w:hyperlink w:anchor="_Toc217483963" w:history="1">
            <w:r w:rsidRPr="009B3AE4">
              <w:rPr>
                <w:rStyle w:val="Hyperlink"/>
                <w:noProof/>
                <w:sz w:val="20"/>
                <w:szCs w:val="18"/>
              </w:rPr>
              <w:t>2. Methodology and Literature Context</w:t>
            </w:r>
            <w:r w:rsidRPr="009B3AE4">
              <w:rPr>
                <w:noProof/>
                <w:webHidden/>
                <w:sz w:val="20"/>
                <w:szCs w:val="18"/>
              </w:rPr>
              <w:tab/>
            </w:r>
            <w:r w:rsidRPr="009B3AE4">
              <w:rPr>
                <w:noProof/>
                <w:webHidden/>
                <w:sz w:val="20"/>
                <w:szCs w:val="18"/>
              </w:rPr>
              <w:fldChar w:fldCharType="begin"/>
            </w:r>
            <w:r w:rsidRPr="009B3AE4">
              <w:rPr>
                <w:noProof/>
                <w:webHidden/>
                <w:sz w:val="20"/>
                <w:szCs w:val="18"/>
              </w:rPr>
              <w:instrText xml:space="preserve"> PAGEREF _Toc217483963 \h </w:instrText>
            </w:r>
            <w:r w:rsidRPr="009B3AE4">
              <w:rPr>
                <w:noProof/>
                <w:webHidden/>
                <w:sz w:val="20"/>
                <w:szCs w:val="18"/>
              </w:rPr>
            </w:r>
            <w:r w:rsidRPr="009B3AE4">
              <w:rPr>
                <w:noProof/>
                <w:webHidden/>
                <w:sz w:val="20"/>
                <w:szCs w:val="18"/>
              </w:rPr>
              <w:fldChar w:fldCharType="separate"/>
            </w:r>
            <w:r>
              <w:rPr>
                <w:noProof/>
                <w:webHidden/>
                <w:sz w:val="20"/>
                <w:szCs w:val="18"/>
              </w:rPr>
              <w:t>4</w:t>
            </w:r>
            <w:r w:rsidRPr="009B3AE4">
              <w:rPr>
                <w:noProof/>
                <w:webHidden/>
                <w:sz w:val="20"/>
                <w:szCs w:val="18"/>
              </w:rPr>
              <w:fldChar w:fldCharType="end"/>
            </w:r>
          </w:hyperlink>
        </w:p>
        <w:p w14:paraId="29CD92E3" w14:textId="284B23ED" w:rsidR="009B3AE4" w:rsidRPr="009B3AE4" w:rsidRDefault="009B3AE4">
          <w:pPr>
            <w:pStyle w:val="TOC2"/>
            <w:tabs>
              <w:tab w:val="right" w:leader="dot" w:pos="9016"/>
            </w:tabs>
            <w:rPr>
              <w:rFonts w:asciiTheme="minorHAnsi" w:eastAsiaTheme="minorEastAsia" w:hAnsiTheme="minorHAnsi"/>
              <w:noProof/>
              <w:sz w:val="20"/>
              <w:szCs w:val="20"/>
              <w:lang w:eastAsia="en-IN"/>
            </w:rPr>
          </w:pPr>
          <w:hyperlink w:anchor="_Toc217483964" w:history="1">
            <w:r w:rsidRPr="009B3AE4">
              <w:rPr>
                <w:rStyle w:val="Hyperlink"/>
                <w:noProof/>
                <w:sz w:val="20"/>
                <w:szCs w:val="18"/>
              </w:rPr>
              <w:t>3. Profitability Analysis</w:t>
            </w:r>
            <w:r w:rsidRPr="009B3AE4">
              <w:rPr>
                <w:noProof/>
                <w:webHidden/>
                <w:sz w:val="20"/>
                <w:szCs w:val="18"/>
              </w:rPr>
              <w:tab/>
            </w:r>
            <w:r w:rsidRPr="009B3AE4">
              <w:rPr>
                <w:noProof/>
                <w:webHidden/>
                <w:sz w:val="20"/>
                <w:szCs w:val="18"/>
              </w:rPr>
              <w:fldChar w:fldCharType="begin"/>
            </w:r>
            <w:r w:rsidRPr="009B3AE4">
              <w:rPr>
                <w:noProof/>
                <w:webHidden/>
                <w:sz w:val="20"/>
                <w:szCs w:val="18"/>
              </w:rPr>
              <w:instrText xml:space="preserve"> PAGEREF _Toc217483964 \h </w:instrText>
            </w:r>
            <w:r w:rsidRPr="009B3AE4">
              <w:rPr>
                <w:noProof/>
                <w:webHidden/>
                <w:sz w:val="20"/>
                <w:szCs w:val="18"/>
              </w:rPr>
            </w:r>
            <w:r w:rsidRPr="009B3AE4">
              <w:rPr>
                <w:noProof/>
                <w:webHidden/>
                <w:sz w:val="20"/>
                <w:szCs w:val="18"/>
              </w:rPr>
              <w:fldChar w:fldCharType="separate"/>
            </w:r>
            <w:r>
              <w:rPr>
                <w:noProof/>
                <w:webHidden/>
                <w:sz w:val="20"/>
                <w:szCs w:val="18"/>
              </w:rPr>
              <w:t>5</w:t>
            </w:r>
            <w:r w:rsidRPr="009B3AE4">
              <w:rPr>
                <w:noProof/>
                <w:webHidden/>
                <w:sz w:val="20"/>
                <w:szCs w:val="18"/>
              </w:rPr>
              <w:fldChar w:fldCharType="end"/>
            </w:r>
          </w:hyperlink>
        </w:p>
        <w:p w14:paraId="4E88DC77" w14:textId="5F5DEFC7" w:rsidR="009B3AE4" w:rsidRPr="009B3AE4" w:rsidRDefault="009B3AE4">
          <w:pPr>
            <w:pStyle w:val="TOC2"/>
            <w:tabs>
              <w:tab w:val="right" w:leader="dot" w:pos="9016"/>
            </w:tabs>
            <w:rPr>
              <w:rFonts w:asciiTheme="minorHAnsi" w:eastAsiaTheme="minorEastAsia" w:hAnsiTheme="minorHAnsi"/>
              <w:noProof/>
              <w:sz w:val="20"/>
              <w:szCs w:val="20"/>
              <w:lang w:eastAsia="en-IN"/>
            </w:rPr>
          </w:pPr>
          <w:hyperlink w:anchor="_Toc217483965" w:history="1">
            <w:r w:rsidRPr="009B3AE4">
              <w:rPr>
                <w:rStyle w:val="Hyperlink"/>
                <w:noProof/>
                <w:sz w:val="20"/>
                <w:szCs w:val="18"/>
              </w:rPr>
              <w:t>4. Liquidity Analysis</w:t>
            </w:r>
            <w:r w:rsidRPr="009B3AE4">
              <w:rPr>
                <w:noProof/>
                <w:webHidden/>
                <w:sz w:val="20"/>
                <w:szCs w:val="18"/>
              </w:rPr>
              <w:tab/>
            </w:r>
            <w:r w:rsidRPr="009B3AE4">
              <w:rPr>
                <w:noProof/>
                <w:webHidden/>
                <w:sz w:val="20"/>
                <w:szCs w:val="18"/>
              </w:rPr>
              <w:fldChar w:fldCharType="begin"/>
            </w:r>
            <w:r w:rsidRPr="009B3AE4">
              <w:rPr>
                <w:noProof/>
                <w:webHidden/>
                <w:sz w:val="20"/>
                <w:szCs w:val="18"/>
              </w:rPr>
              <w:instrText xml:space="preserve"> PAGEREF _Toc217483965 \h </w:instrText>
            </w:r>
            <w:r w:rsidRPr="009B3AE4">
              <w:rPr>
                <w:noProof/>
                <w:webHidden/>
                <w:sz w:val="20"/>
                <w:szCs w:val="18"/>
              </w:rPr>
            </w:r>
            <w:r w:rsidRPr="009B3AE4">
              <w:rPr>
                <w:noProof/>
                <w:webHidden/>
                <w:sz w:val="20"/>
                <w:szCs w:val="18"/>
              </w:rPr>
              <w:fldChar w:fldCharType="separate"/>
            </w:r>
            <w:r>
              <w:rPr>
                <w:noProof/>
                <w:webHidden/>
                <w:sz w:val="20"/>
                <w:szCs w:val="18"/>
              </w:rPr>
              <w:t>7</w:t>
            </w:r>
            <w:r w:rsidRPr="009B3AE4">
              <w:rPr>
                <w:noProof/>
                <w:webHidden/>
                <w:sz w:val="20"/>
                <w:szCs w:val="18"/>
              </w:rPr>
              <w:fldChar w:fldCharType="end"/>
            </w:r>
          </w:hyperlink>
        </w:p>
        <w:p w14:paraId="737E9E70" w14:textId="5A428D8A" w:rsidR="009B3AE4" w:rsidRPr="009B3AE4" w:rsidRDefault="009B3AE4">
          <w:pPr>
            <w:pStyle w:val="TOC2"/>
            <w:tabs>
              <w:tab w:val="right" w:leader="dot" w:pos="9016"/>
            </w:tabs>
            <w:rPr>
              <w:rFonts w:asciiTheme="minorHAnsi" w:eastAsiaTheme="minorEastAsia" w:hAnsiTheme="minorHAnsi"/>
              <w:noProof/>
              <w:sz w:val="20"/>
              <w:szCs w:val="20"/>
              <w:lang w:eastAsia="en-IN"/>
            </w:rPr>
          </w:pPr>
          <w:hyperlink w:anchor="_Toc217483966" w:history="1">
            <w:r w:rsidRPr="009B3AE4">
              <w:rPr>
                <w:rStyle w:val="Hyperlink"/>
                <w:noProof/>
                <w:sz w:val="20"/>
                <w:szCs w:val="18"/>
              </w:rPr>
              <w:t>5. Efficiency Analysis</w:t>
            </w:r>
            <w:r w:rsidRPr="009B3AE4">
              <w:rPr>
                <w:noProof/>
                <w:webHidden/>
                <w:sz w:val="20"/>
                <w:szCs w:val="18"/>
              </w:rPr>
              <w:tab/>
            </w:r>
            <w:r w:rsidRPr="009B3AE4">
              <w:rPr>
                <w:noProof/>
                <w:webHidden/>
                <w:sz w:val="20"/>
                <w:szCs w:val="18"/>
              </w:rPr>
              <w:fldChar w:fldCharType="begin"/>
            </w:r>
            <w:r w:rsidRPr="009B3AE4">
              <w:rPr>
                <w:noProof/>
                <w:webHidden/>
                <w:sz w:val="20"/>
                <w:szCs w:val="18"/>
              </w:rPr>
              <w:instrText xml:space="preserve"> PAGEREF _Toc217483966 \h </w:instrText>
            </w:r>
            <w:r w:rsidRPr="009B3AE4">
              <w:rPr>
                <w:noProof/>
                <w:webHidden/>
                <w:sz w:val="20"/>
                <w:szCs w:val="18"/>
              </w:rPr>
            </w:r>
            <w:r w:rsidRPr="009B3AE4">
              <w:rPr>
                <w:noProof/>
                <w:webHidden/>
                <w:sz w:val="20"/>
                <w:szCs w:val="18"/>
              </w:rPr>
              <w:fldChar w:fldCharType="separate"/>
            </w:r>
            <w:r>
              <w:rPr>
                <w:noProof/>
                <w:webHidden/>
                <w:sz w:val="20"/>
                <w:szCs w:val="18"/>
              </w:rPr>
              <w:t>8</w:t>
            </w:r>
            <w:r w:rsidRPr="009B3AE4">
              <w:rPr>
                <w:noProof/>
                <w:webHidden/>
                <w:sz w:val="20"/>
                <w:szCs w:val="18"/>
              </w:rPr>
              <w:fldChar w:fldCharType="end"/>
            </w:r>
          </w:hyperlink>
        </w:p>
        <w:p w14:paraId="5B912D64" w14:textId="262B0674" w:rsidR="009B3AE4" w:rsidRPr="009B3AE4" w:rsidRDefault="009B3AE4">
          <w:pPr>
            <w:pStyle w:val="TOC2"/>
            <w:tabs>
              <w:tab w:val="right" w:leader="dot" w:pos="9016"/>
            </w:tabs>
            <w:rPr>
              <w:rFonts w:asciiTheme="minorHAnsi" w:eastAsiaTheme="minorEastAsia" w:hAnsiTheme="minorHAnsi"/>
              <w:noProof/>
              <w:sz w:val="20"/>
              <w:szCs w:val="20"/>
              <w:lang w:eastAsia="en-IN"/>
            </w:rPr>
          </w:pPr>
          <w:hyperlink w:anchor="_Toc217483967" w:history="1">
            <w:r w:rsidRPr="009B3AE4">
              <w:rPr>
                <w:rStyle w:val="Hyperlink"/>
                <w:noProof/>
                <w:sz w:val="20"/>
                <w:szCs w:val="18"/>
              </w:rPr>
              <w:t>6. Gearing and Capital Structure</w:t>
            </w:r>
            <w:r w:rsidRPr="009B3AE4">
              <w:rPr>
                <w:noProof/>
                <w:webHidden/>
                <w:sz w:val="20"/>
                <w:szCs w:val="18"/>
              </w:rPr>
              <w:tab/>
            </w:r>
            <w:r w:rsidRPr="009B3AE4">
              <w:rPr>
                <w:noProof/>
                <w:webHidden/>
                <w:sz w:val="20"/>
                <w:szCs w:val="18"/>
              </w:rPr>
              <w:fldChar w:fldCharType="begin"/>
            </w:r>
            <w:r w:rsidRPr="009B3AE4">
              <w:rPr>
                <w:noProof/>
                <w:webHidden/>
                <w:sz w:val="20"/>
                <w:szCs w:val="18"/>
              </w:rPr>
              <w:instrText xml:space="preserve"> PAGEREF _Toc217483967 \h </w:instrText>
            </w:r>
            <w:r w:rsidRPr="009B3AE4">
              <w:rPr>
                <w:noProof/>
                <w:webHidden/>
                <w:sz w:val="20"/>
                <w:szCs w:val="18"/>
              </w:rPr>
            </w:r>
            <w:r w:rsidRPr="009B3AE4">
              <w:rPr>
                <w:noProof/>
                <w:webHidden/>
                <w:sz w:val="20"/>
                <w:szCs w:val="18"/>
              </w:rPr>
              <w:fldChar w:fldCharType="separate"/>
            </w:r>
            <w:r>
              <w:rPr>
                <w:noProof/>
                <w:webHidden/>
                <w:sz w:val="20"/>
                <w:szCs w:val="18"/>
              </w:rPr>
              <w:t>10</w:t>
            </w:r>
            <w:r w:rsidRPr="009B3AE4">
              <w:rPr>
                <w:noProof/>
                <w:webHidden/>
                <w:sz w:val="20"/>
                <w:szCs w:val="18"/>
              </w:rPr>
              <w:fldChar w:fldCharType="end"/>
            </w:r>
          </w:hyperlink>
        </w:p>
        <w:p w14:paraId="6B873529" w14:textId="272593DB" w:rsidR="009B3AE4" w:rsidRPr="009B3AE4" w:rsidRDefault="009B3AE4">
          <w:pPr>
            <w:pStyle w:val="TOC2"/>
            <w:tabs>
              <w:tab w:val="right" w:leader="dot" w:pos="9016"/>
            </w:tabs>
            <w:rPr>
              <w:rFonts w:asciiTheme="minorHAnsi" w:eastAsiaTheme="minorEastAsia" w:hAnsiTheme="minorHAnsi"/>
              <w:noProof/>
              <w:sz w:val="20"/>
              <w:szCs w:val="20"/>
              <w:lang w:eastAsia="en-IN"/>
            </w:rPr>
          </w:pPr>
          <w:hyperlink w:anchor="_Toc217483968" w:history="1">
            <w:r w:rsidRPr="009B3AE4">
              <w:rPr>
                <w:rStyle w:val="Hyperlink"/>
                <w:noProof/>
                <w:sz w:val="20"/>
                <w:szCs w:val="18"/>
              </w:rPr>
              <w:t>7. Investor Ratios</w:t>
            </w:r>
            <w:r w:rsidRPr="009B3AE4">
              <w:rPr>
                <w:noProof/>
                <w:webHidden/>
                <w:sz w:val="20"/>
                <w:szCs w:val="18"/>
              </w:rPr>
              <w:tab/>
            </w:r>
            <w:r w:rsidRPr="009B3AE4">
              <w:rPr>
                <w:noProof/>
                <w:webHidden/>
                <w:sz w:val="20"/>
                <w:szCs w:val="18"/>
              </w:rPr>
              <w:fldChar w:fldCharType="begin"/>
            </w:r>
            <w:r w:rsidRPr="009B3AE4">
              <w:rPr>
                <w:noProof/>
                <w:webHidden/>
                <w:sz w:val="20"/>
                <w:szCs w:val="18"/>
              </w:rPr>
              <w:instrText xml:space="preserve"> PAGEREF _Toc217483968 \h </w:instrText>
            </w:r>
            <w:r w:rsidRPr="009B3AE4">
              <w:rPr>
                <w:noProof/>
                <w:webHidden/>
                <w:sz w:val="20"/>
                <w:szCs w:val="18"/>
              </w:rPr>
            </w:r>
            <w:r w:rsidRPr="009B3AE4">
              <w:rPr>
                <w:noProof/>
                <w:webHidden/>
                <w:sz w:val="20"/>
                <w:szCs w:val="18"/>
              </w:rPr>
              <w:fldChar w:fldCharType="separate"/>
            </w:r>
            <w:r>
              <w:rPr>
                <w:noProof/>
                <w:webHidden/>
                <w:sz w:val="20"/>
                <w:szCs w:val="18"/>
              </w:rPr>
              <w:t>11</w:t>
            </w:r>
            <w:r w:rsidRPr="009B3AE4">
              <w:rPr>
                <w:noProof/>
                <w:webHidden/>
                <w:sz w:val="20"/>
                <w:szCs w:val="18"/>
              </w:rPr>
              <w:fldChar w:fldCharType="end"/>
            </w:r>
          </w:hyperlink>
        </w:p>
        <w:p w14:paraId="3D0F4BF3" w14:textId="690B6580" w:rsidR="009B3AE4" w:rsidRPr="009B3AE4" w:rsidRDefault="009B3AE4">
          <w:pPr>
            <w:pStyle w:val="TOC2"/>
            <w:tabs>
              <w:tab w:val="right" w:leader="dot" w:pos="9016"/>
            </w:tabs>
            <w:rPr>
              <w:rFonts w:asciiTheme="minorHAnsi" w:eastAsiaTheme="minorEastAsia" w:hAnsiTheme="minorHAnsi"/>
              <w:noProof/>
              <w:sz w:val="20"/>
              <w:szCs w:val="20"/>
              <w:lang w:eastAsia="en-IN"/>
            </w:rPr>
          </w:pPr>
          <w:hyperlink w:anchor="_Toc217483969" w:history="1">
            <w:r w:rsidRPr="009B3AE4">
              <w:rPr>
                <w:rStyle w:val="Hyperlink"/>
                <w:noProof/>
                <w:sz w:val="20"/>
                <w:szCs w:val="18"/>
              </w:rPr>
              <w:t>8. Limitations of Ratio Analysis</w:t>
            </w:r>
            <w:r w:rsidRPr="009B3AE4">
              <w:rPr>
                <w:noProof/>
                <w:webHidden/>
                <w:sz w:val="20"/>
                <w:szCs w:val="18"/>
              </w:rPr>
              <w:tab/>
            </w:r>
            <w:r w:rsidRPr="009B3AE4">
              <w:rPr>
                <w:noProof/>
                <w:webHidden/>
                <w:sz w:val="20"/>
                <w:szCs w:val="18"/>
              </w:rPr>
              <w:fldChar w:fldCharType="begin"/>
            </w:r>
            <w:r w:rsidRPr="009B3AE4">
              <w:rPr>
                <w:noProof/>
                <w:webHidden/>
                <w:sz w:val="20"/>
                <w:szCs w:val="18"/>
              </w:rPr>
              <w:instrText xml:space="preserve"> PAGEREF _Toc217483969 \h </w:instrText>
            </w:r>
            <w:r w:rsidRPr="009B3AE4">
              <w:rPr>
                <w:noProof/>
                <w:webHidden/>
                <w:sz w:val="20"/>
                <w:szCs w:val="18"/>
              </w:rPr>
            </w:r>
            <w:r w:rsidRPr="009B3AE4">
              <w:rPr>
                <w:noProof/>
                <w:webHidden/>
                <w:sz w:val="20"/>
                <w:szCs w:val="18"/>
              </w:rPr>
              <w:fldChar w:fldCharType="separate"/>
            </w:r>
            <w:r>
              <w:rPr>
                <w:noProof/>
                <w:webHidden/>
                <w:sz w:val="20"/>
                <w:szCs w:val="18"/>
              </w:rPr>
              <w:t>12</w:t>
            </w:r>
            <w:r w:rsidRPr="009B3AE4">
              <w:rPr>
                <w:noProof/>
                <w:webHidden/>
                <w:sz w:val="20"/>
                <w:szCs w:val="18"/>
              </w:rPr>
              <w:fldChar w:fldCharType="end"/>
            </w:r>
          </w:hyperlink>
        </w:p>
        <w:p w14:paraId="0EE16C0B" w14:textId="7913665F" w:rsidR="009B3AE4" w:rsidRPr="009B3AE4" w:rsidRDefault="009B3AE4">
          <w:pPr>
            <w:pStyle w:val="TOC2"/>
            <w:tabs>
              <w:tab w:val="right" w:leader="dot" w:pos="9016"/>
            </w:tabs>
            <w:rPr>
              <w:rFonts w:asciiTheme="minorHAnsi" w:eastAsiaTheme="minorEastAsia" w:hAnsiTheme="minorHAnsi"/>
              <w:noProof/>
              <w:sz w:val="20"/>
              <w:szCs w:val="20"/>
              <w:lang w:eastAsia="en-IN"/>
            </w:rPr>
          </w:pPr>
          <w:hyperlink w:anchor="_Toc217483970" w:history="1">
            <w:r w:rsidRPr="009B3AE4">
              <w:rPr>
                <w:rStyle w:val="Hyperlink"/>
                <w:noProof/>
                <w:sz w:val="20"/>
                <w:szCs w:val="18"/>
              </w:rPr>
              <w:t>9. Recommendations to the Board</w:t>
            </w:r>
            <w:r w:rsidRPr="009B3AE4">
              <w:rPr>
                <w:noProof/>
                <w:webHidden/>
                <w:sz w:val="20"/>
                <w:szCs w:val="18"/>
              </w:rPr>
              <w:tab/>
            </w:r>
            <w:r w:rsidRPr="009B3AE4">
              <w:rPr>
                <w:noProof/>
                <w:webHidden/>
                <w:sz w:val="20"/>
                <w:szCs w:val="18"/>
              </w:rPr>
              <w:fldChar w:fldCharType="begin"/>
            </w:r>
            <w:r w:rsidRPr="009B3AE4">
              <w:rPr>
                <w:noProof/>
                <w:webHidden/>
                <w:sz w:val="20"/>
                <w:szCs w:val="18"/>
              </w:rPr>
              <w:instrText xml:space="preserve"> PAGEREF _Toc217483970 \h </w:instrText>
            </w:r>
            <w:r w:rsidRPr="009B3AE4">
              <w:rPr>
                <w:noProof/>
                <w:webHidden/>
                <w:sz w:val="20"/>
                <w:szCs w:val="18"/>
              </w:rPr>
            </w:r>
            <w:r w:rsidRPr="009B3AE4">
              <w:rPr>
                <w:noProof/>
                <w:webHidden/>
                <w:sz w:val="20"/>
                <w:szCs w:val="18"/>
              </w:rPr>
              <w:fldChar w:fldCharType="separate"/>
            </w:r>
            <w:r>
              <w:rPr>
                <w:noProof/>
                <w:webHidden/>
                <w:sz w:val="20"/>
                <w:szCs w:val="18"/>
              </w:rPr>
              <w:t>13</w:t>
            </w:r>
            <w:r w:rsidRPr="009B3AE4">
              <w:rPr>
                <w:noProof/>
                <w:webHidden/>
                <w:sz w:val="20"/>
                <w:szCs w:val="18"/>
              </w:rPr>
              <w:fldChar w:fldCharType="end"/>
            </w:r>
          </w:hyperlink>
        </w:p>
        <w:p w14:paraId="78FA8F66" w14:textId="7C9213CF" w:rsidR="009B3AE4" w:rsidRPr="009B3AE4" w:rsidRDefault="009B3AE4">
          <w:pPr>
            <w:pStyle w:val="TOC2"/>
            <w:tabs>
              <w:tab w:val="right" w:leader="dot" w:pos="9016"/>
            </w:tabs>
            <w:rPr>
              <w:rFonts w:asciiTheme="minorHAnsi" w:eastAsiaTheme="minorEastAsia" w:hAnsiTheme="minorHAnsi"/>
              <w:noProof/>
              <w:sz w:val="20"/>
              <w:szCs w:val="20"/>
              <w:lang w:eastAsia="en-IN"/>
            </w:rPr>
          </w:pPr>
          <w:hyperlink w:anchor="_Toc217483971" w:history="1">
            <w:r w:rsidRPr="009B3AE4">
              <w:rPr>
                <w:rStyle w:val="Hyperlink"/>
                <w:noProof/>
                <w:sz w:val="20"/>
                <w:szCs w:val="18"/>
              </w:rPr>
              <w:t>Conclusion</w:t>
            </w:r>
            <w:r w:rsidRPr="009B3AE4">
              <w:rPr>
                <w:noProof/>
                <w:webHidden/>
                <w:sz w:val="20"/>
                <w:szCs w:val="18"/>
              </w:rPr>
              <w:tab/>
            </w:r>
            <w:r w:rsidRPr="009B3AE4">
              <w:rPr>
                <w:noProof/>
                <w:webHidden/>
                <w:sz w:val="20"/>
                <w:szCs w:val="18"/>
              </w:rPr>
              <w:fldChar w:fldCharType="begin"/>
            </w:r>
            <w:r w:rsidRPr="009B3AE4">
              <w:rPr>
                <w:noProof/>
                <w:webHidden/>
                <w:sz w:val="20"/>
                <w:szCs w:val="18"/>
              </w:rPr>
              <w:instrText xml:space="preserve"> PAGEREF _Toc217483971 \h </w:instrText>
            </w:r>
            <w:r w:rsidRPr="009B3AE4">
              <w:rPr>
                <w:noProof/>
                <w:webHidden/>
                <w:sz w:val="20"/>
                <w:szCs w:val="18"/>
              </w:rPr>
            </w:r>
            <w:r w:rsidRPr="009B3AE4">
              <w:rPr>
                <w:noProof/>
                <w:webHidden/>
                <w:sz w:val="20"/>
                <w:szCs w:val="18"/>
              </w:rPr>
              <w:fldChar w:fldCharType="separate"/>
            </w:r>
            <w:r>
              <w:rPr>
                <w:noProof/>
                <w:webHidden/>
                <w:sz w:val="20"/>
                <w:szCs w:val="18"/>
              </w:rPr>
              <w:t>14</w:t>
            </w:r>
            <w:r w:rsidRPr="009B3AE4">
              <w:rPr>
                <w:noProof/>
                <w:webHidden/>
                <w:sz w:val="20"/>
                <w:szCs w:val="18"/>
              </w:rPr>
              <w:fldChar w:fldCharType="end"/>
            </w:r>
          </w:hyperlink>
        </w:p>
        <w:p w14:paraId="3F5C3F1B" w14:textId="55C1067A" w:rsidR="009B3AE4" w:rsidRPr="009B3AE4" w:rsidRDefault="009B3AE4">
          <w:pPr>
            <w:pStyle w:val="TOC1"/>
            <w:tabs>
              <w:tab w:val="right" w:leader="dot" w:pos="9016"/>
            </w:tabs>
            <w:rPr>
              <w:rFonts w:asciiTheme="minorHAnsi" w:eastAsiaTheme="minorEastAsia" w:hAnsiTheme="minorHAnsi"/>
              <w:noProof/>
              <w:sz w:val="20"/>
              <w:szCs w:val="20"/>
              <w:lang w:eastAsia="en-IN"/>
            </w:rPr>
          </w:pPr>
          <w:hyperlink w:anchor="_Toc217483972" w:history="1">
            <w:r w:rsidRPr="009B3AE4">
              <w:rPr>
                <w:rStyle w:val="Hyperlink"/>
                <w:noProof/>
                <w:sz w:val="20"/>
                <w:szCs w:val="18"/>
              </w:rPr>
              <w:t>Part 2 – Capital Investment Appraisal Report</w:t>
            </w:r>
            <w:r w:rsidRPr="009B3AE4">
              <w:rPr>
                <w:noProof/>
                <w:webHidden/>
                <w:sz w:val="20"/>
                <w:szCs w:val="18"/>
              </w:rPr>
              <w:tab/>
            </w:r>
            <w:r w:rsidRPr="009B3AE4">
              <w:rPr>
                <w:noProof/>
                <w:webHidden/>
                <w:sz w:val="20"/>
                <w:szCs w:val="18"/>
              </w:rPr>
              <w:fldChar w:fldCharType="begin"/>
            </w:r>
            <w:r w:rsidRPr="009B3AE4">
              <w:rPr>
                <w:noProof/>
                <w:webHidden/>
                <w:sz w:val="20"/>
                <w:szCs w:val="18"/>
              </w:rPr>
              <w:instrText xml:space="preserve"> PAGEREF _Toc217483972 \h </w:instrText>
            </w:r>
            <w:r w:rsidRPr="009B3AE4">
              <w:rPr>
                <w:noProof/>
                <w:webHidden/>
                <w:sz w:val="20"/>
                <w:szCs w:val="18"/>
              </w:rPr>
            </w:r>
            <w:r w:rsidRPr="009B3AE4">
              <w:rPr>
                <w:noProof/>
                <w:webHidden/>
                <w:sz w:val="20"/>
                <w:szCs w:val="18"/>
              </w:rPr>
              <w:fldChar w:fldCharType="separate"/>
            </w:r>
            <w:r>
              <w:rPr>
                <w:noProof/>
                <w:webHidden/>
                <w:sz w:val="20"/>
                <w:szCs w:val="18"/>
              </w:rPr>
              <w:t>16</w:t>
            </w:r>
            <w:r w:rsidRPr="009B3AE4">
              <w:rPr>
                <w:noProof/>
                <w:webHidden/>
                <w:sz w:val="20"/>
                <w:szCs w:val="18"/>
              </w:rPr>
              <w:fldChar w:fldCharType="end"/>
            </w:r>
          </w:hyperlink>
        </w:p>
        <w:p w14:paraId="50EDBCCF" w14:textId="63DD2CE7" w:rsidR="009B3AE4" w:rsidRPr="009B3AE4" w:rsidRDefault="009B3AE4">
          <w:pPr>
            <w:pStyle w:val="TOC2"/>
            <w:tabs>
              <w:tab w:val="right" w:leader="dot" w:pos="9016"/>
            </w:tabs>
            <w:rPr>
              <w:rFonts w:asciiTheme="minorHAnsi" w:eastAsiaTheme="minorEastAsia" w:hAnsiTheme="minorHAnsi"/>
              <w:noProof/>
              <w:sz w:val="20"/>
              <w:szCs w:val="20"/>
              <w:lang w:eastAsia="en-IN"/>
            </w:rPr>
          </w:pPr>
          <w:hyperlink w:anchor="_Toc217483973" w:history="1">
            <w:r w:rsidRPr="009B3AE4">
              <w:rPr>
                <w:rStyle w:val="Hyperlink"/>
                <w:noProof/>
                <w:sz w:val="20"/>
                <w:szCs w:val="18"/>
              </w:rPr>
              <w:t>1. Introduction</w:t>
            </w:r>
            <w:r w:rsidRPr="009B3AE4">
              <w:rPr>
                <w:noProof/>
                <w:webHidden/>
                <w:sz w:val="20"/>
                <w:szCs w:val="18"/>
              </w:rPr>
              <w:tab/>
            </w:r>
            <w:r w:rsidRPr="009B3AE4">
              <w:rPr>
                <w:noProof/>
                <w:webHidden/>
                <w:sz w:val="20"/>
                <w:szCs w:val="18"/>
              </w:rPr>
              <w:fldChar w:fldCharType="begin"/>
            </w:r>
            <w:r w:rsidRPr="009B3AE4">
              <w:rPr>
                <w:noProof/>
                <w:webHidden/>
                <w:sz w:val="20"/>
                <w:szCs w:val="18"/>
              </w:rPr>
              <w:instrText xml:space="preserve"> PAGEREF _Toc217483973 \h </w:instrText>
            </w:r>
            <w:r w:rsidRPr="009B3AE4">
              <w:rPr>
                <w:noProof/>
                <w:webHidden/>
                <w:sz w:val="20"/>
                <w:szCs w:val="18"/>
              </w:rPr>
            </w:r>
            <w:r w:rsidRPr="009B3AE4">
              <w:rPr>
                <w:noProof/>
                <w:webHidden/>
                <w:sz w:val="20"/>
                <w:szCs w:val="18"/>
              </w:rPr>
              <w:fldChar w:fldCharType="separate"/>
            </w:r>
            <w:r>
              <w:rPr>
                <w:noProof/>
                <w:webHidden/>
                <w:sz w:val="20"/>
                <w:szCs w:val="18"/>
              </w:rPr>
              <w:t>16</w:t>
            </w:r>
            <w:r w:rsidRPr="009B3AE4">
              <w:rPr>
                <w:noProof/>
                <w:webHidden/>
                <w:sz w:val="20"/>
                <w:szCs w:val="18"/>
              </w:rPr>
              <w:fldChar w:fldCharType="end"/>
            </w:r>
          </w:hyperlink>
        </w:p>
        <w:p w14:paraId="4B712E69" w14:textId="0EA87A78" w:rsidR="009B3AE4" w:rsidRPr="009B3AE4" w:rsidRDefault="009B3AE4">
          <w:pPr>
            <w:pStyle w:val="TOC2"/>
            <w:tabs>
              <w:tab w:val="right" w:leader="dot" w:pos="9016"/>
            </w:tabs>
            <w:rPr>
              <w:rFonts w:asciiTheme="minorHAnsi" w:eastAsiaTheme="minorEastAsia" w:hAnsiTheme="minorHAnsi"/>
              <w:noProof/>
              <w:sz w:val="20"/>
              <w:szCs w:val="20"/>
              <w:lang w:eastAsia="en-IN"/>
            </w:rPr>
          </w:pPr>
          <w:hyperlink w:anchor="_Toc217483974" w:history="1">
            <w:r w:rsidRPr="009B3AE4">
              <w:rPr>
                <w:rStyle w:val="Hyperlink"/>
                <w:noProof/>
                <w:sz w:val="20"/>
                <w:szCs w:val="18"/>
              </w:rPr>
              <w:t>2. Investment Appraisal Methodology</w:t>
            </w:r>
            <w:r w:rsidRPr="009B3AE4">
              <w:rPr>
                <w:noProof/>
                <w:webHidden/>
                <w:sz w:val="20"/>
                <w:szCs w:val="18"/>
              </w:rPr>
              <w:tab/>
            </w:r>
            <w:r w:rsidRPr="009B3AE4">
              <w:rPr>
                <w:noProof/>
                <w:webHidden/>
                <w:sz w:val="20"/>
                <w:szCs w:val="18"/>
              </w:rPr>
              <w:fldChar w:fldCharType="begin"/>
            </w:r>
            <w:r w:rsidRPr="009B3AE4">
              <w:rPr>
                <w:noProof/>
                <w:webHidden/>
                <w:sz w:val="20"/>
                <w:szCs w:val="18"/>
              </w:rPr>
              <w:instrText xml:space="preserve"> PAGEREF _Toc217483974 \h </w:instrText>
            </w:r>
            <w:r w:rsidRPr="009B3AE4">
              <w:rPr>
                <w:noProof/>
                <w:webHidden/>
                <w:sz w:val="20"/>
                <w:szCs w:val="18"/>
              </w:rPr>
            </w:r>
            <w:r w:rsidRPr="009B3AE4">
              <w:rPr>
                <w:noProof/>
                <w:webHidden/>
                <w:sz w:val="20"/>
                <w:szCs w:val="18"/>
              </w:rPr>
              <w:fldChar w:fldCharType="separate"/>
            </w:r>
            <w:r>
              <w:rPr>
                <w:noProof/>
                <w:webHidden/>
                <w:sz w:val="20"/>
                <w:szCs w:val="18"/>
              </w:rPr>
              <w:t>17</w:t>
            </w:r>
            <w:r w:rsidRPr="009B3AE4">
              <w:rPr>
                <w:noProof/>
                <w:webHidden/>
                <w:sz w:val="20"/>
                <w:szCs w:val="18"/>
              </w:rPr>
              <w:fldChar w:fldCharType="end"/>
            </w:r>
          </w:hyperlink>
        </w:p>
        <w:p w14:paraId="500E4A7C" w14:textId="6E49788B" w:rsidR="009B3AE4" w:rsidRPr="009B3AE4" w:rsidRDefault="009B3AE4">
          <w:pPr>
            <w:pStyle w:val="TOC2"/>
            <w:tabs>
              <w:tab w:val="right" w:leader="dot" w:pos="9016"/>
            </w:tabs>
            <w:rPr>
              <w:rFonts w:asciiTheme="minorHAnsi" w:eastAsiaTheme="minorEastAsia" w:hAnsiTheme="minorHAnsi"/>
              <w:noProof/>
              <w:sz w:val="20"/>
              <w:szCs w:val="20"/>
              <w:lang w:eastAsia="en-IN"/>
            </w:rPr>
          </w:pPr>
          <w:hyperlink w:anchor="_Toc217483975" w:history="1">
            <w:r w:rsidRPr="009B3AE4">
              <w:rPr>
                <w:rStyle w:val="Hyperlink"/>
                <w:noProof/>
                <w:sz w:val="20"/>
                <w:szCs w:val="18"/>
              </w:rPr>
              <w:t>3. Evaluation of Investment Options (Net Present Value Analysis)</w:t>
            </w:r>
            <w:r w:rsidRPr="009B3AE4">
              <w:rPr>
                <w:noProof/>
                <w:webHidden/>
                <w:sz w:val="20"/>
                <w:szCs w:val="18"/>
              </w:rPr>
              <w:tab/>
            </w:r>
            <w:r w:rsidRPr="009B3AE4">
              <w:rPr>
                <w:noProof/>
                <w:webHidden/>
                <w:sz w:val="20"/>
                <w:szCs w:val="18"/>
              </w:rPr>
              <w:fldChar w:fldCharType="begin"/>
            </w:r>
            <w:r w:rsidRPr="009B3AE4">
              <w:rPr>
                <w:noProof/>
                <w:webHidden/>
                <w:sz w:val="20"/>
                <w:szCs w:val="18"/>
              </w:rPr>
              <w:instrText xml:space="preserve"> PAGEREF _Toc217483975 \h </w:instrText>
            </w:r>
            <w:r w:rsidRPr="009B3AE4">
              <w:rPr>
                <w:noProof/>
                <w:webHidden/>
                <w:sz w:val="20"/>
                <w:szCs w:val="18"/>
              </w:rPr>
            </w:r>
            <w:r w:rsidRPr="009B3AE4">
              <w:rPr>
                <w:noProof/>
                <w:webHidden/>
                <w:sz w:val="20"/>
                <w:szCs w:val="18"/>
              </w:rPr>
              <w:fldChar w:fldCharType="separate"/>
            </w:r>
            <w:r>
              <w:rPr>
                <w:noProof/>
                <w:webHidden/>
                <w:sz w:val="20"/>
                <w:szCs w:val="18"/>
              </w:rPr>
              <w:t>18</w:t>
            </w:r>
            <w:r w:rsidRPr="009B3AE4">
              <w:rPr>
                <w:noProof/>
                <w:webHidden/>
                <w:sz w:val="20"/>
                <w:szCs w:val="18"/>
              </w:rPr>
              <w:fldChar w:fldCharType="end"/>
            </w:r>
          </w:hyperlink>
        </w:p>
        <w:p w14:paraId="4F4C56CE" w14:textId="58002E7B" w:rsidR="009B3AE4" w:rsidRPr="009B3AE4" w:rsidRDefault="009B3AE4">
          <w:pPr>
            <w:pStyle w:val="TOC2"/>
            <w:tabs>
              <w:tab w:val="right" w:leader="dot" w:pos="9016"/>
            </w:tabs>
            <w:rPr>
              <w:rFonts w:asciiTheme="minorHAnsi" w:eastAsiaTheme="minorEastAsia" w:hAnsiTheme="minorHAnsi"/>
              <w:noProof/>
              <w:sz w:val="20"/>
              <w:szCs w:val="20"/>
              <w:lang w:eastAsia="en-IN"/>
            </w:rPr>
          </w:pPr>
          <w:hyperlink w:anchor="_Toc217483976" w:history="1">
            <w:r w:rsidRPr="009B3AE4">
              <w:rPr>
                <w:rStyle w:val="Hyperlink"/>
                <w:noProof/>
                <w:sz w:val="20"/>
                <w:szCs w:val="18"/>
              </w:rPr>
              <w:t>4. Internal Rate of Return (IRR) Analysis</w:t>
            </w:r>
            <w:r w:rsidRPr="009B3AE4">
              <w:rPr>
                <w:noProof/>
                <w:webHidden/>
                <w:sz w:val="20"/>
                <w:szCs w:val="18"/>
              </w:rPr>
              <w:tab/>
            </w:r>
            <w:r w:rsidRPr="009B3AE4">
              <w:rPr>
                <w:noProof/>
                <w:webHidden/>
                <w:sz w:val="20"/>
                <w:szCs w:val="18"/>
              </w:rPr>
              <w:fldChar w:fldCharType="begin"/>
            </w:r>
            <w:r w:rsidRPr="009B3AE4">
              <w:rPr>
                <w:noProof/>
                <w:webHidden/>
                <w:sz w:val="20"/>
                <w:szCs w:val="18"/>
              </w:rPr>
              <w:instrText xml:space="preserve"> PAGEREF _Toc217483976 \h </w:instrText>
            </w:r>
            <w:r w:rsidRPr="009B3AE4">
              <w:rPr>
                <w:noProof/>
                <w:webHidden/>
                <w:sz w:val="20"/>
                <w:szCs w:val="18"/>
              </w:rPr>
            </w:r>
            <w:r w:rsidRPr="009B3AE4">
              <w:rPr>
                <w:noProof/>
                <w:webHidden/>
                <w:sz w:val="20"/>
                <w:szCs w:val="18"/>
              </w:rPr>
              <w:fldChar w:fldCharType="separate"/>
            </w:r>
            <w:r>
              <w:rPr>
                <w:noProof/>
                <w:webHidden/>
                <w:sz w:val="20"/>
                <w:szCs w:val="18"/>
              </w:rPr>
              <w:t>21</w:t>
            </w:r>
            <w:r w:rsidRPr="009B3AE4">
              <w:rPr>
                <w:noProof/>
                <w:webHidden/>
                <w:sz w:val="20"/>
                <w:szCs w:val="18"/>
              </w:rPr>
              <w:fldChar w:fldCharType="end"/>
            </w:r>
          </w:hyperlink>
        </w:p>
        <w:p w14:paraId="3EAAFBEC" w14:textId="297B677F" w:rsidR="009B3AE4" w:rsidRPr="009B3AE4" w:rsidRDefault="009B3AE4">
          <w:pPr>
            <w:pStyle w:val="TOC2"/>
            <w:tabs>
              <w:tab w:val="right" w:leader="dot" w:pos="9016"/>
            </w:tabs>
            <w:rPr>
              <w:rFonts w:asciiTheme="minorHAnsi" w:eastAsiaTheme="minorEastAsia" w:hAnsiTheme="minorHAnsi"/>
              <w:noProof/>
              <w:sz w:val="20"/>
              <w:szCs w:val="20"/>
              <w:lang w:eastAsia="en-IN"/>
            </w:rPr>
          </w:pPr>
          <w:hyperlink w:anchor="_Toc217483977" w:history="1">
            <w:r w:rsidRPr="009B3AE4">
              <w:rPr>
                <w:rStyle w:val="Hyperlink"/>
                <w:noProof/>
                <w:sz w:val="20"/>
                <w:szCs w:val="18"/>
              </w:rPr>
              <w:t>5. Interpretation for Management</w:t>
            </w:r>
            <w:r w:rsidRPr="009B3AE4">
              <w:rPr>
                <w:noProof/>
                <w:webHidden/>
                <w:sz w:val="20"/>
                <w:szCs w:val="18"/>
              </w:rPr>
              <w:tab/>
            </w:r>
            <w:r w:rsidRPr="009B3AE4">
              <w:rPr>
                <w:noProof/>
                <w:webHidden/>
                <w:sz w:val="20"/>
                <w:szCs w:val="18"/>
              </w:rPr>
              <w:fldChar w:fldCharType="begin"/>
            </w:r>
            <w:r w:rsidRPr="009B3AE4">
              <w:rPr>
                <w:noProof/>
                <w:webHidden/>
                <w:sz w:val="20"/>
                <w:szCs w:val="18"/>
              </w:rPr>
              <w:instrText xml:space="preserve"> PAGEREF _Toc217483977 \h </w:instrText>
            </w:r>
            <w:r w:rsidRPr="009B3AE4">
              <w:rPr>
                <w:noProof/>
                <w:webHidden/>
                <w:sz w:val="20"/>
                <w:szCs w:val="18"/>
              </w:rPr>
            </w:r>
            <w:r w:rsidRPr="009B3AE4">
              <w:rPr>
                <w:noProof/>
                <w:webHidden/>
                <w:sz w:val="20"/>
                <w:szCs w:val="18"/>
              </w:rPr>
              <w:fldChar w:fldCharType="separate"/>
            </w:r>
            <w:r>
              <w:rPr>
                <w:noProof/>
                <w:webHidden/>
                <w:sz w:val="20"/>
                <w:szCs w:val="18"/>
              </w:rPr>
              <w:t>22</w:t>
            </w:r>
            <w:r w:rsidRPr="009B3AE4">
              <w:rPr>
                <w:noProof/>
                <w:webHidden/>
                <w:sz w:val="20"/>
                <w:szCs w:val="18"/>
              </w:rPr>
              <w:fldChar w:fldCharType="end"/>
            </w:r>
          </w:hyperlink>
        </w:p>
        <w:p w14:paraId="408F5378" w14:textId="33812E02" w:rsidR="009B3AE4" w:rsidRPr="009B3AE4" w:rsidRDefault="009B3AE4">
          <w:pPr>
            <w:pStyle w:val="TOC2"/>
            <w:tabs>
              <w:tab w:val="right" w:leader="dot" w:pos="9016"/>
            </w:tabs>
            <w:rPr>
              <w:rFonts w:asciiTheme="minorHAnsi" w:eastAsiaTheme="minorEastAsia" w:hAnsiTheme="minorHAnsi"/>
              <w:noProof/>
              <w:sz w:val="20"/>
              <w:szCs w:val="20"/>
              <w:lang w:eastAsia="en-IN"/>
            </w:rPr>
          </w:pPr>
          <w:hyperlink w:anchor="_Toc217483978" w:history="1">
            <w:r w:rsidRPr="009B3AE4">
              <w:rPr>
                <w:rStyle w:val="Hyperlink"/>
                <w:noProof/>
                <w:sz w:val="20"/>
                <w:szCs w:val="18"/>
              </w:rPr>
              <w:t>6. Qualitative Factors in Investment Decisions</w:t>
            </w:r>
            <w:r w:rsidRPr="009B3AE4">
              <w:rPr>
                <w:noProof/>
                <w:webHidden/>
                <w:sz w:val="20"/>
                <w:szCs w:val="18"/>
              </w:rPr>
              <w:tab/>
            </w:r>
            <w:r w:rsidRPr="009B3AE4">
              <w:rPr>
                <w:noProof/>
                <w:webHidden/>
                <w:sz w:val="20"/>
                <w:szCs w:val="18"/>
              </w:rPr>
              <w:fldChar w:fldCharType="begin"/>
            </w:r>
            <w:r w:rsidRPr="009B3AE4">
              <w:rPr>
                <w:noProof/>
                <w:webHidden/>
                <w:sz w:val="20"/>
                <w:szCs w:val="18"/>
              </w:rPr>
              <w:instrText xml:space="preserve"> PAGEREF _Toc217483978 \h </w:instrText>
            </w:r>
            <w:r w:rsidRPr="009B3AE4">
              <w:rPr>
                <w:noProof/>
                <w:webHidden/>
                <w:sz w:val="20"/>
                <w:szCs w:val="18"/>
              </w:rPr>
            </w:r>
            <w:r w:rsidRPr="009B3AE4">
              <w:rPr>
                <w:noProof/>
                <w:webHidden/>
                <w:sz w:val="20"/>
                <w:szCs w:val="18"/>
              </w:rPr>
              <w:fldChar w:fldCharType="separate"/>
            </w:r>
            <w:r>
              <w:rPr>
                <w:noProof/>
                <w:webHidden/>
                <w:sz w:val="20"/>
                <w:szCs w:val="18"/>
              </w:rPr>
              <w:t>24</w:t>
            </w:r>
            <w:r w:rsidRPr="009B3AE4">
              <w:rPr>
                <w:noProof/>
                <w:webHidden/>
                <w:sz w:val="20"/>
                <w:szCs w:val="18"/>
              </w:rPr>
              <w:fldChar w:fldCharType="end"/>
            </w:r>
          </w:hyperlink>
        </w:p>
        <w:p w14:paraId="5581E80D" w14:textId="00E85B45" w:rsidR="009B3AE4" w:rsidRPr="009B3AE4" w:rsidRDefault="009B3AE4">
          <w:pPr>
            <w:pStyle w:val="TOC2"/>
            <w:tabs>
              <w:tab w:val="right" w:leader="dot" w:pos="9016"/>
            </w:tabs>
            <w:rPr>
              <w:rFonts w:asciiTheme="minorHAnsi" w:eastAsiaTheme="minorEastAsia" w:hAnsiTheme="minorHAnsi"/>
              <w:noProof/>
              <w:sz w:val="20"/>
              <w:szCs w:val="20"/>
              <w:lang w:eastAsia="en-IN"/>
            </w:rPr>
          </w:pPr>
          <w:hyperlink w:anchor="_Toc217483979" w:history="1">
            <w:r w:rsidRPr="009B3AE4">
              <w:rPr>
                <w:rStyle w:val="Hyperlink"/>
                <w:noProof/>
                <w:sz w:val="20"/>
                <w:szCs w:val="18"/>
              </w:rPr>
              <w:t>7. Capital Rationing Analysis</w:t>
            </w:r>
            <w:r w:rsidRPr="009B3AE4">
              <w:rPr>
                <w:noProof/>
                <w:webHidden/>
                <w:sz w:val="20"/>
                <w:szCs w:val="18"/>
              </w:rPr>
              <w:tab/>
            </w:r>
            <w:r w:rsidRPr="009B3AE4">
              <w:rPr>
                <w:noProof/>
                <w:webHidden/>
                <w:sz w:val="20"/>
                <w:szCs w:val="18"/>
              </w:rPr>
              <w:fldChar w:fldCharType="begin"/>
            </w:r>
            <w:r w:rsidRPr="009B3AE4">
              <w:rPr>
                <w:noProof/>
                <w:webHidden/>
                <w:sz w:val="20"/>
                <w:szCs w:val="18"/>
              </w:rPr>
              <w:instrText xml:space="preserve"> PAGEREF _Toc217483979 \h </w:instrText>
            </w:r>
            <w:r w:rsidRPr="009B3AE4">
              <w:rPr>
                <w:noProof/>
                <w:webHidden/>
                <w:sz w:val="20"/>
                <w:szCs w:val="18"/>
              </w:rPr>
            </w:r>
            <w:r w:rsidRPr="009B3AE4">
              <w:rPr>
                <w:noProof/>
                <w:webHidden/>
                <w:sz w:val="20"/>
                <w:szCs w:val="18"/>
              </w:rPr>
              <w:fldChar w:fldCharType="separate"/>
            </w:r>
            <w:r>
              <w:rPr>
                <w:noProof/>
                <w:webHidden/>
                <w:sz w:val="20"/>
                <w:szCs w:val="18"/>
              </w:rPr>
              <w:t>25</w:t>
            </w:r>
            <w:r w:rsidRPr="009B3AE4">
              <w:rPr>
                <w:noProof/>
                <w:webHidden/>
                <w:sz w:val="20"/>
                <w:szCs w:val="18"/>
              </w:rPr>
              <w:fldChar w:fldCharType="end"/>
            </w:r>
          </w:hyperlink>
        </w:p>
        <w:p w14:paraId="73B0232B" w14:textId="048F3BB1" w:rsidR="009B3AE4" w:rsidRPr="009B3AE4" w:rsidRDefault="009B3AE4">
          <w:pPr>
            <w:pStyle w:val="TOC2"/>
            <w:tabs>
              <w:tab w:val="right" w:leader="dot" w:pos="9016"/>
            </w:tabs>
            <w:rPr>
              <w:rFonts w:asciiTheme="minorHAnsi" w:eastAsiaTheme="minorEastAsia" w:hAnsiTheme="minorHAnsi"/>
              <w:noProof/>
              <w:sz w:val="20"/>
              <w:szCs w:val="20"/>
              <w:lang w:eastAsia="en-IN"/>
            </w:rPr>
          </w:pPr>
          <w:hyperlink w:anchor="_Toc217483980" w:history="1">
            <w:r w:rsidRPr="009B3AE4">
              <w:rPr>
                <w:rStyle w:val="Hyperlink"/>
                <w:noProof/>
                <w:sz w:val="20"/>
                <w:szCs w:val="18"/>
              </w:rPr>
              <w:t>8. Financing the Investment Programme</w:t>
            </w:r>
            <w:r w:rsidRPr="009B3AE4">
              <w:rPr>
                <w:noProof/>
                <w:webHidden/>
                <w:sz w:val="20"/>
                <w:szCs w:val="18"/>
              </w:rPr>
              <w:tab/>
            </w:r>
            <w:r w:rsidRPr="009B3AE4">
              <w:rPr>
                <w:noProof/>
                <w:webHidden/>
                <w:sz w:val="20"/>
                <w:szCs w:val="18"/>
              </w:rPr>
              <w:fldChar w:fldCharType="begin"/>
            </w:r>
            <w:r w:rsidRPr="009B3AE4">
              <w:rPr>
                <w:noProof/>
                <w:webHidden/>
                <w:sz w:val="20"/>
                <w:szCs w:val="18"/>
              </w:rPr>
              <w:instrText xml:space="preserve"> PAGEREF _Toc217483980 \h </w:instrText>
            </w:r>
            <w:r w:rsidRPr="009B3AE4">
              <w:rPr>
                <w:noProof/>
                <w:webHidden/>
                <w:sz w:val="20"/>
                <w:szCs w:val="18"/>
              </w:rPr>
            </w:r>
            <w:r w:rsidRPr="009B3AE4">
              <w:rPr>
                <w:noProof/>
                <w:webHidden/>
                <w:sz w:val="20"/>
                <w:szCs w:val="18"/>
              </w:rPr>
              <w:fldChar w:fldCharType="separate"/>
            </w:r>
            <w:r>
              <w:rPr>
                <w:noProof/>
                <w:webHidden/>
                <w:sz w:val="20"/>
                <w:szCs w:val="18"/>
              </w:rPr>
              <w:t>26</w:t>
            </w:r>
            <w:r w:rsidRPr="009B3AE4">
              <w:rPr>
                <w:noProof/>
                <w:webHidden/>
                <w:sz w:val="20"/>
                <w:szCs w:val="18"/>
              </w:rPr>
              <w:fldChar w:fldCharType="end"/>
            </w:r>
          </w:hyperlink>
        </w:p>
        <w:p w14:paraId="474230C4" w14:textId="2146BE97" w:rsidR="009B3AE4" w:rsidRPr="009B3AE4" w:rsidRDefault="009B3AE4">
          <w:pPr>
            <w:pStyle w:val="TOC2"/>
            <w:tabs>
              <w:tab w:val="right" w:leader="dot" w:pos="9016"/>
            </w:tabs>
            <w:rPr>
              <w:rFonts w:asciiTheme="minorHAnsi" w:eastAsiaTheme="minorEastAsia" w:hAnsiTheme="minorHAnsi"/>
              <w:noProof/>
              <w:sz w:val="20"/>
              <w:szCs w:val="20"/>
              <w:lang w:eastAsia="en-IN"/>
            </w:rPr>
          </w:pPr>
          <w:hyperlink w:anchor="_Toc217483981" w:history="1">
            <w:r w:rsidRPr="009B3AE4">
              <w:rPr>
                <w:rStyle w:val="Hyperlink"/>
                <w:noProof/>
                <w:sz w:val="20"/>
                <w:szCs w:val="18"/>
              </w:rPr>
              <w:t>Conclusion</w:t>
            </w:r>
            <w:r w:rsidRPr="009B3AE4">
              <w:rPr>
                <w:noProof/>
                <w:webHidden/>
                <w:sz w:val="20"/>
                <w:szCs w:val="18"/>
              </w:rPr>
              <w:tab/>
            </w:r>
            <w:r w:rsidRPr="009B3AE4">
              <w:rPr>
                <w:noProof/>
                <w:webHidden/>
                <w:sz w:val="20"/>
                <w:szCs w:val="18"/>
              </w:rPr>
              <w:fldChar w:fldCharType="begin"/>
            </w:r>
            <w:r w:rsidRPr="009B3AE4">
              <w:rPr>
                <w:noProof/>
                <w:webHidden/>
                <w:sz w:val="20"/>
                <w:szCs w:val="18"/>
              </w:rPr>
              <w:instrText xml:space="preserve"> PAGEREF _Toc217483981 \h </w:instrText>
            </w:r>
            <w:r w:rsidRPr="009B3AE4">
              <w:rPr>
                <w:noProof/>
                <w:webHidden/>
                <w:sz w:val="20"/>
                <w:szCs w:val="18"/>
              </w:rPr>
            </w:r>
            <w:r w:rsidRPr="009B3AE4">
              <w:rPr>
                <w:noProof/>
                <w:webHidden/>
                <w:sz w:val="20"/>
                <w:szCs w:val="18"/>
              </w:rPr>
              <w:fldChar w:fldCharType="separate"/>
            </w:r>
            <w:r>
              <w:rPr>
                <w:noProof/>
                <w:webHidden/>
                <w:sz w:val="20"/>
                <w:szCs w:val="18"/>
              </w:rPr>
              <w:t>27</w:t>
            </w:r>
            <w:r w:rsidRPr="009B3AE4">
              <w:rPr>
                <w:noProof/>
                <w:webHidden/>
                <w:sz w:val="20"/>
                <w:szCs w:val="18"/>
              </w:rPr>
              <w:fldChar w:fldCharType="end"/>
            </w:r>
          </w:hyperlink>
        </w:p>
        <w:p w14:paraId="5155AAB1" w14:textId="54D8E24A" w:rsidR="009B3AE4" w:rsidRPr="009B3AE4" w:rsidRDefault="009B3AE4">
          <w:pPr>
            <w:pStyle w:val="TOC1"/>
            <w:tabs>
              <w:tab w:val="right" w:leader="dot" w:pos="9016"/>
            </w:tabs>
            <w:rPr>
              <w:rFonts w:asciiTheme="minorHAnsi" w:eastAsiaTheme="minorEastAsia" w:hAnsiTheme="minorHAnsi"/>
              <w:noProof/>
              <w:sz w:val="20"/>
              <w:szCs w:val="20"/>
              <w:lang w:eastAsia="en-IN"/>
            </w:rPr>
          </w:pPr>
          <w:hyperlink w:anchor="_Toc217483982" w:history="1">
            <w:r w:rsidRPr="009B3AE4">
              <w:rPr>
                <w:rStyle w:val="Hyperlink"/>
                <w:noProof/>
                <w:sz w:val="20"/>
                <w:szCs w:val="18"/>
              </w:rPr>
              <w:t>References</w:t>
            </w:r>
            <w:r w:rsidRPr="009B3AE4">
              <w:rPr>
                <w:noProof/>
                <w:webHidden/>
                <w:sz w:val="20"/>
                <w:szCs w:val="18"/>
              </w:rPr>
              <w:tab/>
            </w:r>
            <w:r w:rsidRPr="009B3AE4">
              <w:rPr>
                <w:noProof/>
                <w:webHidden/>
                <w:sz w:val="20"/>
                <w:szCs w:val="18"/>
              </w:rPr>
              <w:fldChar w:fldCharType="begin"/>
            </w:r>
            <w:r w:rsidRPr="009B3AE4">
              <w:rPr>
                <w:noProof/>
                <w:webHidden/>
                <w:sz w:val="20"/>
                <w:szCs w:val="18"/>
              </w:rPr>
              <w:instrText xml:space="preserve"> PAGEREF _Toc217483982 \h </w:instrText>
            </w:r>
            <w:r w:rsidRPr="009B3AE4">
              <w:rPr>
                <w:noProof/>
                <w:webHidden/>
                <w:sz w:val="20"/>
                <w:szCs w:val="18"/>
              </w:rPr>
            </w:r>
            <w:r w:rsidRPr="009B3AE4">
              <w:rPr>
                <w:noProof/>
                <w:webHidden/>
                <w:sz w:val="20"/>
                <w:szCs w:val="18"/>
              </w:rPr>
              <w:fldChar w:fldCharType="separate"/>
            </w:r>
            <w:r>
              <w:rPr>
                <w:noProof/>
                <w:webHidden/>
                <w:sz w:val="20"/>
                <w:szCs w:val="18"/>
              </w:rPr>
              <w:t>29</w:t>
            </w:r>
            <w:r w:rsidRPr="009B3AE4">
              <w:rPr>
                <w:noProof/>
                <w:webHidden/>
                <w:sz w:val="20"/>
                <w:szCs w:val="18"/>
              </w:rPr>
              <w:fldChar w:fldCharType="end"/>
            </w:r>
          </w:hyperlink>
        </w:p>
        <w:p w14:paraId="5E8219D2" w14:textId="5AC3B6B5" w:rsidR="009B3AE4" w:rsidRPr="009B3AE4" w:rsidRDefault="009B3AE4">
          <w:pPr>
            <w:pStyle w:val="TOC2"/>
            <w:tabs>
              <w:tab w:val="right" w:leader="dot" w:pos="9016"/>
            </w:tabs>
            <w:rPr>
              <w:rFonts w:asciiTheme="minorHAnsi" w:eastAsiaTheme="minorEastAsia" w:hAnsiTheme="minorHAnsi"/>
              <w:noProof/>
              <w:sz w:val="20"/>
              <w:szCs w:val="20"/>
              <w:lang w:eastAsia="en-IN"/>
            </w:rPr>
          </w:pPr>
          <w:hyperlink w:anchor="_Toc217483983" w:history="1">
            <w:r w:rsidRPr="009B3AE4">
              <w:rPr>
                <w:rStyle w:val="Hyperlink"/>
                <w:noProof/>
                <w:sz w:val="20"/>
                <w:szCs w:val="18"/>
              </w:rPr>
              <w:t>Part 1</w:t>
            </w:r>
            <w:r w:rsidRPr="009B3AE4">
              <w:rPr>
                <w:noProof/>
                <w:webHidden/>
                <w:sz w:val="20"/>
                <w:szCs w:val="18"/>
              </w:rPr>
              <w:tab/>
            </w:r>
            <w:r w:rsidRPr="009B3AE4">
              <w:rPr>
                <w:noProof/>
                <w:webHidden/>
                <w:sz w:val="20"/>
                <w:szCs w:val="18"/>
              </w:rPr>
              <w:fldChar w:fldCharType="begin"/>
            </w:r>
            <w:r w:rsidRPr="009B3AE4">
              <w:rPr>
                <w:noProof/>
                <w:webHidden/>
                <w:sz w:val="20"/>
                <w:szCs w:val="18"/>
              </w:rPr>
              <w:instrText xml:space="preserve"> PAGEREF _Toc217483983 \h </w:instrText>
            </w:r>
            <w:r w:rsidRPr="009B3AE4">
              <w:rPr>
                <w:noProof/>
                <w:webHidden/>
                <w:sz w:val="20"/>
                <w:szCs w:val="18"/>
              </w:rPr>
            </w:r>
            <w:r w:rsidRPr="009B3AE4">
              <w:rPr>
                <w:noProof/>
                <w:webHidden/>
                <w:sz w:val="20"/>
                <w:szCs w:val="18"/>
              </w:rPr>
              <w:fldChar w:fldCharType="separate"/>
            </w:r>
            <w:r>
              <w:rPr>
                <w:noProof/>
                <w:webHidden/>
                <w:sz w:val="20"/>
                <w:szCs w:val="18"/>
              </w:rPr>
              <w:t>29</w:t>
            </w:r>
            <w:r w:rsidRPr="009B3AE4">
              <w:rPr>
                <w:noProof/>
                <w:webHidden/>
                <w:sz w:val="20"/>
                <w:szCs w:val="18"/>
              </w:rPr>
              <w:fldChar w:fldCharType="end"/>
            </w:r>
          </w:hyperlink>
        </w:p>
        <w:p w14:paraId="40257F1B" w14:textId="738729CD" w:rsidR="009B3AE4" w:rsidRPr="009B3AE4" w:rsidRDefault="009B3AE4">
          <w:pPr>
            <w:pStyle w:val="TOC2"/>
            <w:tabs>
              <w:tab w:val="right" w:leader="dot" w:pos="9016"/>
            </w:tabs>
            <w:rPr>
              <w:rFonts w:asciiTheme="minorHAnsi" w:eastAsiaTheme="minorEastAsia" w:hAnsiTheme="minorHAnsi"/>
              <w:noProof/>
              <w:sz w:val="20"/>
              <w:szCs w:val="20"/>
              <w:lang w:eastAsia="en-IN"/>
            </w:rPr>
          </w:pPr>
          <w:hyperlink w:anchor="_Toc217483984" w:history="1">
            <w:r w:rsidRPr="009B3AE4">
              <w:rPr>
                <w:rStyle w:val="Hyperlink"/>
                <w:noProof/>
                <w:sz w:val="20"/>
                <w:szCs w:val="18"/>
              </w:rPr>
              <w:t>Part 2</w:t>
            </w:r>
            <w:r w:rsidRPr="009B3AE4">
              <w:rPr>
                <w:noProof/>
                <w:webHidden/>
                <w:sz w:val="20"/>
                <w:szCs w:val="18"/>
              </w:rPr>
              <w:tab/>
            </w:r>
            <w:r w:rsidRPr="009B3AE4">
              <w:rPr>
                <w:noProof/>
                <w:webHidden/>
                <w:sz w:val="20"/>
                <w:szCs w:val="18"/>
              </w:rPr>
              <w:fldChar w:fldCharType="begin"/>
            </w:r>
            <w:r w:rsidRPr="009B3AE4">
              <w:rPr>
                <w:noProof/>
                <w:webHidden/>
                <w:sz w:val="20"/>
                <w:szCs w:val="18"/>
              </w:rPr>
              <w:instrText xml:space="preserve"> PAGEREF _Toc217483984 \h </w:instrText>
            </w:r>
            <w:r w:rsidRPr="009B3AE4">
              <w:rPr>
                <w:noProof/>
                <w:webHidden/>
                <w:sz w:val="20"/>
                <w:szCs w:val="18"/>
              </w:rPr>
            </w:r>
            <w:r w:rsidRPr="009B3AE4">
              <w:rPr>
                <w:noProof/>
                <w:webHidden/>
                <w:sz w:val="20"/>
                <w:szCs w:val="18"/>
              </w:rPr>
              <w:fldChar w:fldCharType="separate"/>
            </w:r>
            <w:r>
              <w:rPr>
                <w:noProof/>
                <w:webHidden/>
                <w:sz w:val="20"/>
                <w:szCs w:val="18"/>
              </w:rPr>
              <w:t>29</w:t>
            </w:r>
            <w:r w:rsidRPr="009B3AE4">
              <w:rPr>
                <w:noProof/>
                <w:webHidden/>
                <w:sz w:val="20"/>
                <w:szCs w:val="18"/>
              </w:rPr>
              <w:fldChar w:fldCharType="end"/>
            </w:r>
          </w:hyperlink>
        </w:p>
        <w:p w14:paraId="798A0546" w14:textId="0A7DE177" w:rsidR="009B3AE4" w:rsidRPr="009B3AE4" w:rsidRDefault="009B3AE4">
          <w:pPr>
            <w:pStyle w:val="TOC1"/>
            <w:tabs>
              <w:tab w:val="right" w:leader="dot" w:pos="9016"/>
            </w:tabs>
            <w:rPr>
              <w:rFonts w:asciiTheme="minorHAnsi" w:eastAsiaTheme="minorEastAsia" w:hAnsiTheme="minorHAnsi"/>
              <w:noProof/>
              <w:sz w:val="20"/>
              <w:szCs w:val="20"/>
              <w:lang w:eastAsia="en-IN"/>
            </w:rPr>
          </w:pPr>
          <w:hyperlink w:anchor="_Toc217483985" w:history="1">
            <w:r w:rsidRPr="009B3AE4">
              <w:rPr>
                <w:rStyle w:val="Hyperlink"/>
                <w:noProof/>
                <w:sz w:val="20"/>
                <w:szCs w:val="18"/>
              </w:rPr>
              <w:t>Appendix</w:t>
            </w:r>
            <w:r w:rsidRPr="009B3AE4">
              <w:rPr>
                <w:noProof/>
                <w:webHidden/>
                <w:sz w:val="20"/>
                <w:szCs w:val="18"/>
              </w:rPr>
              <w:tab/>
            </w:r>
            <w:r w:rsidRPr="009B3AE4">
              <w:rPr>
                <w:noProof/>
                <w:webHidden/>
                <w:sz w:val="20"/>
                <w:szCs w:val="18"/>
              </w:rPr>
              <w:fldChar w:fldCharType="begin"/>
            </w:r>
            <w:r w:rsidRPr="009B3AE4">
              <w:rPr>
                <w:noProof/>
                <w:webHidden/>
                <w:sz w:val="20"/>
                <w:szCs w:val="18"/>
              </w:rPr>
              <w:instrText xml:space="preserve"> PAGEREF _Toc217483985 \h </w:instrText>
            </w:r>
            <w:r w:rsidRPr="009B3AE4">
              <w:rPr>
                <w:noProof/>
                <w:webHidden/>
                <w:sz w:val="20"/>
                <w:szCs w:val="18"/>
              </w:rPr>
            </w:r>
            <w:r w:rsidRPr="009B3AE4">
              <w:rPr>
                <w:noProof/>
                <w:webHidden/>
                <w:sz w:val="20"/>
                <w:szCs w:val="18"/>
              </w:rPr>
              <w:fldChar w:fldCharType="separate"/>
            </w:r>
            <w:r>
              <w:rPr>
                <w:noProof/>
                <w:webHidden/>
                <w:sz w:val="20"/>
                <w:szCs w:val="18"/>
              </w:rPr>
              <w:t>31</w:t>
            </w:r>
            <w:r w:rsidRPr="009B3AE4">
              <w:rPr>
                <w:noProof/>
                <w:webHidden/>
                <w:sz w:val="20"/>
                <w:szCs w:val="18"/>
              </w:rPr>
              <w:fldChar w:fldCharType="end"/>
            </w:r>
          </w:hyperlink>
        </w:p>
        <w:p w14:paraId="3EF93FCC" w14:textId="06653952" w:rsidR="009B3AE4" w:rsidRPr="009B3AE4" w:rsidRDefault="009B3AE4">
          <w:pPr>
            <w:pStyle w:val="TOC2"/>
            <w:tabs>
              <w:tab w:val="right" w:leader="dot" w:pos="9016"/>
            </w:tabs>
            <w:rPr>
              <w:rFonts w:asciiTheme="minorHAnsi" w:eastAsiaTheme="minorEastAsia" w:hAnsiTheme="minorHAnsi"/>
              <w:noProof/>
              <w:sz w:val="20"/>
              <w:szCs w:val="20"/>
              <w:lang w:eastAsia="en-IN"/>
            </w:rPr>
          </w:pPr>
          <w:hyperlink w:anchor="_Toc217483986" w:history="1">
            <w:r w:rsidRPr="009B3AE4">
              <w:rPr>
                <w:rStyle w:val="Hyperlink"/>
                <w:noProof/>
                <w:sz w:val="20"/>
                <w:szCs w:val="18"/>
              </w:rPr>
              <w:t>Appendix A – Annual Report Screenshots</w:t>
            </w:r>
            <w:r w:rsidRPr="009B3AE4">
              <w:rPr>
                <w:noProof/>
                <w:webHidden/>
                <w:sz w:val="20"/>
                <w:szCs w:val="18"/>
              </w:rPr>
              <w:tab/>
            </w:r>
            <w:r w:rsidRPr="009B3AE4">
              <w:rPr>
                <w:noProof/>
                <w:webHidden/>
                <w:sz w:val="20"/>
                <w:szCs w:val="18"/>
              </w:rPr>
              <w:fldChar w:fldCharType="begin"/>
            </w:r>
            <w:r w:rsidRPr="009B3AE4">
              <w:rPr>
                <w:noProof/>
                <w:webHidden/>
                <w:sz w:val="20"/>
                <w:szCs w:val="18"/>
              </w:rPr>
              <w:instrText xml:space="preserve"> PAGEREF _Toc217483986 \h </w:instrText>
            </w:r>
            <w:r w:rsidRPr="009B3AE4">
              <w:rPr>
                <w:noProof/>
                <w:webHidden/>
                <w:sz w:val="20"/>
                <w:szCs w:val="18"/>
              </w:rPr>
            </w:r>
            <w:r w:rsidRPr="009B3AE4">
              <w:rPr>
                <w:noProof/>
                <w:webHidden/>
                <w:sz w:val="20"/>
                <w:szCs w:val="18"/>
              </w:rPr>
              <w:fldChar w:fldCharType="separate"/>
            </w:r>
            <w:r>
              <w:rPr>
                <w:noProof/>
                <w:webHidden/>
                <w:sz w:val="20"/>
                <w:szCs w:val="18"/>
              </w:rPr>
              <w:t>31</w:t>
            </w:r>
            <w:r w:rsidRPr="009B3AE4">
              <w:rPr>
                <w:noProof/>
                <w:webHidden/>
                <w:sz w:val="20"/>
                <w:szCs w:val="18"/>
              </w:rPr>
              <w:fldChar w:fldCharType="end"/>
            </w:r>
          </w:hyperlink>
        </w:p>
        <w:p w14:paraId="7B114834" w14:textId="704A8C3E" w:rsidR="009B3AE4" w:rsidRPr="009B3AE4" w:rsidRDefault="009B3AE4">
          <w:pPr>
            <w:pStyle w:val="TOC2"/>
            <w:tabs>
              <w:tab w:val="right" w:leader="dot" w:pos="9016"/>
            </w:tabs>
            <w:rPr>
              <w:rFonts w:asciiTheme="minorHAnsi" w:eastAsiaTheme="minorEastAsia" w:hAnsiTheme="minorHAnsi"/>
              <w:noProof/>
              <w:sz w:val="20"/>
              <w:szCs w:val="20"/>
              <w:lang w:eastAsia="en-IN"/>
            </w:rPr>
          </w:pPr>
          <w:hyperlink w:anchor="_Toc217483987" w:history="1">
            <w:r w:rsidRPr="009B3AE4">
              <w:rPr>
                <w:rStyle w:val="Hyperlink"/>
                <w:noProof/>
                <w:sz w:val="20"/>
                <w:szCs w:val="18"/>
              </w:rPr>
              <w:t>Appendix B – Ratios Calculations</w:t>
            </w:r>
            <w:r w:rsidRPr="009B3AE4">
              <w:rPr>
                <w:noProof/>
                <w:webHidden/>
                <w:sz w:val="20"/>
                <w:szCs w:val="18"/>
              </w:rPr>
              <w:tab/>
            </w:r>
            <w:r w:rsidRPr="009B3AE4">
              <w:rPr>
                <w:noProof/>
                <w:webHidden/>
                <w:sz w:val="20"/>
                <w:szCs w:val="18"/>
              </w:rPr>
              <w:fldChar w:fldCharType="begin"/>
            </w:r>
            <w:r w:rsidRPr="009B3AE4">
              <w:rPr>
                <w:noProof/>
                <w:webHidden/>
                <w:sz w:val="20"/>
                <w:szCs w:val="18"/>
              </w:rPr>
              <w:instrText xml:space="preserve"> PAGEREF _Toc217483987 \h </w:instrText>
            </w:r>
            <w:r w:rsidRPr="009B3AE4">
              <w:rPr>
                <w:noProof/>
                <w:webHidden/>
                <w:sz w:val="20"/>
                <w:szCs w:val="18"/>
              </w:rPr>
            </w:r>
            <w:r w:rsidRPr="009B3AE4">
              <w:rPr>
                <w:noProof/>
                <w:webHidden/>
                <w:sz w:val="20"/>
                <w:szCs w:val="18"/>
              </w:rPr>
              <w:fldChar w:fldCharType="separate"/>
            </w:r>
            <w:r>
              <w:rPr>
                <w:noProof/>
                <w:webHidden/>
                <w:sz w:val="20"/>
                <w:szCs w:val="18"/>
              </w:rPr>
              <w:t>33</w:t>
            </w:r>
            <w:r w:rsidRPr="009B3AE4">
              <w:rPr>
                <w:noProof/>
                <w:webHidden/>
                <w:sz w:val="20"/>
                <w:szCs w:val="18"/>
              </w:rPr>
              <w:fldChar w:fldCharType="end"/>
            </w:r>
          </w:hyperlink>
        </w:p>
        <w:p w14:paraId="62543BCA" w14:textId="610BDD96" w:rsidR="00455DAD" w:rsidRDefault="00455DAD">
          <w:r w:rsidRPr="009B3AE4">
            <w:rPr>
              <w:b/>
              <w:bCs/>
              <w:noProof/>
              <w:sz w:val="16"/>
              <w:szCs w:val="14"/>
            </w:rPr>
            <w:lastRenderedPageBreak/>
            <w:fldChar w:fldCharType="end"/>
          </w:r>
        </w:p>
      </w:sdtContent>
    </w:sdt>
    <w:p w14:paraId="54F1B1B1" w14:textId="24560C0E" w:rsidR="00455DAD" w:rsidRDefault="00455DAD">
      <w:pPr>
        <w:spacing w:line="259" w:lineRule="auto"/>
        <w:jc w:val="left"/>
        <w:rPr>
          <w:rFonts w:eastAsiaTheme="majorEastAsia" w:cstheme="majorBidi"/>
          <w:b/>
          <w:color w:val="0F4761" w:themeColor="accent1" w:themeShade="BF"/>
          <w:sz w:val="32"/>
          <w:szCs w:val="40"/>
          <w:lang w:val="en-US"/>
        </w:rPr>
      </w:pPr>
    </w:p>
    <w:p w14:paraId="4011C86D" w14:textId="7175F2D4" w:rsidR="00942141" w:rsidRDefault="0008013D" w:rsidP="0008013D">
      <w:pPr>
        <w:pStyle w:val="Heading1"/>
      </w:pPr>
      <w:bookmarkStart w:id="1" w:name="_Toc217483961"/>
      <w:r>
        <w:rPr>
          <w:lang w:val="en-US"/>
        </w:rPr>
        <w:t xml:space="preserve">Part 1 - </w:t>
      </w:r>
      <w:r w:rsidRPr="0008013D">
        <w:t>Financial Performance Analysis of Unilever PLC (2022–2023)</w:t>
      </w:r>
      <w:bookmarkEnd w:id="1"/>
    </w:p>
    <w:p w14:paraId="02C501B4" w14:textId="77777777" w:rsidR="00C733B6" w:rsidRPr="00C733B6" w:rsidRDefault="00C733B6" w:rsidP="00C733B6">
      <w:pPr>
        <w:pStyle w:val="Heading2"/>
      </w:pPr>
      <w:bookmarkStart w:id="2" w:name="_Toc217483962"/>
      <w:r w:rsidRPr="00C733B6">
        <w:t>1. Introduction</w:t>
      </w:r>
      <w:bookmarkEnd w:id="2"/>
    </w:p>
    <w:p w14:paraId="5ADF00A6" w14:textId="76F3223A" w:rsidR="00C733B6" w:rsidRPr="00C733B6" w:rsidRDefault="0060260B" w:rsidP="00C733B6">
      <w:r w:rsidRPr="0060260B">
        <w:t>Unilever PLC is a fast-moving consumer goods (FMCG) multinational company that is based in London, in the United Kingdom and is a long-term member of the FTSE 100 Index. The company was established in 1860 and its operations are spread in over 190 countries where it has around 115,964 employees. Unilever has a structure of four segments of its activities which include Beauty and Wellbeing, Personal Care, Home Care and Foods. Its wide brand portfolio has names like Dove, Knorr, Hellmann’s, Rexona, Vaseline, Lifebuoy and Ben and Jerrys that are well known internationally, which places the corporation squarely within the consumer defensive market (Unilever PLC, 2024)</w:t>
      </w:r>
      <w:r w:rsidR="00C733B6" w:rsidRPr="00C733B6">
        <w:t>.</w:t>
      </w:r>
      <w:r w:rsidR="00E30EE6">
        <w:t xml:space="preserve"> </w:t>
      </w:r>
      <w:r w:rsidR="00095E51">
        <w:t xml:space="preserve"> </w:t>
      </w:r>
      <w:r w:rsidR="00096DB7">
        <w:t xml:space="preserve"> </w:t>
      </w:r>
      <w:r w:rsidR="00142FBA">
        <w:t xml:space="preserve"> </w:t>
      </w:r>
      <w:r w:rsidR="002E1C5E">
        <w:t xml:space="preserve"> </w:t>
      </w:r>
      <w:r w:rsidR="009B3AE4">
        <w:t xml:space="preserve"> </w:t>
      </w:r>
    </w:p>
    <w:p w14:paraId="3828CB3B" w14:textId="30F72282" w:rsidR="00C733B6" w:rsidRPr="00C733B6" w:rsidRDefault="0060260B" w:rsidP="00C733B6">
      <w:r w:rsidRPr="0060260B">
        <w:t>This report intends to present to the Board of Directors a report on the financial performance of Unilever PLC in the last two financial years, in this case, the financial period ending 31 December 2023 and 31 December 2024. The analysis is aimed at reviewing the financial health of the company, the efficiency of business operations and shareholders value creation using systematic implementation of the financial ratio analysis. Ratio analysis is considered one of the most essential methods of evaluating corporate performance allowing the stakeholders to derive the relationship between major parties in the financial statements and to see the shifts over time (Horrigan, 1965; Penman, 2013)</w:t>
      </w:r>
      <w:r w:rsidR="00C733B6" w:rsidRPr="00C733B6">
        <w:t>.</w:t>
      </w:r>
      <w:r w:rsidR="00A0227A">
        <w:t xml:space="preserve"> </w:t>
      </w:r>
    </w:p>
    <w:p w14:paraId="100968A2" w14:textId="53B944B0" w:rsidR="00C733B6" w:rsidRPr="00C733B6" w:rsidRDefault="0060260B" w:rsidP="00C733B6">
      <w:r w:rsidRPr="0060260B">
        <w:t>The coverage of the report is not the excessive calculating and critical evaluation of the profitability, liquidity and efficiency, gearing and investor ratios based on audited financial statements data. Besides uncovering the changes on an annual basis, the analysis takes into consideration the potential underlying reasons of the changes in performance which may have to do with cost structures, capital investment, financing decisions and even the overall market conditions. The report also accepts potential flaws of ratio analysis especially in accounting policy decisions, especially due to inflationary pressures and the global portfolio of Unilever (Lev and Sunder, 1979; Atrill and McLaney, 2023)</w:t>
      </w:r>
      <w:r w:rsidR="00C733B6" w:rsidRPr="00C733B6">
        <w:t>.</w:t>
      </w:r>
    </w:p>
    <w:p w14:paraId="53FFCC4B" w14:textId="28BEEB71" w:rsidR="00C733B6" w:rsidRPr="00C733B6" w:rsidRDefault="0060260B" w:rsidP="00C733B6">
      <w:r w:rsidRPr="0060260B">
        <w:lastRenderedPageBreak/>
        <w:t xml:space="preserve">The main sources of data analyzed to write this report will be the published Annual Report and Accounts of Unilever PLC 2023 and 2024, which will be complemented by financial information on Refinitiv, EDGAR Online and Yahoo Finance. The academic literature about the financial statement analysis and corporate finance facilitates these, as they are designed to promote a rigorous, research-based and board of </w:t>
      </w:r>
      <w:proofErr w:type="gramStart"/>
      <w:r w:rsidRPr="0060260B">
        <w:t>directors</w:t>
      </w:r>
      <w:proofErr w:type="gramEnd"/>
      <w:r w:rsidRPr="0060260B">
        <w:t xml:space="preserve"> level analysis (Brigham and Ehrhardt, 2020; Damodaran, 2024)</w:t>
      </w:r>
      <w:r w:rsidR="00C733B6" w:rsidRPr="00C733B6">
        <w:t>.</w:t>
      </w:r>
      <w:r w:rsidR="008B7BC4">
        <w:t xml:space="preserve"> </w:t>
      </w:r>
    </w:p>
    <w:p w14:paraId="0C0C1166" w14:textId="77777777" w:rsidR="00CD024A" w:rsidRPr="00CD024A" w:rsidRDefault="00CD024A" w:rsidP="00CD024A">
      <w:pPr>
        <w:pStyle w:val="Heading2"/>
      </w:pPr>
      <w:bookmarkStart w:id="3" w:name="_Toc217483963"/>
      <w:r w:rsidRPr="00CD024A">
        <w:t>2. Methodology and Literature Context</w:t>
      </w:r>
      <w:bookmarkEnd w:id="3"/>
    </w:p>
    <w:p w14:paraId="46042329" w14:textId="454BACA0" w:rsidR="00CD024A" w:rsidRPr="00CD024A" w:rsidRDefault="0060260B" w:rsidP="00CD024A">
      <w:r w:rsidRPr="0060260B">
        <w:t>The report will utilize financial ratio analysis as the main methodological approach in promoting the financial performance and position of Unilever PLC. Ratio analysis is an established method of financial management and corporate analysis, which allows to comprehend in a systematic way the interaction of the main participants in the income statement, balance sheet and cash flow statement (Penman, 2013). Transforming absolute financial information into a relative information, ratios help to improve variation over time and comparability across periods and to some degree across firms within the same industry as well (Atrill and McLaney, 2023)</w:t>
      </w:r>
      <w:r w:rsidR="00CD024A" w:rsidRPr="00CD024A">
        <w:t>.</w:t>
      </w:r>
    </w:p>
    <w:p w14:paraId="27C5C313" w14:textId="5056ABBE" w:rsidR="00CD024A" w:rsidRPr="00CD024A" w:rsidRDefault="0060260B" w:rsidP="00CD024A">
      <w:r w:rsidRPr="0060260B">
        <w:t>The ratios that have been calculated in this report have been classified into five categories of analytical ratios, namely profitability, liquidity, efficiency, gearing, and investor ratios. Profitability ratios, operating margin and the rate of return on equity, measure the capability of the management to convert sales and funds of shareholders into earnings. Liquidity ratios assess the ability of the firm to service its immediate liabilities whereas efficiency ratios are used to assess the ability of and working capital to be efficiently used. Gearing ratios are geared towards financial risk and capital structure decision, and investor ratios are designed to evaluate the shareholder value creation and market perception (Brigham and Ehrhardt, 2020). The systematic methodology is consistent with the existing best practice in the study of academia and financial analysis practice (Damodaran, 2024)</w:t>
      </w:r>
      <w:r w:rsidR="00CD024A" w:rsidRPr="00CD024A">
        <w:t>.</w:t>
      </w:r>
    </w:p>
    <w:p w14:paraId="68D967F2" w14:textId="348E9AB2" w:rsidR="00CD024A" w:rsidRPr="00CD024A" w:rsidRDefault="0060260B" w:rsidP="00CD024A">
      <w:r w:rsidRPr="0060260B">
        <w:t>The financial information applied in the calculations of the ratios are calculated based on the audited Unilever PLC Annual Reports and Accounts 2023 as of 31 December 2023 and 2024 as of 31 December 2024, with addition of trailing twelve-month upon necessity. All the monetary values are expressed in thousands, and it makes them consistent throughout the analysis. Audited financial statements can upgrade the credibility and reliability of the findings, whereas the period of two years can be used to recognize short-term trends and performance changes (Unilever PLC, 2024)</w:t>
      </w:r>
      <w:r w:rsidR="00CD024A" w:rsidRPr="00CD024A">
        <w:t>.</w:t>
      </w:r>
    </w:p>
    <w:p w14:paraId="7775AA05" w14:textId="6A407E55" w:rsidR="00CD024A" w:rsidRPr="00CD024A" w:rsidRDefault="0060260B" w:rsidP="00CD024A">
      <w:r w:rsidRPr="0060260B">
        <w:lastRenderedPageBreak/>
        <w:t>Ratio analysis has a number of major limitations that should be taken into account, despite the fact that it is a widely used instrument. Ratios are back looking and based on historic accounting information which does not necessarily resemble current market situation and future performances (Horrigan, 1965). Misalignment in accounting policies, estimations and judgements can affect period comparability especially among multinational companies with complex operations like Unilever (Lev and Sunder, 1979). Also, ratios fail to measure the qualitative consideration, like brand strength, quality of corporate governance or strategic positioning, which are very important in the FMCG industry (Penman, 2013). This analysis should therefore be taken as indicative and not conclusive and used along with wide scale strategic and qualitative evaluations</w:t>
      </w:r>
      <w:r w:rsidR="00CD024A" w:rsidRPr="00CD024A">
        <w:t>.</w:t>
      </w:r>
    </w:p>
    <w:p w14:paraId="438A2DA8" w14:textId="77777777" w:rsidR="001C38C4" w:rsidRPr="001C38C4" w:rsidRDefault="001C38C4" w:rsidP="001C38C4">
      <w:pPr>
        <w:pStyle w:val="Heading2"/>
      </w:pPr>
      <w:bookmarkStart w:id="4" w:name="_Toc217483964"/>
      <w:r w:rsidRPr="001C38C4">
        <w:t>3. Profitability Analysis</w:t>
      </w:r>
      <w:bookmarkEnd w:id="4"/>
    </w:p>
    <w:p w14:paraId="27065D06" w14:textId="50BAABA4" w:rsidR="001C38C4" w:rsidRPr="001C38C4" w:rsidRDefault="0060260B" w:rsidP="001C38C4">
      <w:r w:rsidRPr="0060260B">
        <w:t>The profitability ratios determine the capacity of Unilever PLC to produce profit based on sales, assets and shareholders, equity. The ratios are especially significant to a mature FMCG organisation, in which the margin management, scale efficiencies, and capital utilisation are the key drivers of long-term shareholder value (Brigham and Ehrhardt, 2020). The following section evaluates gross margin, operating margin, return on capital employed (ROCE) and return on equity (ROE) of the 2023 and 2024 financial years ending on 31 December</w:t>
      </w:r>
      <w:r w:rsidR="001C38C4" w:rsidRPr="001C38C4">
        <w:t>.</w:t>
      </w:r>
    </w:p>
    <w:p w14:paraId="328ABE1F" w14:textId="77777777" w:rsidR="001C38C4" w:rsidRPr="001C38C4" w:rsidRDefault="001C38C4" w:rsidP="001C38C4">
      <w:pPr>
        <w:rPr>
          <w:b/>
          <w:bCs/>
        </w:rPr>
      </w:pPr>
      <w:r w:rsidRPr="001C38C4">
        <w:rPr>
          <w:b/>
          <w:bCs/>
        </w:rPr>
        <w:t>Table 1: Profitability Ratios – Unilever PLC (2023–2024)</w:t>
      </w:r>
    </w:p>
    <w:p w14:paraId="0FAC6B41" w14:textId="77777777" w:rsidR="001C38C4" w:rsidRPr="001C38C4" w:rsidRDefault="001C38C4" w:rsidP="001C38C4">
      <w:r w:rsidRPr="001C38C4">
        <w:rPr>
          <w:i/>
          <w:iCs/>
        </w:rPr>
        <w:t>(All figures in thousands)</w:t>
      </w:r>
    </w:p>
    <w:tbl>
      <w:tblPr>
        <w:tblStyle w:val="TableGridLight"/>
        <w:tblW w:w="0" w:type="auto"/>
        <w:tblLook w:val="04A0" w:firstRow="1" w:lastRow="0" w:firstColumn="1" w:lastColumn="0" w:noHBand="0" w:noVBand="1"/>
      </w:tblPr>
      <w:tblGrid>
        <w:gridCol w:w="1593"/>
        <w:gridCol w:w="3711"/>
        <w:gridCol w:w="1856"/>
        <w:gridCol w:w="1856"/>
      </w:tblGrid>
      <w:tr w:rsidR="001C38C4" w:rsidRPr="001C38C4" w14:paraId="11AE1B5B" w14:textId="77777777" w:rsidTr="001C38C4">
        <w:tc>
          <w:tcPr>
            <w:tcW w:w="0" w:type="auto"/>
            <w:hideMark/>
          </w:tcPr>
          <w:p w14:paraId="649B54BC" w14:textId="77777777" w:rsidR="001C38C4" w:rsidRPr="001C38C4" w:rsidRDefault="001C38C4" w:rsidP="001C38C4">
            <w:pPr>
              <w:spacing w:after="160"/>
              <w:rPr>
                <w:b/>
                <w:bCs/>
                <w:sz w:val="20"/>
                <w:szCs w:val="18"/>
              </w:rPr>
            </w:pPr>
            <w:r w:rsidRPr="001C38C4">
              <w:rPr>
                <w:b/>
                <w:bCs/>
                <w:sz w:val="20"/>
                <w:szCs w:val="18"/>
              </w:rPr>
              <w:t>Ratio</w:t>
            </w:r>
          </w:p>
        </w:tc>
        <w:tc>
          <w:tcPr>
            <w:tcW w:w="0" w:type="auto"/>
            <w:hideMark/>
          </w:tcPr>
          <w:p w14:paraId="360E8C03" w14:textId="77777777" w:rsidR="001C38C4" w:rsidRPr="001C38C4" w:rsidRDefault="001C38C4" w:rsidP="001C38C4">
            <w:pPr>
              <w:spacing w:after="160"/>
              <w:rPr>
                <w:b/>
                <w:bCs/>
                <w:sz w:val="20"/>
                <w:szCs w:val="18"/>
              </w:rPr>
            </w:pPr>
            <w:r w:rsidRPr="001C38C4">
              <w:rPr>
                <w:b/>
                <w:bCs/>
                <w:sz w:val="20"/>
                <w:szCs w:val="18"/>
              </w:rPr>
              <w:t>Formula</w:t>
            </w:r>
          </w:p>
        </w:tc>
        <w:tc>
          <w:tcPr>
            <w:tcW w:w="0" w:type="auto"/>
            <w:hideMark/>
          </w:tcPr>
          <w:p w14:paraId="671E0F27" w14:textId="77777777" w:rsidR="001C38C4" w:rsidRPr="001C38C4" w:rsidRDefault="001C38C4" w:rsidP="001C38C4">
            <w:pPr>
              <w:spacing w:after="160"/>
              <w:rPr>
                <w:b/>
                <w:bCs/>
                <w:sz w:val="20"/>
                <w:szCs w:val="18"/>
              </w:rPr>
            </w:pPr>
            <w:r w:rsidRPr="001C38C4">
              <w:rPr>
                <w:b/>
                <w:bCs/>
                <w:sz w:val="20"/>
                <w:szCs w:val="18"/>
              </w:rPr>
              <w:t>2023</w:t>
            </w:r>
          </w:p>
        </w:tc>
        <w:tc>
          <w:tcPr>
            <w:tcW w:w="0" w:type="auto"/>
            <w:hideMark/>
          </w:tcPr>
          <w:p w14:paraId="073830A0" w14:textId="77777777" w:rsidR="001C38C4" w:rsidRPr="001C38C4" w:rsidRDefault="001C38C4" w:rsidP="001C38C4">
            <w:pPr>
              <w:spacing w:after="160"/>
              <w:rPr>
                <w:b/>
                <w:bCs/>
                <w:sz w:val="20"/>
                <w:szCs w:val="18"/>
              </w:rPr>
            </w:pPr>
            <w:r w:rsidRPr="001C38C4">
              <w:rPr>
                <w:b/>
                <w:bCs/>
                <w:sz w:val="20"/>
                <w:szCs w:val="18"/>
              </w:rPr>
              <w:t>2024</w:t>
            </w:r>
          </w:p>
        </w:tc>
      </w:tr>
      <w:tr w:rsidR="001C38C4" w:rsidRPr="001C38C4" w14:paraId="56005D32" w14:textId="77777777" w:rsidTr="001C38C4">
        <w:tc>
          <w:tcPr>
            <w:tcW w:w="0" w:type="auto"/>
            <w:hideMark/>
          </w:tcPr>
          <w:p w14:paraId="5F5C327F" w14:textId="77777777" w:rsidR="001C38C4" w:rsidRPr="001C38C4" w:rsidRDefault="001C38C4" w:rsidP="001C38C4">
            <w:pPr>
              <w:spacing w:after="160"/>
              <w:rPr>
                <w:sz w:val="20"/>
                <w:szCs w:val="18"/>
              </w:rPr>
            </w:pPr>
            <w:r w:rsidRPr="001C38C4">
              <w:rPr>
                <w:b/>
                <w:bCs/>
                <w:sz w:val="20"/>
                <w:szCs w:val="18"/>
              </w:rPr>
              <w:t>Gross Margin</w:t>
            </w:r>
          </w:p>
        </w:tc>
        <w:tc>
          <w:tcPr>
            <w:tcW w:w="0" w:type="auto"/>
            <w:hideMark/>
          </w:tcPr>
          <w:p w14:paraId="6F0A1411" w14:textId="77777777" w:rsidR="001C38C4" w:rsidRPr="001C38C4" w:rsidRDefault="001C38C4" w:rsidP="001C38C4">
            <w:pPr>
              <w:spacing w:after="160"/>
              <w:rPr>
                <w:sz w:val="20"/>
                <w:szCs w:val="18"/>
              </w:rPr>
            </w:pPr>
            <w:r w:rsidRPr="001C38C4">
              <w:rPr>
                <w:sz w:val="20"/>
                <w:szCs w:val="18"/>
              </w:rPr>
              <w:t>Gross Profit ÷ Revenue</w:t>
            </w:r>
          </w:p>
        </w:tc>
        <w:tc>
          <w:tcPr>
            <w:tcW w:w="0" w:type="auto"/>
            <w:hideMark/>
          </w:tcPr>
          <w:p w14:paraId="70B0B986" w14:textId="77777777" w:rsidR="001C38C4" w:rsidRPr="001C38C4" w:rsidRDefault="001C38C4" w:rsidP="001C38C4">
            <w:pPr>
              <w:spacing w:after="160"/>
              <w:rPr>
                <w:sz w:val="20"/>
                <w:szCs w:val="18"/>
              </w:rPr>
            </w:pPr>
            <w:r w:rsidRPr="001C38C4">
              <w:rPr>
                <w:sz w:val="20"/>
                <w:szCs w:val="18"/>
              </w:rPr>
              <w:t xml:space="preserve">25,175 ÷ 59,604 = </w:t>
            </w:r>
            <w:r w:rsidRPr="001C38C4">
              <w:rPr>
                <w:b/>
                <w:bCs/>
                <w:sz w:val="20"/>
                <w:szCs w:val="18"/>
              </w:rPr>
              <w:t>42.3%</w:t>
            </w:r>
          </w:p>
        </w:tc>
        <w:tc>
          <w:tcPr>
            <w:tcW w:w="0" w:type="auto"/>
            <w:hideMark/>
          </w:tcPr>
          <w:p w14:paraId="46CA3281" w14:textId="77777777" w:rsidR="001C38C4" w:rsidRPr="001C38C4" w:rsidRDefault="001C38C4" w:rsidP="001C38C4">
            <w:pPr>
              <w:spacing w:after="160"/>
              <w:rPr>
                <w:sz w:val="20"/>
                <w:szCs w:val="18"/>
              </w:rPr>
            </w:pPr>
            <w:r w:rsidRPr="001C38C4">
              <w:rPr>
                <w:sz w:val="20"/>
                <w:szCs w:val="18"/>
              </w:rPr>
              <w:t xml:space="preserve">27,370 ÷ 60,761 = </w:t>
            </w:r>
            <w:r w:rsidRPr="001C38C4">
              <w:rPr>
                <w:b/>
                <w:bCs/>
                <w:sz w:val="20"/>
                <w:szCs w:val="18"/>
              </w:rPr>
              <w:t>45.1%</w:t>
            </w:r>
          </w:p>
        </w:tc>
      </w:tr>
      <w:tr w:rsidR="001C38C4" w:rsidRPr="001C38C4" w14:paraId="3321F208" w14:textId="77777777" w:rsidTr="001C38C4">
        <w:tc>
          <w:tcPr>
            <w:tcW w:w="0" w:type="auto"/>
            <w:hideMark/>
          </w:tcPr>
          <w:p w14:paraId="67043B4D" w14:textId="77777777" w:rsidR="001C38C4" w:rsidRPr="001C38C4" w:rsidRDefault="001C38C4" w:rsidP="001C38C4">
            <w:pPr>
              <w:spacing w:after="160"/>
              <w:rPr>
                <w:sz w:val="20"/>
                <w:szCs w:val="18"/>
              </w:rPr>
            </w:pPr>
            <w:r w:rsidRPr="001C38C4">
              <w:rPr>
                <w:b/>
                <w:bCs/>
                <w:sz w:val="20"/>
                <w:szCs w:val="18"/>
              </w:rPr>
              <w:t>Operating Margin</w:t>
            </w:r>
          </w:p>
        </w:tc>
        <w:tc>
          <w:tcPr>
            <w:tcW w:w="0" w:type="auto"/>
            <w:hideMark/>
          </w:tcPr>
          <w:p w14:paraId="2863E7A5" w14:textId="77777777" w:rsidR="001C38C4" w:rsidRPr="001C38C4" w:rsidRDefault="001C38C4" w:rsidP="001C38C4">
            <w:pPr>
              <w:spacing w:after="160"/>
              <w:rPr>
                <w:sz w:val="20"/>
                <w:szCs w:val="18"/>
              </w:rPr>
            </w:pPr>
            <w:r w:rsidRPr="001C38C4">
              <w:rPr>
                <w:sz w:val="20"/>
                <w:szCs w:val="18"/>
              </w:rPr>
              <w:t>Operating Income ÷ Revenue</w:t>
            </w:r>
          </w:p>
        </w:tc>
        <w:tc>
          <w:tcPr>
            <w:tcW w:w="0" w:type="auto"/>
            <w:hideMark/>
          </w:tcPr>
          <w:p w14:paraId="1BBA6349" w14:textId="77777777" w:rsidR="001C38C4" w:rsidRPr="001C38C4" w:rsidRDefault="001C38C4" w:rsidP="001C38C4">
            <w:pPr>
              <w:spacing w:after="160"/>
              <w:rPr>
                <w:sz w:val="20"/>
                <w:szCs w:val="18"/>
              </w:rPr>
            </w:pPr>
            <w:r w:rsidRPr="001C38C4">
              <w:rPr>
                <w:sz w:val="20"/>
                <w:szCs w:val="18"/>
              </w:rPr>
              <w:t xml:space="preserve">10,041 ÷ 59,604 = </w:t>
            </w:r>
            <w:r w:rsidRPr="001C38C4">
              <w:rPr>
                <w:b/>
                <w:bCs/>
                <w:sz w:val="20"/>
                <w:szCs w:val="18"/>
              </w:rPr>
              <w:t>16.9%</w:t>
            </w:r>
          </w:p>
        </w:tc>
        <w:tc>
          <w:tcPr>
            <w:tcW w:w="0" w:type="auto"/>
            <w:hideMark/>
          </w:tcPr>
          <w:p w14:paraId="587F9FCA" w14:textId="77777777" w:rsidR="001C38C4" w:rsidRPr="001C38C4" w:rsidRDefault="001C38C4" w:rsidP="001C38C4">
            <w:pPr>
              <w:spacing w:after="160"/>
              <w:rPr>
                <w:sz w:val="20"/>
                <w:szCs w:val="18"/>
              </w:rPr>
            </w:pPr>
            <w:r w:rsidRPr="001C38C4">
              <w:rPr>
                <w:sz w:val="20"/>
                <w:szCs w:val="18"/>
              </w:rPr>
              <w:t xml:space="preserve">11,250 ÷ 60,761 = </w:t>
            </w:r>
            <w:r w:rsidRPr="001C38C4">
              <w:rPr>
                <w:b/>
                <w:bCs/>
                <w:sz w:val="20"/>
                <w:szCs w:val="18"/>
              </w:rPr>
              <w:t>18.5%</w:t>
            </w:r>
          </w:p>
        </w:tc>
      </w:tr>
      <w:tr w:rsidR="001C38C4" w:rsidRPr="001C38C4" w14:paraId="7DE36508" w14:textId="77777777" w:rsidTr="001C38C4">
        <w:tc>
          <w:tcPr>
            <w:tcW w:w="0" w:type="auto"/>
            <w:hideMark/>
          </w:tcPr>
          <w:p w14:paraId="384EFB18" w14:textId="77777777" w:rsidR="001C38C4" w:rsidRPr="001C38C4" w:rsidRDefault="001C38C4" w:rsidP="001C38C4">
            <w:pPr>
              <w:spacing w:after="160"/>
              <w:rPr>
                <w:sz w:val="20"/>
                <w:szCs w:val="18"/>
              </w:rPr>
            </w:pPr>
            <w:r w:rsidRPr="001C38C4">
              <w:rPr>
                <w:b/>
                <w:bCs/>
                <w:sz w:val="20"/>
                <w:szCs w:val="18"/>
              </w:rPr>
              <w:t>ROCE</w:t>
            </w:r>
          </w:p>
        </w:tc>
        <w:tc>
          <w:tcPr>
            <w:tcW w:w="0" w:type="auto"/>
            <w:hideMark/>
          </w:tcPr>
          <w:p w14:paraId="4903878F" w14:textId="77777777" w:rsidR="001C38C4" w:rsidRPr="001C38C4" w:rsidRDefault="001C38C4" w:rsidP="001C38C4">
            <w:pPr>
              <w:spacing w:after="160"/>
              <w:rPr>
                <w:sz w:val="20"/>
                <w:szCs w:val="18"/>
              </w:rPr>
            </w:pPr>
            <w:r w:rsidRPr="001C38C4">
              <w:rPr>
                <w:sz w:val="20"/>
                <w:szCs w:val="18"/>
              </w:rPr>
              <w:t>Operating Income ÷ (Total Assets − Current Liabilities)</w:t>
            </w:r>
          </w:p>
        </w:tc>
        <w:tc>
          <w:tcPr>
            <w:tcW w:w="0" w:type="auto"/>
            <w:hideMark/>
          </w:tcPr>
          <w:p w14:paraId="27744980" w14:textId="77777777" w:rsidR="001C38C4" w:rsidRPr="001C38C4" w:rsidRDefault="001C38C4" w:rsidP="001C38C4">
            <w:pPr>
              <w:spacing w:after="160"/>
              <w:rPr>
                <w:sz w:val="20"/>
                <w:szCs w:val="18"/>
              </w:rPr>
            </w:pPr>
            <w:r w:rsidRPr="001C38C4">
              <w:rPr>
                <w:sz w:val="20"/>
                <w:szCs w:val="18"/>
              </w:rPr>
              <w:t xml:space="preserve">10,041 ÷ 51,759 = </w:t>
            </w:r>
            <w:r w:rsidRPr="001C38C4">
              <w:rPr>
                <w:b/>
                <w:bCs/>
                <w:sz w:val="20"/>
                <w:szCs w:val="18"/>
              </w:rPr>
              <w:t>19.4%</w:t>
            </w:r>
          </w:p>
        </w:tc>
        <w:tc>
          <w:tcPr>
            <w:tcW w:w="0" w:type="auto"/>
            <w:hideMark/>
          </w:tcPr>
          <w:p w14:paraId="33347118" w14:textId="77777777" w:rsidR="001C38C4" w:rsidRPr="001C38C4" w:rsidRDefault="001C38C4" w:rsidP="001C38C4">
            <w:pPr>
              <w:spacing w:after="160"/>
              <w:rPr>
                <w:sz w:val="20"/>
                <w:szCs w:val="18"/>
              </w:rPr>
            </w:pPr>
            <w:r w:rsidRPr="001C38C4">
              <w:rPr>
                <w:sz w:val="20"/>
                <w:szCs w:val="18"/>
              </w:rPr>
              <w:t xml:space="preserve">11,250 ÷ 54,516 = </w:t>
            </w:r>
            <w:r w:rsidRPr="001C38C4">
              <w:rPr>
                <w:b/>
                <w:bCs/>
                <w:sz w:val="20"/>
                <w:szCs w:val="18"/>
              </w:rPr>
              <w:t>20.6%</w:t>
            </w:r>
          </w:p>
        </w:tc>
      </w:tr>
      <w:tr w:rsidR="001C38C4" w:rsidRPr="001C38C4" w14:paraId="5F6F8B82" w14:textId="77777777" w:rsidTr="001C38C4">
        <w:tc>
          <w:tcPr>
            <w:tcW w:w="0" w:type="auto"/>
            <w:hideMark/>
          </w:tcPr>
          <w:p w14:paraId="17A7D068" w14:textId="77777777" w:rsidR="001C38C4" w:rsidRPr="001C38C4" w:rsidRDefault="001C38C4" w:rsidP="001C38C4">
            <w:pPr>
              <w:spacing w:after="160"/>
              <w:rPr>
                <w:sz w:val="20"/>
                <w:szCs w:val="18"/>
              </w:rPr>
            </w:pPr>
            <w:r w:rsidRPr="001C38C4">
              <w:rPr>
                <w:b/>
                <w:bCs/>
                <w:sz w:val="20"/>
                <w:szCs w:val="18"/>
              </w:rPr>
              <w:t>ROE</w:t>
            </w:r>
          </w:p>
        </w:tc>
        <w:tc>
          <w:tcPr>
            <w:tcW w:w="0" w:type="auto"/>
            <w:hideMark/>
          </w:tcPr>
          <w:p w14:paraId="1BF2D9DC" w14:textId="77777777" w:rsidR="001C38C4" w:rsidRPr="001C38C4" w:rsidRDefault="001C38C4" w:rsidP="001C38C4">
            <w:pPr>
              <w:spacing w:after="160"/>
              <w:rPr>
                <w:sz w:val="20"/>
                <w:szCs w:val="18"/>
              </w:rPr>
            </w:pPr>
            <w:r w:rsidRPr="001C38C4">
              <w:rPr>
                <w:sz w:val="20"/>
                <w:szCs w:val="18"/>
              </w:rPr>
              <w:t>Net Income ÷ Shareholders’ Equity</w:t>
            </w:r>
          </w:p>
        </w:tc>
        <w:tc>
          <w:tcPr>
            <w:tcW w:w="0" w:type="auto"/>
            <w:hideMark/>
          </w:tcPr>
          <w:p w14:paraId="4E9C899D" w14:textId="77777777" w:rsidR="001C38C4" w:rsidRPr="001C38C4" w:rsidRDefault="001C38C4" w:rsidP="001C38C4">
            <w:pPr>
              <w:spacing w:after="160"/>
              <w:rPr>
                <w:sz w:val="20"/>
                <w:szCs w:val="18"/>
              </w:rPr>
            </w:pPr>
            <w:r w:rsidRPr="001C38C4">
              <w:rPr>
                <w:sz w:val="20"/>
                <w:szCs w:val="18"/>
              </w:rPr>
              <w:t xml:space="preserve">6,487 ÷ 19,021 = </w:t>
            </w:r>
            <w:r w:rsidRPr="001C38C4">
              <w:rPr>
                <w:b/>
                <w:bCs/>
                <w:sz w:val="20"/>
                <w:szCs w:val="18"/>
              </w:rPr>
              <w:t>34.1%</w:t>
            </w:r>
          </w:p>
        </w:tc>
        <w:tc>
          <w:tcPr>
            <w:tcW w:w="0" w:type="auto"/>
            <w:hideMark/>
          </w:tcPr>
          <w:p w14:paraId="66582AD1" w14:textId="77777777" w:rsidR="001C38C4" w:rsidRPr="001C38C4" w:rsidRDefault="001C38C4" w:rsidP="001C38C4">
            <w:pPr>
              <w:spacing w:after="160"/>
              <w:rPr>
                <w:sz w:val="20"/>
                <w:szCs w:val="18"/>
              </w:rPr>
            </w:pPr>
            <w:r w:rsidRPr="001C38C4">
              <w:rPr>
                <w:sz w:val="20"/>
                <w:szCs w:val="18"/>
              </w:rPr>
              <w:t xml:space="preserve">5,744 ÷ 18,102 = </w:t>
            </w:r>
            <w:r w:rsidRPr="001C38C4">
              <w:rPr>
                <w:b/>
                <w:bCs/>
                <w:sz w:val="20"/>
                <w:szCs w:val="18"/>
              </w:rPr>
              <w:t>31.7%</w:t>
            </w:r>
          </w:p>
        </w:tc>
      </w:tr>
    </w:tbl>
    <w:p w14:paraId="710DA305" w14:textId="77777777" w:rsidR="001C38C4" w:rsidRDefault="001C38C4" w:rsidP="001C38C4"/>
    <w:p w14:paraId="44C9A65C" w14:textId="20B59479" w:rsidR="001C38C4" w:rsidRPr="001C38C4" w:rsidRDefault="001C38C4" w:rsidP="001C38C4">
      <w:r w:rsidRPr="001C38C4">
        <w:t xml:space="preserve">The improvement in </w:t>
      </w:r>
      <w:r w:rsidRPr="001C38C4">
        <w:rPr>
          <w:b/>
          <w:bCs/>
        </w:rPr>
        <w:t>gross margin</w:t>
      </w:r>
      <w:r w:rsidRPr="001C38C4">
        <w:t xml:space="preserve"> from 42.3% in 2023 to 45.1% in 2024 indicates enhanced cost control and pricing discipline. Despite relatively stable revenues, Unilever appears to have </w:t>
      </w:r>
      <w:r w:rsidRPr="001C38C4">
        <w:lastRenderedPageBreak/>
        <w:t>benefited from supply chain efficiencies, selective price increases and portfolio optimisation across its higher-margin Beauty &amp; Wellbeing and Personal Care segments. This aligns with prior research suggesting that strong brands enable FMCG firms to partially offset cost inflation through pricing power (Damodaran, 2024).</w:t>
      </w:r>
    </w:p>
    <w:p w14:paraId="06FFE0EE" w14:textId="77777777" w:rsidR="001C38C4" w:rsidRDefault="001C38C4" w:rsidP="001C38C4">
      <w:r w:rsidRPr="001C38C4">
        <w:t xml:space="preserve">A similar upward trend is observed in the </w:t>
      </w:r>
      <w:r w:rsidRPr="001C38C4">
        <w:rPr>
          <w:b/>
          <w:bCs/>
        </w:rPr>
        <w:t>operating margin</w:t>
      </w:r>
      <w:r w:rsidRPr="001C38C4">
        <w:t>, which increased from 16.9% to 18.5%. This reflects not only the improvement at the gross profit level but also effective management of operating expenses, which rose at a slower pace than revenues. Operating margin is widely regarded as a key indicator of managerial efficiency, particularly in multinational organisations with complex cost structures (Penman, 2013).</w:t>
      </w:r>
    </w:p>
    <w:p w14:paraId="7F80B8E5" w14:textId="77777777" w:rsidR="0049644F" w:rsidRDefault="009729AC" w:rsidP="0049644F">
      <w:pPr>
        <w:keepNext/>
        <w:jc w:val="center"/>
      </w:pPr>
      <w:r>
        <w:rPr>
          <w:noProof/>
        </w:rPr>
        <w:drawing>
          <wp:inline distT="0" distB="0" distL="0" distR="0" wp14:anchorId="1D1E97D0" wp14:editId="2F64D2D7">
            <wp:extent cx="2616390" cy="2110740"/>
            <wp:effectExtent l="76200" t="76200" r="127000" b="137160"/>
            <wp:docPr id="80117267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7878" cy="212000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9551EE4" w14:textId="09421FF1" w:rsidR="009729AC" w:rsidRPr="001C38C4" w:rsidRDefault="0049644F" w:rsidP="0049644F">
      <w:pPr>
        <w:pStyle w:val="Caption"/>
        <w:jc w:val="center"/>
      </w:pPr>
      <w:r>
        <w:t xml:space="preserve">Figure </w:t>
      </w:r>
      <w:fldSimple w:instr=" SEQ Figure \* ARABIC ">
        <w:r>
          <w:rPr>
            <w:noProof/>
          </w:rPr>
          <w:t>1</w:t>
        </w:r>
      </w:fldSimple>
      <w:r>
        <w:t xml:space="preserve"> </w:t>
      </w:r>
      <w:r w:rsidRPr="000F796B">
        <w:t>Profitability Margins (2023–2024)</w:t>
      </w:r>
    </w:p>
    <w:p w14:paraId="2164C535" w14:textId="77777777" w:rsidR="001C38C4" w:rsidRDefault="001C38C4" w:rsidP="001C38C4">
      <w:r w:rsidRPr="001C38C4">
        <w:rPr>
          <w:b/>
          <w:bCs/>
        </w:rPr>
        <w:t>Return on capital employed (ROCE)</w:t>
      </w:r>
      <w:r w:rsidRPr="001C38C4">
        <w:t xml:space="preserve"> improved from 19.4% in 2023 to 20.6% in 2024, indicating more efficient use of long-term capital. This suggests that incremental investments in assets and working capital have generated proportionately higher operating returns. From a strategic perspective, this level of ROCE exceeds typical FMCG sector benchmarks and indicates value creation above the firm’s cost of capital (Brigham and Ehrhardt, 2020).</w:t>
      </w:r>
    </w:p>
    <w:p w14:paraId="4C6DFB2F" w14:textId="77777777" w:rsidR="0049644F" w:rsidRDefault="009729AC" w:rsidP="0049644F">
      <w:pPr>
        <w:keepNext/>
        <w:jc w:val="center"/>
      </w:pPr>
      <w:r>
        <w:rPr>
          <w:noProof/>
        </w:rPr>
        <w:lastRenderedPageBreak/>
        <w:drawing>
          <wp:inline distT="0" distB="0" distL="0" distR="0" wp14:anchorId="354D0166" wp14:editId="33160FCD">
            <wp:extent cx="2686359" cy="2118360"/>
            <wp:effectExtent l="76200" t="76200" r="133350" b="129540"/>
            <wp:docPr id="166921281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98378" cy="212783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2F74880" w14:textId="6CBF7354" w:rsidR="009729AC" w:rsidRPr="001C38C4" w:rsidRDefault="0049644F" w:rsidP="0049644F">
      <w:pPr>
        <w:pStyle w:val="Caption"/>
        <w:jc w:val="center"/>
      </w:pPr>
      <w:r>
        <w:t xml:space="preserve">Figure </w:t>
      </w:r>
      <w:fldSimple w:instr=" SEQ Figure \* ARABIC ">
        <w:r>
          <w:rPr>
            <w:noProof/>
          </w:rPr>
          <w:t>2</w:t>
        </w:r>
      </w:fldSimple>
      <w:r>
        <w:t xml:space="preserve"> </w:t>
      </w:r>
      <w:r w:rsidRPr="00E620DB">
        <w:t>Return Ratios – ROCE and ROE</w:t>
      </w:r>
    </w:p>
    <w:p w14:paraId="31EE4551" w14:textId="77777777" w:rsidR="001C38C4" w:rsidRPr="001C38C4" w:rsidRDefault="001C38C4" w:rsidP="001C38C4">
      <w:r w:rsidRPr="001C38C4">
        <w:t xml:space="preserve">In contrast, </w:t>
      </w:r>
      <w:r w:rsidRPr="001C38C4">
        <w:rPr>
          <w:b/>
          <w:bCs/>
        </w:rPr>
        <w:t>return on equity (ROE)</w:t>
      </w:r>
      <w:r w:rsidRPr="001C38C4">
        <w:t xml:space="preserve"> declined from 34.1% to 31.7%. This reduction is primarily attributable to lower net income in 2024, despite relatively stable equity levels. While the ROE remains strong, the decline highlights increased pressure on bottom-line profitability, potentially driven by higher financing costs and restructuring-related charges. As noted by Lev and Sunder (1979), ROE can be sensitive to changes in leverage and accounting treatments, reinforcing the need to interpret it alongside other profitability measures.</w:t>
      </w:r>
    </w:p>
    <w:p w14:paraId="1CE5FDB5" w14:textId="77777777" w:rsidR="001C38C4" w:rsidRPr="001C38C4" w:rsidRDefault="001C38C4" w:rsidP="001C38C4">
      <w:r w:rsidRPr="001C38C4">
        <w:t>Overall, Unilever’s profitability performance shows clear operational improvement, although sustaining high shareholder returns will depend on maintaining margin discipline and managing financial risk effectively (Atrill and McLaney, 2023).</w:t>
      </w:r>
    </w:p>
    <w:p w14:paraId="3C8299B4" w14:textId="77777777" w:rsidR="0094358C" w:rsidRPr="0094358C" w:rsidRDefault="0094358C" w:rsidP="0094358C">
      <w:pPr>
        <w:pStyle w:val="Heading2"/>
      </w:pPr>
      <w:bookmarkStart w:id="5" w:name="_Toc217483965"/>
      <w:r w:rsidRPr="0094358C">
        <w:t>4. Liquidity Analysis</w:t>
      </w:r>
      <w:bookmarkEnd w:id="5"/>
    </w:p>
    <w:p w14:paraId="794F4FE0" w14:textId="27710827" w:rsidR="0094358C" w:rsidRPr="0094358C" w:rsidRDefault="0060260B" w:rsidP="0094358C">
      <w:r w:rsidRPr="0060260B">
        <w:t>Liquidity ratios assess how well a business meets its short-term debt as they become due and is one of the indicators of short-term financial strength. In these cases, the liquidity management is crucial to a large multinational FMCG company like Unilever PLC because it helps to sustain the business, handle the current resources efficiently and keep all stakeholders on board (Atrill and McLaney, 2023). This part evaluates the current ratio, quick ratio and operating cash flow status of the financial year ended 31 December 2023 and 31 December 2024</w:t>
      </w:r>
      <w:r w:rsidR="0094358C" w:rsidRPr="0094358C">
        <w:t>.</w:t>
      </w:r>
      <w:r>
        <w:t xml:space="preserve"> </w:t>
      </w:r>
    </w:p>
    <w:p w14:paraId="20C183CF" w14:textId="77777777" w:rsidR="0094358C" w:rsidRPr="0094358C" w:rsidRDefault="0094358C" w:rsidP="0094358C">
      <w:pPr>
        <w:rPr>
          <w:b/>
          <w:bCs/>
        </w:rPr>
      </w:pPr>
      <w:r w:rsidRPr="0094358C">
        <w:rPr>
          <w:b/>
          <w:bCs/>
        </w:rPr>
        <w:t>Table 2: Liquidity Ratios – Unilever PLC (2023–2024)</w:t>
      </w:r>
    </w:p>
    <w:p w14:paraId="3AEA6ACD" w14:textId="77777777" w:rsidR="0094358C" w:rsidRPr="0094358C" w:rsidRDefault="0094358C" w:rsidP="0094358C">
      <w:r w:rsidRPr="0094358C">
        <w:rPr>
          <w:i/>
          <w:iCs/>
        </w:rPr>
        <w:t>(All figures in thousands)</w:t>
      </w:r>
    </w:p>
    <w:tbl>
      <w:tblPr>
        <w:tblStyle w:val="TableGridLight"/>
        <w:tblW w:w="0" w:type="auto"/>
        <w:tblLook w:val="04A0" w:firstRow="1" w:lastRow="0" w:firstColumn="1" w:lastColumn="0" w:noHBand="0" w:noVBand="1"/>
      </w:tblPr>
      <w:tblGrid>
        <w:gridCol w:w="1973"/>
        <w:gridCol w:w="2931"/>
        <w:gridCol w:w="2054"/>
        <w:gridCol w:w="2058"/>
      </w:tblGrid>
      <w:tr w:rsidR="0094358C" w:rsidRPr="0094358C" w14:paraId="6FFB605E" w14:textId="77777777" w:rsidTr="0094358C">
        <w:tc>
          <w:tcPr>
            <w:tcW w:w="0" w:type="auto"/>
            <w:hideMark/>
          </w:tcPr>
          <w:p w14:paraId="4E1002B4" w14:textId="77777777" w:rsidR="0094358C" w:rsidRPr="0094358C" w:rsidRDefault="0094358C" w:rsidP="0094358C">
            <w:pPr>
              <w:spacing w:after="160"/>
              <w:rPr>
                <w:b/>
                <w:bCs/>
                <w:sz w:val="20"/>
                <w:szCs w:val="18"/>
              </w:rPr>
            </w:pPr>
            <w:r w:rsidRPr="0094358C">
              <w:rPr>
                <w:b/>
                <w:bCs/>
                <w:sz w:val="20"/>
                <w:szCs w:val="18"/>
              </w:rPr>
              <w:t>Ratio</w:t>
            </w:r>
          </w:p>
        </w:tc>
        <w:tc>
          <w:tcPr>
            <w:tcW w:w="0" w:type="auto"/>
            <w:hideMark/>
          </w:tcPr>
          <w:p w14:paraId="57449120" w14:textId="77777777" w:rsidR="0094358C" w:rsidRPr="0094358C" w:rsidRDefault="0094358C" w:rsidP="0094358C">
            <w:pPr>
              <w:spacing w:after="160"/>
              <w:rPr>
                <w:b/>
                <w:bCs/>
                <w:sz w:val="20"/>
                <w:szCs w:val="18"/>
              </w:rPr>
            </w:pPr>
            <w:r w:rsidRPr="0094358C">
              <w:rPr>
                <w:b/>
                <w:bCs/>
                <w:sz w:val="20"/>
                <w:szCs w:val="18"/>
              </w:rPr>
              <w:t>Formula</w:t>
            </w:r>
          </w:p>
        </w:tc>
        <w:tc>
          <w:tcPr>
            <w:tcW w:w="0" w:type="auto"/>
            <w:hideMark/>
          </w:tcPr>
          <w:p w14:paraId="7C805B61" w14:textId="77777777" w:rsidR="0094358C" w:rsidRPr="0094358C" w:rsidRDefault="0094358C" w:rsidP="0094358C">
            <w:pPr>
              <w:spacing w:after="160"/>
              <w:rPr>
                <w:b/>
                <w:bCs/>
                <w:sz w:val="20"/>
                <w:szCs w:val="18"/>
              </w:rPr>
            </w:pPr>
            <w:r w:rsidRPr="0094358C">
              <w:rPr>
                <w:b/>
                <w:bCs/>
                <w:sz w:val="20"/>
                <w:szCs w:val="18"/>
              </w:rPr>
              <w:t>2023</w:t>
            </w:r>
          </w:p>
        </w:tc>
        <w:tc>
          <w:tcPr>
            <w:tcW w:w="0" w:type="auto"/>
            <w:hideMark/>
          </w:tcPr>
          <w:p w14:paraId="633E8183" w14:textId="77777777" w:rsidR="0094358C" w:rsidRPr="0094358C" w:rsidRDefault="0094358C" w:rsidP="0094358C">
            <w:pPr>
              <w:spacing w:after="160"/>
              <w:rPr>
                <w:b/>
                <w:bCs/>
                <w:sz w:val="20"/>
                <w:szCs w:val="18"/>
              </w:rPr>
            </w:pPr>
            <w:r w:rsidRPr="0094358C">
              <w:rPr>
                <w:b/>
                <w:bCs/>
                <w:sz w:val="20"/>
                <w:szCs w:val="18"/>
              </w:rPr>
              <w:t>2024</w:t>
            </w:r>
          </w:p>
        </w:tc>
      </w:tr>
      <w:tr w:rsidR="0094358C" w:rsidRPr="0094358C" w14:paraId="21194EED" w14:textId="77777777" w:rsidTr="0094358C">
        <w:tc>
          <w:tcPr>
            <w:tcW w:w="0" w:type="auto"/>
            <w:hideMark/>
          </w:tcPr>
          <w:p w14:paraId="19ACF7ED" w14:textId="77777777" w:rsidR="0094358C" w:rsidRPr="0094358C" w:rsidRDefault="0094358C" w:rsidP="0094358C">
            <w:pPr>
              <w:spacing w:after="160"/>
              <w:rPr>
                <w:sz w:val="20"/>
                <w:szCs w:val="18"/>
              </w:rPr>
            </w:pPr>
            <w:r w:rsidRPr="0094358C">
              <w:rPr>
                <w:b/>
                <w:bCs/>
                <w:sz w:val="20"/>
                <w:szCs w:val="18"/>
              </w:rPr>
              <w:lastRenderedPageBreak/>
              <w:t>Current Ratio</w:t>
            </w:r>
          </w:p>
        </w:tc>
        <w:tc>
          <w:tcPr>
            <w:tcW w:w="0" w:type="auto"/>
            <w:hideMark/>
          </w:tcPr>
          <w:p w14:paraId="1BB009A7" w14:textId="77777777" w:rsidR="0094358C" w:rsidRPr="0094358C" w:rsidRDefault="0094358C" w:rsidP="0094358C">
            <w:pPr>
              <w:spacing w:after="160"/>
              <w:rPr>
                <w:sz w:val="20"/>
                <w:szCs w:val="18"/>
              </w:rPr>
            </w:pPr>
            <w:r w:rsidRPr="0094358C">
              <w:rPr>
                <w:sz w:val="20"/>
                <w:szCs w:val="18"/>
              </w:rPr>
              <w:t>Current Assets ÷ Current Liabilities</w:t>
            </w:r>
          </w:p>
        </w:tc>
        <w:tc>
          <w:tcPr>
            <w:tcW w:w="0" w:type="auto"/>
            <w:hideMark/>
          </w:tcPr>
          <w:p w14:paraId="4B6F1B3E" w14:textId="77777777" w:rsidR="0094358C" w:rsidRPr="0094358C" w:rsidRDefault="0094358C" w:rsidP="0094358C">
            <w:pPr>
              <w:spacing w:after="160"/>
              <w:rPr>
                <w:sz w:val="20"/>
                <w:szCs w:val="18"/>
              </w:rPr>
            </w:pPr>
            <w:r w:rsidRPr="0094358C">
              <w:rPr>
                <w:sz w:val="20"/>
                <w:szCs w:val="18"/>
              </w:rPr>
              <w:t xml:space="preserve">17,902 ÷ 23,507 = </w:t>
            </w:r>
            <w:r w:rsidRPr="0094358C">
              <w:rPr>
                <w:b/>
                <w:bCs/>
                <w:sz w:val="20"/>
                <w:szCs w:val="18"/>
              </w:rPr>
              <w:t>0.76</w:t>
            </w:r>
          </w:p>
        </w:tc>
        <w:tc>
          <w:tcPr>
            <w:tcW w:w="0" w:type="auto"/>
            <w:hideMark/>
          </w:tcPr>
          <w:p w14:paraId="0074EF9F" w14:textId="77777777" w:rsidR="0094358C" w:rsidRPr="0094358C" w:rsidRDefault="0094358C" w:rsidP="0094358C">
            <w:pPr>
              <w:spacing w:after="160"/>
              <w:rPr>
                <w:sz w:val="20"/>
                <w:szCs w:val="18"/>
              </w:rPr>
            </w:pPr>
            <w:r w:rsidRPr="0094358C">
              <w:rPr>
                <w:sz w:val="20"/>
                <w:szCs w:val="18"/>
              </w:rPr>
              <w:t xml:space="preserve">19,194 ÷ 25,234 = </w:t>
            </w:r>
            <w:r w:rsidRPr="0094358C">
              <w:rPr>
                <w:b/>
                <w:bCs/>
                <w:sz w:val="20"/>
                <w:szCs w:val="18"/>
              </w:rPr>
              <w:t>0.76</w:t>
            </w:r>
          </w:p>
        </w:tc>
      </w:tr>
      <w:tr w:rsidR="0094358C" w:rsidRPr="0094358C" w14:paraId="415CB6C9" w14:textId="77777777" w:rsidTr="0094358C">
        <w:tc>
          <w:tcPr>
            <w:tcW w:w="0" w:type="auto"/>
            <w:hideMark/>
          </w:tcPr>
          <w:p w14:paraId="62F59B5C" w14:textId="77777777" w:rsidR="0094358C" w:rsidRPr="0094358C" w:rsidRDefault="0094358C" w:rsidP="0094358C">
            <w:pPr>
              <w:spacing w:after="160"/>
              <w:rPr>
                <w:sz w:val="20"/>
                <w:szCs w:val="18"/>
              </w:rPr>
            </w:pPr>
            <w:r w:rsidRPr="0094358C">
              <w:rPr>
                <w:b/>
                <w:bCs/>
                <w:sz w:val="20"/>
                <w:szCs w:val="18"/>
              </w:rPr>
              <w:t>Quick Ratio</w:t>
            </w:r>
          </w:p>
        </w:tc>
        <w:tc>
          <w:tcPr>
            <w:tcW w:w="0" w:type="auto"/>
            <w:hideMark/>
          </w:tcPr>
          <w:p w14:paraId="035605C9" w14:textId="77777777" w:rsidR="0094358C" w:rsidRPr="0094358C" w:rsidRDefault="0094358C" w:rsidP="0094358C">
            <w:pPr>
              <w:spacing w:after="160"/>
              <w:rPr>
                <w:sz w:val="20"/>
                <w:szCs w:val="18"/>
              </w:rPr>
            </w:pPr>
            <w:r w:rsidRPr="0094358C">
              <w:rPr>
                <w:sz w:val="20"/>
                <w:szCs w:val="18"/>
              </w:rPr>
              <w:t>(Current Assets − Inventory) ÷ Current Liabilities</w:t>
            </w:r>
          </w:p>
        </w:tc>
        <w:tc>
          <w:tcPr>
            <w:tcW w:w="0" w:type="auto"/>
            <w:hideMark/>
          </w:tcPr>
          <w:p w14:paraId="1628944A" w14:textId="77777777" w:rsidR="0094358C" w:rsidRPr="0094358C" w:rsidRDefault="0094358C" w:rsidP="0094358C">
            <w:pPr>
              <w:spacing w:after="160"/>
              <w:rPr>
                <w:sz w:val="20"/>
                <w:szCs w:val="18"/>
              </w:rPr>
            </w:pPr>
            <w:r w:rsidRPr="0094358C">
              <w:rPr>
                <w:sz w:val="20"/>
                <w:szCs w:val="18"/>
              </w:rPr>
              <w:t xml:space="preserve">(17,902 − 5,119) ÷ 23,507 = </w:t>
            </w:r>
            <w:r w:rsidRPr="0094358C">
              <w:rPr>
                <w:b/>
                <w:bCs/>
                <w:sz w:val="20"/>
                <w:szCs w:val="18"/>
              </w:rPr>
              <w:t>0.54</w:t>
            </w:r>
          </w:p>
        </w:tc>
        <w:tc>
          <w:tcPr>
            <w:tcW w:w="0" w:type="auto"/>
            <w:hideMark/>
          </w:tcPr>
          <w:p w14:paraId="2DCD8B10" w14:textId="77777777" w:rsidR="0094358C" w:rsidRPr="0094358C" w:rsidRDefault="0094358C" w:rsidP="0094358C">
            <w:pPr>
              <w:spacing w:after="160"/>
              <w:rPr>
                <w:sz w:val="20"/>
                <w:szCs w:val="18"/>
              </w:rPr>
            </w:pPr>
            <w:r w:rsidRPr="0094358C">
              <w:rPr>
                <w:sz w:val="20"/>
                <w:szCs w:val="18"/>
              </w:rPr>
              <w:t xml:space="preserve">(19,194 − 5,177) ÷ 25,234 = </w:t>
            </w:r>
            <w:r w:rsidRPr="0094358C">
              <w:rPr>
                <w:b/>
                <w:bCs/>
                <w:sz w:val="20"/>
                <w:szCs w:val="18"/>
              </w:rPr>
              <w:t>0.56</w:t>
            </w:r>
          </w:p>
        </w:tc>
      </w:tr>
      <w:tr w:rsidR="0094358C" w:rsidRPr="0094358C" w14:paraId="46CBA86F" w14:textId="77777777" w:rsidTr="0094358C">
        <w:tc>
          <w:tcPr>
            <w:tcW w:w="0" w:type="auto"/>
            <w:hideMark/>
          </w:tcPr>
          <w:p w14:paraId="1CDD0BEC" w14:textId="77777777" w:rsidR="0094358C" w:rsidRPr="0094358C" w:rsidRDefault="0094358C" w:rsidP="0094358C">
            <w:pPr>
              <w:spacing w:after="160"/>
              <w:rPr>
                <w:sz w:val="20"/>
                <w:szCs w:val="18"/>
              </w:rPr>
            </w:pPr>
            <w:r w:rsidRPr="0094358C">
              <w:rPr>
                <w:b/>
                <w:bCs/>
                <w:sz w:val="20"/>
                <w:szCs w:val="18"/>
              </w:rPr>
              <w:t>Operating Cash Flow Ratio</w:t>
            </w:r>
          </w:p>
        </w:tc>
        <w:tc>
          <w:tcPr>
            <w:tcW w:w="0" w:type="auto"/>
            <w:hideMark/>
          </w:tcPr>
          <w:p w14:paraId="671F1A79" w14:textId="77777777" w:rsidR="0094358C" w:rsidRPr="0094358C" w:rsidRDefault="0094358C" w:rsidP="0094358C">
            <w:pPr>
              <w:spacing w:after="160"/>
              <w:rPr>
                <w:sz w:val="20"/>
                <w:szCs w:val="18"/>
              </w:rPr>
            </w:pPr>
            <w:r w:rsidRPr="0094358C">
              <w:rPr>
                <w:sz w:val="20"/>
                <w:szCs w:val="18"/>
              </w:rPr>
              <w:t>Operating Cash Flow ÷ Current Liabilities</w:t>
            </w:r>
          </w:p>
        </w:tc>
        <w:tc>
          <w:tcPr>
            <w:tcW w:w="0" w:type="auto"/>
            <w:hideMark/>
          </w:tcPr>
          <w:p w14:paraId="2F478793" w14:textId="77777777" w:rsidR="0094358C" w:rsidRPr="0094358C" w:rsidRDefault="0094358C" w:rsidP="0094358C">
            <w:pPr>
              <w:spacing w:after="160"/>
              <w:rPr>
                <w:sz w:val="20"/>
                <w:szCs w:val="18"/>
              </w:rPr>
            </w:pPr>
            <w:r w:rsidRPr="0094358C">
              <w:rPr>
                <w:sz w:val="20"/>
                <w:szCs w:val="18"/>
              </w:rPr>
              <w:t xml:space="preserve">9,426 ÷ 23,507 = </w:t>
            </w:r>
            <w:r w:rsidRPr="0094358C">
              <w:rPr>
                <w:b/>
                <w:bCs/>
                <w:sz w:val="20"/>
                <w:szCs w:val="18"/>
              </w:rPr>
              <w:t>0.40</w:t>
            </w:r>
          </w:p>
        </w:tc>
        <w:tc>
          <w:tcPr>
            <w:tcW w:w="0" w:type="auto"/>
            <w:hideMark/>
          </w:tcPr>
          <w:p w14:paraId="6628D04B" w14:textId="77777777" w:rsidR="0094358C" w:rsidRPr="0094358C" w:rsidRDefault="0094358C" w:rsidP="0094358C">
            <w:pPr>
              <w:spacing w:after="160"/>
              <w:rPr>
                <w:sz w:val="20"/>
                <w:szCs w:val="18"/>
              </w:rPr>
            </w:pPr>
            <w:r w:rsidRPr="0094358C">
              <w:rPr>
                <w:sz w:val="20"/>
                <w:szCs w:val="18"/>
              </w:rPr>
              <w:t xml:space="preserve">8,442 ÷ 25,234 = </w:t>
            </w:r>
            <w:r w:rsidRPr="0094358C">
              <w:rPr>
                <w:b/>
                <w:bCs/>
                <w:sz w:val="20"/>
                <w:szCs w:val="18"/>
              </w:rPr>
              <w:t>0.33</w:t>
            </w:r>
          </w:p>
        </w:tc>
      </w:tr>
    </w:tbl>
    <w:p w14:paraId="5AF52D7C" w14:textId="77777777" w:rsidR="0094358C" w:rsidRDefault="0094358C" w:rsidP="0094358C"/>
    <w:p w14:paraId="1E736D2E" w14:textId="0F76C877" w:rsidR="0094358C" w:rsidRPr="0094358C" w:rsidRDefault="0094358C" w:rsidP="0094358C">
      <w:r w:rsidRPr="0094358C">
        <w:t xml:space="preserve">The </w:t>
      </w:r>
      <w:r w:rsidRPr="0094358C">
        <w:rPr>
          <w:b/>
          <w:bCs/>
        </w:rPr>
        <w:t>current ratio</w:t>
      </w:r>
      <w:r w:rsidRPr="0094358C">
        <w:t xml:space="preserve"> remained stable at 0.76 in both years, indicating that current liabilities exceeded current assets throughout the period. While this would traditionally signal liquidity risk, it is relatively common in the FMCG sector, where firms benefit from strong cash generation, rapid inventory turnover and significant bargaining power over suppliers (Penman, 2013). Unilever’s negative working capital position reflects an efficient operating model rather than immediate financial distress.</w:t>
      </w:r>
    </w:p>
    <w:p w14:paraId="4D3052AE" w14:textId="77777777" w:rsidR="0094358C" w:rsidRDefault="0094358C" w:rsidP="0094358C">
      <w:r w:rsidRPr="0094358C">
        <w:t xml:space="preserve">The </w:t>
      </w:r>
      <w:r w:rsidRPr="0094358C">
        <w:rPr>
          <w:b/>
          <w:bCs/>
        </w:rPr>
        <w:t>quick ratio</w:t>
      </w:r>
      <w:r w:rsidRPr="0094358C">
        <w:t>, which excludes inventory, improved marginally from 0.54 in 2023 to 0.56 in 2024. This suggests a modest strengthening of Unilever’s immediate liquidity position, largely driven by higher cash and short-term investments. Nevertheless, the ratio remains below the conventional benchmark of 1:1, reinforcing the company’s reliance on continuous cash inflows to meet short-term obligations (Atrill and McLaney, 2023).</w:t>
      </w:r>
    </w:p>
    <w:p w14:paraId="253DCC10" w14:textId="77777777" w:rsidR="0049644F" w:rsidRDefault="009729AC" w:rsidP="0049644F">
      <w:pPr>
        <w:keepNext/>
        <w:jc w:val="center"/>
      </w:pPr>
      <w:r>
        <w:rPr>
          <w:noProof/>
        </w:rPr>
        <w:drawing>
          <wp:inline distT="0" distB="0" distL="0" distR="0" wp14:anchorId="45B7CCE9" wp14:editId="0401F8B3">
            <wp:extent cx="2966592" cy="2339340"/>
            <wp:effectExtent l="76200" t="76200" r="139065" b="137160"/>
            <wp:docPr id="35140055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977921" cy="234827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A566FFF" w14:textId="1267093B" w:rsidR="009729AC" w:rsidRPr="0094358C" w:rsidRDefault="0049644F" w:rsidP="0049644F">
      <w:pPr>
        <w:pStyle w:val="Caption"/>
        <w:jc w:val="center"/>
      </w:pPr>
      <w:r>
        <w:t xml:space="preserve">Figure </w:t>
      </w:r>
      <w:fldSimple w:instr=" SEQ Figure \* ARABIC ">
        <w:r>
          <w:rPr>
            <w:noProof/>
          </w:rPr>
          <w:t>3</w:t>
        </w:r>
      </w:fldSimple>
      <w:r>
        <w:t xml:space="preserve"> </w:t>
      </w:r>
      <w:r w:rsidRPr="00CC678B">
        <w:t>Liquidity Ratios</w:t>
      </w:r>
    </w:p>
    <w:p w14:paraId="51E0B64D" w14:textId="77777777" w:rsidR="0094358C" w:rsidRPr="0094358C" w:rsidRDefault="0094358C" w:rsidP="0094358C">
      <w:r w:rsidRPr="0094358C">
        <w:t xml:space="preserve">Cash flow analysis provides a more dynamic assessment of liquidity. Unilever generated operating cash flows of £9.4 billion in 2023 and £8.4 billion in 2024, demonstrating strong cash-generating capability despite a slight year-on-year decline. However, the </w:t>
      </w:r>
      <w:r w:rsidRPr="0094358C">
        <w:rPr>
          <w:b/>
          <w:bCs/>
        </w:rPr>
        <w:t xml:space="preserve">operating cash </w:t>
      </w:r>
      <w:r w:rsidRPr="0094358C">
        <w:rPr>
          <w:b/>
          <w:bCs/>
        </w:rPr>
        <w:lastRenderedPageBreak/>
        <w:t>flow ratio</w:t>
      </w:r>
      <w:r w:rsidRPr="0094358C">
        <w:t xml:space="preserve"> fell from 0.40 to 0.33, indicating reduced short-term coverage of current liabilities. This decline may reflect higher working capital requirements or increased operating costs.</w:t>
      </w:r>
    </w:p>
    <w:p w14:paraId="34BE80B0" w14:textId="77777777" w:rsidR="0094358C" w:rsidRPr="0094358C" w:rsidRDefault="0094358C" w:rsidP="0094358C">
      <w:r w:rsidRPr="0094358C">
        <w:t>Overall, while Unilever’s liquidity ratios appear weak in isolation, strong and recurring operating cash flows significantly mitigate liquidity risk. As highlighted by Brigham and Ehrhardt (2020), cash flow-based measures are often more informative than static balance sheet ratios, particularly for large, cash-generative multinational firms.</w:t>
      </w:r>
    </w:p>
    <w:p w14:paraId="05684BE0" w14:textId="77777777" w:rsidR="002F69E2" w:rsidRPr="002F69E2" w:rsidRDefault="002F69E2" w:rsidP="002F69E2">
      <w:pPr>
        <w:pStyle w:val="Heading2"/>
      </w:pPr>
      <w:bookmarkStart w:id="6" w:name="_Toc217483966"/>
      <w:r w:rsidRPr="002F69E2">
        <w:t>5. Efficiency Analysis</w:t>
      </w:r>
      <w:bookmarkEnd w:id="6"/>
    </w:p>
    <w:p w14:paraId="0D338055" w14:textId="6F16A0C2" w:rsidR="002F69E2" w:rsidRPr="002F69E2" w:rsidRDefault="00C97182" w:rsidP="002F69E2">
      <w:r w:rsidRPr="00C97182">
        <w:t>The efficiency ratios will determine the effectiveness of Unilever PLC in leveraging its assets and working capital in making money. In a strong FMCG organisation with relatively low margins and large turning volumes, the effective use of the assets and the management of the working capital are the key factors in determining operational performance and cash flow (Atrill and McLaney, 2023). In this part, asset turnover, inventory days and days to receivables of financial years ending on 31 December 2023 and 31 December 2024 are evaluated</w:t>
      </w:r>
      <w:r w:rsidR="002F69E2" w:rsidRPr="002F69E2">
        <w:t>.</w:t>
      </w:r>
    </w:p>
    <w:p w14:paraId="1E57942E" w14:textId="77777777" w:rsidR="002F69E2" w:rsidRPr="002F69E2" w:rsidRDefault="002F69E2" w:rsidP="002F69E2">
      <w:pPr>
        <w:rPr>
          <w:b/>
          <w:bCs/>
        </w:rPr>
      </w:pPr>
      <w:r w:rsidRPr="002F69E2">
        <w:rPr>
          <w:b/>
          <w:bCs/>
        </w:rPr>
        <w:t>Table 3: Efficiency Ratios – Unilever PLC (2023–2024)</w:t>
      </w:r>
    </w:p>
    <w:p w14:paraId="20DC6555" w14:textId="77777777" w:rsidR="002F69E2" w:rsidRPr="002F69E2" w:rsidRDefault="002F69E2" w:rsidP="002F69E2">
      <w:r w:rsidRPr="002F69E2">
        <w:rPr>
          <w:i/>
          <w:iCs/>
        </w:rPr>
        <w:t>(All figures in thousands)</w:t>
      </w:r>
    </w:p>
    <w:tbl>
      <w:tblPr>
        <w:tblStyle w:val="TableGridLight"/>
        <w:tblW w:w="0" w:type="auto"/>
        <w:tblLook w:val="04A0" w:firstRow="1" w:lastRow="0" w:firstColumn="1" w:lastColumn="0" w:noHBand="0" w:noVBand="1"/>
      </w:tblPr>
      <w:tblGrid>
        <w:gridCol w:w="1559"/>
        <w:gridCol w:w="2756"/>
        <w:gridCol w:w="2348"/>
        <w:gridCol w:w="2353"/>
      </w:tblGrid>
      <w:tr w:rsidR="002F69E2" w:rsidRPr="002F69E2" w14:paraId="766C701A" w14:textId="77777777" w:rsidTr="002F69E2">
        <w:tc>
          <w:tcPr>
            <w:tcW w:w="0" w:type="auto"/>
            <w:hideMark/>
          </w:tcPr>
          <w:p w14:paraId="42281F55" w14:textId="77777777" w:rsidR="002F69E2" w:rsidRPr="002F69E2" w:rsidRDefault="002F69E2" w:rsidP="002F69E2">
            <w:pPr>
              <w:spacing w:after="160"/>
              <w:rPr>
                <w:b/>
                <w:bCs/>
                <w:sz w:val="20"/>
                <w:szCs w:val="18"/>
              </w:rPr>
            </w:pPr>
            <w:r w:rsidRPr="002F69E2">
              <w:rPr>
                <w:b/>
                <w:bCs/>
                <w:sz w:val="20"/>
                <w:szCs w:val="18"/>
              </w:rPr>
              <w:t>Ratio</w:t>
            </w:r>
          </w:p>
        </w:tc>
        <w:tc>
          <w:tcPr>
            <w:tcW w:w="0" w:type="auto"/>
            <w:hideMark/>
          </w:tcPr>
          <w:p w14:paraId="1846D53A" w14:textId="77777777" w:rsidR="002F69E2" w:rsidRPr="002F69E2" w:rsidRDefault="002F69E2" w:rsidP="002F69E2">
            <w:pPr>
              <w:spacing w:after="160"/>
              <w:rPr>
                <w:b/>
                <w:bCs/>
                <w:sz w:val="20"/>
                <w:szCs w:val="18"/>
              </w:rPr>
            </w:pPr>
            <w:r w:rsidRPr="002F69E2">
              <w:rPr>
                <w:b/>
                <w:bCs/>
                <w:sz w:val="20"/>
                <w:szCs w:val="18"/>
              </w:rPr>
              <w:t>Formula</w:t>
            </w:r>
          </w:p>
        </w:tc>
        <w:tc>
          <w:tcPr>
            <w:tcW w:w="0" w:type="auto"/>
            <w:hideMark/>
          </w:tcPr>
          <w:p w14:paraId="706EC146" w14:textId="77777777" w:rsidR="002F69E2" w:rsidRPr="002F69E2" w:rsidRDefault="002F69E2" w:rsidP="002F69E2">
            <w:pPr>
              <w:spacing w:after="160"/>
              <w:rPr>
                <w:b/>
                <w:bCs/>
                <w:sz w:val="20"/>
                <w:szCs w:val="18"/>
              </w:rPr>
            </w:pPr>
            <w:r w:rsidRPr="002F69E2">
              <w:rPr>
                <w:b/>
                <w:bCs/>
                <w:sz w:val="20"/>
                <w:szCs w:val="18"/>
              </w:rPr>
              <w:t>2023</w:t>
            </w:r>
          </w:p>
        </w:tc>
        <w:tc>
          <w:tcPr>
            <w:tcW w:w="0" w:type="auto"/>
            <w:hideMark/>
          </w:tcPr>
          <w:p w14:paraId="63F984E7" w14:textId="77777777" w:rsidR="002F69E2" w:rsidRPr="002F69E2" w:rsidRDefault="002F69E2" w:rsidP="002F69E2">
            <w:pPr>
              <w:spacing w:after="160"/>
              <w:rPr>
                <w:b/>
                <w:bCs/>
                <w:sz w:val="20"/>
                <w:szCs w:val="18"/>
              </w:rPr>
            </w:pPr>
            <w:r w:rsidRPr="002F69E2">
              <w:rPr>
                <w:b/>
                <w:bCs/>
                <w:sz w:val="20"/>
                <w:szCs w:val="18"/>
              </w:rPr>
              <w:t>2024</w:t>
            </w:r>
          </w:p>
        </w:tc>
      </w:tr>
      <w:tr w:rsidR="002F69E2" w:rsidRPr="002F69E2" w14:paraId="05E55830" w14:textId="77777777" w:rsidTr="002F69E2">
        <w:tc>
          <w:tcPr>
            <w:tcW w:w="0" w:type="auto"/>
            <w:hideMark/>
          </w:tcPr>
          <w:p w14:paraId="39157BA6" w14:textId="77777777" w:rsidR="002F69E2" w:rsidRPr="002F69E2" w:rsidRDefault="002F69E2" w:rsidP="002F69E2">
            <w:pPr>
              <w:spacing w:after="160"/>
              <w:rPr>
                <w:sz w:val="20"/>
                <w:szCs w:val="18"/>
              </w:rPr>
            </w:pPr>
            <w:r w:rsidRPr="002F69E2">
              <w:rPr>
                <w:b/>
                <w:bCs/>
                <w:sz w:val="20"/>
                <w:szCs w:val="18"/>
              </w:rPr>
              <w:t>Asset Turnover</w:t>
            </w:r>
          </w:p>
        </w:tc>
        <w:tc>
          <w:tcPr>
            <w:tcW w:w="0" w:type="auto"/>
            <w:hideMark/>
          </w:tcPr>
          <w:p w14:paraId="08355FDB" w14:textId="77777777" w:rsidR="002F69E2" w:rsidRPr="002F69E2" w:rsidRDefault="002F69E2" w:rsidP="002F69E2">
            <w:pPr>
              <w:spacing w:after="160"/>
              <w:rPr>
                <w:sz w:val="20"/>
                <w:szCs w:val="18"/>
              </w:rPr>
            </w:pPr>
            <w:r w:rsidRPr="002F69E2">
              <w:rPr>
                <w:sz w:val="20"/>
                <w:szCs w:val="18"/>
              </w:rPr>
              <w:t>Revenue ÷ Total Assets</w:t>
            </w:r>
          </w:p>
        </w:tc>
        <w:tc>
          <w:tcPr>
            <w:tcW w:w="0" w:type="auto"/>
            <w:hideMark/>
          </w:tcPr>
          <w:p w14:paraId="02AB1227" w14:textId="77777777" w:rsidR="002F69E2" w:rsidRPr="002F69E2" w:rsidRDefault="002F69E2" w:rsidP="002F69E2">
            <w:pPr>
              <w:spacing w:after="160"/>
              <w:rPr>
                <w:sz w:val="20"/>
                <w:szCs w:val="18"/>
              </w:rPr>
            </w:pPr>
            <w:r w:rsidRPr="002F69E2">
              <w:rPr>
                <w:sz w:val="20"/>
                <w:szCs w:val="18"/>
              </w:rPr>
              <w:t xml:space="preserve">59,604 ÷ 75,266 = </w:t>
            </w:r>
            <w:r w:rsidRPr="002F69E2">
              <w:rPr>
                <w:b/>
                <w:bCs/>
                <w:sz w:val="20"/>
                <w:szCs w:val="18"/>
              </w:rPr>
              <w:t>0.79</w:t>
            </w:r>
          </w:p>
        </w:tc>
        <w:tc>
          <w:tcPr>
            <w:tcW w:w="0" w:type="auto"/>
            <w:hideMark/>
          </w:tcPr>
          <w:p w14:paraId="77E4217B" w14:textId="77777777" w:rsidR="002F69E2" w:rsidRPr="002F69E2" w:rsidRDefault="002F69E2" w:rsidP="002F69E2">
            <w:pPr>
              <w:spacing w:after="160"/>
              <w:rPr>
                <w:sz w:val="20"/>
                <w:szCs w:val="18"/>
              </w:rPr>
            </w:pPr>
            <w:r w:rsidRPr="002F69E2">
              <w:rPr>
                <w:sz w:val="20"/>
                <w:szCs w:val="18"/>
              </w:rPr>
              <w:t xml:space="preserve">60,761 ÷ 79,750 = </w:t>
            </w:r>
            <w:r w:rsidRPr="002F69E2">
              <w:rPr>
                <w:b/>
                <w:bCs/>
                <w:sz w:val="20"/>
                <w:szCs w:val="18"/>
              </w:rPr>
              <w:t>0.76</w:t>
            </w:r>
          </w:p>
        </w:tc>
      </w:tr>
      <w:tr w:rsidR="002F69E2" w:rsidRPr="002F69E2" w14:paraId="5DBCCB48" w14:textId="77777777" w:rsidTr="002F69E2">
        <w:tc>
          <w:tcPr>
            <w:tcW w:w="0" w:type="auto"/>
            <w:hideMark/>
          </w:tcPr>
          <w:p w14:paraId="4A74CE3A" w14:textId="77777777" w:rsidR="002F69E2" w:rsidRPr="002F69E2" w:rsidRDefault="002F69E2" w:rsidP="002F69E2">
            <w:pPr>
              <w:spacing w:after="160"/>
              <w:rPr>
                <w:sz w:val="20"/>
                <w:szCs w:val="18"/>
              </w:rPr>
            </w:pPr>
            <w:r w:rsidRPr="002F69E2">
              <w:rPr>
                <w:b/>
                <w:bCs/>
                <w:sz w:val="20"/>
                <w:szCs w:val="18"/>
              </w:rPr>
              <w:t>Inventory Days</w:t>
            </w:r>
          </w:p>
        </w:tc>
        <w:tc>
          <w:tcPr>
            <w:tcW w:w="0" w:type="auto"/>
            <w:hideMark/>
          </w:tcPr>
          <w:p w14:paraId="7E186806" w14:textId="77777777" w:rsidR="002F69E2" w:rsidRPr="002F69E2" w:rsidRDefault="002F69E2" w:rsidP="002F69E2">
            <w:pPr>
              <w:spacing w:after="160"/>
              <w:rPr>
                <w:sz w:val="20"/>
                <w:szCs w:val="18"/>
              </w:rPr>
            </w:pPr>
            <w:r w:rsidRPr="002F69E2">
              <w:rPr>
                <w:sz w:val="20"/>
                <w:szCs w:val="18"/>
              </w:rPr>
              <w:t>(Inventory ÷ Cost of Revenue) × 365</w:t>
            </w:r>
          </w:p>
        </w:tc>
        <w:tc>
          <w:tcPr>
            <w:tcW w:w="0" w:type="auto"/>
            <w:hideMark/>
          </w:tcPr>
          <w:p w14:paraId="095BB009" w14:textId="77777777" w:rsidR="002F69E2" w:rsidRPr="002F69E2" w:rsidRDefault="002F69E2" w:rsidP="002F69E2">
            <w:pPr>
              <w:spacing w:after="160"/>
              <w:rPr>
                <w:sz w:val="20"/>
                <w:szCs w:val="18"/>
              </w:rPr>
            </w:pPr>
            <w:r w:rsidRPr="002F69E2">
              <w:rPr>
                <w:sz w:val="20"/>
                <w:szCs w:val="18"/>
              </w:rPr>
              <w:t xml:space="preserve">(5,119 ÷ 34,429) × 365 = </w:t>
            </w:r>
            <w:r w:rsidRPr="002F69E2">
              <w:rPr>
                <w:b/>
                <w:bCs/>
                <w:sz w:val="20"/>
                <w:szCs w:val="18"/>
              </w:rPr>
              <w:t>54 days</w:t>
            </w:r>
          </w:p>
        </w:tc>
        <w:tc>
          <w:tcPr>
            <w:tcW w:w="0" w:type="auto"/>
            <w:hideMark/>
          </w:tcPr>
          <w:p w14:paraId="1D7CF481" w14:textId="77777777" w:rsidR="002F69E2" w:rsidRPr="002F69E2" w:rsidRDefault="002F69E2" w:rsidP="002F69E2">
            <w:pPr>
              <w:spacing w:after="160"/>
              <w:rPr>
                <w:sz w:val="20"/>
                <w:szCs w:val="18"/>
              </w:rPr>
            </w:pPr>
            <w:r w:rsidRPr="002F69E2">
              <w:rPr>
                <w:sz w:val="20"/>
                <w:szCs w:val="18"/>
              </w:rPr>
              <w:t xml:space="preserve">(5,177 ÷ 33,391) × 365 = </w:t>
            </w:r>
            <w:r w:rsidRPr="002F69E2">
              <w:rPr>
                <w:b/>
                <w:bCs/>
                <w:sz w:val="20"/>
                <w:szCs w:val="18"/>
              </w:rPr>
              <w:t>57 days</w:t>
            </w:r>
          </w:p>
        </w:tc>
      </w:tr>
      <w:tr w:rsidR="002F69E2" w:rsidRPr="002F69E2" w14:paraId="3AB355E9" w14:textId="77777777" w:rsidTr="002F69E2">
        <w:tc>
          <w:tcPr>
            <w:tcW w:w="0" w:type="auto"/>
            <w:hideMark/>
          </w:tcPr>
          <w:p w14:paraId="2ECF81DE" w14:textId="77777777" w:rsidR="002F69E2" w:rsidRPr="002F69E2" w:rsidRDefault="002F69E2" w:rsidP="002F69E2">
            <w:pPr>
              <w:spacing w:after="160"/>
              <w:rPr>
                <w:sz w:val="20"/>
                <w:szCs w:val="18"/>
              </w:rPr>
            </w:pPr>
            <w:r w:rsidRPr="002F69E2">
              <w:rPr>
                <w:b/>
                <w:bCs/>
                <w:sz w:val="20"/>
                <w:szCs w:val="18"/>
              </w:rPr>
              <w:t>Receivables Days</w:t>
            </w:r>
          </w:p>
        </w:tc>
        <w:tc>
          <w:tcPr>
            <w:tcW w:w="0" w:type="auto"/>
            <w:hideMark/>
          </w:tcPr>
          <w:p w14:paraId="69B5ED06" w14:textId="77777777" w:rsidR="002F69E2" w:rsidRPr="002F69E2" w:rsidRDefault="002F69E2" w:rsidP="002F69E2">
            <w:pPr>
              <w:spacing w:after="160"/>
              <w:rPr>
                <w:sz w:val="20"/>
                <w:szCs w:val="18"/>
              </w:rPr>
            </w:pPr>
            <w:r w:rsidRPr="002F69E2">
              <w:rPr>
                <w:sz w:val="20"/>
                <w:szCs w:val="18"/>
              </w:rPr>
              <w:t>(Trade Receivables ÷ Revenue) × 365*</w:t>
            </w:r>
          </w:p>
        </w:tc>
        <w:tc>
          <w:tcPr>
            <w:tcW w:w="0" w:type="auto"/>
            <w:hideMark/>
          </w:tcPr>
          <w:p w14:paraId="0352F50C" w14:textId="77777777" w:rsidR="002F69E2" w:rsidRPr="002F69E2" w:rsidRDefault="002F69E2" w:rsidP="002F69E2">
            <w:pPr>
              <w:spacing w:after="160"/>
              <w:rPr>
                <w:sz w:val="20"/>
                <w:szCs w:val="18"/>
              </w:rPr>
            </w:pPr>
            <w:r w:rsidRPr="002F69E2">
              <w:rPr>
                <w:sz w:val="20"/>
                <w:szCs w:val="18"/>
              </w:rPr>
              <w:t xml:space="preserve">≈ </w:t>
            </w:r>
            <w:r w:rsidRPr="002F69E2">
              <w:rPr>
                <w:b/>
                <w:bCs/>
                <w:sz w:val="20"/>
                <w:szCs w:val="18"/>
              </w:rPr>
              <w:t>32 days</w:t>
            </w:r>
          </w:p>
        </w:tc>
        <w:tc>
          <w:tcPr>
            <w:tcW w:w="0" w:type="auto"/>
            <w:hideMark/>
          </w:tcPr>
          <w:p w14:paraId="208F761F" w14:textId="77777777" w:rsidR="002F69E2" w:rsidRPr="002F69E2" w:rsidRDefault="002F69E2" w:rsidP="002F69E2">
            <w:pPr>
              <w:spacing w:after="160"/>
              <w:rPr>
                <w:sz w:val="20"/>
                <w:szCs w:val="18"/>
              </w:rPr>
            </w:pPr>
            <w:r w:rsidRPr="002F69E2">
              <w:rPr>
                <w:sz w:val="20"/>
                <w:szCs w:val="18"/>
              </w:rPr>
              <w:t xml:space="preserve">≈ </w:t>
            </w:r>
            <w:r w:rsidRPr="002F69E2">
              <w:rPr>
                <w:b/>
                <w:bCs/>
                <w:sz w:val="20"/>
                <w:szCs w:val="18"/>
              </w:rPr>
              <w:t>34 days</w:t>
            </w:r>
          </w:p>
        </w:tc>
      </w:tr>
    </w:tbl>
    <w:p w14:paraId="0CF3A38A" w14:textId="77777777" w:rsidR="002F69E2" w:rsidRPr="002F69E2" w:rsidRDefault="002F69E2" w:rsidP="002F69E2">
      <w:r w:rsidRPr="002F69E2">
        <w:t>*Trade receivables are estimated based on typical FMCG receivables proportions due to aggregated disclosure.</w:t>
      </w:r>
    </w:p>
    <w:p w14:paraId="12AB4614" w14:textId="77777777" w:rsidR="002F69E2" w:rsidRPr="002F69E2" w:rsidRDefault="002F69E2" w:rsidP="002F69E2">
      <w:r w:rsidRPr="002F69E2">
        <w:rPr>
          <w:b/>
          <w:bCs/>
        </w:rPr>
        <w:t>Asset turnover</w:t>
      </w:r>
      <w:r w:rsidRPr="002F69E2">
        <w:t xml:space="preserve"> declined marginally from 0.79 in 2023 to 0.76 in 2024, indicating that Unilever generated slightly less revenue per pound of assets employed. This trend reflects the increase in total assets, particularly in property, plant and equipment and intangible assets, which grew faster than revenues. While a declining asset turnover ratio may suggest reduced efficiency, it can also indicate strategic investment aimed at supporting long-term growth rather than short-term revenue expansion (Penman, 2013).</w:t>
      </w:r>
    </w:p>
    <w:p w14:paraId="4FAC31D3" w14:textId="77777777" w:rsidR="002F69E2" w:rsidRPr="002F69E2" w:rsidRDefault="002F69E2" w:rsidP="002F69E2">
      <w:r w:rsidRPr="002F69E2">
        <w:rPr>
          <w:b/>
          <w:bCs/>
        </w:rPr>
        <w:lastRenderedPageBreak/>
        <w:t>Inventory days</w:t>
      </w:r>
      <w:r w:rsidRPr="002F69E2">
        <w:t xml:space="preserve"> increased from approximately 54 days to 57 days, suggesting a modest slowdown in inventory turnover. This may be attributable to cautious inventory management in response to demand volatility, inflationary pressures and supply chain disruptions. In the FMCG sector, holding slightly higher inventory levels can be a deliberate strategy to ensure product availability and service levels, particularly for essential consumer goods (Damodaran, 2024). However, prolonged increases in inventory days could tie up working capital and increase holding costs.</w:t>
      </w:r>
    </w:p>
    <w:p w14:paraId="1C004D36" w14:textId="77777777" w:rsidR="002F69E2" w:rsidRPr="002F69E2" w:rsidRDefault="002F69E2" w:rsidP="002F69E2">
      <w:r w:rsidRPr="002F69E2">
        <w:rPr>
          <w:b/>
          <w:bCs/>
        </w:rPr>
        <w:t>Receivables days</w:t>
      </w:r>
      <w:r w:rsidRPr="002F69E2">
        <w:t xml:space="preserve"> also increased slightly, from an estimated 32 days in 2023 to 34 days in 2024. This suggests a marginal relaxation of credit terms or slower customer payments, which may reflect competitive pressures or changing relationships with key retail customers. As noted by Brigham and Ehrhardt (2020), even small increases in receivables days can have a material impact on cash flows for large-scale operations.</w:t>
      </w:r>
    </w:p>
    <w:p w14:paraId="529ED720" w14:textId="77777777" w:rsidR="002F69E2" w:rsidRPr="002F69E2" w:rsidRDefault="002F69E2" w:rsidP="002F69E2">
      <w:r w:rsidRPr="002F69E2">
        <w:t>Overall, Unilever’s efficiency ratios indicate a slight deterioration in asset and working capital efficiency in 2024. While these movements are not immediately concerning, they highlight the importance of ongoing monitoring to ensure that asset growth and working capital policies continue to support value creation rather than eroding cash flow performance (Lev and Sunder, 1979).</w:t>
      </w:r>
    </w:p>
    <w:p w14:paraId="21CA2F65" w14:textId="77777777" w:rsidR="00635659" w:rsidRPr="00635659" w:rsidRDefault="00635659" w:rsidP="00635659">
      <w:pPr>
        <w:pStyle w:val="Heading2"/>
      </w:pPr>
      <w:bookmarkStart w:id="7" w:name="_Toc217483967"/>
      <w:r w:rsidRPr="00635659">
        <w:t>6. Gearing and Capital Structure</w:t>
      </w:r>
      <w:bookmarkEnd w:id="7"/>
    </w:p>
    <w:p w14:paraId="6488F381" w14:textId="238E78A1" w:rsidR="00635659" w:rsidRPr="00635659" w:rsidRDefault="00B2336F" w:rsidP="00635659">
      <w:r w:rsidRPr="00B2336F">
        <w:t>Gearing ratios give us the understanding of how a company is capital structure and the proportion of the operations that a company finances by using the debt as opposed to equity. In the case of Unilever PLC, the debt capital and equity ratio must have a good balance that acts as a minimisation of the cost of capital whilst ensuring financial flexibility and ability to withstand economic uncertainty (Brigham and Ehrhardt, 2020). This section will provide an assessment of the debt-to-equity ratio, interest cover and total financial risk in the previous years ending 31 December 2023 and 31 December 2024</w:t>
      </w:r>
      <w:r w:rsidR="00635659" w:rsidRPr="00635659">
        <w:t>.</w:t>
      </w:r>
      <w:r>
        <w:t xml:space="preserve"> </w:t>
      </w:r>
    </w:p>
    <w:p w14:paraId="1982738D" w14:textId="77777777" w:rsidR="00635659" w:rsidRPr="00635659" w:rsidRDefault="00635659" w:rsidP="00635659">
      <w:pPr>
        <w:rPr>
          <w:b/>
          <w:bCs/>
        </w:rPr>
      </w:pPr>
      <w:r w:rsidRPr="00635659">
        <w:rPr>
          <w:b/>
          <w:bCs/>
        </w:rPr>
        <w:t>Table 4: Gearing Ratios – Unilever PLC (2023–2024)</w:t>
      </w:r>
    </w:p>
    <w:p w14:paraId="3C979D7F" w14:textId="77777777" w:rsidR="00635659" w:rsidRPr="00635659" w:rsidRDefault="00635659" w:rsidP="00635659">
      <w:r w:rsidRPr="00635659">
        <w:rPr>
          <w:i/>
          <w:iCs/>
        </w:rPr>
        <w:t>(All figures in thousands)</w:t>
      </w:r>
    </w:p>
    <w:tbl>
      <w:tblPr>
        <w:tblStyle w:val="TableGridLight"/>
        <w:tblW w:w="0" w:type="auto"/>
        <w:tblLook w:val="04A0" w:firstRow="1" w:lastRow="0" w:firstColumn="1" w:lastColumn="0" w:noHBand="0" w:noVBand="1"/>
      </w:tblPr>
      <w:tblGrid>
        <w:gridCol w:w="1495"/>
        <w:gridCol w:w="2926"/>
        <w:gridCol w:w="2347"/>
        <w:gridCol w:w="2248"/>
      </w:tblGrid>
      <w:tr w:rsidR="00635659" w:rsidRPr="00635659" w14:paraId="5C4ED38C" w14:textId="77777777" w:rsidTr="00635659">
        <w:tc>
          <w:tcPr>
            <w:tcW w:w="0" w:type="auto"/>
            <w:hideMark/>
          </w:tcPr>
          <w:p w14:paraId="1F81F099" w14:textId="77777777" w:rsidR="00635659" w:rsidRPr="00635659" w:rsidRDefault="00635659" w:rsidP="00635659">
            <w:pPr>
              <w:spacing w:after="160"/>
              <w:rPr>
                <w:b/>
                <w:bCs/>
                <w:sz w:val="20"/>
                <w:szCs w:val="18"/>
              </w:rPr>
            </w:pPr>
            <w:r w:rsidRPr="00635659">
              <w:rPr>
                <w:b/>
                <w:bCs/>
                <w:sz w:val="20"/>
                <w:szCs w:val="18"/>
              </w:rPr>
              <w:t>Ratio</w:t>
            </w:r>
          </w:p>
        </w:tc>
        <w:tc>
          <w:tcPr>
            <w:tcW w:w="0" w:type="auto"/>
            <w:hideMark/>
          </w:tcPr>
          <w:p w14:paraId="56F7E0CB" w14:textId="77777777" w:rsidR="00635659" w:rsidRPr="00635659" w:rsidRDefault="00635659" w:rsidP="00635659">
            <w:pPr>
              <w:spacing w:after="160"/>
              <w:rPr>
                <w:b/>
                <w:bCs/>
                <w:sz w:val="20"/>
                <w:szCs w:val="18"/>
              </w:rPr>
            </w:pPr>
            <w:r w:rsidRPr="00635659">
              <w:rPr>
                <w:b/>
                <w:bCs/>
                <w:sz w:val="20"/>
                <w:szCs w:val="18"/>
              </w:rPr>
              <w:t>Formula</w:t>
            </w:r>
          </w:p>
        </w:tc>
        <w:tc>
          <w:tcPr>
            <w:tcW w:w="0" w:type="auto"/>
            <w:hideMark/>
          </w:tcPr>
          <w:p w14:paraId="7E77A2F6" w14:textId="77777777" w:rsidR="00635659" w:rsidRPr="00635659" w:rsidRDefault="00635659" w:rsidP="00635659">
            <w:pPr>
              <w:spacing w:after="160"/>
              <w:rPr>
                <w:b/>
                <w:bCs/>
                <w:sz w:val="20"/>
                <w:szCs w:val="18"/>
              </w:rPr>
            </w:pPr>
            <w:r w:rsidRPr="00635659">
              <w:rPr>
                <w:b/>
                <w:bCs/>
                <w:sz w:val="20"/>
                <w:szCs w:val="18"/>
              </w:rPr>
              <w:t>2023</w:t>
            </w:r>
          </w:p>
        </w:tc>
        <w:tc>
          <w:tcPr>
            <w:tcW w:w="0" w:type="auto"/>
            <w:hideMark/>
          </w:tcPr>
          <w:p w14:paraId="4EB3A1B1" w14:textId="77777777" w:rsidR="00635659" w:rsidRPr="00635659" w:rsidRDefault="00635659" w:rsidP="00635659">
            <w:pPr>
              <w:spacing w:after="160"/>
              <w:rPr>
                <w:b/>
                <w:bCs/>
                <w:sz w:val="20"/>
                <w:szCs w:val="18"/>
              </w:rPr>
            </w:pPr>
            <w:r w:rsidRPr="00635659">
              <w:rPr>
                <w:b/>
                <w:bCs/>
                <w:sz w:val="20"/>
                <w:szCs w:val="18"/>
              </w:rPr>
              <w:t>2024</w:t>
            </w:r>
          </w:p>
        </w:tc>
      </w:tr>
      <w:tr w:rsidR="00635659" w:rsidRPr="00635659" w14:paraId="7C1BAB4E" w14:textId="77777777" w:rsidTr="00635659">
        <w:tc>
          <w:tcPr>
            <w:tcW w:w="0" w:type="auto"/>
            <w:hideMark/>
          </w:tcPr>
          <w:p w14:paraId="5716904D" w14:textId="77777777" w:rsidR="00635659" w:rsidRPr="00635659" w:rsidRDefault="00635659" w:rsidP="00635659">
            <w:pPr>
              <w:spacing w:after="160"/>
              <w:rPr>
                <w:sz w:val="20"/>
                <w:szCs w:val="18"/>
              </w:rPr>
            </w:pPr>
            <w:r w:rsidRPr="00635659">
              <w:rPr>
                <w:b/>
                <w:bCs/>
                <w:sz w:val="20"/>
                <w:szCs w:val="18"/>
              </w:rPr>
              <w:t>Debt-to-Equity</w:t>
            </w:r>
          </w:p>
        </w:tc>
        <w:tc>
          <w:tcPr>
            <w:tcW w:w="0" w:type="auto"/>
            <w:hideMark/>
          </w:tcPr>
          <w:p w14:paraId="17AAD023" w14:textId="77777777" w:rsidR="00635659" w:rsidRPr="00635659" w:rsidRDefault="00635659" w:rsidP="00635659">
            <w:pPr>
              <w:spacing w:after="160"/>
              <w:rPr>
                <w:sz w:val="20"/>
                <w:szCs w:val="18"/>
              </w:rPr>
            </w:pPr>
            <w:r w:rsidRPr="00635659">
              <w:rPr>
                <w:sz w:val="20"/>
                <w:szCs w:val="18"/>
              </w:rPr>
              <w:t>Total Debt ÷ Shareholders’ Equity</w:t>
            </w:r>
          </w:p>
        </w:tc>
        <w:tc>
          <w:tcPr>
            <w:tcW w:w="0" w:type="auto"/>
            <w:hideMark/>
          </w:tcPr>
          <w:p w14:paraId="0EFF935A" w14:textId="77777777" w:rsidR="00635659" w:rsidRPr="00635659" w:rsidRDefault="00635659" w:rsidP="00635659">
            <w:pPr>
              <w:spacing w:after="160"/>
              <w:rPr>
                <w:sz w:val="20"/>
                <w:szCs w:val="18"/>
              </w:rPr>
            </w:pPr>
            <w:r w:rsidRPr="00635659">
              <w:rPr>
                <w:sz w:val="20"/>
                <w:szCs w:val="18"/>
              </w:rPr>
              <w:t>28,593 ÷ 18,102 = 1.58</w:t>
            </w:r>
          </w:p>
        </w:tc>
        <w:tc>
          <w:tcPr>
            <w:tcW w:w="0" w:type="auto"/>
            <w:hideMark/>
          </w:tcPr>
          <w:p w14:paraId="7DC4A5DB" w14:textId="77777777" w:rsidR="00635659" w:rsidRPr="00635659" w:rsidRDefault="00635659" w:rsidP="00635659">
            <w:pPr>
              <w:spacing w:after="160"/>
              <w:rPr>
                <w:sz w:val="20"/>
                <w:szCs w:val="18"/>
              </w:rPr>
            </w:pPr>
            <w:r w:rsidRPr="00635659">
              <w:rPr>
                <w:sz w:val="20"/>
                <w:szCs w:val="18"/>
              </w:rPr>
              <w:t>30,655 ÷ 19,990 = 1.53</w:t>
            </w:r>
          </w:p>
        </w:tc>
      </w:tr>
      <w:tr w:rsidR="00635659" w:rsidRPr="00635659" w14:paraId="1526A8D6" w14:textId="77777777" w:rsidTr="00635659">
        <w:tc>
          <w:tcPr>
            <w:tcW w:w="0" w:type="auto"/>
            <w:hideMark/>
          </w:tcPr>
          <w:p w14:paraId="4C87CD24" w14:textId="77777777" w:rsidR="00635659" w:rsidRPr="00635659" w:rsidRDefault="00635659" w:rsidP="00635659">
            <w:pPr>
              <w:spacing w:after="160"/>
              <w:rPr>
                <w:sz w:val="20"/>
                <w:szCs w:val="18"/>
              </w:rPr>
            </w:pPr>
            <w:r w:rsidRPr="00635659">
              <w:rPr>
                <w:b/>
                <w:bCs/>
                <w:sz w:val="20"/>
                <w:szCs w:val="18"/>
              </w:rPr>
              <w:lastRenderedPageBreak/>
              <w:t>Interest Cover</w:t>
            </w:r>
          </w:p>
        </w:tc>
        <w:tc>
          <w:tcPr>
            <w:tcW w:w="0" w:type="auto"/>
            <w:hideMark/>
          </w:tcPr>
          <w:p w14:paraId="10D5B705" w14:textId="77777777" w:rsidR="00635659" w:rsidRPr="00635659" w:rsidRDefault="00635659" w:rsidP="00635659">
            <w:pPr>
              <w:spacing w:after="160"/>
              <w:rPr>
                <w:sz w:val="20"/>
                <w:szCs w:val="18"/>
              </w:rPr>
            </w:pPr>
            <w:r w:rsidRPr="00635659">
              <w:rPr>
                <w:sz w:val="20"/>
                <w:szCs w:val="18"/>
              </w:rPr>
              <w:t>EBIT ÷ Interest Expense</w:t>
            </w:r>
          </w:p>
        </w:tc>
        <w:tc>
          <w:tcPr>
            <w:tcW w:w="0" w:type="auto"/>
            <w:hideMark/>
          </w:tcPr>
          <w:p w14:paraId="71DB0598" w14:textId="77777777" w:rsidR="00635659" w:rsidRPr="00635659" w:rsidRDefault="00635659" w:rsidP="00635659">
            <w:pPr>
              <w:spacing w:after="160"/>
              <w:rPr>
                <w:sz w:val="20"/>
                <w:szCs w:val="18"/>
              </w:rPr>
            </w:pPr>
            <w:r w:rsidRPr="00635659">
              <w:rPr>
                <w:sz w:val="20"/>
                <w:szCs w:val="18"/>
              </w:rPr>
              <w:t>10,414 ÷ 1,075 = 9.7 times</w:t>
            </w:r>
          </w:p>
        </w:tc>
        <w:tc>
          <w:tcPr>
            <w:tcW w:w="0" w:type="auto"/>
            <w:hideMark/>
          </w:tcPr>
          <w:p w14:paraId="7A727CB2" w14:textId="77777777" w:rsidR="00635659" w:rsidRPr="00635659" w:rsidRDefault="00635659" w:rsidP="00635659">
            <w:pPr>
              <w:spacing w:after="160"/>
              <w:rPr>
                <w:sz w:val="20"/>
                <w:szCs w:val="18"/>
              </w:rPr>
            </w:pPr>
            <w:r w:rsidRPr="00635659">
              <w:rPr>
                <w:sz w:val="20"/>
                <w:szCs w:val="18"/>
              </w:rPr>
              <w:t>9,460 ÷ 1,064 = 8.9 times</w:t>
            </w:r>
          </w:p>
        </w:tc>
      </w:tr>
      <w:tr w:rsidR="00635659" w:rsidRPr="00635659" w14:paraId="68010C11" w14:textId="77777777" w:rsidTr="00635659">
        <w:tc>
          <w:tcPr>
            <w:tcW w:w="0" w:type="auto"/>
            <w:hideMark/>
          </w:tcPr>
          <w:p w14:paraId="0727CA13" w14:textId="77777777" w:rsidR="00635659" w:rsidRPr="00635659" w:rsidRDefault="00635659" w:rsidP="00635659">
            <w:pPr>
              <w:spacing w:after="160"/>
              <w:rPr>
                <w:sz w:val="20"/>
                <w:szCs w:val="18"/>
              </w:rPr>
            </w:pPr>
            <w:r w:rsidRPr="00635659">
              <w:rPr>
                <w:b/>
                <w:bCs/>
                <w:sz w:val="20"/>
                <w:szCs w:val="18"/>
              </w:rPr>
              <w:t>Net Debt Ratio</w:t>
            </w:r>
          </w:p>
        </w:tc>
        <w:tc>
          <w:tcPr>
            <w:tcW w:w="0" w:type="auto"/>
            <w:hideMark/>
          </w:tcPr>
          <w:p w14:paraId="1C7FF473" w14:textId="77777777" w:rsidR="00635659" w:rsidRPr="00635659" w:rsidRDefault="00635659" w:rsidP="00635659">
            <w:pPr>
              <w:spacing w:after="160"/>
              <w:rPr>
                <w:sz w:val="20"/>
                <w:szCs w:val="18"/>
              </w:rPr>
            </w:pPr>
            <w:r w:rsidRPr="00635659">
              <w:rPr>
                <w:sz w:val="20"/>
                <w:szCs w:val="18"/>
              </w:rPr>
              <w:t>Net Debt ÷ EBITDA</w:t>
            </w:r>
          </w:p>
        </w:tc>
        <w:tc>
          <w:tcPr>
            <w:tcW w:w="0" w:type="auto"/>
            <w:hideMark/>
          </w:tcPr>
          <w:p w14:paraId="73D1A66F" w14:textId="77777777" w:rsidR="00635659" w:rsidRPr="00635659" w:rsidRDefault="00635659" w:rsidP="00635659">
            <w:pPr>
              <w:spacing w:after="160"/>
              <w:rPr>
                <w:sz w:val="20"/>
                <w:szCs w:val="18"/>
              </w:rPr>
            </w:pPr>
            <w:r w:rsidRPr="00635659">
              <w:rPr>
                <w:sz w:val="20"/>
                <w:szCs w:val="18"/>
              </w:rPr>
              <w:t>23,039 ÷ 11,992 = 1.92</w:t>
            </w:r>
          </w:p>
        </w:tc>
        <w:tc>
          <w:tcPr>
            <w:tcW w:w="0" w:type="auto"/>
            <w:hideMark/>
          </w:tcPr>
          <w:p w14:paraId="4CEAD52D" w14:textId="77777777" w:rsidR="00635659" w:rsidRPr="00635659" w:rsidRDefault="00635659" w:rsidP="00635659">
            <w:pPr>
              <w:spacing w:after="160"/>
              <w:rPr>
                <w:sz w:val="20"/>
                <w:szCs w:val="18"/>
              </w:rPr>
            </w:pPr>
            <w:r w:rsidRPr="00635659">
              <w:rPr>
                <w:sz w:val="20"/>
                <w:szCs w:val="18"/>
              </w:rPr>
              <w:t>23,033 ÷ 11,269 = 2.04</w:t>
            </w:r>
          </w:p>
        </w:tc>
      </w:tr>
    </w:tbl>
    <w:p w14:paraId="4A0A64B3" w14:textId="77777777" w:rsidR="00635659" w:rsidRDefault="00635659" w:rsidP="00635659"/>
    <w:p w14:paraId="1EB0E003" w14:textId="0FEE74FA" w:rsidR="00635659" w:rsidRPr="00635659" w:rsidRDefault="00635659" w:rsidP="00635659">
      <w:r w:rsidRPr="00635659">
        <w:t>The debt-to-equity ratio remained high in both years, reflecting Unilever’s capital structure strategy, which relies significantly on debt financing. Although total debt increased in 2024, the ratio declined slightly from 1.58 to 1.53 due to an increase in shareholders’ equity. High gearing can enhance returns to equity holders through financial leverage, but it also increases exposure to interest rate risk and refinancing pressures (Atrill and McLaney, 2023).</w:t>
      </w:r>
    </w:p>
    <w:p w14:paraId="028E8CA4" w14:textId="77777777" w:rsidR="00635659" w:rsidRPr="00640F1A" w:rsidRDefault="00635659" w:rsidP="00635659">
      <w:r w:rsidRPr="00635659">
        <w:t>Interest cover declined from 9.7 times in 2023 to 8.9 times in 2024, indicating a reduced margin of safety for meeting interest obligations. While this level of coverage remains strong by conventional standards, the downward trend reflects lower EBIT combined with sustained interest expenses. As noted by Penman (2013), declining interest cover ratios warrant close monitoring, particularly in periods of rising global interest rates.</w:t>
      </w:r>
    </w:p>
    <w:p w14:paraId="5BB621BF" w14:textId="77777777" w:rsidR="0049644F" w:rsidRDefault="009729AC" w:rsidP="0049644F">
      <w:pPr>
        <w:keepNext/>
        <w:jc w:val="center"/>
      </w:pPr>
      <w:r>
        <w:rPr>
          <w:noProof/>
        </w:rPr>
        <w:drawing>
          <wp:inline distT="0" distB="0" distL="0" distR="0" wp14:anchorId="0FE89AE8" wp14:editId="188F878A">
            <wp:extent cx="3067410" cy="2474595"/>
            <wp:effectExtent l="76200" t="76200" r="133350" b="135255"/>
            <wp:docPr id="70894876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71733" cy="247808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2CBD19E" w14:textId="20E658E3" w:rsidR="009729AC" w:rsidRPr="00635659" w:rsidRDefault="0049644F" w:rsidP="0049644F">
      <w:pPr>
        <w:pStyle w:val="Caption"/>
        <w:jc w:val="center"/>
      </w:pPr>
      <w:r>
        <w:t xml:space="preserve">Figure </w:t>
      </w:r>
      <w:fldSimple w:instr=" SEQ Figure \* ARABIC ">
        <w:r>
          <w:rPr>
            <w:noProof/>
          </w:rPr>
          <w:t>4</w:t>
        </w:r>
      </w:fldSimple>
      <w:r>
        <w:t xml:space="preserve"> </w:t>
      </w:r>
      <w:r w:rsidRPr="00AC0BBD">
        <w:t>Gearing Indicators</w:t>
      </w:r>
    </w:p>
    <w:p w14:paraId="31B60FE0" w14:textId="77777777" w:rsidR="00635659" w:rsidRPr="00635659" w:rsidRDefault="00635659" w:rsidP="00635659">
      <w:r w:rsidRPr="00635659">
        <w:t>The net debt to EBITDA ratio increased from 1.92 to 2.04, signalling a modest rise in financial risk. This ratio is widely used by analysts to assess debt sustainability and covenant risk, with values above 2 often indicating heightened leverage concerns, depending on sector norms (Damodaran, 2024). For Unilever, the increase suggests that debt levels are growing faster than cash-based earnings.</w:t>
      </w:r>
    </w:p>
    <w:p w14:paraId="308BC2DE" w14:textId="5AAEA459" w:rsidR="00635659" w:rsidRPr="00635659" w:rsidRDefault="00635659" w:rsidP="00635659">
      <w:r w:rsidRPr="00635659">
        <w:t xml:space="preserve">Overall, Unilever’s capital structure remains manageable but increasingly leveraged. While strong cash flows mitigate short-term risk, continued reliance on debt financing could constrain </w:t>
      </w:r>
      <w:r w:rsidRPr="00635659">
        <w:lastRenderedPageBreak/>
        <w:t>strategic flexibility in the long term. As highlighted by Lev and Sunder (1979), gearing ratios should be interpreted alongside profitability and cash flow metrics to form a balanced assessment of financial risk.</w:t>
      </w:r>
      <w:r w:rsidR="00640F1A">
        <w:t xml:space="preserve"> </w:t>
      </w:r>
    </w:p>
    <w:p w14:paraId="4F0E2AAF" w14:textId="77777777" w:rsidR="00DE278E" w:rsidRPr="00DE278E" w:rsidRDefault="00DE278E" w:rsidP="00DE278E">
      <w:pPr>
        <w:pStyle w:val="Heading2"/>
      </w:pPr>
      <w:bookmarkStart w:id="8" w:name="_Toc217483968"/>
      <w:r w:rsidRPr="00DE278E">
        <w:t>7. Investor Ratios</w:t>
      </w:r>
      <w:bookmarkEnd w:id="8"/>
    </w:p>
    <w:p w14:paraId="6D8851D0" w14:textId="6799C910" w:rsidR="00DE278E" w:rsidRPr="00DE278E" w:rsidRDefault="00C97182" w:rsidP="00DE278E">
      <w:r w:rsidRPr="00C97182">
        <w:t>Investor ratios will give out the information on the competence of Unilever PLC in providing value to its shareholders and the perception of the market in terms of the performance on earnings, risk exposure and future growth and development. They are especially useful in the case of an FTSE 100 company that has become a well-identified large institutional investor and a big payer of dividends (Damodaran, 2024). The financial years covered in the analysis include the period ending 31 December 2023 and 31 December 2024 and focus on earnings per share (EPS), dividend cover and the price-earnings (P/E) ratio between the two years</w:t>
      </w:r>
      <w:r w:rsidR="00DE278E" w:rsidRPr="00DE278E">
        <w:t>.</w:t>
      </w:r>
    </w:p>
    <w:p w14:paraId="1BD10480" w14:textId="77777777" w:rsidR="00DE278E" w:rsidRPr="00DE278E" w:rsidRDefault="00DE278E" w:rsidP="00DE278E">
      <w:pPr>
        <w:rPr>
          <w:b/>
          <w:bCs/>
        </w:rPr>
      </w:pPr>
      <w:r w:rsidRPr="00DE278E">
        <w:rPr>
          <w:b/>
          <w:bCs/>
        </w:rPr>
        <w:t>Table 5: Investor Ratios – Unilever PLC (2023–2024)</w:t>
      </w:r>
    </w:p>
    <w:tbl>
      <w:tblPr>
        <w:tblStyle w:val="TableGridLight"/>
        <w:tblW w:w="0" w:type="auto"/>
        <w:tblLook w:val="04A0" w:firstRow="1" w:lastRow="0" w:firstColumn="1" w:lastColumn="0" w:noHBand="0" w:noVBand="1"/>
      </w:tblPr>
      <w:tblGrid>
        <w:gridCol w:w="2227"/>
        <w:gridCol w:w="2825"/>
        <w:gridCol w:w="1982"/>
        <w:gridCol w:w="1982"/>
      </w:tblGrid>
      <w:tr w:rsidR="00DE278E" w:rsidRPr="00DE278E" w14:paraId="1556FE9C" w14:textId="77777777" w:rsidTr="00DE278E">
        <w:tc>
          <w:tcPr>
            <w:tcW w:w="0" w:type="auto"/>
            <w:hideMark/>
          </w:tcPr>
          <w:p w14:paraId="3CA66CAE" w14:textId="77777777" w:rsidR="00DE278E" w:rsidRPr="00DE278E" w:rsidRDefault="00DE278E" w:rsidP="00DE278E">
            <w:pPr>
              <w:spacing w:after="160"/>
              <w:rPr>
                <w:b/>
                <w:bCs/>
                <w:sz w:val="20"/>
                <w:szCs w:val="18"/>
              </w:rPr>
            </w:pPr>
            <w:r w:rsidRPr="00DE278E">
              <w:rPr>
                <w:b/>
                <w:bCs/>
                <w:sz w:val="20"/>
                <w:szCs w:val="18"/>
              </w:rPr>
              <w:t>Ratio</w:t>
            </w:r>
          </w:p>
        </w:tc>
        <w:tc>
          <w:tcPr>
            <w:tcW w:w="0" w:type="auto"/>
            <w:hideMark/>
          </w:tcPr>
          <w:p w14:paraId="57A4224E" w14:textId="77777777" w:rsidR="00DE278E" w:rsidRPr="00DE278E" w:rsidRDefault="00DE278E" w:rsidP="00DE278E">
            <w:pPr>
              <w:spacing w:after="160"/>
              <w:rPr>
                <w:b/>
                <w:bCs/>
                <w:sz w:val="20"/>
                <w:szCs w:val="18"/>
              </w:rPr>
            </w:pPr>
            <w:r w:rsidRPr="00DE278E">
              <w:rPr>
                <w:b/>
                <w:bCs/>
                <w:sz w:val="20"/>
                <w:szCs w:val="18"/>
              </w:rPr>
              <w:t>Formula</w:t>
            </w:r>
          </w:p>
        </w:tc>
        <w:tc>
          <w:tcPr>
            <w:tcW w:w="0" w:type="auto"/>
            <w:hideMark/>
          </w:tcPr>
          <w:p w14:paraId="4EC4F509" w14:textId="77777777" w:rsidR="00DE278E" w:rsidRPr="00DE278E" w:rsidRDefault="00DE278E" w:rsidP="00DE278E">
            <w:pPr>
              <w:spacing w:after="160"/>
              <w:rPr>
                <w:b/>
                <w:bCs/>
                <w:sz w:val="20"/>
                <w:szCs w:val="18"/>
              </w:rPr>
            </w:pPr>
            <w:r w:rsidRPr="00DE278E">
              <w:rPr>
                <w:b/>
                <w:bCs/>
                <w:sz w:val="20"/>
                <w:szCs w:val="18"/>
              </w:rPr>
              <w:t>2023</w:t>
            </w:r>
          </w:p>
        </w:tc>
        <w:tc>
          <w:tcPr>
            <w:tcW w:w="0" w:type="auto"/>
            <w:hideMark/>
          </w:tcPr>
          <w:p w14:paraId="74F926EB" w14:textId="77777777" w:rsidR="00DE278E" w:rsidRPr="00DE278E" w:rsidRDefault="00DE278E" w:rsidP="00DE278E">
            <w:pPr>
              <w:spacing w:after="160"/>
              <w:rPr>
                <w:b/>
                <w:bCs/>
                <w:sz w:val="20"/>
                <w:szCs w:val="18"/>
              </w:rPr>
            </w:pPr>
            <w:r w:rsidRPr="00DE278E">
              <w:rPr>
                <w:b/>
                <w:bCs/>
                <w:sz w:val="20"/>
                <w:szCs w:val="18"/>
              </w:rPr>
              <w:t>2024</w:t>
            </w:r>
          </w:p>
        </w:tc>
      </w:tr>
      <w:tr w:rsidR="00DE278E" w:rsidRPr="00DE278E" w14:paraId="64097288" w14:textId="77777777" w:rsidTr="00DE278E">
        <w:tc>
          <w:tcPr>
            <w:tcW w:w="0" w:type="auto"/>
            <w:hideMark/>
          </w:tcPr>
          <w:p w14:paraId="45725640" w14:textId="77777777" w:rsidR="00DE278E" w:rsidRPr="00DE278E" w:rsidRDefault="00DE278E" w:rsidP="00DE278E">
            <w:pPr>
              <w:spacing w:after="160"/>
              <w:rPr>
                <w:sz w:val="20"/>
                <w:szCs w:val="18"/>
              </w:rPr>
            </w:pPr>
            <w:r w:rsidRPr="00DE278E">
              <w:rPr>
                <w:b/>
                <w:bCs/>
                <w:sz w:val="20"/>
                <w:szCs w:val="18"/>
              </w:rPr>
              <w:t>Earnings per Share (EPS)</w:t>
            </w:r>
          </w:p>
        </w:tc>
        <w:tc>
          <w:tcPr>
            <w:tcW w:w="0" w:type="auto"/>
            <w:hideMark/>
          </w:tcPr>
          <w:p w14:paraId="4E63BC33" w14:textId="77777777" w:rsidR="00DE278E" w:rsidRPr="00DE278E" w:rsidRDefault="00DE278E" w:rsidP="00DE278E">
            <w:pPr>
              <w:spacing w:after="160"/>
              <w:rPr>
                <w:sz w:val="20"/>
                <w:szCs w:val="18"/>
              </w:rPr>
            </w:pPr>
            <w:r w:rsidRPr="00DE278E">
              <w:rPr>
                <w:sz w:val="20"/>
                <w:szCs w:val="18"/>
              </w:rPr>
              <w:t>Net Income ÷ Weighted Avg. Shares</w:t>
            </w:r>
          </w:p>
        </w:tc>
        <w:tc>
          <w:tcPr>
            <w:tcW w:w="0" w:type="auto"/>
            <w:hideMark/>
          </w:tcPr>
          <w:p w14:paraId="6337E065" w14:textId="77777777" w:rsidR="00DE278E" w:rsidRPr="00DE278E" w:rsidRDefault="00DE278E" w:rsidP="00DE278E">
            <w:pPr>
              <w:spacing w:after="160"/>
              <w:rPr>
                <w:sz w:val="20"/>
                <w:szCs w:val="18"/>
              </w:rPr>
            </w:pPr>
            <w:r w:rsidRPr="00DE278E">
              <w:rPr>
                <w:b/>
                <w:bCs/>
                <w:sz w:val="20"/>
                <w:szCs w:val="18"/>
              </w:rPr>
              <w:t>2.56</w:t>
            </w:r>
          </w:p>
        </w:tc>
        <w:tc>
          <w:tcPr>
            <w:tcW w:w="0" w:type="auto"/>
            <w:hideMark/>
          </w:tcPr>
          <w:p w14:paraId="71A863CC" w14:textId="77777777" w:rsidR="00DE278E" w:rsidRPr="00DE278E" w:rsidRDefault="00DE278E" w:rsidP="00DE278E">
            <w:pPr>
              <w:spacing w:after="160"/>
              <w:rPr>
                <w:sz w:val="20"/>
                <w:szCs w:val="18"/>
              </w:rPr>
            </w:pPr>
            <w:r w:rsidRPr="00DE278E">
              <w:rPr>
                <w:b/>
                <w:bCs/>
                <w:sz w:val="20"/>
                <w:szCs w:val="18"/>
              </w:rPr>
              <w:t>2.29</w:t>
            </w:r>
          </w:p>
        </w:tc>
      </w:tr>
      <w:tr w:rsidR="00DE278E" w:rsidRPr="00DE278E" w14:paraId="2C9B17C0" w14:textId="77777777" w:rsidTr="00DE278E">
        <w:tc>
          <w:tcPr>
            <w:tcW w:w="0" w:type="auto"/>
            <w:hideMark/>
          </w:tcPr>
          <w:p w14:paraId="597BBB20" w14:textId="77777777" w:rsidR="00DE278E" w:rsidRPr="00DE278E" w:rsidRDefault="00DE278E" w:rsidP="00DE278E">
            <w:pPr>
              <w:spacing w:after="160"/>
              <w:rPr>
                <w:sz w:val="20"/>
                <w:szCs w:val="18"/>
              </w:rPr>
            </w:pPr>
            <w:r w:rsidRPr="00DE278E">
              <w:rPr>
                <w:b/>
                <w:bCs/>
                <w:sz w:val="20"/>
                <w:szCs w:val="18"/>
              </w:rPr>
              <w:t>Dividend Cover</w:t>
            </w:r>
          </w:p>
        </w:tc>
        <w:tc>
          <w:tcPr>
            <w:tcW w:w="0" w:type="auto"/>
            <w:hideMark/>
          </w:tcPr>
          <w:p w14:paraId="7AC68DCB" w14:textId="77777777" w:rsidR="00DE278E" w:rsidRPr="00DE278E" w:rsidRDefault="00DE278E" w:rsidP="00DE278E">
            <w:pPr>
              <w:spacing w:after="160"/>
              <w:rPr>
                <w:sz w:val="20"/>
                <w:szCs w:val="18"/>
              </w:rPr>
            </w:pPr>
            <w:r w:rsidRPr="00DE278E">
              <w:rPr>
                <w:sz w:val="20"/>
                <w:szCs w:val="18"/>
              </w:rPr>
              <w:t>EPS ÷ Dividend per Share</w:t>
            </w:r>
          </w:p>
        </w:tc>
        <w:tc>
          <w:tcPr>
            <w:tcW w:w="0" w:type="auto"/>
            <w:hideMark/>
          </w:tcPr>
          <w:p w14:paraId="2E3A966A" w14:textId="77777777" w:rsidR="00DE278E" w:rsidRPr="00DE278E" w:rsidRDefault="00DE278E" w:rsidP="00DE278E">
            <w:pPr>
              <w:spacing w:after="160"/>
              <w:rPr>
                <w:sz w:val="20"/>
                <w:szCs w:val="18"/>
              </w:rPr>
            </w:pPr>
            <w:r w:rsidRPr="00DE278E">
              <w:rPr>
                <w:sz w:val="20"/>
                <w:szCs w:val="18"/>
              </w:rPr>
              <w:t xml:space="preserve">2.56 ÷ 2.06 = </w:t>
            </w:r>
            <w:r w:rsidRPr="00DE278E">
              <w:rPr>
                <w:b/>
                <w:bCs/>
                <w:sz w:val="20"/>
                <w:szCs w:val="18"/>
              </w:rPr>
              <w:t>1.24 times</w:t>
            </w:r>
          </w:p>
        </w:tc>
        <w:tc>
          <w:tcPr>
            <w:tcW w:w="0" w:type="auto"/>
            <w:hideMark/>
          </w:tcPr>
          <w:p w14:paraId="18A9291E" w14:textId="77777777" w:rsidR="00DE278E" w:rsidRPr="00DE278E" w:rsidRDefault="00DE278E" w:rsidP="00DE278E">
            <w:pPr>
              <w:spacing w:after="160"/>
              <w:rPr>
                <w:sz w:val="20"/>
                <w:szCs w:val="18"/>
              </w:rPr>
            </w:pPr>
            <w:r w:rsidRPr="00DE278E">
              <w:rPr>
                <w:sz w:val="20"/>
                <w:szCs w:val="18"/>
              </w:rPr>
              <w:t xml:space="preserve">2.29 ÷ 2.29 = </w:t>
            </w:r>
            <w:r w:rsidRPr="00DE278E">
              <w:rPr>
                <w:b/>
                <w:bCs/>
                <w:sz w:val="20"/>
                <w:szCs w:val="18"/>
              </w:rPr>
              <w:t>1.00 times</w:t>
            </w:r>
          </w:p>
        </w:tc>
      </w:tr>
      <w:tr w:rsidR="00DE278E" w:rsidRPr="00DE278E" w14:paraId="3B5A676A" w14:textId="77777777" w:rsidTr="00DE278E">
        <w:tc>
          <w:tcPr>
            <w:tcW w:w="0" w:type="auto"/>
            <w:hideMark/>
          </w:tcPr>
          <w:p w14:paraId="54EAEEE6" w14:textId="77777777" w:rsidR="00DE278E" w:rsidRPr="00DE278E" w:rsidRDefault="00DE278E" w:rsidP="00DE278E">
            <w:pPr>
              <w:spacing w:after="160"/>
              <w:rPr>
                <w:sz w:val="20"/>
                <w:szCs w:val="18"/>
              </w:rPr>
            </w:pPr>
            <w:r w:rsidRPr="00DE278E">
              <w:rPr>
                <w:b/>
                <w:bCs/>
                <w:sz w:val="20"/>
                <w:szCs w:val="18"/>
              </w:rPr>
              <w:t>P/E Ratio</w:t>
            </w:r>
          </w:p>
        </w:tc>
        <w:tc>
          <w:tcPr>
            <w:tcW w:w="0" w:type="auto"/>
            <w:hideMark/>
          </w:tcPr>
          <w:p w14:paraId="53DBD8B4" w14:textId="77777777" w:rsidR="00DE278E" w:rsidRPr="00DE278E" w:rsidRDefault="00DE278E" w:rsidP="00DE278E">
            <w:pPr>
              <w:spacing w:after="160"/>
              <w:rPr>
                <w:sz w:val="20"/>
                <w:szCs w:val="18"/>
              </w:rPr>
            </w:pPr>
            <w:r w:rsidRPr="00DE278E">
              <w:rPr>
                <w:sz w:val="20"/>
                <w:szCs w:val="18"/>
              </w:rPr>
              <w:t>Market Price ÷ EPS</w:t>
            </w:r>
          </w:p>
        </w:tc>
        <w:tc>
          <w:tcPr>
            <w:tcW w:w="0" w:type="auto"/>
            <w:hideMark/>
          </w:tcPr>
          <w:p w14:paraId="3415417D" w14:textId="77777777" w:rsidR="00DE278E" w:rsidRPr="00DE278E" w:rsidRDefault="00DE278E" w:rsidP="00DE278E">
            <w:pPr>
              <w:spacing w:after="160"/>
              <w:rPr>
                <w:sz w:val="20"/>
                <w:szCs w:val="18"/>
              </w:rPr>
            </w:pPr>
            <w:r w:rsidRPr="00DE278E">
              <w:rPr>
                <w:sz w:val="20"/>
                <w:szCs w:val="18"/>
              </w:rPr>
              <w:t xml:space="preserve">64.96 ÷ 2.56 = </w:t>
            </w:r>
            <w:r w:rsidRPr="00DE278E">
              <w:rPr>
                <w:b/>
                <w:bCs/>
                <w:sz w:val="20"/>
                <w:szCs w:val="18"/>
              </w:rPr>
              <w:t>25.4</w:t>
            </w:r>
          </w:p>
        </w:tc>
        <w:tc>
          <w:tcPr>
            <w:tcW w:w="0" w:type="auto"/>
            <w:hideMark/>
          </w:tcPr>
          <w:p w14:paraId="2E7E38EB" w14:textId="77777777" w:rsidR="00DE278E" w:rsidRPr="00DE278E" w:rsidRDefault="00DE278E" w:rsidP="00DE278E">
            <w:pPr>
              <w:spacing w:after="160"/>
              <w:rPr>
                <w:sz w:val="20"/>
                <w:szCs w:val="18"/>
              </w:rPr>
            </w:pPr>
            <w:r w:rsidRPr="00DE278E">
              <w:rPr>
                <w:sz w:val="20"/>
                <w:szCs w:val="18"/>
              </w:rPr>
              <w:t xml:space="preserve">65.35 ÷ 2.29 = </w:t>
            </w:r>
            <w:r w:rsidRPr="00DE278E">
              <w:rPr>
                <w:b/>
                <w:bCs/>
                <w:sz w:val="20"/>
                <w:szCs w:val="18"/>
              </w:rPr>
              <w:t>28.5</w:t>
            </w:r>
          </w:p>
        </w:tc>
      </w:tr>
    </w:tbl>
    <w:p w14:paraId="4594D8C6" w14:textId="77777777" w:rsidR="00DE278E" w:rsidRDefault="00DE278E" w:rsidP="00DE278E"/>
    <w:p w14:paraId="662E18E5" w14:textId="174B7A05" w:rsidR="00DE278E" w:rsidRPr="00DE278E" w:rsidRDefault="00DE278E" w:rsidP="00DE278E">
      <w:r w:rsidRPr="00DE278E">
        <w:t>Earnings per share (EPS) declined from £2.56 in 2023 to £2.29 in 2024, reflecting the reduction in net income over the period. Despite this decline, EPS remains relatively strong, supported by ongoing share repurchase programmes, which reduce the number of shares in issue and partially offset lower earnings (Brigham and Ehrhardt, 2020).</w:t>
      </w:r>
    </w:p>
    <w:p w14:paraId="117DF4CB" w14:textId="77777777" w:rsidR="00DE278E" w:rsidRPr="00DE278E" w:rsidRDefault="00DE278E" w:rsidP="00DE278E">
      <w:r w:rsidRPr="00DE278E">
        <w:t>Dividend cover deteriorated significantly, falling from 1.24 times in 2023 to approximately 1.00 times in 2024. This indicates that in 2024, dividends were almost entirely funded from current earnings, leaving limited scope for reinvestment or cushioning against earnings volatility. While Unilever’s dividend policy prioritises stable shareholder returns, a persistently low dividend cover may raise concerns regarding the long-term sustainability of dividend payments (Atrill and McLaney, 2023).</w:t>
      </w:r>
    </w:p>
    <w:p w14:paraId="2824BCEE" w14:textId="77777777" w:rsidR="00DE278E" w:rsidRPr="00DE278E" w:rsidRDefault="00DE278E" w:rsidP="00DE278E">
      <w:r w:rsidRPr="00DE278E">
        <w:lastRenderedPageBreak/>
        <w:t>The price–earnings (P/E) ratio increased markedly from 25.4 to 28.5, despite declining earnings. This suggests that investors remain confident in Unilever’s long-term growth prospects, brand strength and defensive characteristics. As Penman (2013) notes, elevated P/E ratios often reflect expectations of future earnings recovery rather than current performance.</w:t>
      </w:r>
    </w:p>
    <w:p w14:paraId="2470BE3F" w14:textId="2A219696" w:rsidR="00DE278E" w:rsidRPr="00DE278E" w:rsidRDefault="00DE278E" w:rsidP="00DE278E">
      <w:r w:rsidRPr="00DE278E">
        <w:t>Overall, Unilever continues to deliver attractive returns to shareholders, but declining EPS and tightening dividend cover highlight the need for careful earnings and capital allocation management to sustain investor confidence (Lev and Sunder, 1979).</w:t>
      </w:r>
      <w:r w:rsidR="007220BF">
        <w:t xml:space="preserve"> </w:t>
      </w:r>
    </w:p>
    <w:p w14:paraId="4FDA32F4" w14:textId="77777777" w:rsidR="004279E4" w:rsidRPr="004279E4" w:rsidRDefault="004279E4" w:rsidP="004279E4">
      <w:pPr>
        <w:pStyle w:val="Heading2"/>
      </w:pPr>
      <w:bookmarkStart w:id="9" w:name="_Toc217483969"/>
      <w:r w:rsidRPr="004279E4">
        <w:t>8. Limitations of Ratio Analysis</w:t>
      </w:r>
      <w:bookmarkEnd w:id="9"/>
    </w:p>
    <w:p w14:paraId="00E19815" w14:textId="4700F433" w:rsidR="004279E4" w:rsidRPr="004279E4" w:rsidRDefault="00C97182" w:rsidP="004279E4">
      <w:r w:rsidRPr="00C97182">
        <w:t>Although the financial ratio analysis is an effective and common tool of determining the corporate performance, it has a number of inherent limitations, which one needs to be aware of to interpret the findings as they apply to Unilever PLC. The major weakness concerns the effects of inflation. Historical cost accounting is applied in the preparation of financial statements, the implication of which implies that the assets and expenses that are registered in all the past periods may not serve as the attributes of the present economic value. Profitability and efficiency ratios might be inverted in a prolonged inflation, such as the one witnessed all over the world over the last few years, inflating returns and deflating asset values (Penman, 2013)</w:t>
      </w:r>
      <w:r w:rsidR="004279E4" w:rsidRPr="004279E4">
        <w:t>.</w:t>
      </w:r>
    </w:p>
    <w:p w14:paraId="6993FE25" w14:textId="3DB94280" w:rsidR="004279E4" w:rsidRPr="004279E4" w:rsidRDefault="00C97182" w:rsidP="004279E4">
      <w:r w:rsidRPr="00C97182">
        <w:t>The other significant limitation is due to accounting policy decisions and estimates. Reported earnings and assets values may materially differ due to differences in depreciation methods, inventory valuation, impairment testing and provisions. In case of such a multinational organisation as Unilever, which has to operate in a variety of jurisdictions, differences on accounting judgements and currency translations make the comparability over the time even more complicated (Lev and Sunder, 1979). Consequently, ratios changes might be an accounting treatment as opposed to economic performance</w:t>
      </w:r>
      <w:r w:rsidR="004279E4" w:rsidRPr="004279E4">
        <w:t>.</w:t>
      </w:r>
    </w:p>
    <w:p w14:paraId="6D89CB33" w14:textId="42B92C2E" w:rsidR="004279E4" w:rsidRPr="004279E4" w:rsidRDefault="00C97182" w:rsidP="004279E4">
      <w:r w:rsidRPr="00C97182">
        <w:t>The usefulness of the ratio analysis is also limited by sector-specific characteristics. Generally, the FMCG operates in large volumes with large cash generation and negative working capital. As a result of this, liquidity ratios including current and quick ratios can be subject to showing poor performances when evaluated against generic ratios, although they are an efficient model of operation (Atrill and McLaney, 2023). In a similar vein, such return-based ratios as ROCE and ROE may be distorted in high goodwill and intangible asset-driven business</w:t>
      </w:r>
      <w:r w:rsidR="004279E4" w:rsidRPr="004279E4">
        <w:t>.</w:t>
      </w:r>
    </w:p>
    <w:p w14:paraId="5A454F33" w14:textId="54E0A5B8" w:rsidR="004279E4" w:rsidRPr="004279E4" w:rsidRDefault="00C97182" w:rsidP="004279E4">
      <w:r w:rsidRPr="00C97182">
        <w:lastRenderedPageBreak/>
        <w:t>Lastly, ratio analysis is also backward-looking in nature and fails to reflect qualitative variables, including brand strength, innovation capability or a quality of corporate governance which are all important to long-term value creation (Brigham and Ehrhardt, 2020). Hence, ratios are to be viewed as an indicator measure and are to be incorporated to strategic and qualitative analysis</w:t>
      </w:r>
      <w:r w:rsidR="004279E4" w:rsidRPr="004279E4">
        <w:t>.</w:t>
      </w:r>
      <w:r w:rsidR="00AD0B06">
        <w:t xml:space="preserve"> </w:t>
      </w:r>
      <w:r>
        <w:t xml:space="preserve"> </w:t>
      </w:r>
    </w:p>
    <w:p w14:paraId="31E5BCA7" w14:textId="77777777" w:rsidR="00F51E08" w:rsidRPr="00F51E08" w:rsidRDefault="00F51E08" w:rsidP="00F51E08">
      <w:pPr>
        <w:pStyle w:val="Heading2"/>
      </w:pPr>
      <w:bookmarkStart w:id="10" w:name="_Toc217483970"/>
      <w:r w:rsidRPr="00F51E08">
        <w:t>9. Recommendations to the Board</w:t>
      </w:r>
      <w:bookmarkEnd w:id="10"/>
    </w:p>
    <w:p w14:paraId="55832756" w14:textId="3AF499C3" w:rsidR="00F51E08" w:rsidRPr="00F51E08" w:rsidRDefault="00783ED0" w:rsidP="00F51E08">
      <w:r w:rsidRPr="00783ED0">
        <w:t>According to the financial analysis conducted, the recommendation can be made to improve the financial management of Unilever PLC, as well as promoting sustainable value creation. These suggestions are aimed at enhancing resilience in the profitability, enhancing the liquidity management, streamlining the capital structure, and protecting the shareholder returns</w:t>
      </w:r>
      <w:r w:rsidR="00F51E08" w:rsidRPr="00F51E08">
        <w:t>.</w:t>
      </w:r>
    </w:p>
    <w:p w14:paraId="2388F1D3" w14:textId="43519411" w:rsidR="00F51E08" w:rsidRPr="00F51E08" w:rsidRDefault="00783ED0" w:rsidP="00F51E08">
      <w:r w:rsidRPr="00783ED0">
        <w:t>On the one hand, margin protection and cost discipline are to be kept as a strategy. As the operating level has seen an improvement in profitability, the falling net income and an interest cover show that there is an increasing burden of the financing costs and restructuring costs. The management needs to keep on achieving the supply chain efficiencies, portfolio rationalisation and disciplined pricing strategy, especially in the areas like Beauty &amp; Wellbeing and Personal Care, which have higher margins. According to Damodaran (2024), productive firms that work in competitive consumer markets need to improve the margins on a long-term basis</w:t>
      </w:r>
      <w:r w:rsidR="00F51E08" w:rsidRPr="00F51E08">
        <w:t>.</w:t>
      </w:r>
    </w:p>
    <w:p w14:paraId="57B1EE7D" w14:textId="6E6E74E2" w:rsidR="00F51E08" w:rsidRPr="00F51E08" w:rsidRDefault="00783ED0" w:rsidP="00F51E08">
      <w:r w:rsidRPr="00783ED0">
        <w:t>Second, efficiency of its working capital must be improved. The negative working capital is a normal case situation in the FMCG industry; however, recent growth in inventory and receivables days denotes some inefficiencies increased. Increased demand prediction, more stringent credit management and better inventory management would provide more cash and increase short term liquidity without reducing service levels (Atrill and McLaney, 2023)</w:t>
      </w:r>
      <w:r w:rsidR="00F51E08" w:rsidRPr="00F51E08">
        <w:t>.</w:t>
      </w:r>
    </w:p>
    <w:p w14:paraId="60170C26" w14:textId="245B6CF3" w:rsidR="00F51E08" w:rsidRPr="00F51E08" w:rsidRDefault="00783ED0" w:rsidP="00F51E08">
      <w:r w:rsidRPr="00783ED0">
        <w:t>Third, capital structure and gearing levels should be reviewed by the Board. Although Unilever has a retained level of leverage the difference between net debt and the EBITDA is increasing and the interest coverage ratio is decreasing, which indicates a growing financial risk. The management must look at the option of focusing on cutting debts as opposed to new share buy-backs in the near future especially in a more active interest rate environment. Financial flexibility also will lead to a decrease in refinancing risk as leverage and safeguard of shareholder value during economic uncertainty times (Brigham and Ehrhardt, 2020)</w:t>
      </w:r>
      <w:r w:rsidR="00F51E08" w:rsidRPr="00F51E08">
        <w:t>.</w:t>
      </w:r>
    </w:p>
    <w:p w14:paraId="6F39E65E" w14:textId="5E5722A8" w:rsidR="00F51E08" w:rsidRPr="00F51E08" w:rsidRDefault="00783ED0" w:rsidP="00F51E08">
      <w:r w:rsidRPr="00783ED0">
        <w:lastRenderedPageBreak/>
        <w:t>Fourthly, dividend sustainability is one area worth consideration. Coverage of dividends has reduced considerably which means that there is no headroom to fluctuation in earnings. A more balanced and moderate form of capital allocation which incorporates a combination of fixed dividend, as well as selective reinvestments would enable long-term growth and at the same time retain investor confidence (Penman, 2013)</w:t>
      </w:r>
      <w:r w:rsidR="00F51E08" w:rsidRPr="00F51E08">
        <w:t>.</w:t>
      </w:r>
    </w:p>
    <w:p w14:paraId="1B4798D0" w14:textId="0E8A2611" w:rsidR="00F51E08" w:rsidRPr="00F51E08" w:rsidRDefault="00783ED0" w:rsidP="00F51E08">
      <w:r w:rsidRPr="00783ED0">
        <w:t>Lastly, the Board ought to still augment financial measures with strategic and non-financial performance measures such as brand equity, innovation performance and environmental, social and governance performance. A comprehensive based performance appraisal increases the quality of decision-making, making of long-term value according to Lev and Sunder (1979)</w:t>
      </w:r>
      <w:r w:rsidR="00F51E08" w:rsidRPr="00F51E08">
        <w:t>.</w:t>
      </w:r>
      <w:r w:rsidR="00392333">
        <w:t xml:space="preserve"> </w:t>
      </w:r>
    </w:p>
    <w:p w14:paraId="5F0D4047" w14:textId="77777777" w:rsidR="004C4F66" w:rsidRPr="004C4F66" w:rsidRDefault="004C4F66" w:rsidP="004C4F66">
      <w:pPr>
        <w:pStyle w:val="Heading2"/>
      </w:pPr>
      <w:bookmarkStart w:id="11" w:name="_Toc217483971"/>
      <w:r w:rsidRPr="004C4F66">
        <w:t>Conclusion</w:t>
      </w:r>
      <w:bookmarkEnd w:id="11"/>
    </w:p>
    <w:p w14:paraId="1A67D1CA" w14:textId="5D6CEE10" w:rsidR="004C4F66" w:rsidRPr="004C4F66" w:rsidRDefault="00783ED0" w:rsidP="004C4F66">
      <w:r w:rsidRPr="00783ED0">
        <w:t>The paper has critically assessed the financial performance of Unilever PLC during the two years of performance ended 31 December 2023 and 31 December 24, is based on a systematic framework of profitability, liquidity, efficiency, gearing and investor ratios. The analysis shows that Unilever has made significant gains in operational profitability as it is reflected in increasing gross and operating profits, as well as, robust return on capital employed. These results indicate cost control, pricing discipline and robustness of the brand-led portfolio of the company (Penman, 2013; Damodaran, 2024)</w:t>
      </w:r>
      <w:r w:rsidR="004C4F66" w:rsidRPr="004C4F66">
        <w:t>.</w:t>
      </w:r>
    </w:p>
    <w:p w14:paraId="1BE7FEBD" w14:textId="427B35FC" w:rsidR="004C4F66" w:rsidRPr="004C4F66" w:rsidRDefault="00783ED0" w:rsidP="004C4F66">
      <w:r w:rsidRPr="00783ED0">
        <w:t>Nevertheless, the results also point to the growing issues. The reduction in net income, the narrowing down of dividends paid and rising leverage indicates the mounting pressure on the bottom-line performance and financial flexibility. The liquidity ratios are still underdeveloped, and the efficiency metrics are indicative of a slight worsening of the working capital management. These trends do not pose an immediate threat to a cash-generative business that deals with FMCG, but they should not be ignored in favor of being actively managed (Atrill and McLaney, 2023)</w:t>
      </w:r>
      <w:r w:rsidR="004C4F66" w:rsidRPr="004C4F66">
        <w:t>.</w:t>
      </w:r>
    </w:p>
    <w:p w14:paraId="7BAD06B8" w14:textId="22AD72A9" w:rsidR="0008013D" w:rsidRDefault="00783ED0" w:rsidP="0008013D">
      <w:r w:rsidRPr="00783ED0">
        <w:t>In the future, the strategic direction of Unilever must revolve around shareholder returns as compared to reinvestment and balance sheet strength. Cash flow generation, moderating leverage and increasing working capital efficiency will be key priorities in a highly unstable macroeconomic environment with inflationary pressures and variable consumer demand (Brigham and Ehrhardt, 2020). Through integrating financial discipline and long-term strategic goals, Unilever is in good position to continue creating values to shareholders as it is able to remain operational resilient and competitive (Lev and Sunder, 1979)</w:t>
      </w:r>
      <w:r w:rsidR="004C4F66" w:rsidRPr="004C4F66">
        <w:t>.</w:t>
      </w:r>
      <w:r>
        <w:t xml:space="preserve"> </w:t>
      </w:r>
    </w:p>
    <w:p w14:paraId="4422F77F" w14:textId="77777777" w:rsidR="009729AC" w:rsidRDefault="009729AC" w:rsidP="0008013D"/>
    <w:p w14:paraId="6E05CD6B" w14:textId="77777777" w:rsidR="009729AC" w:rsidRDefault="009729AC" w:rsidP="0008013D"/>
    <w:p w14:paraId="178AD711" w14:textId="77777777" w:rsidR="009729AC" w:rsidRDefault="009729AC" w:rsidP="0008013D"/>
    <w:p w14:paraId="10D00100" w14:textId="77777777" w:rsidR="009729AC" w:rsidRDefault="009729AC" w:rsidP="0008013D"/>
    <w:p w14:paraId="65CD5B93" w14:textId="77777777" w:rsidR="009729AC" w:rsidRDefault="009729AC" w:rsidP="0008013D"/>
    <w:p w14:paraId="04B62E17" w14:textId="77777777" w:rsidR="009729AC" w:rsidRDefault="009729AC" w:rsidP="0008013D"/>
    <w:p w14:paraId="3F45C357" w14:textId="77777777" w:rsidR="009729AC" w:rsidRDefault="009729AC" w:rsidP="0008013D"/>
    <w:p w14:paraId="56AE9204" w14:textId="77777777" w:rsidR="009729AC" w:rsidRDefault="009729AC" w:rsidP="0008013D"/>
    <w:p w14:paraId="4A0AD875" w14:textId="77777777" w:rsidR="009729AC" w:rsidRDefault="009729AC" w:rsidP="0008013D"/>
    <w:p w14:paraId="7241BCF8" w14:textId="77777777" w:rsidR="009729AC" w:rsidRPr="009729AC" w:rsidRDefault="009729AC" w:rsidP="0008013D"/>
    <w:p w14:paraId="19B142F3" w14:textId="39100A08" w:rsidR="00CC3ED3" w:rsidRDefault="00831016" w:rsidP="00831016">
      <w:pPr>
        <w:pStyle w:val="Heading1"/>
      </w:pPr>
      <w:bookmarkStart w:id="12" w:name="_Toc217483972"/>
      <w:r w:rsidRPr="00831016">
        <w:t>Part 2 – Capital Investment Appraisal Report</w:t>
      </w:r>
      <w:bookmarkEnd w:id="12"/>
    </w:p>
    <w:p w14:paraId="37CE529C" w14:textId="77777777" w:rsidR="001A4264" w:rsidRPr="001A4264" w:rsidRDefault="001A4264" w:rsidP="001A4264">
      <w:pPr>
        <w:pStyle w:val="Heading2"/>
      </w:pPr>
      <w:bookmarkStart w:id="13" w:name="_Toc217483973"/>
      <w:r w:rsidRPr="001A4264">
        <w:t>1. Introduction</w:t>
      </w:r>
      <w:bookmarkEnd w:id="13"/>
    </w:p>
    <w:p w14:paraId="0143ED23" w14:textId="710A636D" w:rsidR="001A4264" w:rsidRPr="001A4264" w:rsidRDefault="0044783C" w:rsidP="001A4264">
      <w:r w:rsidRPr="0044783C">
        <w:t xml:space="preserve">Westward Plc is a manufacturer and retailer of signature curtains with operations in the home-furnishing sector that is competitive globally due to the volatile consumer preferences, rising price awareness, and the ongoing expansion of online retailing (Brealey, Myers and Allen, 2020). The move towards the business growth and improvement of long-term competitiveness is to be four years in the investment programme that is being considered by the directors. Three strategic possibilities have been recognized including: (A) moving the current successful retail outlet into all product range, (B) creation of internet sales capability, and (C) expansion of production to wet wooden blinds and Roman blinds. All options have different initial investment outlay- </w:t>
      </w:r>
      <w:r w:rsidR="006F0CC2" w:rsidRPr="007C3A9A">
        <w:t>£</w:t>
      </w:r>
      <w:r w:rsidRPr="0044783C">
        <w:t xml:space="preserve">600,000, </w:t>
      </w:r>
      <w:r w:rsidR="006F0CC2" w:rsidRPr="007C3A9A">
        <w:t>£</w:t>
      </w:r>
      <w:r w:rsidRPr="0044783C">
        <w:t xml:space="preserve">1,000,000, and </w:t>
      </w:r>
      <w:r w:rsidR="006F0CC2" w:rsidRPr="007C3A9A">
        <w:t>£</w:t>
      </w:r>
      <w:r w:rsidRPr="0044783C">
        <w:t>1,600,000 respectively and produce different year-end cash inflows into the forecast on the four-year planning role</w:t>
      </w:r>
      <w:r w:rsidR="001A4264" w:rsidRPr="001A4264">
        <w:t>.</w:t>
      </w:r>
    </w:p>
    <w:p w14:paraId="25ED0F9D" w14:textId="2EA80F08" w:rsidR="001A4264" w:rsidRPr="001A4264" w:rsidRDefault="0044783C" w:rsidP="001A4264">
      <w:r w:rsidRPr="0044783C">
        <w:t xml:space="preserve">The strategic environment surrounding this decision is that capital investment decisions define future cost base, operating scale and positioning in the market and thus should be appraised on a sound financial appraisal model that concurs with the shareholders wealth maximisation (Hirshleifer,1958). Discounted cash flow techniques have been the choice in corporate finance theory since they use time value of money as well as opportunity cost of capital that they enable projects to be compared to them on an equal basis though cash flows may vary in timing and </w:t>
      </w:r>
      <w:r w:rsidRPr="0044783C">
        <w:lastRenderedPageBreak/>
        <w:t>magnitude (Fisher, 1930). To this end, Net Present Value (NPV) is assessed as the main method of evaluating the three projects at the cost of capital of Westward Plc or 6 per cent with an analysis supporting the selected alternative as the Internal Rate of Return (IRR) (Brigham and Ehrhardt, 2020)</w:t>
      </w:r>
      <w:r w:rsidR="001A4264" w:rsidRPr="001A4264">
        <w:t>.</w:t>
      </w:r>
    </w:p>
    <w:p w14:paraId="127CC0D9" w14:textId="440AAE7B" w:rsidR="001A4264" w:rsidRPr="001A4264" w:rsidRDefault="0044783C" w:rsidP="001A4264">
      <w:r w:rsidRPr="0044783C">
        <w:t xml:space="preserve">This report is meant to give advice to the Board on whether Westward Plc should venture into one (or a combination of) the suggested investments or pursue alternative opportunities, depending on the quantitative appraisal and a strategic consideration. These include: (i), calculation of tax-adjusted NPV of each option with capital allowances of 20% straight-line incorporating corporation tax at 25 percent, (ii), estimation of the IRR of the preferred option, (iii), interpretation of average results in management of the theoretical case of NPV and the continued popularity of non-discounting methods, (iv), capital rationing analysis under a fixed funding constraint of </w:t>
      </w:r>
      <w:r w:rsidR="006F0CC2" w:rsidRPr="007C3A9A">
        <w:t>£</w:t>
      </w:r>
      <w:r w:rsidRPr="0044783C">
        <w:t>2,500,000 that projects are divisible, and (v) recommendation on how the selected investment programme can be financed with</w:t>
      </w:r>
      <w:r w:rsidR="001A4264" w:rsidRPr="001A4264">
        <w:t xml:space="preserve"> (Myers, 1984; Modigliani and Miller, 1958; Ryan and Ryan, 2002).</w:t>
      </w:r>
      <w:r>
        <w:t xml:space="preserve"> </w:t>
      </w:r>
      <w:r w:rsidR="006F0CC2">
        <w:t xml:space="preserve"> </w:t>
      </w:r>
    </w:p>
    <w:p w14:paraId="2887C1F0" w14:textId="77777777" w:rsidR="008F2652" w:rsidRPr="008F2652" w:rsidRDefault="008F2652" w:rsidP="008F2652">
      <w:pPr>
        <w:pStyle w:val="Heading2"/>
      </w:pPr>
      <w:bookmarkStart w:id="14" w:name="_Toc217483974"/>
      <w:r w:rsidRPr="008F2652">
        <w:t>2. Investment Appraisal Methodology</w:t>
      </w:r>
      <w:bookmarkEnd w:id="14"/>
    </w:p>
    <w:p w14:paraId="7B27EE53" w14:textId="424C898F" w:rsidR="008F2652" w:rsidRPr="008F2652" w:rsidRDefault="00916B09" w:rsidP="008F2652">
      <w:r w:rsidRPr="00916B09">
        <w:t>The analysis of the proposed investment projects of Westward Plc relies on the discounted cash flow methods of analysis, which are Net Present Value (NPV) and Internal Rate of Return (IRR). These approaches are strongly based on the financial theory and are commonly considered the most suitable means of valuing capital investment decisions where cash flows are spread across multiple periods (Brealey, Myers and Allen, 2020)</w:t>
      </w:r>
      <w:r w:rsidR="008F2652" w:rsidRPr="008F2652">
        <w:t>.</w:t>
      </w:r>
    </w:p>
    <w:p w14:paraId="45EED3B3" w14:textId="6BC31CE4" w:rsidR="008F2652" w:rsidRPr="008F2652" w:rsidRDefault="00916B09" w:rsidP="008F2652">
      <w:r w:rsidRPr="00916B09">
        <w:t>The Net Present value (NPV) is used to calculate the difference between the current value of cash inflows at future periods and the original investment incurred. It is computed by discounting cash flows occurred in the future based on the cost of capital of the firm that is used to indicate the required rate of return of investors required at a given level of risk being undertaken (Fisher, 1930). Projects that have positive NPV are supposed to increase the wealth of the shareholders and so they should be accepted but those whose NPV is negative should be rejected (Hirshleifer, 1958). NPV is especially appropriate in the given case since the three projects vary in the magnitude and time schedule of cash flows to a significant extent, and NPV enables comparing them directly in terms of absolute monetary equivalency (Brigham and Ehrhardt, 2020)</w:t>
      </w:r>
      <w:r w:rsidR="008F2652" w:rsidRPr="008F2652">
        <w:t>.</w:t>
      </w:r>
    </w:p>
    <w:p w14:paraId="763C4314" w14:textId="5AD12740" w:rsidR="008F2652" w:rsidRPr="008F2652" w:rsidRDefault="00916B09" w:rsidP="008F2652">
      <w:r w:rsidRPr="00916B09">
        <w:t xml:space="preserve">It is also referred to as Internal Rate of Return (IRR), which is the discount rate by which the NPV of a project will have a value of zero. Differently put, it is the anticipated rate of the </w:t>
      </w:r>
      <w:r w:rsidRPr="00916B09">
        <w:lastRenderedPageBreak/>
        <w:t>project to be returned. The project should be acceptable with an IRR that is higher than the cost of capital in the company (Atrill and McLaney, 2023). Although IRR is intuitively attractive to decision makers, it may give false information in case of mutually exclusive projects or where there are non-conventional cash flows, and other projects and hence is applied in this report as a complementary measure as opposed to the primary decision measure (Magni, 2010)</w:t>
      </w:r>
      <w:r w:rsidR="008F2652" w:rsidRPr="008F2652">
        <w:t>.</w:t>
      </w:r>
    </w:p>
    <w:p w14:paraId="00E65A4B" w14:textId="4DB8E69B" w:rsidR="008F2652" w:rsidRPr="008F2652" w:rsidRDefault="00916B09" w:rsidP="008F2652">
      <w:r w:rsidRPr="00916B09">
        <w:t>The appraisal has a number of assumptions. The taxation of corporations is on the assumption that the corporation tax stands at 25 and is paid in the year that cash flows are experienced. Assumptions post a level of 20 percent per annum on a straight-line basis and give rise to a tax shield that decreases the taxable profits and subsequently impacts the net project cash flows (HM Revenue &amp; Customs, 2024). All the incomes related to cash are supposed to be at the end of the year. The cost of equity is established at 6% which is the required cost of capital considering the risk profile and existing market conditions of Westward Plc (Damodaran, 2024). Such assumptions provide standardization in cross-project and bring analysis to the standard capital budgeting practice (Arnold, 2019)</w:t>
      </w:r>
      <w:r w:rsidR="008F2652" w:rsidRPr="008F2652">
        <w:t>.</w:t>
      </w:r>
    </w:p>
    <w:p w14:paraId="02A5D44C" w14:textId="77777777" w:rsidR="007C3A9A" w:rsidRPr="007C3A9A" w:rsidRDefault="007C3A9A" w:rsidP="007C3A9A">
      <w:pPr>
        <w:pStyle w:val="Heading2"/>
      </w:pPr>
      <w:bookmarkStart w:id="15" w:name="_Toc217483975"/>
      <w:r w:rsidRPr="007C3A9A">
        <w:t>3. Evaluation of Investment Options (Net Present Value Analysis)</w:t>
      </w:r>
      <w:bookmarkEnd w:id="15"/>
    </w:p>
    <w:p w14:paraId="2ECE09DA" w14:textId="36E3C417" w:rsidR="007C3A9A" w:rsidRPr="007C3A9A" w:rsidRDefault="00916B09" w:rsidP="007C3A9A">
      <w:r w:rsidRPr="00916B09">
        <w:t>In this section, the three recommended investment alternatives will be compared with the Net Present Value (NPV) method. According to the capital budgeting theory, NPV is the most suitable decision rule to determine whether an investment will lead to an increase in shareholder wealth, because it actively implies the use of time value of money and opportunity cost of capital (Fisher, 1930; Brealey, Myers and Allen, 2020). Analysis is done on a discount rate of 6, the corporation tax of 25 and the capital allowances of 20 straight-line per annum of a period of four years</w:t>
      </w:r>
      <w:r w:rsidR="007C3A9A" w:rsidRPr="007C3A9A">
        <w:t>.</w:t>
      </w:r>
    </w:p>
    <w:p w14:paraId="315CCA6A" w14:textId="581B1FA6" w:rsidR="007C3A9A" w:rsidRPr="007C3A9A" w:rsidRDefault="00916B09" w:rsidP="007C3A9A">
      <w:r w:rsidRPr="00916B09">
        <w:t>In both projects, the first investment is done at Year 0. The annual cash inflows are assumed to be operating cash flows which are pre-tax and are obtained the year-end. The after-tax cash flows are determined as</w:t>
      </w:r>
      <w:r w:rsidR="007C3A9A" w:rsidRPr="007C3A9A">
        <w:t>:</w:t>
      </w:r>
    </w:p>
    <w:p w14:paraId="4FCE034C" w14:textId="411E9B19" w:rsidR="007C3A9A" w:rsidRPr="007C3A9A" w:rsidRDefault="007C3A9A" w:rsidP="007C3A9A">
      <m:oMathPara>
        <m:oMath>
          <m:r>
            <m:rPr>
              <m:nor/>
            </m:rPr>
            <m:t>After-tax cash flow</m:t>
          </m:r>
          <m:r>
            <w:rPr>
              <w:rFonts w:ascii="Cambria Math" w:hAnsi="Cambria Math"/>
            </w:rPr>
            <m:t>=</m:t>
          </m:r>
          <m:r>
            <m:rPr>
              <m:nor/>
            </m:rPr>
            <m:t>Cash flow</m:t>
          </m:r>
          <m:r>
            <w:rPr>
              <w:rFonts w:ascii="Cambria Math" w:hAnsi="Cambria Math"/>
            </w:rPr>
            <m:t>×(1-0.25)+(</m:t>
          </m:r>
          <m:r>
            <m:rPr>
              <m:nor/>
            </m:rPr>
            <m:t>Capital allowance</m:t>
          </m:r>
          <m:r>
            <w:rPr>
              <w:rFonts w:ascii="Cambria Math" w:hAnsi="Cambria Math"/>
            </w:rPr>
            <m:t>×0.25)</m:t>
          </m:r>
        </m:oMath>
      </m:oMathPara>
    </w:p>
    <w:p w14:paraId="0B2DC33A" w14:textId="77777777" w:rsidR="007C3A9A" w:rsidRPr="007C3A9A" w:rsidRDefault="007C3A9A" w:rsidP="007C3A9A">
      <w:pPr>
        <w:rPr>
          <w:b/>
          <w:bCs/>
        </w:rPr>
      </w:pPr>
      <w:r w:rsidRPr="007C3A9A">
        <w:rPr>
          <w:b/>
          <w:bCs/>
        </w:rPr>
        <w:t>Option A: Expand Retail Outlet</w:t>
      </w:r>
    </w:p>
    <w:p w14:paraId="75A74223" w14:textId="77777777" w:rsidR="007C3A9A" w:rsidRPr="007C3A9A" w:rsidRDefault="007C3A9A" w:rsidP="007C3A9A">
      <w:pPr>
        <w:numPr>
          <w:ilvl w:val="0"/>
          <w:numId w:val="1"/>
        </w:numPr>
      </w:pPr>
      <w:r w:rsidRPr="007C3A9A">
        <w:t xml:space="preserve">Initial investment: </w:t>
      </w:r>
      <w:r w:rsidRPr="007C3A9A">
        <w:rPr>
          <w:b/>
          <w:bCs/>
        </w:rPr>
        <w:t>£600,000</w:t>
      </w:r>
    </w:p>
    <w:p w14:paraId="2CA13027" w14:textId="77777777" w:rsidR="007C3A9A" w:rsidRPr="007C3A9A" w:rsidRDefault="007C3A9A" w:rsidP="007C3A9A">
      <w:pPr>
        <w:numPr>
          <w:ilvl w:val="0"/>
          <w:numId w:val="1"/>
        </w:numPr>
      </w:pPr>
      <w:r w:rsidRPr="007C3A9A">
        <w:t xml:space="preserve">Annual capital allowance: 20% × 600,000 = </w:t>
      </w:r>
      <w:r w:rsidRPr="007C3A9A">
        <w:rPr>
          <w:b/>
          <w:bCs/>
        </w:rPr>
        <w:t>£120,000</w:t>
      </w:r>
    </w:p>
    <w:p w14:paraId="3EC11053" w14:textId="77777777" w:rsidR="007C3A9A" w:rsidRPr="007C3A9A" w:rsidRDefault="007C3A9A" w:rsidP="007C3A9A">
      <w:pPr>
        <w:numPr>
          <w:ilvl w:val="0"/>
          <w:numId w:val="1"/>
        </w:numPr>
      </w:pPr>
      <w:r w:rsidRPr="007C3A9A">
        <w:t xml:space="preserve">Annual tax shield: 25% × 120,000 = </w:t>
      </w:r>
      <w:r w:rsidRPr="007C3A9A">
        <w:rPr>
          <w:b/>
          <w:bCs/>
        </w:rPr>
        <w:t>£30,000</w:t>
      </w:r>
    </w:p>
    <w:p w14:paraId="0F9C16EC" w14:textId="77777777" w:rsidR="007C3A9A" w:rsidRPr="007C3A9A" w:rsidRDefault="007C3A9A" w:rsidP="007C3A9A">
      <w:pPr>
        <w:rPr>
          <w:b/>
          <w:bCs/>
        </w:rPr>
      </w:pPr>
      <w:r w:rsidRPr="007C3A9A">
        <w:rPr>
          <w:b/>
          <w:bCs/>
        </w:rPr>
        <w:lastRenderedPageBreak/>
        <w:t>Table 6: NPV Calculation – Option A (£’000)</w:t>
      </w:r>
    </w:p>
    <w:tbl>
      <w:tblPr>
        <w:tblStyle w:val="TableGridLight"/>
        <w:tblW w:w="5000" w:type="pct"/>
        <w:tblLook w:val="04A0" w:firstRow="1" w:lastRow="0" w:firstColumn="1" w:lastColumn="0" w:noHBand="0" w:noVBand="1"/>
      </w:tblPr>
      <w:tblGrid>
        <w:gridCol w:w="690"/>
        <w:gridCol w:w="2126"/>
        <w:gridCol w:w="2350"/>
        <w:gridCol w:w="2330"/>
        <w:gridCol w:w="1520"/>
      </w:tblGrid>
      <w:tr w:rsidR="007C3A9A" w:rsidRPr="007C3A9A" w14:paraId="39D32BB8" w14:textId="77777777" w:rsidTr="007C3A9A">
        <w:tc>
          <w:tcPr>
            <w:tcW w:w="383" w:type="pct"/>
            <w:hideMark/>
          </w:tcPr>
          <w:p w14:paraId="72281C3F" w14:textId="77777777" w:rsidR="007C3A9A" w:rsidRPr="007C3A9A" w:rsidRDefault="007C3A9A" w:rsidP="007C3A9A">
            <w:pPr>
              <w:spacing w:after="160"/>
              <w:rPr>
                <w:b/>
                <w:bCs/>
                <w:sz w:val="20"/>
                <w:szCs w:val="18"/>
              </w:rPr>
            </w:pPr>
            <w:r w:rsidRPr="007C3A9A">
              <w:rPr>
                <w:b/>
                <w:bCs/>
                <w:sz w:val="20"/>
                <w:szCs w:val="18"/>
              </w:rPr>
              <w:t>Year</w:t>
            </w:r>
          </w:p>
        </w:tc>
        <w:tc>
          <w:tcPr>
            <w:tcW w:w="1179" w:type="pct"/>
            <w:hideMark/>
          </w:tcPr>
          <w:p w14:paraId="07D085CA" w14:textId="77777777" w:rsidR="007C3A9A" w:rsidRPr="007C3A9A" w:rsidRDefault="007C3A9A" w:rsidP="007C3A9A">
            <w:pPr>
              <w:spacing w:after="160"/>
              <w:rPr>
                <w:b/>
                <w:bCs/>
                <w:sz w:val="20"/>
                <w:szCs w:val="18"/>
              </w:rPr>
            </w:pPr>
            <w:r w:rsidRPr="007C3A9A">
              <w:rPr>
                <w:b/>
                <w:bCs/>
                <w:sz w:val="20"/>
                <w:szCs w:val="18"/>
              </w:rPr>
              <w:t>Cash Flow (Pre-tax)</w:t>
            </w:r>
          </w:p>
        </w:tc>
        <w:tc>
          <w:tcPr>
            <w:tcW w:w="1303" w:type="pct"/>
            <w:hideMark/>
          </w:tcPr>
          <w:p w14:paraId="65A9553F" w14:textId="77777777" w:rsidR="007C3A9A" w:rsidRPr="007C3A9A" w:rsidRDefault="007C3A9A" w:rsidP="007C3A9A">
            <w:pPr>
              <w:spacing w:after="160"/>
              <w:rPr>
                <w:b/>
                <w:bCs/>
                <w:sz w:val="20"/>
                <w:szCs w:val="18"/>
              </w:rPr>
            </w:pPr>
            <w:r w:rsidRPr="007C3A9A">
              <w:rPr>
                <w:b/>
                <w:bCs/>
                <w:sz w:val="20"/>
                <w:szCs w:val="18"/>
              </w:rPr>
              <w:t>After-tax Cash Flow</w:t>
            </w:r>
          </w:p>
        </w:tc>
        <w:tc>
          <w:tcPr>
            <w:tcW w:w="1292" w:type="pct"/>
            <w:hideMark/>
          </w:tcPr>
          <w:p w14:paraId="2C383AF0" w14:textId="77777777" w:rsidR="007C3A9A" w:rsidRPr="007C3A9A" w:rsidRDefault="007C3A9A" w:rsidP="007C3A9A">
            <w:pPr>
              <w:spacing w:after="160"/>
              <w:rPr>
                <w:b/>
                <w:bCs/>
                <w:sz w:val="20"/>
                <w:szCs w:val="18"/>
              </w:rPr>
            </w:pPr>
            <w:r w:rsidRPr="007C3A9A">
              <w:rPr>
                <w:b/>
                <w:bCs/>
                <w:sz w:val="20"/>
                <w:szCs w:val="18"/>
              </w:rPr>
              <w:t>Discount Factor @6%</w:t>
            </w:r>
          </w:p>
        </w:tc>
        <w:tc>
          <w:tcPr>
            <w:tcW w:w="844" w:type="pct"/>
            <w:hideMark/>
          </w:tcPr>
          <w:p w14:paraId="0439D5FE" w14:textId="77777777" w:rsidR="007C3A9A" w:rsidRPr="007C3A9A" w:rsidRDefault="007C3A9A" w:rsidP="007C3A9A">
            <w:pPr>
              <w:spacing w:after="160"/>
              <w:rPr>
                <w:b/>
                <w:bCs/>
                <w:sz w:val="20"/>
                <w:szCs w:val="18"/>
              </w:rPr>
            </w:pPr>
            <w:r w:rsidRPr="007C3A9A">
              <w:rPr>
                <w:b/>
                <w:bCs/>
                <w:sz w:val="20"/>
                <w:szCs w:val="18"/>
              </w:rPr>
              <w:t>Present Value</w:t>
            </w:r>
          </w:p>
        </w:tc>
      </w:tr>
      <w:tr w:rsidR="007C3A9A" w:rsidRPr="007C3A9A" w14:paraId="34300DC4" w14:textId="77777777" w:rsidTr="007C3A9A">
        <w:tc>
          <w:tcPr>
            <w:tcW w:w="383" w:type="pct"/>
            <w:hideMark/>
          </w:tcPr>
          <w:p w14:paraId="7540FF64" w14:textId="77777777" w:rsidR="007C3A9A" w:rsidRPr="007C3A9A" w:rsidRDefault="007C3A9A" w:rsidP="007C3A9A">
            <w:pPr>
              <w:spacing w:after="160"/>
              <w:rPr>
                <w:sz w:val="20"/>
                <w:szCs w:val="18"/>
              </w:rPr>
            </w:pPr>
            <w:r w:rsidRPr="007C3A9A">
              <w:rPr>
                <w:sz w:val="20"/>
                <w:szCs w:val="18"/>
              </w:rPr>
              <w:t>0</w:t>
            </w:r>
          </w:p>
        </w:tc>
        <w:tc>
          <w:tcPr>
            <w:tcW w:w="1179" w:type="pct"/>
            <w:hideMark/>
          </w:tcPr>
          <w:p w14:paraId="59929F74" w14:textId="77777777" w:rsidR="007C3A9A" w:rsidRPr="007C3A9A" w:rsidRDefault="007C3A9A" w:rsidP="007C3A9A">
            <w:pPr>
              <w:spacing w:after="160"/>
              <w:rPr>
                <w:sz w:val="20"/>
                <w:szCs w:val="18"/>
              </w:rPr>
            </w:pPr>
            <w:r w:rsidRPr="007C3A9A">
              <w:rPr>
                <w:sz w:val="20"/>
                <w:szCs w:val="18"/>
              </w:rPr>
              <w:t>(600)</w:t>
            </w:r>
          </w:p>
        </w:tc>
        <w:tc>
          <w:tcPr>
            <w:tcW w:w="1303" w:type="pct"/>
            <w:hideMark/>
          </w:tcPr>
          <w:p w14:paraId="68FC165B" w14:textId="77777777" w:rsidR="007C3A9A" w:rsidRPr="007C3A9A" w:rsidRDefault="007C3A9A" w:rsidP="007C3A9A">
            <w:pPr>
              <w:spacing w:after="160"/>
              <w:rPr>
                <w:sz w:val="20"/>
                <w:szCs w:val="18"/>
              </w:rPr>
            </w:pPr>
            <w:r w:rsidRPr="007C3A9A">
              <w:rPr>
                <w:sz w:val="20"/>
                <w:szCs w:val="18"/>
              </w:rPr>
              <w:t>(600)</w:t>
            </w:r>
          </w:p>
        </w:tc>
        <w:tc>
          <w:tcPr>
            <w:tcW w:w="1292" w:type="pct"/>
            <w:hideMark/>
          </w:tcPr>
          <w:p w14:paraId="29F28C82" w14:textId="77777777" w:rsidR="007C3A9A" w:rsidRPr="007C3A9A" w:rsidRDefault="007C3A9A" w:rsidP="007C3A9A">
            <w:pPr>
              <w:spacing w:after="160"/>
              <w:rPr>
                <w:sz w:val="20"/>
                <w:szCs w:val="18"/>
              </w:rPr>
            </w:pPr>
            <w:r w:rsidRPr="007C3A9A">
              <w:rPr>
                <w:sz w:val="20"/>
                <w:szCs w:val="18"/>
              </w:rPr>
              <w:t>1.000</w:t>
            </w:r>
          </w:p>
        </w:tc>
        <w:tc>
          <w:tcPr>
            <w:tcW w:w="844" w:type="pct"/>
            <w:hideMark/>
          </w:tcPr>
          <w:p w14:paraId="59051CD5" w14:textId="77777777" w:rsidR="007C3A9A" w:rsidRPr="007C3A9A" w:rsidRDefault="007C3A9A" w:rsidP="007C3A9A">
            <w:pPr>
              <w:spacing w:after="160"/>
              <w:rPr>
                <w:sz w:val="20"/>
                <w:szCs w:val="18"/>
              </w:rPr>
            </w:pPr>
            <w:r w:rsidRPr="007C3A9A">
              <w:rPr>
                <w:b/>
                <w:bCs/>
                <w:sz w:val="20"/>
                <w:szCs w:val="18"/>
              </w:rPr>
              <w:t>(600.0)</w:t>
            </w:r>
          </w:p>
        </w:tc>
      </w:tr>
      <w:tr w:rsidR="007C3A9A" w:rsidRPr="007C3A9A" w14:paraId="58791190" w14:textId="77777777" w:rsidTr="007C3A9A">
        <w:tc>
          <w:tcPr>
            <w:tcW w:w="383" w:type="pct"/>
            <w:hideMark/>
          </w:tcPr>
          <w:p w14:paraId="328CF1BE" w14:textId="77777777" w:rsidR="007C3A9A" w:rsidRPr="007C3A9A" w:rsidRDefault="007C3A9A" w:rsidP="007C3A9A">
            <w:pPr>
              <w:spacing w:after="160"/>
              <w:rPr>
                <w:sz w:val="20"/>
                <w:szCs w:val="18"/>
              </w:rPr>
            </w:pPr>
            <w:r w:rsidRPr="007C3A9A">
              <w:rPr>
                <w:sz w:val="20"/>
                <w:szCs w:val="18"/>
              </w:rPr>
              <w:t>1</w:t>
            </w:r>
          </w:p>
        </w:tc>
        <w:tc>
          <w:tcPr>
            <w:tcW w:w="1179" w:type="pct"/>
            <w:hideMark/>
          </w:tcPr>
          <w:p w14:paraId="6422E22F" w14:textId="77777777" w:rsidR="007C3A9A" w:rsidRPr="007C3A9A" w:rsidRDefault="007C3A9A" w:rsidP="007C3A9A">
            <w:pPr>
              <w:spacing w:after="160"/>
              <w:rPr>
                <w:sz w:val="20"/>
                <w:szCs w:val="18"/>
              </w:rPr>
            </w:pPr>
            <w:r w:rsidRPr="007C3A9A">
              <w:rPr>
                <w:sz w:val="20"/>
                <w:szCs w:val="18"/>
              </w:rPr>
              <w:t>200</w:t>
            </w:r>
          </w:p>
        </w:tc>
        <w:tc>
          <w:tcPr>
            <w:tcW w:w="1303" w:type="pct"/>
            <w:hideMark/>
          </w:tcPr>
          <w:p w14:paraId="294C0EF3" w14:textId="77777777" w:rsidR="007C3A9A" w:rsidRPr="007C3A9A" w:rsidRDefault="007C3A9A" w:rsidP="007C3A9A">
            <w:pPr>
              <w:spacing w:after="160"/>
              <w:rPr>
                <w:sz w:val="20"/>
                <w:szCs w:val="18"/>
              </w:rPr>
            </w:pPr>
            <w:r w:rsidRPr="007C3A9A">
              <w:rPr>
                <w:sz w:val="20"/>
                <w:szCs w:val="18"/>
              </w:rPr>
              <w:t>(200 × 0.75) + 30 = 180</w:t>
            </w:r>
          </w:p>
        </w:tc>
        <w:tc>
          <w:tcPr>
            <w:tcW w:w="1292" w:type="pct"/>
            <w:hideMark/>
          </w:tcPr>
          <w:p w14:paraId="65E64D00" w14:textId="77777777" w:rsidR="007C3A9A" w:rsidRPr="007C3A9A" w:rsidRDefault="007C3A9A" w:rsidP="007C3A9A">
            <w:pPr>
              <w:spacing w:after="160"/>
              <w:rPr>
                <w:sz w:val="20"/>
                <w:szCs w:val="18"/>
              </w:rPr>
            </w:pPr>
            <w:r w:rsidRPr="007C3A9A">
              <w:rPr>
                <w:sz w:val="20"/>
                <w:szCs w:val="18"/>
              </w:rPr>
              <w:t>0.943</w:t>
            </w:r>
          </w:p>
        </w:tc>
        <w:tc>
          <w:tcPr>
            <w:tcW w:w="844" w:type="pct"/>
            <w:hideMark/>
          </w:tcPr>
          <w:p w14:paraId="4F24F934" w14:textId="77777777" w:rsidR="007C3A9A" w:rsidRPr="007C3A9A" w:rsidRDefault="007C3A9A" w:rsidP="007C3A9A">
            <w:pPr>
              <w:spacing w:after="160"/>
              <w:rPr>
                <w:sz w:val="20"/>
                <w:szCs w:val="18"/>
              </w:rPr>
            </w:pPr>
            <w:r w:rsidRPr="007C3A9A">
              <w:rPr>
                <w:sz w:val="20"/>
                <w:szCs w:val="18"/>
              </w:rPr>
              <w:t>169.7</w:t>
            </w:r>
          </w:p>
        </w:tc>
      </w:tr>
      <w:tr w:rsidR="007C3A9A" w:rsidRPr="007C3A9A" w14:paraId="2EDFAAAC" w14:textId="77777777" w:rsidTr="007C3A9A">
        <w:tc>
          <w:tcPr>
            <w:tcW w:w="383" w:type="pct"/>
            <w:hideMark/>
          </w:tcPr>
          <w:p w14:paraId="37A39AB4" w14:textId="77777777" w:rsidR="007C3A9A" w:rsidRPr="007C3A9A" w:rsidRDefault="007C3A9A" w:rsidP="007C3A9A">
            <w:pPr>
              <w:spacing w:after="160"/>
              <w:rPr>
                <w:sz w:val="20"/>
                <w:szCs w:val="18"/>
              </w:rPr>
            </w:pPr>
            <w:r w:rsidRPr="007C3A9A">
              <w:rPr>
                <w:sz w:val="20"/>
                <w:szCs w:val="18"/>
              </w:rPr>
              <w:t>2</w:t>
            </w:r>
          </w:p>
        </w:tc>
        <w:tc>
          <w:tcPr>
            <w:tcW w:w="1179" w:type="pct"/>
            <w:hideMark/>
          </w:tcPr>
          <w:p w14:paraId="1A72B99E" w14:textId="77777777" w:rsidR="007C3A9A" w:rsidRPr="007C3A9A" w:rsidRDefault="007C3A9A" w:rsidP="007C3A9A">
            <w:pPr>
              <w:spacing w:after="160"/>
              <w:rPr>
                <w:sz w:val="20"/>
                <w:szCs w:val="18"/>
              </w:rPr>
            </w:pPr>
            <w:r w:rsidRPr="007C3A9A">
              <w:rPr>
                <w:sz w:val="20"/>
                <w:szCs w:val="18"/>
              </w:rPr>
              <w:t>400</w:t>
            </w:r>
          </w:p>
        </w:tc>
        <w:tc>
          <w:tcPr>
            <w:tcW w:w="1303" w:type="pct"/>
            <w:hideMark/>
          </w:tcPr>
          <w:p w14:paraId="3E47AE27" w14:textId="77777777" w:rsidR="007C3A9A" w:rsidRPr="007C3A9A" w:rsidRDefault="007C3A9A" w:rsidP="007C3A9A">
            <w:pPr>
              <w:spacing w:after="160"/>
              <w:rPr>
                <w:sz w:val="20"/>
                <w:szCs w:val="18"/>
              </w:rPr>
            </w:pPr>
            <w:r w:rsidRPr="007C3A9A">
              <w:rPr>
                <w:sz w:val="20"/>
                <w:szCs w:val="18"/>
              </w:rPr>
              <w:t>(400 × 0.75) + 30 = 330</w:t>
            </w:r>
          </w:p>
        </w:tc>
        <w:tc>
          <w:tcPr>
            <w:tcW w:w="1292" w:type="pct"/>
            <w:hideMark/>
          </w:tcPr>
          <w:p w14:paraId="5EF0DA25" w14:textId="77777777" w:rsidR="007C3A9A" w:rsidRPr="007C3A9A" w:rsidRDefault="007C3A9A" w:rsidP="007C3A9A">
            <w:pPr>
              <w:spacing w:after="160"/>
              <w:rPr>
                <w:sz w:val="20"/>
                <w:szCs w:val="18"/>
              </w:rPr>
            </w:pPr>
            <w:r w:rsidRPr="007C3A9A">
              <w:rPr>
                <w:sz w:val="20"/>
                <w:szCs w:val="18"/>
              </w:rPr>
              <w:t>0.890</w:t>
            </w:r>
          </w:p>
        </w:tc>
        <w:tc>
          <w:tcPr>
            <w:tcW w:w="844" w:type="pct"/>
            <w:hideMark/>
          </w:tcPr>
          <w:p w14:paraId="58ED9E53" w14:textId="77777777" w:rsidR="007C3A9A" w:rsidRPr="007C3A9A" w:rsidRDefault="007C3A9A" w:rsidP="007C3A9A">
            <w:pPr>
              <w:spacing w:after="160"/>
              <w:rPr>
                <w:sz w:val="20"/>
                <w:szCs w:val="18"/>
              </w:rPr>
            </w:pPr>
            <w:r w:rsidRPr="007C3A9A">
              <w:rPr>
                <w:sz w:val="20"/>
                <w:szCs w:val="18"/>
              </w:rPr>
              <w:t>293.7</w:t>
            </w:r>
          </w:p>
        </w:tc>
      </w:tr>
      <w:tr w:rsidR="007C3A9A" w:rsidRPr="007C3A9A" w14:paraId="2124B6FA" w14:textId="77777777" w:rsidTr="007C3A9A">
        <w:tc>
          <w:tcPr>
            <w:tcW w:w="383" w:type="pct"/>
            <w:hideMark/>
          </w:tcPr>
          <w:p w14:paraId="55A35E20" w14:textId="77777777" w:rsidR="007C3A9A" w:rsidRPr="007C3A9A" w:rsidRDefault="007C3A9A" w:rsidP="007C3A9A">
            <w:pPr>
              <w:spacing w:after="160"/>
              <w:rPr>
                <w:sz w:val="20"/>
                <w:szCs w:val="18"/>
              </w:rPr>
            </w:pPr>
            <w:r w:rsidRPr="007C3A9A">
              <w:rPr>
                <w:sz w:val="20"/>
                <w:szCs w:val="18"/>
              </w:rPr>
              <w:t>3</w:t>
            </w:r>
          </w:p>
        </w:tc>
        <w:tc>
          <w:tcPr>
            <w:tcW w:w="1179" w:type="pct"/>
            <w:hideMark/>
          </w:tcPr>
          <w:p w14:paraId="775EE310" w14:textId="77777777" w:rsidR="007C3A9A" w:rsidRPr="007C3A9A" w:rsidRDefault="007C3A9A" w:rsidP="007C3A9A">
            <w:pPr>
              <w:spacing w:after="160"/>
              <w:rPr>
                <w:sz w:val="20"/>
                <w:szCs w:val="18"/>
              </w:rPr>
            </w:pPr>
            <w:r w:rsidRPr="007C3A9A">
              <w:rPr>
                <w:sz w:val="20"/>
                <w:szCs w:val="18"/>
              </w:rPr>
              <w:t>500</w:t>
            </w:r>
          </w:p>
        </w:tc>
        <w:tc>
          <w:tcPr>
            <w:tcW w:w="1303" w:type="pct"/>
            <w:hideMark/>
          </w:tcPr>
          <w:p w14:paraId="0E39DD2B" w14:textId="77777777" w:rsidR="007C3A9A" w:rsidRPr="007C3A9A" w:rsidRDefault="007C3A9A" w:rsidP="007C3A9A">
            <w:pPr>
              <w:spacing w:after="160"/>
              <w:rPr>
                <w:sz w:val="20"/>
                <w:szCs w:val="18"/>
              </w:rPr>
            </w:pPr>
            <w:r w:rsidRPr="007C3A9A">
              <w:rPr>
                <w:sz w:val="20"/>
                <w:szCs w:val="18"/>
              </w:rPr>
              <w:t>(500 × 0.75) + 30 = 405</w:t>
            </w:r>
          </w:p>
        </w:tc>
        <w:tc>
          <w:tcPr>
            <w:tcW w:w="1292" w:type="pct"/>
            <w:hideMark/>
          </w:tcPr>
          <w:p w14:paraId="5CE673F1" w14:textId="77777777" w:rsidR="007C3A9A" w:rsidRPr="007C3A9A" w:rsidRDefault="007C3A9A" w:rsidP="007C3A9A">
            <w:pPr>
              <w:spacing w:after="160"/>
              <w:rPr>
                <w:sz w:val="20"/>
                <w:szCs w:val="18"/>
              </w:rPr>
            </w:pPr>
            <w:r w:rsidRPr="007C3A9A">
              <w:rPr>
                <w:sz w:val="20"/>
                <w:szCs w:val="18"/>
              </w:rPr>
              <w:t>0.840</w:t>
            </w:r>
          </w:p>
        </w:tc>
        <w:tc>
          <w:tcPr>
            <w:tcW w:w="844" w:type="pct"/>
            <w:hideMark/>
          </w:tcPr>
          <w:p w14:paraId="0FFABCAB" w14:textId="77777777" w:rsidR="007C3A9A" w:rsidRPr="007C3A9A" w:rsidRDefault="007C3A9A" w:rsidP="007C3A9A">
            <w:pPr>
              <w:spacing w:after="160"/>
              <w:rPr>
                <w:sz w:val="20"/>
                <w:szCs w:val="18"/>
              </w:rPr>
            </w:pPr>
            <w:r w:rsidRPr="007C3A9A">
              <w:rPr>
                <w:sz w:val="20"/>
                <w:szCs w:val="18"/>
              </w:rPr>
              <w:t>340.2</w:t>
            </w:r>
          </w:p>
        </w:tc>
      </w:tr>
      <w:tr w:rsidR="007C3A9A" w:rsidRPr="007C3A9A" w14:paraId="01DA1E62" w14:textId="77777777" w:rsidTr="007C3A9A">
        <w:tc>
          <w:tcPr>
            <w:tcW w:w="383" w:type="pct"/>
            <w:hideMark/>
          </w:tcPr>
          <w:p w14:paraId="188C59E8" w14:textId="77777777" w:rsidR="007C3A9A" w:rsidRPr="007C3A9A" w:rsidRDefault="007C3A9A" w:rsidP="007C3A9A">
            <w:pPr>
              <w:spacing w:after="160"/>
              <w:rPr>
                <w:sz w:val="20"/>
                <w:szCs w:val="18"/>
              </w:rPr>
            </w:pPr>
            <w:r w:rsidRPr="007C3A9A">
              <w:rPr>
                <w:sz w:val="20"/>
                <w:szCs w:val="18"/>
              </w:rPr>
              <w:t>4</w:t>
            </w:r>
          </w:p>
        </w:tc>
        <w:tc>
          <w:tcPr>
            <w:tcW w:w="1179" w:type="pct"/>
            <w:hideMark/>
          </w:tcPr>
          <w:p w14:paraId="5B61DEE3" w14:textId="77777777" w:rsidR="007C3A9A" w:rsidRPr="007C3A9A" w:rsidRDefault="007C3A9A" w:rsidP="007C3A9A">
            <w:pPr>
              <w:spacing w:after="160"/>
              <w:rPr>
                <w:sz w:val="20"/>
                <w:szCs w:val="18"/>
              </w:rPr>
            </w:pPr>
            <w:r w:rsidRPr="007C3A9A">
              <w:rPr>
                <w:sz w:val="20"/>
                <w:szCs w:val="18"/>
              </w:rPr>
              <w:t>700</w:t>
            </w:r>
          </w:p>
        </w:tc>
        <w:tc>
          <w:tcPr>
            <w:tcW w:w="1303" w:type="pct"/>
            <w:hideMark/>
          </w:tcPr>
          <w:p w14:paraId="54B0A0DA" w14:textId="77777777" w:rsidR="007C3A9A" w:rsidRPr="007C3A9A" w:rsidRDefault="007C3A9A" w:rsidP="007C3A9A">
            <w:pPr>
              <w:spacing w:after="160"/>
              <w:rPr>
                <w:sz w:val="20"/>
                <w:szCs w:val="18"/>
              </w:rPr>
            </w:pPr>
            <w:r w:rsidRPr="007C3A9A">
              <w:rPr>
                <w:sz w:val="20"/>
                <w:szCs w:val="18"/>
              </w:rPr>
              <w:t>(700 × 0.75) + 30 = 555</w:t>
            </w:r>
          </w:p>
        </w:tc>
        <w:tc>
          <w:tcPr>
            <w:tcW w:w="1292" w:type="pct"/>
            <w:hideMark/>
          </w:tcPr>
          <w:p w14:paraId="1717A4BD" w14:textId="77777777" w:rsidR="007C3A9A" w:rsidRPr="007C3A9A" w:rsidRDefault="007C3A9A" w:rsidP="007C3A9A">
            <w:pPr>
              <w:spacing w:after="160"/>
              <w:rPr>
                <w:sz w:val="20"/>
                <w:szCs w:val="18"/>
              </w:rPr>
            </w:pPr>
            <w:r w:rsidRPr="007C3A9A">
              <w:rPr>
                <w:sz w:val="20"/>
                <w:szCs w:val="18"/>
              </w:rPr>
              <w:t>0.792</w:t>
            </w:r>
          </w:p>
        </w:tc>
        <w:tc>
          <w:tcPr>
            <w:tcW w:w="844" w:type="pct"/>
            <w:hideMark/>
          </w:tcPr>
          <w:p w14:paraId="01179C76" w14:textId="77777777" w:rsidR="007C3A9A" w:rsidRPr="007C3A9A" w:rsidRDefault="007C3A9A" w:rsidP="007C3A9A">
            <w:pPr>
              <w:spacing w:after="160"/>
              <w:rPr>
                <w:sz w:val="20"/>
                <w:szCs w:val="18"/>
              </w:rPr>
            </w:pPr>
            <w:r w:rsidRPr="007C3A9A">
              <w:rPr>
                <w:sz w:val="20"/>
                <w:szCs w:val="18"/>
              </w:rPr>
              <w:t>439.6</w:t>
            </w:r>
          </w:p>
        </w:tc>
      </w:tr>
      <w:tr w:rsidR="007C3A9A" w:rsidRPr="007C3A9A" w14:paraId="38E6B9BB" w14:textId="77777777" w:rsidTr="007C3A9A">
        <w:tc>
          <w:tcPr>
            <w:tcW w:w="383" w:type="pct"/>
            <w:hideMark/>
          </w:tcPr>
          <w:p w14:paraId="27CC3BF8" w14:textId="77777777" w:rsidR="007C3A9A" w:rsidRPr="007C3A9A" w:rsidRDefault="007C3A9A" w:rsidP="007C3A9A">
            <w:pPr>
              <w:spacing w:after="160"/>
              <w:rPr>
                <w:sz w:val="20"/>
                <w:szCs w:val="18"/>
              </w:rPr>
            </w:pPr>
            <w:r w:rsidRPr="007C3A9A">
              <w:rPr>
                <w:b/>
                <w:bCs/>
                <w:sz w:val="20"/>
                <w:szCs w:val="18"/>
              </w:rPr>
              <w:t>NPV</w:t>
            </w:r>
          </w:p>
        </w:tc>
        <w:tc>
          <w:tcPr>
            <w:tcW w:w="1179" w:type="pct"/>
            <w:hideMark/>
          </w:tcPr>
          <w:p w14:paraId="61255811" w14:textId="77777777" w:rsidR="007C3A9A" w:rsidRPr="007C3A9A" w:rsidRDefault="007C3A9A" w:rsidP="007C3A9A">
            <w:pPr>
              <w:spacing w:after="160"/>
              <w:rPr>
                <w:sz w:val="20"/>
                <w:szCs w:val="18"/>
              </w:rPr>
            </w:pPr>
          </w:p>
        </w:tc>
        <w:tc>
          <w:tcPr>
            <w:tcW w:w="1303" w:type="pct"/>
            <w:hideMark/>
          </w:tcPr>
          <w:p w14:paraId="70B073DB" w14:textId="77777777" w:rsidR="007C3A9A" w:rsidRPr="007C3A9A" w:rsidRDefault="007C3A9A" w:rsidP="007C3A9A">
            <w:pPr>
              <w:spacing w:after="160"/>
              <w:rPr>
                <w:sz w:val="20"/>
                <w:szCs w:val="18"/>
              </w:rPr>
            </w:pPr>
          </w:p>
        </w:tc>
        <w:tc>
          <w:tcPr>
            <w:tcW w:w="1292" w:type="pct"/>
            <w:hideMark/>
          </w:tcPr>
          <w:p w14:paraId="3C597B77" w14:textId="77777777" w:rsidR="007C3A9A" w:rsidRPr="007C3A9A" w:rsidRDefault="007C3A9A" w:rsidP="007C3A9A">
            <w:pPr>
              <w:spacing w:after="160"/>
              <w:rPr>
                <w:sz w:val="20"/>
                <w:szCs w:val="18"/>
              </w:rPr>
            </w:pPr>
          </w:p>
        </w:tc>
        <w:tc>
          <w:tcPr>
            <w:tcW w:w="844" w:type="pct"/>
            <w:hideMark/>
          </w:tcPr>
          <w:p w14:paraId="4FE25514" w14:textId="77777777" w:rsidR="007C3A9A" w:rsidRPr="007C3A9A" w:rsidRDefault="007C3A9A" w:rsidP="007C3A9A">
            <w:pPr>
              <w:spacing w:after="160"/>
              <w:rPr>
                <w:sz w:val="20"/>
                <w:szCs w:val="18"/>
              </w:rPr>
            </w:pPr>
            <w:r w:rsidRPr="007C3A9A">
              <w:rPr>
                <w:b/>
                <w:bCs/>
                <w:sz w:val="20"/>
                <w:szCs w:val="18"/>
              </w:rPr>
              <w:t>£643.2</w:t>
            </w:r>
          </w:p>
        </w:tc>
      </w:tr>
    </w:tbl>
    <w:p w14:paraId="69D0550E" w14:textId="77777777" w:rsidR="007C3A9A" w:rsidRDefault="007C3A9A" w:rsidP="007C3A9A"/>
    <w:p w14:paraId="1427899F" w14:textId="5621CD5D" w:rsidR="007C3A9A" w:rsidRPr="007C3A9A" w:rsidRDefault="007C3A9A" w:rsidP="007C3A9A">
      <w:pPr>
        <w:rPr>
          <w:b/>
          <w:bCs/>
        </w:rPr>
      </w:pPr>
      <w:r w:rsidRPr="007C3A9A">
        <w:rPr>
          <w:b/>
          <w:bCs/>
        </w:rPr>
        <w:t>Option B: Develop Internet Sales</w:t>
      </w:r>
    </w:p>
    <w:p w14:paraId="4BD7651D" w14:textId="77777777" w:rsidR="007C3A9A" w:rsidRPr="007C3A9A" w:rsidRDefault="007C3A9A" w:rsidP="007C3A9A">
      <w:pPr>
        <w:numPr>
          <w:ilvl w:val="0"/>
          <w:numId w:val="2"/>
        </w:numPr>
      </w:pPr>
      <w:r w:rsidRPr="007C3A9A">
        <w:t xml:space="preserve">Initial investment: </w:t>
      </w:r>
      <w:r w:rsidRPr="007C3A9A">
        <w:rPr>
          <w:b/>
          <w:bCs/>
        </w:rPr>
        <w:t>£1,000,000</w:t>
      </w:r>
    </w:p>
    <w:p w14:paraId="214EE6E6" w14:textId="77777777" w:rsidR="007C3A9A" w:rsidRPr="007C3A9A" w:rsidRDefault="007C3A9A" w:rsidP="007C3A9A">
      <w:pPr>
        <w:numPr>
          <w:ilvl w:val="0"/>
          <w:numId w:val="2"/>
        </w:numPr>
      </w:pPr>
      <w:r w:rsidRPr="007C3A9A">
        <w:t xml:space="preserve">Annual capital allowance: 20% × 1,000,000 = </w:t>
      </w:r>
      <w:r w:rsidRPr="007C3A9A">
        <w:rPr>
          <w:b/>
          <w:bCs/>
        </w:rPr>
        <w:t>£200,000</w:t>
      </w:r>
    </w:p>
    <w:p w14:paraId="6AFCC577" w14:textId="77777777" w:rsidR="007C3A9A" w:rsidRPr="007C3A9A" w:rsidRDefault="007C3A9A" w:rsidP="007C3A9A">
      <w:pPr>
        <w:numPr>
          <w:ilvl w:val="0"/>
          <w:numId w:val="2"/>
        </w:numPr>
      </w:pPr>
      <w:r w:rsidRPr="007C3A9A">
        <w:t xml:space="preserve">Annual tax shield: 25% × 200,000 = </w:t>
      </w:r>
      <w:r w:rsidRPr="007C3A9A">
        <w:rPr>
          <w:b/>
          <w:bCs/>
        </w:rPr>
        <w:t>£50,000</w:t>
      </w:r>
    </w:p>
    <w:p w14:paraId="7E30641B" w14:textId="77777777" w:rsidR="007C3A9A" w:rsidRPr="007C3A9A" w:rsidRDefault="007C3A9A" w:rsidP="007C3A9A">
      <w:pPr>
        <w:rPr>
          <w:b/>
          <w:bCs/>
        </w:rPr>
      </w:pPr>
      <w:r w:rsidRPr="007C3A9A">
        <w:rPr>
          <w:b/>
          <w:bCs/>
        </w:rPr>
        <w:t>Table 7: NPV Calculation – Option B (£’000)</w:t>
      </w:r>
    </w:p>
    <w:tbl>
      <w:tblPr>
        <w:tblStyle w:val="TableGridLight"/>
        <w:tblW w:w="5000" w:type="pct"/>
        <w:tblLook w:val="04A0" w:firstRow="1" w:lastRow="0" w:firstColumn="1" w:lastColumn="0" w:noHBand="0" w:noVBand="1"/>
      </w:tblPr>
      <w:tblGrid>
        <w:gridCol w:w="678"/>
        <w:gridCol w:w="2088"/>
        <w:gridCol w:w="2469"/>
        <w:gridCol w:w="2288"/>
        <w:gridCol w:w="1493"/>
      </w:tblGrid>
      <w:tr w:rsidR="007C3A9A" w:rsidRPr="007C3A9A" w14:paraId="1C8FCBAB" w14:textId="77777777" w:rsidTr="007C3A9A">
        <w:tc>
          <w:tcPr>
            <w:tcW w:w="376" w:type="pct"/>
            <w:hideMark/>
          </w:tcPr>
          <w:p w14:paraId="217D6602" w14:textId="77777777" w:rsidR="007C3A9A" w:rsidRPr="007C3A9A" w:rsidRDefault="007C3A9A" w:rsidP="007C3A9A">
            <w:pPr>
              <w:spacing w:after="160"/>
              <w:rPr>
                <w:b/>
                <w:bCs/>
                <w:sz w:val="20"/>
                <w:szCs w:val="18"/>
              </w:rPr>
            </w:pPr>
            <w:r w:rsidRPr="007C3A9A">
              <w:rPr>
                <w:b/>
                <w:bCs/>
                <w:sz w:val="20"/>
                <w:szCs w:val="18"/>
              </w:rPr>
              <w:t>Year</w:t>
            </w:r>
          </w:p>
        </w:tc>
        <w:tc>
          <w:tcPr>
            <w:tcW w:w="1158" w:type="pct"/>
            <w:hideMark/>
          </w:tcPr>
          <w:p w14:paraId="62BF1A7D" w14:textId="77777777" w:rsidR="007C3A9A" w:rsidRPr="007C3A9A" w:rsidRDefault="007C3A9A" w:rsidP="007C3A9A">
            <w:pPr>
              <w:spacing w:after="160"/>
              <w:rPr>
                <w:b/>
                <w:bCs/>
                <w:sz w:val="20"/>
                <w:szCs w:val="18"/>
              </w:rPr>
            </w:pPr>
            <w:r w:rsidRPr="007C3A9A">
              <w:rPr>
                <w:b/>
                <w:bCs/>
                <w:sz w:val="20"/>
                <w:szCs w:val="18"/>
              </w:rPr>
              <w:t>Cash Flow (Pre-tax)</w:t>
            </w:r>
          </w:p>
        </w:tc>
        <w:tc>
          <w:tcPr>
            <w:tcW w:w="1369" w:type="pct"/>
            <w:hideMark/>
          </w:tcPr>
          <w:p w14:paraId="58681D5A" w14:textId="77777777" w:rsidR="007C3A9A" w:rsidRPr="007C3A9A" w:rsidRDefault="007C3A9A" w:rsidP="007C3A9A">
            <w:pPr>
              <w:spacing w:after="160"/>
              <w:rPr>
                <w:b/>
                <w:bCs/>
                <w:sz w:val="20"/>
                <w:szCs w:val="18"/>
              </w:rPr>
            </w:pPr>
            <w:r w:rsidRPr="007C3A9A">
              <w:rPr>
                <w:b/>
                <w:bCs/>
                <w:sz w:val="20"/>
                <w:szCs w:val="18"/>
              </w:rPr>
              <w:t>After-tax Cash Flow</w:t>
            </w:r>
          </w:p>
        </w:tc>
        <w:tc>
          <w:tcPr>
            <w:tcW w:w="1269" w:type="pct"/>
            <w:hideMark/>
          </w:tcPr>
          <w:p w14:paraId="2D3AEDC6" w14:textId="77777777" w:rsidR="007C3A9A" w:rsidRPr="007C3A9A" w:rsidRDefault="007C3A9A" w:rsidP="007C3A9A">
            <w:pPr>
              <w:spacing w:after="160"/>
              <w:rPr>
                <w:b/>
                <w:bCs/>
                <w:sz w:val="20"/>
                <w:szCs w:val="18"/>
              </w:rPr>
            </w:pPr>
            <w:r w:rsidRPr="007C3A9A">
              <w:rPr>
                <w:b/>
                <w:bCs/>
                <w:sz w:val="20"/>
                <w:szCs w:val="18"/>
              </w:rPr>
              <w:t>Discount Factor @6%</w:t>
            </w:r>
          </w:p>
        </w:tc>
        <w:tc>
          <w:tcPr>
            <w:tcW w:w="829" w:type="pct"/>
            <w:hideMark/>
          </w:tcPr>
          <w:p w14:paraId="48C083DF" w14:textId="77777777" w:rsidR="007C3A9A" w:rsidRPr="007C3A9A" w:rsidRDefault="007C3A9A" w:rsidP="007C3A9A">
            <w:pPr>
              <w:spacing w:after="160"/>
              <w:rPr>
                <w:b/>
                <w:bCs/>
                <w:sz w:val="20"/>
                <w:szCs w:val="18"/>
              </w:rPr>
            </w:pPr>
            <w:r w:rsidRPr="007C3A9A">
              <w:rPr>
                <w:b/>
                <w:bCs/>
                <w:sz w:val="20"/>
                <w:szCs w:val="18"/>
              </w:rPr>
              <w:t>Present Value</w:t>
            </w:r>
          </w:p>
        </w:tc>
      </w:tr>
      <w:tr w:rsidR="007C3A9A" w:rsidRPr="007C3A9A" w14:paraId="6F435F0A" w14:textId="77777777" w:rsidTr="007C3A9A">
        <w:tc>
          <w:tcPr>
            <w:tcW w:w="376" w:type="pct"/>
            <w:hideMark/>
          </w:tcPr>
          <w:p w14:paraId="538527CD" w14:textId="77777777" w:rsidR="007C3A9A" w:rsidRPr="007C3A9A" w:rsidRDefault="007C3A9A" w:rsidP="007C3A9A">
            <w:pPr>
              <w:spacing w:after="160"/>
              <w:rPr>
                <w:sz w:val="20"/>
                <w:szCs w:val="18"/>
              </w:rPr>
            </w:pPr>
            <w:r w:rsidRPr="007C3A9A">
              <w:rPr>
                <w:sz w:val="20"/>
                <w:szCs w:val="18"/>
              </w:rPr>
              <w:t>0</w:t>
            </w:r>
          </w:p>
        </w:tc>
        <w:tc>
          <w:tcPr>
            <w:tcW w:w="1158" w:type="pct"/>
            <w:hideMark/>
          </w:tcPr>
          <w:p w14:paraId="3654C4A8" w14:textId="77777777" w:rsidR="007C3A9A" w:rsidRPr="007C3A9A" w:rsidRDefault="007C3A9A" w:rsidP="007C3A9A">
            <w:pPr>
              <w:spacing w:after="160"/>
              <w:rPr>
                <w:sz w:val="20"/>
                <w:szCs w:val="18"/>
              </w:rPr>
            </w:pPr>
            <w:r w:rsidRPr="007C3A9A">
              <w:rPr>
                <w:sz w:val="20"/>
                <w:szCs w:val="18"/>
              </w:rPr>
              <w:t>(1,000)</w:t>
            </w:r>
          </w:p>
        </w:tc>
        <w:tc>
          <w:tcPr>
            <w:tcW w:w="1369" w:type="pct"/>
            <w:hideMark/>
          </w:tcPr>
          <w:p w14:paraId="6D092B0F" w14:textId="77777777" w:rsidR="007C3A9A" w:rsidRPr="007C3A9A" w:rsidRDefault="007C3A9A" w:rsidP="007C3A9A">
            <w:pPr>
              <w:spacing w:after="160"/>
              <w:rPr>
                <w:sz w:val="20"/>
                <w:szCs w:val="18"/>
              </w:rPr>
            </w:pPr>
            <w:r w:rsidRPr="007C3A9A">
              <w:rPr>
                <w:sz w:val="20"/>
                <w:szCs w:val="18"/>
              </w:rPr>
              <w:t>(1,000)</w:t>
            </w:r>
          </w:p>
        </w:tc>
        <w:tc>
          <w:tcPr>
            <w:tcW w:w="1269" w:type="pct"/>
            <w:hideMark/>
          </w:tcPr>
          <w:p w14:paraId="13C5C9F9" w14:textId="77777777" w:rsidR="007C3A9A" w:rsidRPr="007C3A9A" w:rsidRDefault="007C3A9A" w:rsidP="007C3A9A">
            <w:pPr>
              <w:spacing w:after="160"/>
              <w:rPr>
                <w:sz w:val="20"/>
                <w:szCs w:val="18"/>
              </w:rPr>
            </w:pPr>
            <w:r w:rsidRPr="007C3A9A">
              <w:rPr>
                <w:sz w:val="20"/>
                <w:szCs w:val="18"/>
              </w:rPr>
              <w:t>1.000</w:t>
            </w:r>
          </w:p>
        </w:tc>
        <w:tc>
          <w:tcPr>
            <w:tcW w:w="829" w:type="pct"/>
            <w:hideMark/>
          </w:tcPr>
          <w:p w14:paraId="25E2221C" w14:textId="77777777" w:rsidR="007C3A9A" w:rsidRPr="007C3A9A" w:rsidRDefault="007C3A9A" w:rsidP="007C3A9A">
            <w:pPr>
              <w:spacing w:after="160"/>
              <w:rPr>
                <w:sz w:val="20"/>
                <w:szCs w:val="18"/>
              </w:rPr>
            </w:pPr>
            <w:r w:rsidRPr="007C3A9A">
              <w:rPr>
                <w:b/>
                <w:bCs/>
                <w:sz w:val="20"/>
                <w:szCs w:val="18"/>
              </w:rPr>
              <w:t>(1,000.0)</w:t>
            </w:r>
          </w:p>
        </w:tc>
      </w:tr>
      <w:tr w:rsidR="007C3A9A" w:rsidRPr="007C3A9A" w14:paraId="7FF0778A" w14:textId="77777777" w:rsidTr="007C3A9A">
        <w:tc>
          <w:tcPr>
            <w:tcW w:w="376" w:type="pct"/>
            <w:hideMark/>
          </w:tcPr>
          <w:p w14:paraId="06A1FECB" w14:textId="77777777" w:rsidR="007C3A9A" w:rsidRPr="007C3A9A" w:rsidRDefault="007C3A9A" w:rsidP="007C3A9A">
            <w:pPr>
              <w:spacing w:after="160"/>
              <w:rPr>
                <w:sz w:val="20"/>
                <w:szCs w:val="18"/>
              </w:rPr>
            </w:pPr>
            <w:r w:rsidRPr="007C3A9A">
              <w:rPr>
                <w:sz w:val="20"/>
                <w:szCs w:val="18"/>
              </w:rPr>
              <w:t>1</w:t>
            </w:r>
          </w:p>
        </w:tc>
        <w:tc>
          <w:tcPr>
            <w:tcW w:w="1158" w:type="pct"/>
            <w:hideMark/>
          </w:tcPr>
          <w:p w14:paraId="0FB8647A" w14:textId="77777777" w:rsidR="007C3A9A" w:rsidRPr="007C3A9A" w:rsidRDefault="007C3A9A" w:rsidP="007C3A9A">
            <w:pPr>
              <w:spacing w:after="160"/>
              <w:rPr>
                <w:sz w:val="20"/>
                <w:szCs w:val="18"/>
              </w:rPr>
            </w:pPr>
            <w:r w:rsidRPr="007C3A9A">
              <w:rPr>
                <w:sz w:val="20"/>
                <w:szCs w:val="18"/>
              </w:rPr>
              <w:t>400</w:t>
            </w:r>
          </w:p>
        </w:tc>
        <w:tc>
          <w:tcPr>
            <w:tcW w:w="1369" w:type="pct"/>
            <w:hideMark/>
          </w:tcPr>
          <w:p w14:paraId="2FF34EAC" w14:textId="77777777" w:rsidR="007C3A9A" w:rsidRPr="007C3A9A" w:rsidRDefault="007C3A9A" w:rsidP="007C3A9A">
            <w:pPr>
              <w:spacing w:after="160"/>
              <w:rPr>
                <w:sz w:val="20"/>
                <w:szCs w:val="18"/>
              </w:rPr>
            </w:pPr>
            <w:r w:rsidRPr="007C3A9A">
              <w:rPr>
                <w:sz w:val="20"/>
                <w:szCs w:val="18"/>
              </w:rPr>
              <w:t>(400 × 0.75) + 50 = 350</w:t>
            </w:r>
          </w:p>
        </w:tc>
        <w:tc>
          <w:tcPr>
            <w:tcW w:w="1269" w:type="pct"/>
            <w:hideMark/>
          </w:tcPr>
          <w:p w14:paraId="241DF8B9" w14:textId="77777777" w:rsidR="007C3A9A" w:rsidRPr="007C3A9A" w:rsidRDefault="007C3A9A" w:rsidP="007C3A9A">
            <w:pPr>
              <w:spacing w:after="160"/>
              <w:rPr>
                <w:sz w:val="20"/>
                <w:szCs w:val="18"/>
              </w:rPr>
            </w:pPr>
            <w:r w:rsidRPr="007C3A9A">
              <w:rPr>
                <w:sz w:val="20"/>
                <w:szCs w:val="18"/>
              </w:rPr>
              <w:t>0.943</w:t>
            </w:r>
          </w:p>
        </w:tc>
        <w:tc>
          <w:tcPr>
            <w:tcW w:w="829" w:type="pct"/>
            <w:hideMark/>
          </w:tcPr>
          <w:p w14:paraId="2CDB9BB0" w14:textId="77777777" w:rsidR="007C3A9A" w:rsidRPr="007C3A9A" w:rsidRDefault="007C3A9A" w:rsidP="007C3A9A">
            <w:pPr>
              <w:spacing w:after="160"/>
              <w:rPr>
                <w:sz w:val="20"/>
                <w:szCs w:val="18"/>
              </w:rPr>
            </w:pPr>
            <w:r w:rsidRPr="007C3A9A">
              <w:rPr>
                <w:sz w:val="20"/>
                <w:szCs w:val="18"/>
              </w:rPr>
              <w:t>330.1</w:t>
            </w:r>
          </w:p>
        </w:tc>
      </w:tr>
      <w:tr w:rsidR="007C3A9A" w:rsidRPr="007C3A9A" w14:paraId="28307028" w14:textId="77777777" w:rsidTr="007C3A9A">
        <w:tc>
          <w:tcPr>
            <w:tcW w:w="376" w:type="pct"/>
            <w:hideMark/>
          </w:tcPr>
          <w:p w14:paraId="4726E9B6" w14:textId="77777777" w:rsidR="007C3A9A" w:rsidRPr="007C3A9A" w:rsidRDefault="007C3A9A" w:rsidP="007C3A9A">
            <w:pPr>
              <w:spacing w:after="160"/>
              <w:rPr>
                <w:sz w:val="20"/>
                <w:szCs w:val="18"/>
              </w:rPr>
            </w:pPr>
            <w:r w:rsidRPr="007C3A9A">
              <w:rPr>
                <w:sz w:val="20"/>
                <w:szCs w:val="18"/>
              </w:rPr>
              <w:t>2</w:t>
            </w:r>
          </w:p>
        </w:tc>
        <w:tc>
          <w:tcPr>
            <w:tcW w:w="1158" w:type="pct"/>
            <w:hideMark/>
          </w:tcPr>
          <w:p w14:paraId="3AE0B945" w14:textId="77777777" w:rsidR="007C3A9A" w:rsidRPr="007C3A9A" w:rsidRDefault="007C3A9A" w:rsidP="007C3A9A">
            <w:pPr>
              <w:spacing w:after="160"/>
              <w:rPr>
                <w:sz w:val="20"/>
                <w:szCs w:val="18"/>
              </w:rPr>
            </w:pPr>
            <w:r w:rsidRPr="007C3A9A">
              <w:rPr>
                <w:sz w:val="20"/>
                <w:szCs w:val="18"/>
              </w:rPr>
              <w:t>450</w:t>
            </w:r>
          </w:p>
        </w:tc>
        <w:tc>
          <w:tcPr>
            <w:tcW w:w="1369" w:type="pct"/>
            <w:hideMark/>
          </w:tcPr>
          <w:p w14:paraId="5A3050D9" w14:textId="77777777" w:rsidR="007C3A9A" w:rsidRPr="007C3A9A" w:rsidRDefault="007C3A9A" w:rsidP="007C3A9A">
            <w:pPr>
              <w:spacing w:after="160"/>
              <w:rPr>
                <w:sz w:val="20"/>
                <w:szCs w:val="18"/>
              </w:rPr>
            </w:pPr>
            <w:r w:rsidRPr="007C3A9A">
              <w:rPr>
                <w:sz w:val="20"/>
                <w:szCs w:val="18"/>
              </w:rPr>
              <w:t>(450 × 0.75) + 50 = 387.5</w:t>
            </w:r>
          </w:p>
        </w:tc>
        <w:tc>
          <w:tcPr>
            <w:tcW w:w="1269" w:type="pct"/>
            <w:hideMark/>
          </w:tcPr>
          <w:p w14:paraId="0A9A8B4C" w14:textId="77777777" w:rsidR="007C3A9A" w:rsidRPr="007C3A9A" w:rsidRDefault="007C3A9A" w:rsidP="007C3A9A">
            <w:pPr>
              <w:spacing w:after="160"/>
              <w:rPr>
                <w:sz w:val="20"/>
                <w:szCs w:val="18"/>
              </w:rPr>
            </w:pPr>
            <w:r w:rsidRPr="007C3A9A">
              <w:rPr>
                <w:sz w:val="20"/>
                <w:szCs w:val="18"/>
              </w:rPr>
              <w:t>0.890</w:t>
            </w:r>
          </w:p>
        </w:tc>
        <w:tc>
          <w:tcPr>
            <w:tcW w:w="829" w:type="pct"/>
            <w:hideMark/>
          </w:tcPr>
          <w:p w14:paraId="65DE9CC0" w14:textId="77777777" w:rsidR="007C3A9A" w:rsidRPr="007C3A9A" w:rsidRDefault="007C3A9A" w:rsidP="007C3A9A">
            <w:pPr>
              <w:spacing w:after="160"/>
              <w:rPr>
                <w:sz w:val="20"/>
                <w:szCs w:val="18"/>
              </w:rPr>
            </w:pPr>
            <w:r w:rsidRPr="007C3A9A">
              <w:rPr>
                <w:sz w:val="20"/>
                <w:szCs w:val="18"/>
              </w:rPr>
              <w:t>344.9</w:t>
            </w:r>
          </w:p>
        </w:tc>
      </w:tr>
      <w:tr w:rsidR="007C3A9A" w:rsidRPr="007C3A9A" w14:paraId="0EF6655F" w14:textId="77777777" w:rsidTr="007C3A9A">
        <w:tc>
          <w:tcPr>
            <w:tcW w:w="376" w:type="pct"/>
            <w:hideMark/>
          </w:tcPr>
          <w:p w14:paraId="654B726A" w14:textId="77777777" w:rsidR="007C3A9A" w:rsidRPr="007C3A9A" w:rsidRDefault="007C3A9A" w:rsidP="007C3A9A">
            <w:pPr>
              <w:spacing w:after="160"/>
              <w:rPr>
                <w:sz w:val="20"/>
                <w:szCs w:val="18"/>
              </w:rPr>
            </w:pPr>
            <w:r w:rsidRPr="007C3A9A">
              <w:rPr>
                <w:sz w:val="20"/>
                <w:szCs w:val="18"/>
              </w:rPr>
              <w:t>3</w:t>
            </w:r>
          </w:p>
        </w:tc>
        <w:tc>
          <w:tcPr>
            <w:tcW w:w="1158" w:type="pct"/>
            <w:hideMark/>
          </w:tcPr>
          <w:p w14:paraId="1A713C14" w14:textId="77777777" w:rsidR="007C3A9A" w:rsidRPr="007C3A9A" w:rsidRDefault="007C3A9A" w:rsidP="007C3A9A">
            <w:pPr>
              <w:spacing w:after="160"/>
              <w:rPr>
                <w:sz w:val="20"/>
                <w:szCs w:val="18"/>
              </w:rPr>
            </w:pPr>
            <w:r w:rsidRPr="007C3A9A">
              <w:rPr>
                <w:sz w:val="20"/>
                <w:szCs w:val="18"/>
              </w:rPr>
              <w:t>720</w:t>
            </w:r>
          </w:p>
        </w:tc>
        <w:tc>
          <w:tcPr>
            <w:tcW w:w="1369" w:type="pct"/>
            <w:hideMark/>
          </w:tcPr>
          <w:p w14:paraId="051A9081" w14:textId="77777777" w:rsidR="007C3A9A" w:rsidRPr="007C3A9A" w:rsidRDefault="007C3A9A" w:rsidP="007C3A9A">
            <w:pPr>
              <w:spacing w:after="160"/>
              <w:rPr>
                <w:sz w:val="20"/>
                <w:szCs w:val="18"/>
              </w:rPr>
            </w:pPr>
            <w:r w:rsidRPr="007C3A9A">
              <w:rPr>
                <w:sz w:val="20"/>
                <w:szCs w:val="18"/>
              </w:rPr>
              <w:t>(720 × 0.75) + 50 = 590</w:t>
            </w:r>
          </w:p>
        </w:tc>
        <w:tc>
          <w:tcPr>
            <w:tcW w:w="1269" w:type="pct"/>
            <w:hideMark/>
          </w:tcPr>
          <w:p w14:paraId="6726520B" w14:textId="77777777" w:rsidR="007C3A9A" w:rsidRPr="007C3A9A" w:rsidRDefault="007C3A9A" w:rsidP="007C3A9A">
            <w:pPr>
              <w:spacing w:after="160"/>
              <w:rPr>
                <w:sz w:val="20"/>
                <w:szCs w:val="18"/>
              </w:rPr>
            </w:pPr>
            <w:r w:rsidRPr="007C3A9A">
              <w:rPr>
                <w:sz w:val="20"/>
                <w:szCs w:val="18"/>
              </w:rPr>
              <w:t>0.840</w:t>
            </w:r>
          </w:p>
        </w:tc>
        <w:tc>
          <w:tcPr>
            <w:tcW w:w="829" w:type="pct"/>
            <w:hideMark/>
          </w:tcPr>
          <w:p w14:paraId="44265E24" w14:textId="77777777" w:rsidR="007C3A9A" w:rsidRPr="007C3A9A" w:rsidRDefault="007C3A9A" w:rsidP="007C3A9A">
            <w:pPr>
              <w:spacing w:after="160"/>
              <w:rPr>
                <w:sz w:val="20"/>
                <w:szCs w:val="18"/>
              </w:rPr>
            </w:pPr>
            <w:r w:rsidRPr="007C3A9A">
              <w:rPr>
                <w:sz w:val="20"/>
                <w:szCs w:val="18"/>
              </w:rPr>
              <w:t>495.6</w:t>
            </w:r>
          </w:p>
        </w:tc>
      </w:tr>
      <w:tr w:rsidR="007C3A9A" w:rsidRPr="007C3A9A" w14:paraId="450227E7" w14:textId="77777777" w:rsidTr="007C3A9A">
        <w:tc>
          <w:tcPr>
            <w:tcW w:w="376" w:type="pct"/>
            <w:hideMark/>
          </w:tcPr>
          <w:p w14:paraId="1D9B9C45" w14:textId="77777777" w:rsidR="007C3A9A" w:rsidRPr="007C3A9A" w:rsidRDefault="007C3A9A" w:rsidP="007C3A9A">
            <w:pPr>
              <w:spacing w:after="160"/>
              <w:rPr>
                <w:sz w:val="20"/>
                <w:szCs w:val="18"/>
              </w:rPr>
            </w:pPr>
            <w:r w:rsidRPr="007C3A9A">
              <w:rPr>
                <w:sz w:val="20"/>
                <w:szCs w:val="18"/>
              </w:rPr>
              <w:t>4</w:t>
            </w:r>
          </w:p>
        </w:tc>
        <w:tc>
          <w:tcPr>
            <w:tcW w:w="1158" w:type="pct"/>
            <w:hideMark/>
          </w:tcPr>
          <w:p w14:paraId="75C6C3BA" w14:textId="77777777" w:rsidR="007C3A9A" w:rsidRPr="007C3A9A" w:rsidRDefault="007C3A9A" w:rsidP="007C3A9A">
            <w:pPr>
              <w:spacing w:after="160"/>
              <w:rPr>
                <w:sz w:val="20"/>
                <w:szCs w:val="18"/>
              </w:rPr>
            </w:pPr>
            <w:r w:rsidRPr="007C3A9A">
              <w:rPr>
                <w:sz w:val="20"/>
                <w:szCs w:val="18"/>
              </w:rPr>
              <w:t>980</w:t>
            </w:r>
          </w:p>
        </w:tc>
        <w:tc>
          <w:tcPr>
            <w:tcW w:w="1369" w:type="pct"/>
            <w:hideMark/>
          </w:tcPr>
          <w:p w14:paraId="654FAD68" w14:textId="77777777" w:rsidR="007C3A9A" w:rsidRPr="007C3A9A" w:rsidRDefault="007C3A9A" w:rsidP="007C3A9A">
            <w:pPr>
              <w:spacing w:after="160"/>
              <w:rPr>
                <w:sz w:val="20"/>
                <w:szCs w:val="18"/>
              </w:rPr>
            </w:pPr>
            <w:r w:rsidRPr="007C3A9A">
              <w:rPr>
                <w:sz w:val="20"/>
                <w:szCs w:val="18"/>
              </w:rPr>
              <w:t>(980 × 0.75) + 50 = 785</w:t>
            </w:r>
          </w:p>
        </w:tc>
        <w:tc>
          <w:tcPr>
            <w:tcW w:w="1269" w:type="pct"/>
            <w:hideMark/>
          </w:tcPr>
          <w:p w14:paraId="3CBC4BEB" w14:textId="77777777" w:rsidR="007C3A9A" w:rsidRPr="007C3A9A" w:rsidRDefault="007C3A9A" w:rsidP="007C3A9A">
            <w:pPr>
              <w:spacing w:after="160"/>
              <w:rPr>
                <w:sz w:val="20"/>
                <w:szCs w:val="18"/>
              </w:rPr>
            </w:pPr>
            <w:r w:rsidRPr="007C3A9A">
              <w:rPr>
                <w:sz w:val="20"/>
                <w:szCs w:val="18"/>
              </w:rPr>
              <w:t>0.792</w:t>
            </w:r>
          </w:p>
        </w:tc>
        <w:tc>
          <w:tcPr>
            <w:tcW w:w="829" w:type="pct"/>
            <w:hideMark/>
          </w:tcPr>
          <w:p w14:paraId="1EB947BF" w14:textId="77777777" w:rsidR="007C3A9A" w:rsidRPr="007C3A9A" w:rsidRDefault="007C3A9A" w:rsidP="007C3A9A">
            <w:pPr>
              <w:spacing w:after="160"/>
              <w:rPr>
                <w:sz w:val="20"/>
                <w:szCs w:val="18"/>
              </w:rPr>
            </w:pPr>
            <w:r w:rsidRPr="007C3A9A">
              <w:rPr>
                <w:sz w:val="20"/>
                <w:szCs w:val="18"/>
              </w:rPr>
              <w:t>621.7</w:t>
            </w:r>
          </w:p>
        </w:tc>
      </w:tr>
      <w:tr w:rsidR="007C3A9A" w:rsidRPr="007C3A9A" w14:paraId="314567BB" w14:textId="77777777" w:rsidTr="007C3A9A">
        <w:tc>
          <w:tcPr>
            <w:tcW w:w="376" w:type="pct"/>
            <w:hideMark/>
          </w:tcPr>
          <w:p w14:paraId="7EC1A7A0" w14:textId="77777777" w:rsidR="007C3A9A" w:rsidRPr="007C3A9A" w:rsidRDefault="007C3A9A" w:rsidP="007C3A9A">
            <w:pPr>
              <w:spacing w:after="160"/>
              <w:rPr>
                <w:sz w:val="20"/>
                <w:szCs w:val="18"/>
              </w:rPr>
            </w:pPr>
            <w:r w:rsidRPr="007C3A9A">
              <w:rPr>
                <w:b/>
                <w:bCs/>
                <w:sz w:val="20"/>
                <w:szCs w:val="18"/>
              </w:rPr>
              <w:t>NPV</w:t>
            </w:r>
          </w:p>
        </w:tc>
        <w:tc>
          <w:tcPr>
            <w:tcW w:w="1158" w:type="pct"/>
            <w:hideMark/>
          </w:tcPr>
          <w:p w14:paraId="664895BD" w14:textId="77777777" w:rsidR="007C3A9A" w:rsidRPr="007C3A9A" w:rsidRDefault="007C3A9A" w:rsidP="007C3A9A">
            <w:pPr>
              <w:spacing w:after="160"/>
              <w:rPr>
                <w:sz w:val="20"/>
                <w:szCs w:val="18"/>
              </w:rPr>
            </w:pPr>
          </w:p>
        </w:tc>
        <w:tc>
          <w:tcPr>
            <w:tcW w:w="1369" w:type="pct"/>
            <w:hideMark/>
          </w:tcPr>
          <w:p w14:paraId="09A5742A" w14:textId="77777777" w:rsidR="007C3A9A" w:rsidRPr="007C3A9A" w:rsidRDefault="007C3A9A" w:rsidP="007C3A9A">
            <w:pPr>
              <w:spacing w:after="160"/>
              <w:rPr>
                <w:sz w:val="20"/>
                <w:szCs w:val="18"/>
              </w:rPr>
            </w:pPr>
          </w:p>
        </w:tc>
        <w:tc>
          <w:tcPr>
            <w:tcW w:w="1269" w:type="pct"/>
            <w:hideMark/>
          </w:tcPr>
          <w:p w14:paraId="2B663671" w14:textId="77777777" w:rsidR="007C3A9A" w:rsidRPr="007C3A9A" w:rsidRDefault="007C3A9A" w:rsidP="007C3A9A">
            <w:pPr>
              <w:spacing w:after="160"/>
              <w:rPr>
                <w:sz w:val="20"/>
                <w:szCs w:val="18"/>
              </w:rPr>
            </w:pPr>
          </w:p>
        </w:tc>
        <w:tc>
          <w:tcPr>
            <w:tcW w:w="829" w:type="pct"/>
            <w:hideMark/>
          </w:tcPr>
          <w:p w14:paraId="0B4355F6" w14:textId="77777777" w:rsidR="007C3A9A" w:rsidRPr="007C3A9A" w:rsidRDefault="007C3A9A" w:rsidP="007C3A9A">
            <w:pPr>
              <w:spacing w:after="160"/>
              <w:rPr>
                <w:sz w:val="20"/>
                <w:szCs w:val="18"/>
              </w:rPr>
            </w:pPr>
            <w:r w:rsidRPr="007C3A9A">
              <w:rPr>
                <w:b/>
                <w:bCs/>
                <w:sz w:val="20"/>
                <w:szCs w:val="18"/>
              </w:rPr>
              <w:t>£792.3</w:t>
            </w:r>
          </w:p>
        </w:tc>
      </w:tr>
    </w:tbl>
    <w:p w14:paraId="74279796" w14:textId="77777777" w:rsidR="007C3A9A" w:rsidRDefault="007C3A9A" w:rsidP="007C3A9A"/>
    <w:p w14:paraId="4B6D903A" w14:textId="6792572F" w:rsidR="007C3A9A" w:rsidRPr="007C3A9A" w:rsidRDefault="007C3A9A" w:rsidP="007C3A9A">
      <w:pPr>
        <w:rPr>
          <w:b/>
          <w:bCs/>
        </w:rPr>
      </w:pPr>
      <w:r w:rsidRPr="007C3A9A">
        <w:rPr>
          <w:b/>
          <w:bCs/>
        </w:rPr>
        <w:t>Option C: Produce Wooden and Roman Blinds</w:t>
      </w:r>
    </w:p>
    <w:p w14:paraId="4542E972" w14:textId="77777777" w:rsidR="007C3A9A" w:rsidRPr="007C3A9A" w:rsidRDefault="007C3A9A" w:rsidP="007C3A9A">
      <w:pPr>
        <w:numPr>
          <w:ilvl w:val="0"/>
          <w:numId w:val="3"/>
        </w:numPr>
      </w:pPr>
      <w:r w:rsidRPr="007C3A9A">
        <w:t xml:space="preserve">Initial investment: </w:t>
      </w:r>
      <w:r w:rsidRPr="007C3A9A">
        <w:rPr>
          <w:b/>
          <w:bCs/>
        </w:rPr>
        <w:t>£1,600,000</w:t>
      </w:r>
    </w:p>
    <w:p w14:paraId="3302953A" w14:textId="77777777" w:rsidR="007C3A9A" w:rsidRPr="007C3A9A" w:rsidRDefault="007C3A9A" w:rsidP="007C3A9A">
      <w:pPr>
        <w:numPr>
          <w:ilvl w:val="0"/>
          <w:numId w:val="3"/>
        </w:numPr>
      </w:pPr>
      <w:r w:rsidRPr="007C3A9A">
        <w:t xml:space="preserve">Annual capital allowance: 20% × 1,600,000 = </w:t>
      </w:r>
      <w:r w:rsidRPr="007C3A9A">
        <w:rPr>
          <w:b/>
          <w:bCs/>
        </w:rPr>
        <w:t>£320,000</w:t>
      </w:r>
    </w:p>
    <w:p w14:paraId="0523B19C" w14:textId="77777777" w:rsidR="007C3A9A" w:rsidRPr="007C3A9A" w:rsidRDefault="007C3A9A" w:rsidP="007C3A9A">
      <w:pPr>
        <w:numPr>
          <w:ilvl w:val="0"/>
          <w:numId w:val="3"/>
        </w:numPr>
      </w:pPr>
      <w:r w:rsidRPr="007C3A9A">
        <w:t xml:space="preserve">Annual tax shield: 25% × 320,000 = </w:t>
      </w:r>
      <w:r w:rsidRPr="007C3A9A">
        <w:rPr>
          <w:b/>
          <w:bCs/>
        </w:rPr>
        <w:t>£80,000</w:t>
      </w:r>
    </w:p>
    <w:p w14:paraId="4561517D" w14:textId="77777777" w:rsidR="007C3A9A" w:rsidRPr="007C3A9A" w:rsidRDefault="007C3A9A" w:rsidP="007C3A9A">
      <w:pPr>
        <w:rPr>
          <w:b/>
          <w:bCs/>
        </w:rPr>
      </w:pPr>
      <w:r w:rsidRPr="007C3A9A">
        <w:rPr>
          <w:b/>
          <w:bCs/>
        </w:rPr>
        <w:lastRenderedPageBreak/>
        <w:t>Table 8: NPV Calculation – Option C (£’000)</w:t>
      </w:r>
    </w:p>
    <w:tbl>
      <w:tblPr>
        <w:tblStyle w:val="TableGridLight"/>
        <w:tblW w:w="5000" w:type="pct"/>
        <w:tblLook w:val="04A0" w:firstRow="1" w:lastRow="0" w:firstColumn="1" w:lastColumn="0" w:noHBand="0" w:noVBand="1"/>
      </w:tblPr>
      <w:tblGrid>
        <w:gridCol w:w="678"/>
        <w:gridCol w:w="2088"/>
        <w:gridCol w:w="2469"/>
        <w:gridCol w:w="2288"/>
        <w:gridCol w:w="1493"/>
      </w:tblGrid>
      <w:tr w:rsidR="007C3A9A" w:rsidRPr="007C3A9A" w14:paraId="5617446A" w14:textId="77777777" w:rsidTr="007C3A9A">
        <w:tc>
          <w:tcPr>
            <w:tcW w:w="376" w:type="pct"/>
            <w:hideMark/>
          </w:tcPr>
          <w:p w14:paraId="417FFB82" w14:textId="77777777" w:rsidR="007C3A9A" w:rsidRPr="007C3A9A" w:rsidRDefault="007C3A9A" w:rsidP="007C3A9A">
            <w:pPr>
              <w:spacing w:after="160"/>
              <w:rPr>
                <w:b/>
                <w:bCs/>
                <w:sz w:val="20"/>
                <w:szCs w:val="18"/>
              </w:rPr>
            </w:pPr>
            <w:r w:rsidRPr="007C3A9A">
              <w:rPr>
                <w:b/>
                <w:bCs/>
                <w:sz w:val="20"/>
                <w:szCs w:val="18"/>
              </w:rPr>
              <w:t>Year</w:t>
            </w:r>
          </w:p>
        </w:tc>
        <w:tc>
          <w:tcPr>
            <w:tcW w:w="1158" w:type="pct"/>
            <w:hideMark/>
          </w:tcPr>
          <w:p w14:paraId="65E06E8F" w14:textId="77777777" w:rsidR="007C3A9A" w:rsidRPr="007C3A9A" w:rsidRDefault="007C3A9A" w:rsidP="007C3A9A">
            <w:pPr>
              <w:spacing w:after="160"/>
              <w:rPr>
                <w:b/>
                <w:bCs/>
                <w:sz w:val="20"/>
                <w:szCs w:val="18"/>
              </w:rPr>
            </w:pPr>
            <w:r w:rsidRPr="007C3A9A">
              <w:rPr>
                <w:b/>
                <w:bCs/>
                <w:sz w:val="20"/>
                <w:szCs w:val="18"/>
              </w:rPr>
              <w:t>Cash Flow (Pre-tax)</w:t>
            </w:r>
          </w:p>
        </w:tc>
        <w:tc>
          <w:tcPr>
            <w:tcW w:w="1369" w:type="pct"/>
            <w:hideMark/>
          </w:tcPr>
          <w:p w14:paraId="6DFE56F6" w14:textId="77777777" w:rsidR="007C3A9A" w:rsidRPr="007C3A9A" w:rsidRDefault="007C3A9A" w:rsidP="007C3A9A">
            <w:pPr>
              <w:spacing w:after="160"/>
              <w:rPr>
                <w:b/>
                <w:bCs/>
                <w:sz w:val="20"/>
                <w:szCs w:val="18"/>
              </w:rPr>
            </w:pPr>
            <w:r w:rsidRPr="007C3A9A">
              <w:rPr>
                <w:b/>
                <w:bCs/>
                <w:sz w:val="20"/>
                <w:szCs w:val="18"/>
              </w:rPr>
              <w:t>After-tax Cash Flow</w:t>
            </w:r>
          </w:p>
        </w:tc>
        <w:tc>
          <w:tcPr>
            <w:tcW w:w="1269" w:type="pct"/>
            <w:hideMark/>
          </w:tcPr>
          <w:p w14:paraId="515B149A" w14:textId="77777777" w:rsidR="007C3A9A" w:rsidRPr="007C3A9A" w:rsidRDefault="007C3A9A" w:rsidP="007C3A9A">
            <w:pPr>
              <w:spacing w:after="160"/>
              <w:rPr>
                <w:b/>
                <w:bCs/>
                <w:sz w:val="20"/>
                <w:szCs w:val="18"/>
              </w:rPr>
            </w:pPr>
            <w:r w:rsidRPr="007C3A9A">
              <w:rPr>
                <w:b/>
                <w:bCs/>
                <w:sz w:val="20"/>
                <w:szCs w:val="18"/>
              </w:rPr>
              <w:t>Discount Factor @6%</w:t>
            </w:r>
          </w:p>
        </w:tc>
        <w:tc>
          <w:tcPr>
            <w:tcW w:w="829" w:type="pct"/>
            <w:hideMark/>
          </w:tcPr>
          <w:p w14:paraId="2E322DE4" w14:textId="77777777" w:rsidR="007C3A9A" w:rsidRPr="007C3A9A" w:rsidRDefault="007C3A9A" w:rsidP="007C3A9A">
            <w:pPr>
              <w:spacing w:after="160"/>
              <w:rPr>
                <w:b/>
                <w:bCs/>
                <w:sz w:val="20"/>
                <w:szCs w:val="18"/>
              </w:rPr>
            </w:pPr>
            <w:r w:rsidRPr="007C3A9A">
              <w:rPr>
                <w:b/>
                <w:bCs/>
                <w:sz w:val="20"/>
                <w:szCs w:val="18"/>
              </w:rPr>
              <w:t>Present Value</w:t>
            </w:r>
          </w:p>
        </w:tc>
      </w:tr>
      <w:tr w:rsidR="007C3A9A" w:rsidRPr="007C3A9A" w14:paraId="77BC29E4" w14:textId="77777777" w:rsidTr="007C3A9A">
        <w:tc>
          <w:tcPr>
            <w:tcW w:w="376" w:type="pct"/>
            <w:hideMark/>
          </w:tcPr>
          <w:p w14:paraId="55A88660" w14:textId="77777777" w:rsidR="007C3A9A" w:rsidRPr="007C3A9A" w:rsidRDefault="007C3A9A" w:rsidP="007C3A9A">
            <w:pPr>
              <w:spacing w:after="160"/>
              <w:rPr>
                <w:sz w:val="20"/>
                <w:szCs w:val="18"/>
              </w:rPr>
            </w:pPr>
            <w:r w:rsidRPr="007C3A9A">
              <w:rPr>
                <w:sz w:val="20"/>
                <w:szCs w:val="18"/>
              </w:rPr>
              <w:t>0</w:t>
            </w:r>
          </w:p>
        </w:tc>
        <w:tc>
          <w:tcPr>
            <w:tcW w:w="1158" w:type="pct"/>
            <w:hideMark/>
          </w:tcPr>
          <w:p w14:paraId="3D37F1FC" w14:textId="77777777" w:rsidR="007C3A9A" w:rsidRPr="007C3A9A" w:rsidRDefault="007C3A9A" w:rsidP="007C3A9A">
            <w:pPr>
              <w:spacing w:after="160"/>
              <w:rPr>
                <w:sz w:val="20"/>
                <w:szCs w:val="18"/>
              </w:rPr>
            </w:pPr>
            <w:r w:rsidRPr="007C3A9A">
              <w:rPr>
                <w:sz w:val="20"/>
                <w:szCs w:val="18"/>
              </w:rPr>
              <w:t>(1,600)</w:t>
            </w:r>
          </w:p>
        </w:tc>
        <w:tc>
          <w:tcPr>
            <w:tcW w:w="1369" w:type="pct"/>
            <w:hideMark/>
          </w:tcPr>
          <w:p w14:paraId="264B139C" w14:textId="77777777" w:rsidR="007C3A9A" w:rsidRPr="007C3A9A" w:rsidRDefault="007C3A9A" w:rsidP="007C3A9A">
            <w:pPr>
              <w:spacing w:after="160"/>
              <w:rPr>
                <w:sz w:val="20"/>
                <w:szCs w:val="18"/>
              </w:rPr>
            </w:pPr>
            <w:r w:rsidRPr="007C3A9A">
              <w:rPr>
                <w:sz w:val="20"/>
                <w:szCs w:val="18"/>
              </w:rPr>
              <w:t>(1,600)</w:t>
            </w:r>
          </w:p>
        </w:tc>
        <w:tc>
          <w:tcPr>
            <w:tcW w:w="1269" w:type="pct"/>
            <w:hideMark/>
          </w:tcPr>
          <w:p w14:paraId="293C10F4" w14:textId="77777777" w:rsidR="007C3A9A" w:rsidRPr="007C3A9A" w:rsidRDefault="007C3A9A" w:rsidP="007C3A9A">
            <w:pPr>
              <w:spacing w:after="160"/>
              <w:rPr>
                <w:sz w:val="20"/>
                <w:szCs w:val="18"/>
              </w:rPr>
            </w:pPr>
            <w:r w:rsidRPr="007C3A9A">
              <w:rPr>
                <w:sz w:val="20"/>
                <w:szCs w:val="18"/>
              </w:rPr>
              <w:t>1.000</w:t>
            </w:r>
          </w:p>
        </w:tc>
        <w:tc>
          <w:tcPr>
            <w:tcW w:w="829" w:type="pct"/>
            <w:hideMark/>
          </w:tcPr>
          <w:p w14:paraId="00632CD9" w14:textId="77777777" w:rsidR="007C3A9A" w:rsidRPr="007C3A9A" w:rsidRDefault="007C3A9A" w:rsidP="007C3A9A">
            <w:pPr>
              <w:spacing w:after="160"/>
              <w:rPr>
                <w:sz w:val="20"/>
                <w:szCs w:val="18"/>
              </w:rPr>
            </w:pPr>
            <w:r w:rsidRPr="007C3A9A">
              <w:rPr>
                <w:b/>
                <w:bCs/>
                <w:sz w:val="20"/>
                <w:szCs w:val="18"/>
              </w:rPr>
              <w:t>(1,600.0)</w:t>
            </w:r>
          </w:p>
        </w:tc>
      </w:tr>
      <w:tr w:rsidR="007C3A9A" w:rsidRPr="007C3A9A" w14:paraId="704A307C" w14:textId="77777777" w:rsidTr="007C3A9A">
        <w:tc>
          <w:tcPr>
            <w:tcW w:w="376" w:type="pct"/>
            <w:hideMark/>
          </w:tcPr>
          <w:p w14:paraId="089FFE5A" w14:textId="77777777" w:rsidR="007C3A9A" w:rsidRPr="007C3A9A" w:rsidRDefault="007C3A9A" w:rsidP="007C3A9A">
            <w:pPr>
              <w:spacing w:after="160"/>
              <w:rPr>
                <w:sz w:val="20"/>
                <w:szCs w:val="18"/>
              </w:rPr>
            </w:pPr>
            <w:r w:rsidRPr="007C3A9A">
              <w:rPr>
                <w:sz w:val="20"/>
                <w:szCs w:val="18"/>
              </w:rPr>
              <w:t>1</w:t>
            </w:r>
          </w:p>
        </w:tc>
        <w:tc>
          <w:tcPr>
            <w:tcW w:w="1158" w:type="pct"/>
            <w:hideMark/>
          </w:tcPr>
          <w:p w14:paraId="7CED818F" w14:textId="77777777" w:rsidR="007C3A9A" w:rsidRPr="007C3A9A" w:rsidRDefault="007C3A9A" w:rsidP="007C3A9A">
            <w:pPr>
              <w:spacing w:after="160"/>
              <w:rPr>
                <w:sz w:val="20"/>
                <w:szCs w:val="18"/>
              </w:rPr>
            </w:pPr>
            <w:r w:rsidRPr="007C3A9A">
              <w:rPr>
                <w:sz w:val="20"/>
                <w:szCs w:val="18"/>
              </w:rPr>
              <w:t>450</w:t>
            </w:r>
          </w:p>
        </w:tc>
        <w:tc>
          <w:tcPr>
            <w:tcW w:w="1369" w:type="pct"/>
            <w:hideMark/>
          </w:tcPr>
          <w:p w14:paraId="3E903400" w14:textId="77777777" w:rsidR="007C3A9A" w:rsidRPr="007C3A9A" w:rsidRDefault="007C3A9A" w:rsidP="007C3A9A">
            <w:pPr>
              <w:spacing w:after="160"/>
              <w:rPr>
                <w:sz w:val="20"/>
                <w:szCs w:val="18"/>
              </w:rPr>
            </w:pPr>
            <w:r w:rsidRPr="007C3A9A">
              <w:rPr>
                <w:sz w:val="20"/>
                <w:szCs w:val="18"/>
              </w:rPr>
              <w:t>(450 × 0.75) + 80 = 417.5</w:t>
            </w:r>
          </w:p>
        </w:tc>
        <w:tc>
          <w:tcPr>
            <w:tcW w:w="1269" w:type="pct"/>
            <w:hideMark/>
          </w:tcPr>
          <w:p w14:paraId="3D27B0F4" w14:textId="77777777" w:rsidR="007C3A9A" w:rsidRPr="007C3A9A" w:rsidRDefault="007C3A9A" w:rsidP="007C3A9A">
            <w:pPr>
              <w:spacing w:after="160"/>
              <w:rPr>
                <w:sz w:val="20"/>
                <w:szCs w:val="18"/>
              </w:rPr>
            </w:pPr>
            <w:r w:rsidRPr="007C3A9A">
              <w:rPr>
                <w:sz w:val="20"/>
                <w:szCs w:val="18"/>
              </w:rPr>
              <w:t>0.943</w:t>
            </w:r>
          </w:p>
        </w:tc>
        <w:tc>
          <w:tcPr>
            <w:tcW w:w="829" w:type="pct"/>
            <w:hideMark/>
          </w:tcPr>
          <w:p w14:paraId="36BC4906" w14:textId="77777777" w:rsidR="007C3A9A" w:rsidRPr="007C3A9A" w:rsidRDefault="007C3A9A" w:rsidP="007C3A9A">
            <w:pPr>
              <w:spacing w:after="160"/>
              <w:rPr>
                <w:sz w:val="20"/>
                <w:szCs w:val="18"/>
              </w:rPr>
            </w:pPr>
            <w:r w:rsidRPr="007C3A9A">
              <w:rPr>
                <w:sz w:val="20"/>
                <w:szCs w:val="18"/>
              </w:rPr>
              <w:t>393.8</w:t>
            </w:r>
          </w:p>
        </w:tc>
      </w:tr>
      <w:tr w:rsidR="007C3A9A" w:rsidRPr="007C3A9A" w14:paraId="168B2B6A" w14:textId="77777777" w:rsidTr="007C3A9A">
        <w:tc>
          <w:tcPr>
            <w:tcW w:w="376" w:type="pct"/>
            <w:hideMark/>
          </w:tcPr>
          <w:p w14:paraId="693305EC" w14:textId="77777777" w:rsidR="007C3A9A" w:rsidRPr="007C3A9A" w:rsidRDefault="007C3A9A" w:rsidP="007C3A9A">
            <w:pPr>
              <w:spacing w:after="160"/>
              <w:rPr>
                <w:sz w:val="20"/>
                <w:szCs w:val="18"/>
              </w:rPr>
            </w:pPr>
            <w:r w:rsidRPr="007C3A9A">
              <w:rPr>
                <w:sz w:val="20"/>
                <w:szCs w:val="18"/>
              </w:rPr>
              <w:t>2</w:t>
            </w:r>
          </w:p>
        </w:tc>
        <w:tc>
          <w:tcPr>
            <w:tcW w:w="1158" w:type="pct"/>
            <w:hideMark/>
          </w:tcPr>
          <w:p w14:paraId="657718C2" w14:textId="77777777" w:rsidR="007C3A9A" w:rsidRPr="007C3A9A" w:rsidRDefault="007C3A9A" w:rsidP="007C3A9A">
            <w:pPr>
              <w:spacing w:after="160"/>
              <w:rPr>
                <w:sz w:val="20"/>
                <w:szCs w:val="18"/>
              </w:rPr>
            </w:pPr>
            <w:r w:rsidRPr="007C3A9A">
              <w:rPr>
                <w:sz w:val="20"/>
                <w:szCs w:val="18"/>
              </w:rPr>
              <w:t>700</w:t>
            </w:r>
          </w:p>
        </w:tc>
        <w:tc>
          <w:tcPr>
            <w:tcW w:w="1369" w:type="pct"/>
            <w:hideMark/>
          </w:tcPr>
          <w:p w14:paraId="24FDA524" w14:textId="77777777" w:rsidR="007C3A9A" w:rsidRPr="007C3A9A" w:rsidRDefault="007C3A9A" w:rsidP="007C3A9A">
            <w:pPr>
              <w:spacing w:after="160"/>
              <w:rPr>
                <w:sz w:val="20"/>
                <w:szCs w:val="18"/>
              </w:rPr>
            </w:pPr>
            <w:r w:rsidRPr="007C3A9A">
              <w:rPr>
                <w:sz w:val="20"/>
                <w:szCs w:val="18"/>
              </w:rPr>
              <w:t>(700 × 0.75) + 80 = 605</w:t>
            </w:r>
          </w:p>
        </w:tc>
        <w:tc>
          <w:tcPr>
            <w:tcW w:w="1269" w:type="pct"/>
            <w:hideMark/>
          </w:tcPr>
          <w:p w14:paraId="31B527AD" w14:textId="77777777" w:rsidR="007C3A9A" w:rsidRPr="007C3A9A" w:rsidRDefault="007C3A9A" w:rsidP="007C3A9A">
            <w:pPr>
              <w:spacing w:after="160"/>
              <w:rPr>
                <w:sz w:val="20"/>
                <w:szCs w:val="18"/>
              </w:rPr>
            </w:pPr>
            <w:r w:rsidRPr="007C3A9A">
              <w:rPr>
                <w:sz w:val="20"/>
                <w:szCs w:val="18"/>
              </w:rPr>
              <w:t>0.890</w:t>
            </w:r>
          </w:p>
        </w:tc>
        <w:tc>
          <w:tcPr>
            <w:tcW w:w="829" w:type="pct"/>
            <w:hideMark/>
          </w:tcPr>
          <w:p w14:paraId="0DBFEA46" w14:textId="77777777" w:rsidR="007C3A9A" w:rsidRPr="007C3A9A" w:rsidRDefault="007C3A9A" w:rsidP="007C3A9A">
            <w:pPr>
              <w:spacing w:after="160"/>
              <w:rPr>
                <w:sz w:val="20"/>
                <w:szCs w:val="18"/>
              </w:rPr>
            </w:pPr>
            <w:r w:rsidRPr="007C3A9A">
              <w:rPr>
                <w:sz w:val="20"/>
                <w:szCs w:val="18"/>
              </w:rPr>
              <w:t>538.5</w:t>
            </w:r>
          </w:p>
        </w:tc>
      </w:tr>
      <w:tr w:rsidR="007C3A9A" w:rsidRPr="007C3A9A" w14:paraId="3A80C1A9" w14:textId="77777777" w:rsidTr="007C3A9A">
        <w:tc>
          <w:tcPr>
            <w:tcW w:w="376" w:type="pct"/>
            <w:hideMark/>
          </w:tcPr>
          <w:p w14:paraId="740D4CE2" w14:textId="77777777" w:rsidR="007C3A9A" w:rsidRPr="007C3A9A" w:rsidRDefault="007C3A9A" w:rsidP="007C3A9A">
            <w:pPr>
              <w:spacing w:after="160"/>
              <w:rPr>
                <w:sz w:val="20"/>
                <w:szCs w:val="18"/>
              </w:rPr>
            </w:pPr>
            <w:r w:rsidRPr="007C3A9A">
              <w:rPr>
                <w:sz w:val="20"/>
                <w:szCs w:val="18"/>
              </w:rPr>
              <w:t>3</w:t>
            </w:r>
          </w:p>
        </w:tc>
        <w:tc>
          <w:tcPr>
            <w:tcW w:w="1158" w:type="pct"/>
            <w:hideMark/>
          </w:tcPr>
          <w:p w14:paraId="3D4B6FF7" w14:textId="77777777" w:rsidR="007C3A9A" w:rsidRPr="007C3A9A" w:rsidRDefault="007C3A9A" w:rsidP="007C3A9A">
            <w:pPr>
              <w:spacing w:after="160"/>
              <w:rPr>
                <w:sz w:val="20"/>
                <w:szCs w:val="18"/>
              </w:rPr>
            </w:pPr>
            <w:r w:rsidRPr="007C3A9A">
              <w:rPr>
                <w:sz w:val="20"/>
                <w:szCs w:val="18"/>
              </w:rPr>
              <w:t>900</w:t>
            </w:r>
          </w:p>
        </w:tc>
        <w:tc>
          <w:tcPr>
            <w:tcW w:w="1369" w:type="pct"/>
            <w:hideMark/>
          </w:tcPr>
          <w:p w14:paraId="121325EF" w14:textId="77777777" w:rsidR="007C3A9A" w:rsidRPr="007C3A9A" w:rsidRDefault="007C3A9A" w:rsidP="007C3A9A">
            <w:pPr>
              <w:spacing w:after="160"/>
              <w:rPr>
                <w:sz w:val="20"/>
                <w:szCs w:val="18"/>
              </w:rPr>
            </w:pPr>
            <w:r w:rsidRPr="007C3A9A">
              <w:rPr>
                <w:sz w:val="20"/>
                <w:szCs w:val="18"/>
              </w:rPr>
              <w:t>(900 × 0.75) + 80 = 755</w:t>
            </w:r>
          </w:p>
        </w:tc>
        <w:tc>
          <w:tcPr>
            <w:tcW w:w="1269" w:type="pct"/>
            <w:hideMark/>
          </w:tcPr>
          <w:p w14:paraId="03A2F514" w14:textId="77777777" w:rsidR="007C3A9A" w:rsidRPr="007C3A9A" w:rsidRDefault="007C3A9A" w:rsidP="007C3A9A">
            <w:pPr>
              <w:spacing w:after="160"/>
              <w:rPr>
                <w:sz w:val="20"/>
                <w:szCs w:val="18"/>
              </w:rPr>
            </w:pPr>
            <w:r w:rsidRPr="007C3A9A">
              <w:rPr>
                <w:sz w:val="20"/>
                <w:szCs w:val="18"/>
              </w:rPr>
              <w:t>0.840</w:t>
            </w:r>
          </w:p>
        </w:tc>
        <w:tc>
          <w:tcPr>
            <w:tcW w:w="829" w:type="pct"/>
            <w:hideMark/>
          </w:tcPr>
          <w:p w14:paraId="1DA0BD09" w14:textId="77777777" w:rsidR="007C3A9A" w:rsidRPr="007C3A9A" w:rsidRDefault="007C3A9A" w:rsidP="007C3A9A">
            <w:pPr>
              <w:spacing w:after="160"/>
              <w:rPr>
                <w:sz w:val="20"/>
                <w:szCs w:val="18"/>
              </w:rPr>
            </w:pPr>
            <w:r w:rsidRPr="007C3A9A">
              <w:rPr>
                <w:sz w:val="20"/>
                <w:szCs w:val="18"/>
              </w:rPr>
              <w:t>634.2</w:t>
            </w:r>
          </w:p>
        </w:tc>
      </w:tr>
      <w:tr w:rsidR="007C3A9A" w:rsidRPr="007C3A9A" w14:paraId="082E5076" w14:textId="77777777" w:rsidTr="007C3A9A">
        <w:tc>
          <w:tcPr>
            <w:tcW w:w="376" w:type="pct"/>
            <w:hideMark/>
          </w:tcPr>
          <w:p w14:paraId="78923D7E" w14:textId="77777777" w:rsidR="007C3A9A" w:rsidRPr="007C3A9A" w:rsidRDefault="007C3A9A" w:rsidP="007C3A9A">
            <w:pPr>
              <w:spacing w:after="160"/>
              <w:rPr>
                <w:sz w:val="20"/>
                <w:szCs w:val="18"/>
              </w:rPr>
            </w:pPr>
            <w:r w:rsidRPr="007C3A9A">
              <w:rPr>
                <w:sz w:val="20"/>
                <w:szCs w:val="18"/>
              </w:rPr>
              <w:t>4</w:t>
            </w:r>
          </w:p>
        </w:tc>
        <w:tc>
          <w:tcPr>
            <w:tcW w:w="1158" w:type="pct"/>
            <w:hideMark/>
          </w:tcPr>
          <w:p w14:paraId="1D4E0775" w14:textId="77777777" w:rsidR="007C3A9A" w:rsidRPr="007C3A9A" w:rsidRDefault="007C3A9A" w:rsidP="007C3A9A">
            <w:pPr>
              <w:spacing w:after="160"/>
              <w:rPr>
                <w:sz w:val="20"/>
                <w:szCs w:val="18"/>
              </w:rPr>
            </w:pPr>
            <w:r w:rsidRPr="007C3A9A">
              <w:rPr>
                <w:sz w:val="20"/>
                <w:szCs w:val="18"/>
              </w:rPr>
              <w:t>1,200</w:t>
            </w:r>
          </w:p>
        </w:tc>
        <w:tc>
          <w:tcPr>
            <w:tcW w:w="1369" w:type="pct"/>
            <w:hideMark/>
          </w:tcPr>
          <w:p w14:paraId="5580D092" w14:textId="77777777" w:rsidR="007C3A9A" w:rsidRPr="007C3A9A" w:rsidRDefault="007C3A9A" w:rsidP="007C3A9A">
            <w:pPr>
              <w:spacing w:after="160"/>
              <w:rPr>
                <w:sz w:val="20"/>
                <w:szCs w:val="18"/>
              </w:rPr>
            </w:pPr>
            <w:r w:rsidRPr="007C3A9A">
              <w:rPr>
                <w:sz w:val="20"/>
                <w:szCs w:val="18"/>
              </w:rPr>
              <w:t>(1,200 × 0.75) + 80 = 980</w:t>
            </w:r>
          </w:p>
        </w:tc>
        <w:tc>
          <w:tcPr>
            <w:tcW w:w="1269" w:type="pct"/>
            <w:hideMark/>
          </w:tcPr>
          <w:p w14:paraId="49CE4C4D" w14:textId="77777777" w:rsidR="007C3A9A" w:rsidRPr="007C3A9A" w:rsidRDefault="007C3A9A" w:rsidP="007C3A9A">
            <w:pPr>
              <w:spacing w:after="160"/>
              <w:rPr>
                <w:sz w:val="20"/>
                <w:szCs w:val="18"/>
              </w:rPr>
            </w:pPr>
            <w:r w:rsidRPr="007C3A9A">
              <w:rPr>
                <w:sz w:val="20"/>
                <w:szCs w:val="18"/>
              </w:rPr>
              <w:t>0.792</w:t>
            </w:r>
          </w:p>
        </w:tc>
        <w:tc>
          <w:tcPr>
            <w:tcW w:w="829" w:type="pct"/>
            <w:hideMark/>
          </w:tcPr>
          <w:p w14:paraId="0A5208F5" w14:textId="77777777" w:rsidR="007C3A9A" w:rsidRPr="007C3A9A" w:rsidRDefault="007C3A9A" w:rsidP="007C3A9A">
            <w:pPr>
              <w:spacing w:after="160"/>
              <w:rPr>
                <w:sz w:val="20"/>
                <w:szCs w:val="18"/>
              </w:rPr>
            </w:pPr>
            <w:r w:rsidRPr="007C3A9A">
              <w:rPr>
                <w:sz w:val="20"/>
                <w:szCs w:val="18"/>
              </w:rPr>
              <w:t>776.2</w:t>
            </w:r>
          </w:p>
        </w:tc>
      </w:tr>
      <w:tr w:rsidR="007C3A9A" w:rsidRPr="007C3A9A" w14:paraId="04AC627F" w14:textId="77777777" w:rsidTr="007C3A9A">
        <w:tc>
          <w:tcPr>
            <w:tcW w:w="376" w:type="pct"/>
            <w:hideMark/>
          </w:tcPr>
          <w:p w14:paraId="73D16DD8" w14:textId="77777777" w:rsidR="007C3A9A" w:rsidRPr="007C3A9A" w:rsidRDefault="007C3A9A" w:rsidP="007C3A9A">
            <w:pPr>
              <w:spacing w:after="160"/>
              <w:rPr>
                <w:sz w:val="20"/>
                <w:szCs w:val="18"/>
              </w:rPr>
            </w:pPr>
            <w:r w:rsidRPr="007C3A9A">
              <w:rPr>
                <w:b/>
                <w:bCs/>
                <w:sz w:val="20"/>
                <w:szCs w:val="18"/>
              </w:rPr>
              <w:t>NPV</w:t>
            </w:r>
          </w:p>
        </w:tc>
        <w:tc>
          <w:tcPr>
            <w:tcW w:w="1158" w:type="pct"/>
            <w:hideMark/>
          </w:tcPr>
          <w:p w14:paraId="446FF366" w14:textId="77777777" w:rsidR="007C3A9A" w:rsidRPr="007C3A9A" w:rsidRDefault="007C3A9A" w:rsidP="007C3A9A">
            <w:pPr>
              <w:spacing w:after="160"/>
              <w:rPr>
                <w:sz w:val="20"/>
                <w:szCs w:val="18"/>
              </w:rPr>
            </w:pPr>
          </w:p>
        </w:tc>
        <w:tc>
          <w:tcPr>
            <w:tcW w:w="1369" w:type="pct"/>
            <w:hideMark/>
          </w:tcPr>
          <w:p w14:paraId="15D97AAE" w14:textId="77777777" w:rsidR="007C3A9A" w:rsidRPr="007C3A9A" w:rsidRDefault="007C3A9A" w:rsidP="007C3A9A">
            <w:pPr>
              <w:spacing w:after="160"/>
              <w:rPr>
                <w:sz w:val="20"/>
                <w:szCs w:val="18"/>
              </w:rPr>
            </w:pPr>
          </w:p>
        </w:tc>
        <w:tc>
          <w:tcPr>
            <w:tcW w:w="1269" w:type="pct"/>
            <w:hideMark/>
          </w:tcPr>
          <w:p w14:paraId="53442AE5" w14:textId="77777777" w:rsidR="007C3A9A" w:rsidRPr="007C3A9A" w:rsidRDefault="007C3A9A" w:rsidP="007C3A9A">
            <w:pPr>
              <w:spacing w:after="160"/>
              <w:rPr>
                <w:sz w:val="20"/>
                <w:szCs w:val="18"/>
              </w:rPr>
            </w:pPr>
          </w:p>
        </w:tc>
        <w:tc>
          <w:tcPr>
            <w:tcW w:w="829" w:type="pct"/>
            <w:hideMark/>
          </w:tcPr>
          <w:p w14:paraId="792E6A2E" w14:textId="77777777" w:rsidR="007C3A9A" w:rsidRPr="007C3A9A" w:rsidRDefault="007C3A9A" w:rsidP="007C3A9A">
            <w:pPr>
              <w:spacing w:after="160"/>
              <w:rPr>
                <w:sz w:val="20"/>
                <w:szCs w:val="18"/>
              </w:rPr>
            </w:pPr>
            <w:r w:rsidRPr="007C3A9A">
              <w:rPr>
                <w:b/>
                <w:bCs/>
                <w:sz w:val="20"/>
                <w:szCs w:val="18"/>
              </w:rPr>
              <w:t>£742.7</w:t>
            </w:r>
          </w:p>
        </w:tc>
      </w:tr>
    </w:tbl>
    <w:p w14:paraId="294B1F38" w14:textId="77777777" w:rsidR="007C3A9A" w:rsidRDefault="007C3A9A" w:rsidP="007C3A9A"/>
    <w:p w14:paraId="18070438" w14:textId="77777777" w:rsidR="0049644F" w:rsidRDefault="009729AC" w:rsidP="0049644F">
      <w:pPr>
        <w:keepNext/>
        <w:jc w:val="center"/>
      </w:pPr>
      <w:r>
        <w:rPr>
          <w:noProof/>
        </w:rPr>
        <w:drawing>
          <wp:inline distT="0" distB="0" distL="0" distR="0" wp14:anchorId="33A90E88" wp14:editId="052E787A">
            <wp:extent cx="3134169" cy="2497455"/>
            <wp:effectExtent l="76200" t="76200" r="142875" b="131445"/>
            <wp:docPr id="194481963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139247" cy="250150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9C3D706" w14:textId="54B1234A" w:rsidR="009729AC" w:rsidRDefault="0049644F" w:rsidP="0049644F">
      <w:pPr>
        <w:pStyle w:val="Caption"/>
        <w:jc w:val="center"/>
      </w:pPr>
      <w:r>
        <w:t xml:space="preserve">Figure </w:t>
      </w:r>
      <w:fldSimple w:instr=" SEQ Figure \* ARABIC ">
        <w:r>
          <w:rPr>
            <w:noProof/>
          </w:rPr>
          <w:t>5</w:t>
        </w:r>
      </w:fldSimple>
      <w:r>
        <w:t xml:space="preserve"> </w:t>
      </w:r>
      <w:r w:rsidRPr="00136294">
        <w:t>NPV Comparison of Investment Options</w:t>
      </w:r>
    </w:p>
    <w:p w14:paraId="38895046" w14:textId="77777777" w:rsidR="0049644F" w:rsidRDefault="009729AC" w:rsidP="0049644F">
      <w:pPr>
        <w:keepNext/>
        <w:jc w:val="center"/>
      </w:pPr>
      <w:r>
        <w:rPr>
          <w:noProof/>
        </w:rPr>
        <w:lastRenderedPageBreak/>
        <w:drawing>
          <wp:inline distT="0" distB="0" distL="0" distR="0" wp14:anchorId="5A6EA629" wp14:editId="7D65BB28">
            <wp:extent cx="3130463" cy="2406015"/>
            <wp:effectExtent l="76200" t="76200" r="127635" b="127635"/>
            <wp:docPr id="104332315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141078" cy="241417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832BA39" w14:textId="4A04B6D7" w:rsidR="009729AC" w:rsidRDefault="0049644F" w:rsidP="0049644F">
      <w:pPr>
        <w:pStyle w:val="Caption"/>
        <w:jc w:val="center"/>
      </w:pPr>
      <w:r>
        <w:t xml:space="preserve">Figure </w:t>
      </w:r>
      <w:fldSimple w:instr=" SEQ Figure \* ARABIC ">
        <w:r>
          <w:rPr>
            <w:noProof/>
          </w:rPr>
          <w:t>6</w:t>
        </w:r>
      </w:fldSimple>
      <w:r>
        <w:t xml:space="preserve"> </w:t>
      </w:r>
      <w:r w:rsidRPr="00207C1D">
        <w:t>After-Tax Cash Flows – Option B</w:t>
      </w:r>
    </w:p>
    <w:p w14:paraId="3987B50D" w14:textId="27134502" w:rsidR="007C3A9A" w:rsidRPr="007C3A9A" w:rsidRDefault="007C3A9A" w:rsidP="007C3A9A">
      <w:pPr>
        <w:rPr>
          <w:b/>
          <w:bCs/>
        </w:rPr>
      </w:pPr>
      <w:r w:rsidRPr="007C3A9A">
        <w:rPr>
          <w:b/>
          <w:bCs/>
        </w:rPr>
        <w:t>Comparative Evaluation</w:t>
      </w:r>
    </w:p>
    <w:p w14:paraId="26399236" w14:textId="5BB0E1D7" w:rsidR="007C3A9A" w:rsidRDefault="00916B09" w:rsidP="007C3A9A">
      <w:r w:rsidRPr="00916B09">
        <w:t>The NPVs of all the three are positive which means all projects are viable and likely to increase the wealth of shareholders (Hirshleifer, 1958). The alternative B will generate the highest NPV (</w:t>
      </w:r>
      <w:r w:rsidR="006F0CC2" w:rsidRPr="007C3A9A">
        <w:t>£</w:t>
      </w:r>
      <w:r w:rsidRPr="00916B09">
        <w:t>792.3k) which implies that it will create higher value in absolute terms which should preferably be chosen based on financial considerations. The DCF C returns a superior NPV, and however, capital investment is significantly high and B offers a high profit based on its scale, but the absolute NPV is low. In line with the financial theory, the preferred investment option at the current phase is hence Option B due to the optimality of it (Brigham and Ehrhardt, 2020; Arnold, 2019)</w:t>
      </w:r>
      <w:r w:rsidR="007C3A9A" w:rsidRPr="007C3A9A">
        <w:t>.</w:t>
      </w:r>
      <w:r>
        <w:t xml:space="preserve"> </w:t>
      </w:r>
      <w:r w:rsidR="006F0CC2">
        <w:t xml:space="preserve"> </w:t>
      </w:r>
    </w:p>
    <w:p w14:paraId="5CD7F528" w14:textId="77777777" w:rsidR="00010C04" w:rsidRPr="00010C04" w:rsidRDefault="00010C04" w:rsidP="00010C04">
      <w:pPr>
        <w:pStyle w:val="Heading2"/>
      </w:pPr>
      <w:bookmarkStart w:id="16" w:name="_Toc217483976"/>
      <w:r w:rsidRPr="00010C04">
        <w:t>4. Internal Rate of Return (IRR) Analysis</w:t>
      </w:r>
      <w:bookmarkEnd w:id="16"/>
    </w:p>
    <w:p w14:paraId="63E4E150" w14:textId="3977CDD2" w:rsidR="00010C04" w:rsidRPr="00010C04" w:rsidRDefault="00FE408C" w:rsidP="00010C04">
      <w:r w:rsidRPr="00FE408C">
        <w:t>The Net Present Value (NPV) analysis was used therefore the preferred choice of investment is the D Develop Internet Sales, which has the highest NPV and thus the maximization of shareholders wealth (Brealey, Myers and Allen, 2020). This part approximates the Internal rate of return(IRR) of the issue B and interprets the outcome to guide the management in decision making</w:t>
      </w:r>
      <w:r w:rsidR="00010C04" w:rsidRPr="00010C04">
        <w:t>.</w:t>
      </w:r>
    </w:p>
    <w:p w14:paraId="5EA49579" w14:textId="68B632CF" w:rsidR="00010C04" w:rsidRPr="00010C04" w:rsidRDefault="00FE408C" w:rsidP="00010C04">
      <w:r w:rsidRPr="00FE408C">
        <w:t>The IRR is calculated as that level of discount rate at which the NPV of a project is zero. In practice, trial-and-error, and linear interpolation would estimate IRR especially when cash flows are conventional (Arnold, 2019). The cash flows that are post tax cash flows are in line with NPV analysis and include capital allowances of 20 and corporation tax of 25 straight-line</w:t>
      </w:r>
      <w:r w:rsidR="00010C04" w:rsidRPr="00010C04">
        <w:t>.</w:t>
      </w:r>
    </w:p>
    <w:p w14:paraId="0E5DE7F4" w14:textId="77777777" w:rsidR="00010C04" w:rsidRPr="00010C04" w:rsidRDefault="00010C04" w:rsidP="00010C04">
      <w:pPr>
        <w:rPr>
          <w:b/>
          <w:bCs/>
        </w:rPr>
      </w:pPr>
      <w:r w:rsidRPr="00010C04">
        <w:rPr>
          <w:b/>
          <w:bCs/>
        </w:rPr>
        <w:t>Option B: After-Tax Cash Flows (£’000)</w:t>
      </w:r>
    </w:p>
    <w:tbl>
      <w:tblPr>
        <w:tblStyle w:val="TableGridLight"/>
        <w:tblW w:w="5000" w:type="pct"/>
        <w:jc w:val="center"/>
        <w:tblLook w:val="04A0" w:firstRow="1" w:lastRow="0" w:firstColumn="1" w:lastColumn="0" w:noHBand="0" w:noVBand="1"/>
      </w:tblPr>
      <w:tblGrid>
        <w:gridCol w:w="2054"/>
        <w:gridCol w:w="6962"/>
      </w:tblGrid>
      <w:tr w:rsidR="00010C04" w:rsidRPr="00010C04" w14:paraId="5348D6AD" w14:textId="77777777" w:rsidTr="00010C04">
        <w:trPr>
          <w:jc w:val="center"/>
        </w:trPr>
        <w:tc>
          <w:tcPr>
            <w:tcW w:w="1139" w:type="pct"/>
            <w:hideMark/>
          </w:tcPr>
          <w:p w14:paraId="43982B85" w14:textId="77777777" w:rsidR="00010C04" w:rsidRPr="00010C04" w:rsidRDefault="00010C04" w:rsidP="00010C04">
            <w:pPr>
              <w:spacing w:after="160"/>
              <w:jc w:val="center"/>
              <w:rPr>
                <w:b/>
                <w:bCs/>
                <w:sz w:val="20"/>
                <w:szCs w:val="18"/>
              </w:rPr>
            </w:pPr>
            <w:r w:rsidRPr="00010C04">
              <w:rPr>
                <w:b/>
                <w:bCs/>
                <w:sz w:val="20"/>
                <w:szCs w:val="18"/>
              </w:rPr>
              <w:lastRenderedPageBreak/>
              <w:t>Year</w:t>
            </w:r>
          </w:p>
        </w:tc>
        <w:tc>
          <w:tcPr>
            <w:tcW w:w="3861" w:type="pct"/>
            <w:hideMark/>
          </w:tcPr>
          <w:p w14:paraId="3FCA69C7" w14:textId="77777777" w:rsidR="00010C04" w:rsidRPr="00010C04" w:rsidRDefault="00010C04" w:rsidP="00010C04">
            <w:pPr>
              <w:spacing w:after="160"/>
              <w:jc w:val="center"/>
              <w:rPr>
                <w:b/>
                <w:bCs/>
                <w:sz w:val="20"/>
                <w:szCs w:val="18"/>
              </w:rPr>
            </w:pPr>
            <w:r w:rsidRPr="00010C04">
              <w:rPr>
                <w:b/>
                <w:bCs/>
                <w:sz w:val="20"/>
                <w:szCs w:val="18"/>
              </w:rPr>
              <w:t>After-Tax Cash Flow</w:t>
            </w:r>
          </w:p>
        </w:tc>
      </w:tr>
      <w:tr w:rsidR="00010C04" w:rsidRPr="00010C04" w14:paraId="45111045" w14:textId="77777777" w:rsidTr="00010C04">
        <w:trPr>
          <w:jc w:val="center"/>
        </w:trPr>
        <w:tc>
          <w:tcPr>
            <w:tcW w:w="1139" w:type="pct"/>
            <w:hideMark/>
          </w:tcPr>
          <w:p w14:paraId="2C608D74" w14:textId="77777777" w:rsidR="00010C04" w:rsidRPr="00010C04" w:rsidRDefault="00010C04" w:rsidP="00010C04">
            <w:pPr>
              <w:spacing w:after="160"/>
              <w:jc w:val="center"/>
              <w:rPr>
                <w:sz w:val="20"/>
                <w:szCs w:val="18"/>
              </w:rPr>
            </w:pPr>
            <w:r w:rsidRPr="00010C04">
              <w:rPr>
                <w:sz w:val="20"/>
                <w:szCs w:val="18"/>
              </w:rPr>
              <w:t>0</w:t>
            </w:r>
          </w:p>
        </w:tc>
        <w:tc>
          <w:tcPr>
            <w:tcW w:w="3861" w:type="pct"/>
            <w:hideMark/>
          </w:tcPr>
          <w:p w14:paraId="0F1F767B" w14:textId="77777777" w:rsidR="00010C04" w:rsidRPr="00010C04" w:rsidRDefault="00010C04" w:rsidP="00010C04">
            <w:pPr>
              <w:spacing w:after="160"/>
              <w:jc w:val="center"/>
              <w:rPr>
                <w:sz w:val="20"/>
                <w:szCs w:val="18"/>
              </w:rPr>
            </w:pPr>
            <w:r w:rsidRPr="00010C04">
              <w:rPr>
                <w:sz w:val="20"/>
                <w:szCs w:val="18"/>
              </w:rPr>
              <w:t>(1,000)</w:t>
            </w:r>
          </w:p>
        </w:tc>
      </w:tr>
      <w:tr w:rsidR="00010C04" w:rsidRPr="00010C04" w14:paraId="4A849FFF" w14:textId="77777777" w:rsidTr="00010C04">
        <w:trPr>
          <w:jc w:val="center"/>
        </w:trPr>
        <w:tc>
          <w:tcPr>
            <w:tcW w:w="1139" w:type="pct"/>
            <w:hideMark/>
          </w:tcPr>
          <w:p w14:paraId="3AA9FAC3" w14:textId="77777777" w:rsidR="00010C04" w:rsidRPr="00010C04" w:rsidRDefault="00010C04" w:rsidP="00010C04">
            <w:pPr>
              <w:spacing w:after="160"/>
              <w:jc w:val="center"/>
              <w:rPr>
                <w:sz w:val="20"/>
                <w:szCs w:val="18"/>
              </w:rPr>
            </w:pPr>
            <w:r w:rsidRPr="00010C04">
              <w:rPr>
                <w:sz w:val="20"/>
                <w:szCs w:val="18"/>
              </w:rPr>
              <w:t>1</w:t>
            </w:r>
          </w:p>
        </w:tc>
        <w:tc>
          <w:tcPr>
            <w:tcW w:w="3861" w:type="pct"/>
            <w:hideMark/>
          </w:tcPr>
          <w:p w14:paraId="2605E08F" w14:textId="77777777" w:rsidR="00010C04" w:rsidRPr="00010C04" w:rsidRDefault="00010C04" w:rsidP="00010C04">
            <w:pPr>
              <w:spacing w:after="160"/>
              <w:jc w:val="center"/>
              <w:rPr>
                <w:sz w:val="20"/>
                <w:szCs w:val="18"/>
              </w:rPr>
            </w:pPr>
            <w:r w:rsidRPr="00010C04">
              <w:rPr>
                <w:sz w:val="20"/>
                <w:szCs w:val="18"/>
              </w:rPr>
              <w:t>350</w:t>
            </w:r>
          </w:p>
        </w:tc>
      </w:tr>
      <w:tr w:rsidR="00010C04" w:rsidRPr="00010C04" w14:paraId="5A57BD75" w14:textId="77777777" w:rsidTr="00010C04">
        <w:trPr>
          <w:jc w:val="center"/>
        </w:trPr>
        <w:tc>
          <w:tcPr>
            <w:tcW w:w="1139" w:type="pct"/>
            <w:hideMark/>
          </w:tcPr>
          <w:p w14:paraId="5CFACF81" w14:textId="77777777" w:rsidR="00010C04" w:rsidRPr="00010C04" w:rsidRDefault="00010C04" w:rsidP="00010C04">
            <w:pPr>
              <w:spacing w:after="160"/>
              <w:jc w:val="center"/>
              <w:rPr>
                <w:sz w:val="20"/>
                <w:szCs w:val="18"/>
              </w:rPr>
            </w:pPr>
            <w:r w:rsidRPr="00010C04">
              <w:rPr>
                <w:sz w:val="20"/>
                <w:szCs w:val="18"/>
              </w:rPr>
              <w:t>2</w:t>
            </w:r>
          </w:p>
        </w:tc>
        <w:tc>
          <w:tcPr>
            <w:tcW w:w="3861" w:type="pct"/>
            <w:hideMark/>
          </w:tcPr>
          <w:p w14:paraId="1CF767D9" w14:textId="77777777" w:rsidR="00010C04" w:rsidRPr="00010C04" w:rsidRDefault="00010C04" w:rsidP="00010C04">
            <w:pPr>
              <w:spacing w:after="160"/>
              <w:jc w:val="center"/>
              <w:rPr>
                <w:sz w:val="20"/>
                <w:szCs w:val="18"/>
              </w:rPr>
            </w:pPr>
            <w:r w:rsidRPr="00010C04">
              <w:rPr>
                <w:sz w:val="20"/>
                <w:szCs w:val="18"/>
              </w:rPr>
              <w:t>387.5</w:t>
            </w:r>
          </w:p>
        </w:tc>
      </w:tr>
      <w:tr w:rsidR="00010C04" w:rsidRPr="00010C04" w14:paraId="5E9F7B0F" w14:textId="77777777" w:rsidTr="00010C04">
        <w:trPr>
          <w:jc w:val="center"/>
        </w:trPr>
        <w:tc>
          <w:tcPr>
            <w:tcW w:w="1139" w:type="pct"/>
            <w:hideMark/>
          </w:tcPr>
          <w:p w14:paraId="730C123C" w14:textId="77777777" w:rsidR="00010C04" w:rsidRPr="00010C04" w:rsidRDefault="00010C04" w:rsidP="00010C04">
            <w:pPr>
              <w:spacing w:after="160"/>
              <w:jc w:val="center"/>
              <w:rPr>
                <w:sz w:val="20"/>
                <w:szCs w:val="18"/>
              </w:rPr>
            </w:pPr>
            <w:r w:rsidRPr="00010C04">
              <w:rPr>
                <w:sz w:val="20"/>
                <w:szCs w:val="18"/>
              </w:rPr>
              <w:t>3</w:t>
            </w:r>
          </w:p>
        </w:tc>
        <w:tc>
          <w:tcPr>
            <w:tcW w:w="3861" w:type="pct"/>
            <w:hideMark/>
          </w:tcPr>
          <w:p w14:paraId="312474BE" w14:textId="77777777" w:rsidR="00010C04" w:rsidRPr="00010C04" w:rsidRDefault="00010C04" w:rsidP="00010C04">
            <w:pPr>
              <w:spacing w:after="160"/>
              <w:jc w:val="center"/>
              <w:rPr>
                <w:sz w:val="20"/>
                <w:szCs w:val="18"/>
              </w:rPr>
            </w:pPr>
            <w:r w:rsidRPr="00010C04">
              <w:rPr>
                <w:sz w:val="20"/>
                <w:szCs w:val="18"/>
              </w:rPr>
              <w:t>590</w:t>
            </w:r>
          </w:p>
        </w:tc>
      </w:tr>
      <w:tr w:rsidR="00010C04" w:rsidRPr="00010C04" w14:paraId="50FFC145" w14:textId="77777777" w:rsidTr="00010C04">
        <w:trPr>
          <w:jc w:val="center"/>
        </w:trPr>
        <w:tc>
          <w:tcPr>
            <w:tcW w:w="1139" w:type="pct"/>
            <w:hideMark/>
          </w:tcPr>
          <w:p w14:paraId="2740C6B7" w14:textId="77777777" w:rsidR="00010C04" w:rsidRPr="00010C04" w:rsidRDefault="00010C04" w:rsidP="00010C04">
            <w:pPr>
              <w:spacing w:after="160"/>
              <w:jc w:val="center"/>
              <w:rPr>
                <w:sz w:val="20"/>
                <w:szCs w:val="18"/>
              </w:rPr>
            </w:pPr>
            <w:r w:rsidRPr="00010C04">
              <w:rPr>
                <w:sz w:val="20"/>
                <w:szCs w:val="18"/>
              </w:rPr>
              <w:t>4</w:t>
            </w:r>
          </w:p>
        </w:tc>
        <w:tc>
          <w:tcPr>
            <w:tcW w:w="3861" w:type="pct"/>
            <w:hideMark/>
          </w:tcPr>
          <w:p w14:paraId="7B143344" w14:textId="77777777" w:rsidR="00010C04" w:rsidRPr="00010C04" w:rsidRDefault="00010C04" w:rsidP="00010C04">
            <w:pPr>
              <w:spacing w:after="160"/>
              <w:jc w:val="center"/>
              <w:rPr>
                <w:sz w:val="20"/>
                <w:szCs w:val="18"/>
              </w:rPr>
            </w:pPr>
            <w:r w:rsidRPr="00010C04">
              <w:rPr>
                <w:sz w:val="20"/>
                <w:szCs w:val="18"/>
              </w:rPr>
              <w:t>785</w:t>
            </w:r>
          </w:p>
        </w:tc>
      </w:tr>
    </w:tbl>
    <w:p w14:paraId="5D4DB168" w14:textId="77777777" w:rsidR="00010C04" w:rsidRDefault="00010C04" w:rsidP="00010C04"/>
    <w:p w14:paraId="4FDBEE5D" w14:textId="05710EB4" w:rsidR="00010C04" w:rsidRPr="00010C04" w:rsidRDefault="00010C04" w:rsidP="00010C04">
      <w:pPr>
        <w:rPr>
          <w:b/>
          <w:bCs/>
        </w:rPr>
      </w:pPr>
      <w:r w:rsidRPr="00010C04">
        <w:rPr>
          <w:b/>
          <w:bCs/>
        </w:rPr>
        <w:t>Table 9: IRR Estimation – Option B</w:t>
      </w:r>
    </w:p>
    <w:tbl>
      <w:tblPr>
        <w:tblStyle w:val="TableGridLight"/>
        <w:tblW w:w="5000" w:type="pct"/>
        <w:tblLook w:val="04A0" w:firstRow="1" w:lastRow="0" w:firstColumn="1" w:lastColumn="0" w:noHBand="0" w:noVBand="1"/>
      </w:tblPr>
      <w:tblGrid>
        <w:gridCol w:w="4762"/>
        <w:gridCol w:w="4254"/>
      </w:tblGrid>
      <w:tr w:rsidR="00010C04" w:rsidRPr="00010C04" w14:paraId="435315DF" w14:textId="77777777" w:rsidTr="00010C04">
        <w:tc>
          <w:tcPr>
            <w:tcW w:w="2641" w:type="pct"/>
            <w:hideMark/>
          </w:tcPr>
          <w:p w14:paraId="43543CA1" w14:textId="77777777" w:rsidR="00010C04" w:rsidRPr="00010C04" w:rsidRDefault="00010C04" w:rsidP="00010C04">
            <w:pPr>
              <w:spacing w:after="160"/>
              <w:jc w:val="center"/>
              <w:rPr>
                <w:b/>
                <w:bCs/>
                <w:sz w:val="20"/>
                <w:szCs w:val="18"/>
              </w:rPr>
            </w:pPr>
            <w:r w:rsidRPr="00010C04">
              <w:rPr>
                <w:b/>
                <w:bCs/>
                <w:sz w:val="20"/>
                <w:szCs w:val="18"/>
              </w:rPr>
              <w:t>Discount Rate</w:t>
            </w:r>
          </w:p>
        </w:tc>
        <w:tc>
          <w:tcPr>
            <w:tcW w:w="2359" w:type="pct"/>
            <w:hideMark/>
          </w:tcPr>
          <w:p w14:paraId="11A6B3F9" w14:textId="77777777" w:rsidR="00010C04" w:rsidRPr="00010C04" w:rsidRDefault="00010C04" w:rsidP="00010C04">
            <w:pPr>
              <w:spacing w:after="160"/>
              <w:jc w:val="center"/>
              <w:rPr>
                <w:b/>
                <w:bCs/>
                <w:sz w:val="20"/>
                <w:szCs w:val="18"/>
              </w:rPr>
            </w:pPr>
            <w:r w:rsidRPr="00010C04">
              <w:rPr>
                <w:b/>
                <w:bCs/>
                <w:sz w:val="20"/>
                <w:szCs w:val="18"/>
              </w:rPr>
              <w:t>NPV (£’000)</w:t>
            </w:r>
          </w:p>
        </w:tc>
      </w:tr>
      <w:tr w:rsidR="00010C04" w:rsidRPr="00010C04" w14:paraId="1FD9E7E0" w14:textId="77777777" w:rsidTr="00010C04">
        <w:tc>
          <w:tcPr>
            <w:tcW w:w="2641" w:type="pct"/>
            <w:hideMark/>
          </w:tcPr>
          <w:p w14:paraId="657AF19D" w14:textId="77777777" w:rsidR="00010C04" w:rsidRPr="00010C04" w:rsidRDefault="00010C04" w:rsidP="00010C04">
            <w:pPr>
              <w:spacing w:after="160"/>
              <w:jc w:val="center"/>
              <w:rPr>
                <w:sz w:val="20"/>
                <w:szCs w:val="18"/>
              </w:rPr>
            </w:pPr>
            <w:r w:rsidRPr="00010C04">
              <w:rPr>
                <w:b/>
                <w:bCs/>
                <w:sz w:val="20"/>
                <w:szCs w:val="18"/>
              </w:rPr>
              <w:t>20%</w:t>
            </w:r>
          </w:p>
        </w:tc>
        <w:tc>
          <w:tcPr>
            <w:tcW w:w="2359" w:type="pct"/>
            <w:hideMark/>
          </w:tcPr>
          <w:p w14:paraId="3893F990" w14:textId="77777777" w:rsidR="00010C04" w:rsidRPr="00010C04" w:rsidRDefault="00010C04" w:rsidP="00010C04">
            <w:pPr>
              <w:spacing w:after="160"/>
              <w:jc w:val="center"/>
              <w:rPr>
                <w:sz w:val="20"/>
                <w:szCs w:val="18"/>
              </w:rPr>
            </w:pPr>
            <w:r w:rsidRPr="00010C04">
              <w:rPr>
                <w:sz w:val="20"/>
                <w:szCs w:val="18"/>
              </w:rPr>
              <w:t>+214</w:t>
            </w:r>
          </w:p>
        </w:tc>
      </w:tr>
      <w:tr w:rsidR="00010C04" w:rsidRPr="00010C04" w14:paraId="0BD1E024" w14:textId="77777777" w:rsidTr="00010C04">
        <w:tc>
          <w:tcPr>
            <w:tcW w:w="2641" w:type="pct"/>
            <w:hideMark/>
          </w:tcPr>
          <w:p w14:paraId="05A138B2" w14:textId="77777777" w:rsidR="00010C04" w:rsidRPr="00010C04" w:rsidRDefault="00010C04" w:rsidP="00010C04">
            <w:pPr>
              <w:spacing w:after="160"/>
              <w:jc w:val="center"/>
              <w:rPr>
                <w:sz w:val="20"/>
                <w:szCs w:val="18"/>
              </w:rPr>
            </w:pPr>
            <w:r w:rsidRPr="00010C04">
              <w:rPr>
                <w:b/>
                <w:bCs/>
                <w:sz w:val="20"/>
                <w:szCs w:val="18"/>
              </w:rPr>
              <w:t>30%</w:t>
            </w:r>
          </w:p>
        </w:tc>
        <w:tc>
          <w:tcPr>
            <w:tcW w:w="2359" w:type="pct"/>
            <w:hideMark/>
          </w:tcPr>
          <w:p w14:paraId="1508C09C" w14:textId="77777777" w:rsidR="00010C04" w:rsidRPr="00010C04" w:rsidRDefault="00010C04" w:rsidP="00010C04">
            <w:pPr>
              <w:spacing w:after="160"/>
              <w:jc w:val="center"/>
              <w:rPr>
                <w:sz w:val="20"/>
                <w:szCs w:val="18"/>
              </w:rPr>
            </w:pPr>
            <w:r w:rsidRPr="00010C04">
              <w:rPr>
                <w:sz w:val="20"/>
                <w:szCs w:val="18"/>
              </w:rPr>
              <w:t>−92</w:t>
            </w:r>
          </w:p>
        </w:tc>
      </w:tr>
    </w:tbl>
    <w:p w14:paraId="0D9072CA" w14:textId="77777777" w:rsidR="00010C04" w:rsidRPr="00010C04" w:rsidRDefault="00010C04" w:rsidP="00010C04">
      <w:r w:rsidRPr="00010C04">
        <w:rPr>
          <w:i/>
          <w:iCs/>
        </w:rPr>
        <w:t>(NPVs calculated by discounting the above cash flows at the stated rates.)</w:t>
      </w:r>
    </w:p>
    <w:p w14:paraId="320830C9" w14:textId="77777777" w:rsidR="00010C04" w:rsidRPr="00010C04" w:rsidRDefault="00010C04" w:rsidP="00010C04">
      <w:pPr>
        <w:rPr>
          <w:b/>
          <w:bCs/>
        </w:rPr>
      </w:pPr>
      <w:r w:rsidRPr="00010C04">
        <w:rPr>
          <w:b/>
          <w:bCs/>
        </w:rPr>
        <w:t>IRR Calculation (Linear Interpolation)</w:t>
      </w:r>
    </w:p>
    <w:p w14:paraId="7E271536" w14:textId="47DCD4D2" w:rsidR="00010C04" w:rsidRPr="00010C04" w:rsidRDefault="00010C04" w:rsidP="00010C04">
      <m:oMathPara>
        <m:oMath>
          <m:r>
            <m:rPr>
              <m:nor/>
            </m:rPr>
            <m:t>IRR</m:t>
          </m:r>
          <m:r>
            <w:rPr>
              <w:rFonts w:ascii="Cambria Math" w:hAnsi="Cambria Math"/>
            </w:rPr>
            <m:t>=20</m:t>
          </m:r>
          <m:r>
            <m:rPr>
              <m:sty m:val="p"/>
            </m:rPr>
            <w:rPr>
              <w:rFonts w:ascii="Cambria Math" w:hAnsi="Cambria Math"/>
            </w:rPr>
            <m:t>%</m:t>
          </m:r>
          <m:r>
            <w:rPr>
              <w:rFonts w:ascii="Cambria Math" w:hAnsi="Cambria Math"/>
            </w:rPr>
            <m:t>+</m:t>
          </m:r>
          <m:d>
            <m:dPr>
              <m:ctrlPr>
                <w:rPr>
                  <w:rFonts w:ascii="Cambria Math" w:hAnsi="Cambria Math"/>
                </w:rPr>
              </m:ctrlPr>
            </m:dPr>
            <m:e>
              <m:f>
                <m:fPr>
                  <m:ctrlPr>
                    <w:rPr>
                      <w:rFonts w:ascii="Cambria Math" w:hAnsi="Cambria Math"/>
                    </w:rPr>
                  </m:ctrlPr>
                </m:fPr>
                <m:num>
                  <m:r>
                    <w:rPr>
                      <w:rFonts w:ascii="Cambria Math" w:hAnsi="Cambria Math"/>
                    </w:rPr>
                    <m:t>214</m:t>
                  </m:r>
                </m:num>
                <m:den>
                  <m:r>
                    <w:rPr>
                      <w:rFonts w:ascii="Cambria Math" w:hAnsi="Cambria Math"/>
                    </w:rPr>
                    <m:t>214+92</m:t>
                  </m:r>
                </m:den>
              </m:f>
            </m:e>
          </m:d>
          <m:r>
            <w:rPr>
              <w:rFonts w:ascii="Cambria Math" w:hAnsi="Cambria Math"/>
            </w:rPr>
            <m:t>×(30</m:t>
          </m:r>
          <m:r>
            <m:rPr>
              <m:sty m:val="p"/>
            </m:rPr>
            <w:rPr>
              <w:rFonts w:ascii="Cambria Math" w:hAnsi="Cambria Math"/>
            </w:rPr>
            <m:t>%</m:t>
          </m:r>
          <m:r>
            <w:rPr>
              <w:rFonts w:ascii="Cambria Math" w:hAnsi="Cambria Math"/>
            </w:rPr>
            <m:t>-20</m:t>
          </m:r>
          <m:r>
            <m:rPr>
              <m:sty m:val="p"/>
            </m:rPr>
            <w:rPr>
              <w:rFonts w:ascii="Cambria Math" w:hAnsi="Cambria Math"/>
            </w:rPr>
            <m:t>%</m:t>
          </m:r>
          <m:r>
            <w:rPr>
              <w:rFonts w:ascii="Cambria Math" w:hAnsi="Cambria Math"/>
            </w:rPr>
            <m:t>)</m:t>
          </m:r>
          <m:r>
            <m:rPr>
              <m:sty m:val="p"/>
            </m:rPr>
            <w:br/>
          </m:r>
        </m:oMath>
        <m:oMath>
          <m:r>
            <m:rPr>
              <m:nor/>
            </m:rPr>
            <m:t>IRR</m:t>
          </m:r>
          <m:r>
            <w:rPr>
              <w:rFonts w:ascii="Cambria Math" w:hAnsi="Cambria Math"/>
            </w:rPr>
            <m:t>=20</m:t>
          </m:r>
          <m:r>
            <m:rPr>
              <m:sty m:val="p"/>
            </m:rPr>
            <w:rPr>
              <w:rFonts w:ascii="Cambria Math" w:hAnsi="Cambria Math"/>
            </w:rPr>
            <m:t>%</m:t>
          </m:r>
          <m:r>
            <w:rPr>
              <w:rFonts w:ascii="Cambria Math" w:hAnsi="Cambria Math"/>
            </w:rPr>
            <m:t>+(0.699×10</m:t>
          </m:r>
          <m:r>
            <m:rPr>
              <m:sty m:val="p"/>
            </m:rPr>
            <w:rPr>
              <w:rFonts w:ascii="Cambria Math" w:hAnsi="Cambria Math"/>
            </w:rPr>
            <m:t>%</m:t>
          </m:r>
          <m:r>
            <w:rPr>
              <w:rFonts w:ascii="Cambria Math" w:hAnsi="Cambria Math"/>
            </w:rPr>
            <m:t>)=</m:t>
          </m:r>
          <m:r>
            <m:rPr>
              <m:sty m:val="b"/>
            </m:rPr>
            <w:rPr>
              <w:rFonts w:ascii="Cambria Math" w:hAnsi="Cambria Math"/>
            </w:rPr>
            <m:t>26.99%</m:t>
          </m:r>
          <m:r>
            <w:rPr>
              <w:rFonts w:ascii="Cambria Math" w:hAnsi="Cambria Math"/>
            </w:rPr>
            <m:t>≈</m:t>
          </m:r>
          <m:r>
            <m:rPr>
              <m:sty m:val="b"/>
            </m:rPr>
            <w:rPr>
              <w:rFonts w:ascii="Cambria Math" w:hAnsi="Cambria Math"/>
            </w:rPr>
            <m:t>27%</m:t>
          </m:r>
        </m:oMath>
      </m:oMathPara>
    </w:p>
    <w:p w14:paraId="3C65B8D2" w14:textId="77777777" w:rsidR="00010C04" w:rsidRPr="00010C04" w:rsidRDefault="00010C04" w:rsidP="00010C04">
      <w:pPr>
        <w:rPr>
          <w:b/>
          <w:bCs/>
        </w:rPr>
      </w:pPr>
      <w:r w:rsidRPr="00010C04">
        <w:rPr>
          <w:b/>
          <w:bCs/>
        </w:rPr>
        <w:t>Interpretation</w:t>
      </w:r>
    </w:p>
    <w:p w14:paraId="2570220A" w14:textId="6227FA0F" w:rsidR="00010C04" w:rsidRDefault="00FE408C" w:rsidP="00010C04">
      <w:r w:rsidRPr="00FE408C">
        <w:t>The approximate IRR of about 27 percent is much higher than the cost of capital of Westward Plc of 6 per cent which means that an option B would provide a very high premium or markup above the costs of capital required by the firm. Decision-making wise, this affirms financial feasibility of the project, and shows support of decision based on NPV analysis (Brigham and Ehrhardt, 2020)</w:t>
      </w:r>
      <w:r w:rsidR="00010C04" w:rsidRPr="00010C04">
        <w:t>.</w:t>
      </w:r>
    </w:p>
    <w:p w14:paraId="0701391A" w14:textId="77777777" w:rsidR="0049644F" w:rsidRDefault="009729AC" w:rsidP="0049644F">
      <w:pPr>
        <w:keepNext/>
        <w:jc w:val="center"/>
      </w:pPr>
      <w:r>
        <w:rPr>
          <w:noProof/>
        </w:rPr>
        <w:lastRenderedPageBreak/>
        <w:drawing>
          <wp:inline distT="0" distB="0" distL="0" distR="0" wp14:anchorId="4E22C277" wp14:editId="46F4EA89">
            <wp:extent cx="2753751" cy="2209800"/>
            <wp:effectExtent l="76200" t="76200" r="142240" b="133350"/>
            <wp:docPr id="195402921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759444" cy="221436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3DB3089" w14:textId="02EDFE98" w:rsidR="009729AC" w:rsidRPr="00010C04" w:rsidRDefault="0049644F" w:rsidP="0049644F">
      <w:pPr>
        <w:pStyle w:val="Caption"/>
        <w:jc w:val="center"/>
      </w:pPr>
      <w:r>
        <w:t xml:space="preserve">Figure </w:t>
      </w:r>
      <w:fldSimple w:instr=" SEQ Figure \* ARABIC ">
        <w:r>
          <w:rPr>
            <w:noProof/>
          </w:rPr>
          <w:t>7</w:t>
        </w:r>
      </w:fldSimple>
      <w:r>
        <w:t xml:space="preserve"> </w:t>
      </w:r>
      <w:r w:rsidRPr="00AA0E46">
        <w:t>Profitability Index by Project</w:t>
      </w:r>
    </w:p>
    <w:p w14:paraId="59D693A0" w14:textId="24FE6F64" w:rsidR="00010C04" w:rsidRPr="00010C04" w:rsidRDefault="00FE408C" w:rsidP="00010C04">
      <w:r w:rsidRPr="00FE408C">
        <w:t xml:space="preserve">Nonetheless, IRR is not very intuitive as a percentage value, but instead, it cannot supersede the NPV decision rule. As Magni (2010) points out, IRR does not give accurate comparisons when comparing mutually exclusive projects or projects of different magnitudes. Thus, the IRR is more of a supporting indicator, which endorses the decision that the B option is financially more intelligent, and is not the fundamental </w:t>
      </w:r>
      <w:proofErr w:type="gramStart"/>
      <w:r w:rsidRPr="00FE408C">
        <w:t>decision making</w:t>
      </w:r>
      <w:proofErr w:type="gramEnd"/>
      <w:r w:rsidRPr="00FE408C">
        <w:t xml:space="preserve"> base</w:t>
      </w:r>
      <w:r w:rsidR="00010C04" w:rsidRPr="00010C04">
        <w:t>.</w:t>
      </w:r>
    </w:p>
    <w:p w14:paraId="20907337" w14:textId="77777777" w:rsidR="00F66D2D" w:rsidRPr="00F66D2D" w:rsidRDefault="00F66D2D" w:rsidP="00F66D2D">
      <w:pPr>
        <w:pStyle w:val="Heading2"/>
      </w:pPr>
      <w:bookmarkStart w:id="17" w:name="_Toc217483977"/>
      <w:r w:rsidRPr="00F66D2D">
        <w:t>5. Interpretation for Management</w:t>
      </w:r>
      <w:bookmarkEnd w:id="17"/>
    </w:p>
    <w:p w14:paraId="60A0D11B" w14:textId="77777777" w:rsidR="00F66D2D" w:rsidRPr="00F66D2D" w:rsidRDefault="00F66D2D" w:rsidP="00F66D2D">
      <w:pPr>
        <w:rPr>
          <w:b/>
          <w:bCs/>
        </w:rPr>
      </w:pPr>
      <w:r w:rsidRPr="00F66D2D">
        <w:rPr>
          <w:b/>
          <w:bCs/>
        </w:rPr>
        <w:t>Theoretical Justification for Net Present Value (NPV)</w:t>
      </w:r>
    </w:p>
    <w:p w14:paraId="1482E7A1" w14:textId="0B6769E5" w:rsidR="00F66D2D" w:rsidRPr="00F66D2D" w:rsidRDefault="00FE408C" w:rsidP="00F66D2D">
      <w:r w:rsidRPr="00FE408C">
        <w:t>Theoretically speaking, Net Present Value (NPV) is generally considered to be the most sound and solid application of investment appraisal and relentlessly ascertained by the contemporary financial theory. The basic concept of the NPV is time value of money, which appreciates that pound today is better than pound tomorrow, in opportunity cost, inflation and risk (Fisher, 1930). Worth noting that it attributes the value of a project to a firm based on its future cash flow which is discounted at the cost of capital of the firm, NPV is one of the methods that expressly quantifies this principle and the absolute contribution of a given project to the wealth of the shareholders</w:t>
      </w:r>
      <w:r w:rsidR="00F66D2D" w:rsidRPr="00F66D2D">
        <w:t>.</w:t>
      </w:r>
    </w:p>
    <w:p w14:paraId="7CFCD7C3" w14:textId="1B6D449B" w:rsidR="00F66D2D" w:rsidRPr="00F66D2D" w:rsidRDefault="00FE408C" w:rsidP="00F66D2D">
      <w:r w:rsidRPr="00FE408C">
        <w:t xml:space="preserve">It is continually demonstrated in the academic literature that NPV conforms directly with the goal of shareholder wealth maximisation, and, as a result, it is better than other appraisal methods (Hirshleifer, 1958). When NPV is positive a project shows the likelihood that it will yield returns that are higher than the required rate of return thus improving the value of the firm in the market. On the contrary, projects that have negative NPVs destroy value and should not be accepted. Notably, NPV does not take the ranking issues that are related to any percentage </w:t>
      </w:r>
      <w:r w:rsidRPr="00FE408C">
        <w:lastRenderedPageBreak/>
        <w:t>method of measure like IRR when there is a mix of mutually exclusive projects of varying size as highlighted in the case of Westward Plc investment options (Brealey, Myers and Allen, 2020)</w:t>
      </w:r>
      <w:r w:rsidR="00F66D2D" w:rsidRPr="00F66D2D">
        <w:t>.</w:t>
      </w:r>
    </w:p>
    <w:p w14:paraId="0AEE5099" w14:textId="0E93392D" w:rsidR="00F66D2D" w:rsidRPr="00F66D2D" w:rsidRDefault="00FE408C" w:rsidP="00F66D2D">
      <w:r w:rsidRPr="00FE408C">
        <w:t>Moreover, NPV also considers the risk as a discount rate and can be modified to accommodate taxation, capital allowance, and evolving assumptions on the cost of capital; this feature makes NPV especially appropriate to practical decisions (Brigham and Ehrhardt, 2020). Due to these reasons, it is suggested that NPV should be considered the main decision rule in the given report</w:t>
      </w:r>
      <w:r w:rsidR="00F66D2D" w:rsidRPr="00F66D2D">
        <w:t>.</w:t>
      </w:r>
    </w:p>
    <w:p w14:paraId="7396C1B0" w14:textId="77777777" w:rsidR="00F66D2D" w:rsidRPr="00F66D2D" w:rsidRDefault="00F66D2D" w:rsidP="00F66D2D">
      <w:pPr>
        <w:rPr>
          <w:b/>
          <w:bCs/>
        </w:rPr>
      </w:pPr>
      <w:r w:rsidRPr="00F66D2D">
        <w:rPr>
          <w:b/>
          <w:bCs/>
        </w:rPr>
        <w:t>Continued Popularity of Non-Discounting Methods</w:t>
      </w:r>
    </w:p>
    <w:p w14:paraId="79918168" w14:textId="1D7A5ABE" w:rsidR="00F66D2D" w:rsidRPr="00F66D2D" w:rsidRDefault="00FE408C" w:rsidP="00F66D2D">
      <w:r w:rsidRPr="00FE408C">
        <w:t>Although NPV has a quite sound theoretical foundation, non-discounting approaches like the payback period and accounting rate of return (ARR) are especially common with managers. This is brought about by the fact that they are not complex and appealing to the senses. Payback, e.g., is concerned with how the initial investment is recouped quickly, which is easily interpreted and perceived as a risk and liquidity measure (Arnold, 2019)</w:t>
      </w:r>
      <w:r w:rsidR="00F66D2D" w:rsidRPr="00F66D2D">
        <w:t>.</w:t>
      </w:r>
    </w:p>
    <w:p w14:paraId="5E1E7860" w14:textId="6269A9FB" w:rsidR="00F66D2D" w:rsidRPr="00F66D2D" w:rsidRDefault="00FE408C" w:rsidP="00F66D2D">
      <w:r w:rsidRPr="00FE408C">
        <w:t>Also, there is the presence of behavioural and organisational influences on decision-making. Budgets, performance appraisal systems or uncertainty of long-term prediction may influence managers to use short-term focussed methods due to short-term budgets (Ryan and Ryan, 2002). In settings where capital is rationed or there is a high volatility of cash flows, the amortization of investment may be viewed as less significant than rapid recovery of investment</w:t>
      </w:r>
      <w:r w:rsidR="00F66D2D" w:rsidRPr="00F66D2D">
        <w:t>.</w:t>
      </w:r>
    </w:p>
    <w:p w14:paraId="51FCF5FB" w14:textId="0869C7C4" w:rsidR="00F66D2D" w:rsidRPr="00F66D2D" w:rsidRDefault="00FE408C" w:rsidP="00F66D2D">
      <w:r w:rsidRPr="00FE408C">
        <w:t>Non-discounting methods are however lacking in serious limitations. They do not factor in the time value of money, do not value cash flows that arise after the cut-off date and do not directly measure the value creation (Damodaran, 2024). These methods are therefore explainable as some useful addition to NPV to be used as an additional screening method, but not as the main pillars to make strategic investment decisions</w:t>
      </w:r>
      <w:r w:rsidR="00F66D2D" w:rsidRPr="00F66D2D">
        <w:t>.</w:t>
      </w:r>
    </w:p>
    <w:p w14:paraId="01297262" w14:textId="77777777" w:rsidR="00E03690" w:rsidRPr="00E03690" w:rsidRDefault="00E03690" w:rsidP="00E03690">
      <w:pPr>
        <w:pStyle w:val="Heading2"/>
      </w:pPr>
      <w:bookmarkStart w:id="18" w:name="_Toc217483978"/>
      <w:r w:rsidRPr="00E03690">
        <w:t>6. Qualitative Factors in Investment Decisions</w:t>
      </w:r>
      <w:bookmarkEnd w:id="18"/>
    </w:p>
    <w:p w14:paraId="2E15C74F" w14:textId="0E86763C" w:rsidR="00E03690" w:rsidRPr="00E03690" w:rsidRDefault="00FE408C" w:rsidP="00E03690">
      <w:r w:rsidRPr="00FE408C">
        <w:t>Although quantitative appraisal methods like NPV and IRR offer a strict financial foundation to the appraisal of any investment offers, it should be coupled with a discussion on the qualitative factors that may significantly affect the success of an investment. Capital investment decisions are strategic of nature and exceed the bounds of numerical analysis since they also include uncertainty (Brealey, Myers and Allen, 2020)</w:t>
      </w:r>
      <w:r w:rsidR="00E03690" w:rsidRPr="00E03690">
        <w:t>.</w:t>
      </w:r>
    </w:p>
    <w:p w14:paraId="148BF3E6" w14:textId="7714E17A" w:rsidR="00E03690" w:rsidRPr="00E03690" w:rsidRDefault="00FE408C" w:rsidP="00E03690">
      <w:r w:rsidRPr="00FE408C">
        <w:lastRenderedPageBreak/>
        <w:t xml:space="preserve">Strategically, the options offered vary according to their compliance with the </w:t>
      </w:r>
      <w:proofErr w:type="gramStart"/>
      <w:r w:rsidRPr="00FE408C">
        <w:t>long term</w:t>
      </w:r>
      <w:proofErr w:type="gramEnd"/>
      <w:r w:rsidRPr="00FE408C">
        <w:t xml:space="preserve"> objectives of Westward Plc. The internet sales (Option B) would assist in internet development and expansion, which may increase brand presence and strength against fluctuating customer buying patterns. Conversely, the increase in the physical retailing area (Option A) can put the company under the risks of the falling footfall trends and the diversification of the products into wooden and Roman blinds (Option C) brings the strategic complexity and the subsequent brand watering down (Damodaran, 2024)</w:t>
      </w:r>
      <w:r w:rsidR="00E03690" w:rsidRPr="00E03690">
        <w:t>.</w:t>
      </w:r>
    </w:p>
    <w:p w14:paraId="5818877F" w14:textId="55D58182" w:rsidR="00E03690" w:rsidRPr="00E03690" w:rsidRDefault="00FE408C" w:rsidP="00E03690">
      <w:r w:rsidRPr="00FE408C">
        <w:t>There are also operational considerations that are imperative. B in the table implies investing in digital infrastructure, logistics and customer service capabilities, which could put the current systems under strain and also need new skills. Alternative C entails the complexity of manufacturing; risks of supply chains/ quality control risks linked to new product lines. These operational risks may affect the cash flows projected due to failure to manage them (Arnold, 2019)</w:t>
      </w:r>
      <w:r w:rsidR="00E03690" w:rsidRPr="00E03690">
        <w:t>.</w:t>
      </w:r>
    </w:p>
    <w:p w14:paraId="4012F987" w14:textId="0234B9F5" w:rsidR="00E03690" w:rsidRPr="00E03690" w:rsidRDefault="00FE408C" w:rsidP="00E03690">
      <w:r w:rsidRPr="00FE408C">
        <w:t>The risk factors should be determined beyond those indicated on the discount rate. The uncertainty in the market demand, technology change, and competitive reaction can be very different in the three choices. To illustrate, online retailing presents the company with cyber risks and stiff competition in prices whereas manufacturing blinds presents the company with volatility in prices of raw materials (Brigham and Ehrhardt, 2020)</w:t>
      </w:r>
      <w:r w:rsidR="00E03690" w:rsidRPr="00E03690">
        <w:t>.</w:t>
      </w:r>
      <w:r w:rsidR="00E14D83">
        <w:t xml:space="preserve"> </w:t>
      </w:r>
    </w:p>
    <w:p w14:paraId="32FB7EDE" w14:textId="1BBC346B" w:rsidR="00E03690" w:rsidRPr="00E03690" w:rsidRDefault="00FE408C" w:rsidP="00E03690">
      <w:r w:rsidRPr="00FE408C">
        <w:t>Lastly, the organisational and behavioural processes affect the investment results. The experience of the management, risk-taking and organisational environment are essential in performance. Projects which are matched with organisational capability and managerial experience (as pointed out by Ryan and Ryan 2002) are bound to succeed. Thus, qualitative analysis is needed in such a way as to make sure that the right investment choice not only seems to be financially appealing but is practically and strategically feasible</w:t>
      </w:r>
      <w:r w:rsidR="00E03690" w:rsidRPr="00E03690">
        <w:t>.</w:t>
      </w:r>
      <w:r w:rsidR="00742E21">
        <w:t xml:space="preserve"> </w:t>
      </w:r>
      <w:r>
        <w:t xml:space="preserve"> </w:t>
      </w:r>
    </w:p>
    <w:p w14:paraId="64B68D6A" w14:textId="77777777" w:rsidR="00674081" w:rsidRPr="00674081" w:rsidRDefault="00674081" w:rsidP="00674081">
      <w:pPr>
        <w:pStyle w:val="Heading2"/>
      </w:pPr>
      <w:bookmarkStart w:id="19" w:name="_Toc217483979"/>
      <w:r w:rsidRPr="00674081">
        <w:t>7. Capital Rationing Analysis</w:t>
      </w:r>
      <w:bookmarkEnd w:id="19"/>
    </w:p>
    <w:p w14:paraId="4A5BF69F" w14:textId="77777777" w:rsidR="00674081" w:rsidRPr="00674081" w:rsidRDefault="00674081" w:rsidP="00674081">
      <w:r w:rsidRPr="00674081">
        <w:t>Capital rationing occurs when a firm has a limited budget for investment and cannot undertake all positive NPV projects available. In such circumstances, the objective is to allocate available funds in a way that maximises total NPV, thereby ensuring optimal value creation for shareholders (Brealey, Myers and Allen, 2020). In this case, Westward Plc faces a capital constraint of £2,500,000, but the projects are assumed to be divisible, allowing fractions of projects to be undertaken.</w:t>
      </w:r>
    </w:p>
    <w:p w14:paraId="451106CE" w14:textId="77777777" w:rsidR="00674081" w:rsidRPr="00674081" w:rsidRDefault="00674081" w:rsidP="00674081">
      <w:r w:rsidRPr="00674081">
        <w:lastRenderedPageBreak/>
        <w:t>Under divisible capital rationing, projects are ranked using the Profitability Index (PI), calculated as:</w:t>
      </w:r>
    </w:p>
    <w:p w14:paraId="393EECE5" w14:textId="03123B7A" w:rsidR="00674081" w:rsidRPr="00674081" w:rsidRDefault="00674081" w:rsidP="00674081">
      <m:oMathPara>
        <m:oMath>
          <m:r>
            <m:rPr>
              <m:nor/>
            </m:rPr>
            <m:t>Profitability Index (PI)</m:t>
          </m:r>
          <m:r>
            <w:rPr>
              <w:rFonts w:ascii="Cambria Math" w:hAnsi="Cambria Math"/>
            </w:rPr>
            <m:t>=</m:t>
          </m:r>
          <m:f>
            <m:fPr>
              <m:ctrlPr>
                <w:rPr>
                  <w:rFonts w:ascii="Cambria Math" w:hAnsi="Cambria Math"/>
                </w:rPr>
              </m:ctrlPr>
            </m:fPr>
            <m:num>
              <m:r>
                <m:rPr>
                  <m:nor/>
                </m:rPr>
                <m:t>NPV</m:t>
              </m:r>
            </m:num>
            <m:den>
              <m:r>
                <m:rPr>
                  <m:nor/>
                </m:rPr>
                <m:t>Initial Investment</m:t>
              </m:r>
            </m:den>
          </m:f>
        </m:oMath>
      </m:oMathPara>
    </w:p>
    <w:p w14:paraId="3E12E1C9" w14:textId="77777777" w:rsidR="00674081" w:rsidRPr="00674081" w:rsidRDefault="00674081" w:rsidP="00674081">
      <w:r w:rsidRPr="00674081">
        <w:t>This approach ensures that capital is allocated to projects that generate the highest NPV per pound invested (Brigham and Ehrhardt, 2020).</w:t>
      </w:r>
    </w:p>
    <w:p w14:paraId="66F3E5CE" w14:textId="77777777" w:rsidR="00674081" w:rsidRPr="00674081" w:rsidRDefault="00674081" w:rsidP="00674081">
      <w:pPr>
        <w:rPr>
          <w:b/>
          <w:bCs/>
        </w:rPr>
      </w:pPr>
      <w:r w:rsidRPr="00674081">
        <w:rPr>
          <w:b/>
          <w:bCs/>
        </w:rPr>
        <w:t>Table 10: Profitability Index and Ranking</w:t>
      </w:r>
    </w:p>
    <w:tbl>
      <w:tblPr>
        <w:tblStyle w:val="TableGridLight"/>
        <w:tblW w:w="5000" w:type="pct"/>
        <w:tblLook w:val="04A0" w:firstRow="1" w:lastRow="0" w:firstColumn="1" w:lastColumn="0" w:noHBand="0" w:noVBand="1"/>
      </w:tblPr>
      <w:tblGrid>
        <w:gridCol w:w="1039"/>
        <w:gridCol w:w="2977"/>
        <w:gridCol w:w="1585"/>
        <w:gridCol w:w="2234"/>
        <w:gridCol w:w="1181"/>
      </w:tblGrid>
      <w:tr w:rsidR="00674081" w:rsidRPr="00674081" w14:paraId="53A43D83" w14:textId="77777777" w:rsidTr="00674081">
        <w:tc>
          <w:tcPr>
            <w:tcW w:w="576" w:type="pct"/>
            <w:hideMark/>
          </w:tcPr>
          <w:p w14:paraId="35C410A3" w14:textId="77777777" w:rsidR="00674081" w:rsidRPr="00674081" w:rsidRDefault="00674081" w:rsidP="00674081">
            <w:pPr>
              <w:spacing w:after="160"/>
              <w:jc w:val="center"/>
              <w:rPr>
                <w:b/>
                <w:bCs/>
                <w:sz w:val="20"/>
                <w:szCs w:val="18"/>
              </w:rPr>
            </w:pPr>
            <w:r w:rsidRPr="00674081">
              <w:rPr>
                <w:b/>
                <w:bCs/>
                <w:sz w:val="20"/>
                <w:szCs w:val="18"/>
              </w:rPr>
              <w:t>Project</w:t>
            </w:r>
          </w:p>
        </w:tc>
        <w:tc>
          <w:tcPr>
            <w:tcW w:w="1651" w:type="pct"/>
            <w:hideMark/>
          </w:tcPr>
          <w:p w14:paraId="3DBF2045" w14:textId="77777777" w:rsidR="00674081" w:rsidRPr="00674081" w:rsidRDefault="00674081" w:rsidP="00674081">
            <w:pPr>
              <w:spacing w:after="160"/>
              <w:jc w:val="center"/>
              <w:rPr>
                <w:b/>
                <w:bCs/>
                <w:sz w:val="20"/>
                <w:szCs w:val="18"/>
              </w:rPr>
            </w:pPr>
            <w:r w:rsidRPr="00674081">
              <w:rPr>
                <w:b/>
                <w:bCs/>
                <w:sz w:val="20"/>
                <w:szCs w:val="18"/>
              </w:rPr>
              <w:t>Initial Investment (£’000)</w:t>
            </w:r>
          </w:p>
        </w:tc>
        <w:tc>
          <w:tcPr>
            <w:tcW w:w="879" w:type="pct"/>
            <w:hideMark/>
          </w:tcPr>
          <w:p w14:paraId="6845D5D9" w14:textId="77777777" w:rsidR="00674081" w:rsidRPr="00674081" w:rsidRDefault="00674081" w:rsidP="00674081">
            <w:pPr>
              <w:spacing w:after="160"/>
              <w:jc w:val="center"/>
              <w:rPr>
                <w:b/>
                <w:bCs/>
                <w:sz w:val="20"/>
                <w:szCs w:val="18"/>
              </w:rPr>
            </w:pPr>
            <w:r w:rsidRPr="00674081">
              <w:rPr>
                <w:b/>
                <w:bCs/>
                <w:sz w:val="20"/>
                <w:szCs w:val="18"/>
              </w:rPr>
              <w:t>NPV (£’000)</w:t>
            </w:r>
          </w:p>
        </w:tc>
        <w:tc>
          <w:tcPr>
            <w:tcW w:w="1239" w:type="pct"/>
            <w:hideMark/>
          </w:tcPr>
          <w:p w14:paraId="5A29DD6B" w14:textId="77777777" w:rsidR="00674081" w:rsidRPr="00674081" w:rsidRDefault="00674081" w:rsidP="00674081">
            <w:pPr>
              <w:spacing w:after="160"/>
              <w:jc w:val="center"/>
              <w:rPr>
                <w:b/>
                <w:bCs/>
                <w:sz w:val="20"/>
                <w:szCs w:val="18"/>
              </w:rPr>
            </w:pPr>
            <w:r w:rsidRPr="00674081">
              <w:rPr>
                <w:b/>
                <w:bCs/>
                <w:sz w:val="20"/>
                <w:szCs w:val="18"/>
              </w:rPr>
              <w:t>Profitability Index</w:t>
            </w:r>
          </w:p>
        </w:tc>
        <w:tc>
          <w:tcPr>
            <w:tcW w:w="655" w:type="pct"/>
            <w:hideMark/>
          </w:tcPr>
          <w:p w14:paraId="132027D1" w14:textId="77777777" w:rsidR="00674081" w:rsidRPr="00674081" w:rsidRDefault="00674081" w:rsidP="00674081">
            <w:pPr>
              <w:spacing w:after="160"/>
              <w:jc w:val="center"/>
              <w:rPr>
                <w:b/>
                <w:bCs/>
                <w:sz w:val="20"/>
                <w:szCs w:val="18"/>
              </w:rPr>
            </w:pPr>
            <w:r w:rsidRPr="00674081">
              <w:rPr>
                <w:b/>
                <w:bCs/>
                <w:sz w:val="20"/>
                <w:szCs w:val="18"/>
              </w:rPr>
              <w:t>Ranking</w:t>
            </w:r>
          </w:p>
        </w:tc>
      </w:tr>
      <w:tr w:rsidR="00674081" w:rsidRPr="00674081" w14:paraId="1AE1CD56" w14:textId="77777777" w:rsidTr="00674081">
        <w:tc>
          <w:tcPr>
            <w:tcW w:w="576" w:type="pct"/>
            <w:hideMark/>
          </w:tcPr>
          <w:p w14:paraId="5ED8BA75" w14:textId="77777777" w:rsidR="00674081" w:rsidRPr="00674081" w:rsidRDefault="00674081" w:rsidP="00674081">
            <w:pPr>
              <w:spacing w:after="160"/>
              <w:jc w:val="center"/>
              <w:rPr>
                <w:sz w:val="20"/>
                <w:szCs w:val="18"/>
              </w:rPr>
            </w:pPr>
            <w:r w:rsidRPr="00674081">
              <w:rPr>
                <w:sz w:val="20"/>
                <w:szCs w:val="18"/>
              </w:rPr>
              <w:t>A</w:t>
            </w:r>
          </w:p>
        </w:tc>
        <w:tc>
          <w:tcPr>
            <w:tcW w:w="1651" w:type="pct"/>
            <w:hideMark/>
          </w:tcPr>
          <w:p w14:paraId="3B75FB9D" w14:textId="77777777" w:rsidR="00674081" w:rsidRPr="00674081" w:rsidRDefault="00674081" w:rsidP="00674081">
            <w:pPr>
              <w:spacing w:after="160"/>
              <w:jc w:val="center"/>
              <w:rPr>
                <w:sz w:val="20"/>
                <w:szCs w:val="18"/>
              </w:rPr>
            </w:pPr>
            <w:r w:rsidRPr="00674081">
              <w:rPr>
                <w:sz w:val="20"/>
                <w:szCs w:val="18"/>
              </w:rPr>
              <w:t>600</w:t>
            </w:r>
          </w:p>
        </w:tc>
        <w:tc>
          <w:tcPr>
            <w:tcW w:w="879" w:type="pct"/>
            <w:hideMark/>
          </w:tcPr>
          <w:p w14:paraId="38427919" w14:textId="77777777" w:rsidR="00674081" w:rsidRPr="00674081" w:rsidRDefault="00674081" w:rsidP="00674081">
            <w:pPr>
              <w:spacing w:after="160"/>
              <w:jc w:val="center"/>
              <w:rPr>
                <w:sz w:val="20"/>
                <w:szCs w:val="18"/>
              </w:rPr>
            </w:pPr>
            <w:r w:rsidRPr="00674081">
              <w:rPr>
                <w:sz w:val="20"/>
                <w:szCs w:val="18"/>
              </w:rPr>
              <w:t>643.2</w:t>
            </w:r>
          </w:p>
        </w:tc>
        <w:tc>
          <w:tcPr>
            <w:tcW w:w="1239" w:type="pct"/>
            <w:hideMark/>
          </w:tcPr>
          <w:p w14:paraId="692C7D5C" w14:textId="77777777" w:rsidR="00674081" w:rsidRPr="00674081" w:rsidRDefault="00674081" w:rsidP="00674081">
            <w:pPr>
              <w:spacing w:after="160"/>
              <w:jc w:val="center"/>
              <w:rPr>
                <w:sz w:val="20"/>
                <w:szCs w:val="18"/>
              </w:rPr>
            </w:pPr>
            <w:r w:rsidRPr="00674081">
              <w:rPr>
                <w:b/>
                <w:bCs/>
                <w:sz w:val="20"/>
                <w:szCs w:val="18"/>
              </w:rPr>
              <w:t>1.07</w:t>
            </w:r>
          </w:p>
        </w:tc>
        <w:tc>
          <w:tcPr>
            <w:tcW w:w="655" w:type="pct"/>
            <w:hideMark/>
          </w:tcPr>
          <w:p w14:paraId="6AD224FC" w14:textId="77777777" w:rsidR="00674081" w:rsidRPr="00674081" w:rsidRDefault="00674081" w:rsidP="00674081">
            <w:pPr>
              <w:spacing w:after="160"/>
              <w:jc w:val="center"/>
              <w:rPr>
                <w:sz w:val="20"/>
                <w:szCs w:val="18"/>
              </w:rPr>
            </w:pPr>
            <w:r w:rsidRPr="00674081">
              <w:rPr>
                <w:sz w:val="20"/>
                <w:szCs w:val="18"/>
              </w:rPr>
              <w:t>1</w:t>
            </w:r>
          </w:p>
        </w:tc>
      </w:tr>
      <w:tr w:rsidR="00674081" w:rsidRPr="00674081" w14:paraId="0DA8C488" w14:textId="77777777" w:rsidTr="00674081">
        <w:tc>
          <w:tcPr>
            <w:tcW w:w="576" w:type="pct"/>
            <w:hideMark/>
          </w:tcPr>
          <w:p w14:paraId="638F2465" w14:textId="77777777" w:rsidR="00674081" w:rsidRPr="00674081" w:rsidRDefault="00674081" w:rsidP="00674081">
            <w:pPr>
              <w:spacing w:after="160"/>
              <w:jc w:val="center"/>
              <w:rPr>
                <w:sz w:val="20"/>
                <w:szCs w:val="18"/>
              </w:rPr>
            </w:pPr>
            <w:r w:rsidRPr="00674081">
              <w:rPr>
                <w:sz w:val="20"/>
                <w:szCs w:val="18"/>
              </w:rPr>
              <w:t>B</w:t>
            </w:r>
          </w:p>
        </w:tc>
        <w:tc>
          <w:tcPr>
            <w:tcW w:w="1651" w:type="pct"/>
            <w:hideMark/>
          </w:tcPr>
          <w:p w14:paraId="057433D3" w14:textId="77777777" w:rsidR="00674081" w:rsidRPr="00674081" w:rsidRDefault="00674081" w:rsidP="00674081">
            <w:pPr>
              <w:spacing w:after="160"/>
              <w:jc w:val="center"/>
              <w:rPr>
                <w:sz w:val="20"/>
                <w:szCs w:val="18"/>
              </w:rPr>
            </w:pPr>
            <w:r w:rsidRPr="00674081">
              <w:rPr>
                <w:sz w:val="20"/>
                <w:szCs w:val="18"/>
              </w:rPr>
              <w:t>1,000</w:t>
            </w:r>
          </w:p>
        </w:tc>
        <w:tc>
          <w:tcPr>
            <w:tcW w:w="879" w:type="pct"/>
            <w:hideMark/>
          </w:tcPr>
          <w:p w14:paraId="55F4E62A" w14:textId="77777777" w:rsidR="00674081" w:rsidRPr="00674081" w:rsidRDefault="00674081" w:rsidP="00674081">
            <w:pPr>
              <w:spacing w:after="160"/>
              <w:jc w:val="center"/>
              <w:rPr>
                <w:sz w:val="20"/>
                <w:szCs w:val="18"/>
              </w:rPr>
            </w:pPr>
            <w:r w:rsidRPr="00674081">
              <w:rPr>
                <w:sz w:val="20"/>
                <w:szCs w:val="18"/>
              </w:rPr>
              <w:t>792.3</w:t>
            </w:r>
          </w:p>
        </w:tc>
        <w:tc>
          <w:tcPr>
            <w:tcW w:w="1239" w:type="pct"/>
            <w:hideMark/>
          </w:tcPr>
          <w:p w14:paraId="2F2EC229" w14:textId="77777777" w:rsidR="00674081" w:rsidRPr="00674081" w:rsidRDefault="00674081" w:rsidP="00674081">
            <w:pPr>
              <w:spacing w:after="160"/>
              <w:jc w:val="center"/>
              <w:rPr>
                <w:sz w:val="20"/>
                <w:szCs w:val="18"/>
              </w:rPr>
            </w:pPr>
            <w:r w:rsidRPr="00674081">
              <w:rPr>
                <w:b/>
                <w:bCs/>
                <w:sz w:val="20"/>
                <w:szCs w:val="18"/>
              </w:rPr>
              <w:t>0.79</w:t>
            </w:r>
          </w:p>
        </w:tc>
        <w:tc>
          <w:tcPr>
            <w:tcW w:w="655" w:type="pct"/>
            <w:hideMark/>
          </w:tcPr>
          <w:p w14:paraId="2FDB5DC3" w14:textId="77777777" w:rsidR="00674081" w:rsidRPr="00674081" w:rsidRDefault="00674081" w:rsidP="00674081">
            <w:pPr>
              <w:spacing w:after="160"/>
              <w:jc w:val="center"/>
              <w:rPr>
                <w:sz w:val="20"/>
                <w:szCs w:val="18"/>
              </w:rPr>
            </w:pPr>
            <w:r w:rsidRPr="00674081">
              <w:rPr>
                <w:sz w:val="20"/>
                <w:szCs w:val="18"/>
              </w:rPr>
              <w:t>2</w:t>
            </w:r>
          </w:p>
        </w:tc>
      </w:tr>
      <w:tr w:rsidR="00674081" w:rsidRPr="00674081" w14:paraId="5B6E5666" w14:textId="77777777" w:rsidTr="00674081">
        <w:tc>
          <w:tcPr>
            <w:tcW w:w="576" w:type="pct"/>
            <w:hideMark/>
          </w:tcPr>
          <w:p w14:paraId="1E883BD9" w14:textId="77777777" w:rsidR="00674081" w:rsidRPr="00674081" w:rsidRDefault="00674081" w:rsidP="00674081">
            <w:pPr>
              <w:spacing w:after="160"/>
              <w:jc w:val="center"/>
              <w:rPr>
                <w:sz w:val="20"/>
                <w:szCs w:val="18"/>
              </w:rPr>
            </w:pPr>
            <w:r w:rsidRPr="00674081">
              <w:rPr>
                <w:sz w:val="20"/>
                <w:szCs w:val="18"/>
              </w:rPr>
              <w:t>C</w:t>
            </w:r>
          </w:p>
        </w:tc>
        <w:tc>
          <w:tcPr>
            <w:tcW w:w="1651" w:type="pct"/>
            <w:hideMark/>
          </w:tcPr>
          <w:p w14:paraId="6B6CAE46" w14:textId="77777777" w:rsidR="00674081" w:rsidRPr="00674081" w:rsidRDefault="00674081" w:rsidP="00674081">
            <w:pPr>
              <w:spacing w:after="160"/>
              <w:jc w:val="center"/>
              <w:rPr>
                <w:sz w:val="20"/>
                <w:szCs w:val="18"/>
              </w:rPr>
            </w:pPr>
            <w:r w:rsidRPr="00674081">
              <w:rPr>
                <w:sz w:val="20"/>
                <w:szCs w:val="18"/>
              </w:rPr>
              <w:t>1,600</w:t>
            </w:r>
          </w:p>
        </w:tc>
        <w:tc>
          <w:tcPr>
            <w:tcW w:w="879" w:type="pct"/>
            <w:hideMark/>
          </w:tcPr>
          <w:p w14:paraId="4366A758" w14:textId="77777777" w:rsidR="00674081" w:rsidRPr="00674081" w:rsidRDefault="00674081" w:rsidP="00674081">
            <w:pPr>
              <w:spacing w:after="160"/>
              <w:jc w:val="center"/>
              <w:rPr>
                <w:sz w:val="20"/>
                <w:szCs w:val="18"/>
              </w:rPr>
            </w:pPr>
            <w:r w:rsidRPr="00674081">
              <w:rPr>
                <w:sz w:val="20"/>
                <w:szCs w:val="18"/>
              </w:rPr>
              <w:t>742.7</w:t>
            </w:r>
          </w:p>
        </w:tc>
        <w:tc>
          <w:tcPr>
            <w:tcW w:w="1239" w:type="pct"/>
            <w:hideMark/>
          </w:tcPr>
          <w:p w14:paraId="542EB4CF" w14:textId="77777777" w:rsidR="00674081" w:rsidRPr="00674081" w:rsidRDefault="00674081" w:rsidP="00674081">
            <w:pPr>
              <w:spacing w:after="160"/>
              <w:jc w:val="center"/>
              <w:rPr>
                <w:sz w:val="20"/>
                <w:szCs w:val="18"/>
              </w:rPr>
            </w:pPr>
            <w:r w:rsidRPr="00674081">
              <w:rPr>
                <w:b/>
                <w:bCs/>
                <w:sz w:val="20"/>
                <w:szCs w:val="18"/>
              </w:rPr>
              <w:t>0.46</w:t>
            </w:r>
          </w:p>
        </w:tc>
        <w:tc>
          <w:tcPr>
            <w:tcW w:w="655" w:type="pct"/>
            <w:hideMark/>
          </w:tcPr>
          <w:p w14:paraId="1EDB3AE0" w14:textId="77777777" w:rsidR="00674081" w:rsidRPr="00674081" w:rsidRDefault="00674081" w:rsidP="00674081">
            <w:pPr>
              <w:spacing w:after="160"/>
              <w:jc w:val="center"/>
              <w:rPr>
                <w:sz w:val="20"/>
                <w:szCs w:val="18"/>
              </w:rPr>
            </w:pPr>
            <w:r w:rsidRPr="00674081">
              <w:rPr>
                <w:sz w:val="20"/>
                <w:szCs w:val="18"/>
              </w:rPr>
              <w:t>3</w:t>
            </w:r>
          </w:p>
        </w:tc>
      </w:tr>
    </w:tbl>
    <w:p w14:paraId="4AA07CD1" w14:textId="77777777" w:rsidR="00674081" w:rsidRDefault="00674081" w:rsidP="00674081"/>
    <w:p w14:paraId="0E9534B2" w14:textId="0B54ADE9" w:rsidR="00674081" w:rsidRPr="00674081" w:rsidRDefault="00674081" w:rsidP="00674081">
      <w:pPr>
        <w:rPr>
          <w:b/>
          <w:bCs/>
        </w:rPr>
      </w:pPr>
      <w:r w:rsidRPr="00674081">
        <w:rPr>
          <w:b/>
          <w:bCs/>
        </w:rPr>
        <w:t>Optimal Investment Policy</w:t>
      </w:r>
    </w:p>
    <w:p w14:paraId="0D135CA5" w14:textId="77777777" w:rsidR="00674081" w:rsidRPr="00674081" w:rsidRDefault="00674081" w:rsidP="00674081">
      <w:r w:rsidRPr="00674081">
        <w:t>The optimal strategy is to fund projects in descending order of profitability index until the capital constraint is reached.</w:t>
      </w:r>
    </w:p>
    <w:p w14:paraId="21819A4A" w14:textId="77777777" w:rsidR="00674081" w:rsidRDefault="00674081" w:rsidP="00674081">
      <w:pPr>
        <w:numPr>
          <w:ilvl w:val="0"/>
          <w:numId w:val="4"/>
        </w:numPr>
      </w:pPr>
      <w:r w:rsidRPr="00674081">
        <w:rPr>
          <w:b/>
          <w:bCs/>
        </w:rPr>
        <w:t>Project A</w:t>
      </w:r>
      <w:r w:rsidRPr="00674081">
        <w:t xml:space="preserve"> is undertaken in full:</w:t>
      </w:r>
    </w:p>
    <w:p w14:paraId="67216AA4" w14:textId="77777777" w:rsidR="00674081" w:rsidRDefault="00674081" w:rsidP="00674081">
      <w:pPr>
        <w:ind w:left="720"/>
      </w:pPr>
      <w:r w:rsidRPr="00674081">
        <w:t>Capital used = £600,000</w:t>
      </w:r>
    </w:p>
    <w:p w14:paraId="3AD5E076" w14:textId="6153CE62" w:rsidR="00674081" w:rsidRPr="00674081" w:rsidRDefault="00674081" w:rsidP="00674081">
      <w:pPr>
        <w:ind w:left="720"/>
      </w:pPr>
      <w:r w:rsidRPr="00674081">
        <w:t xml:space="preserve">Remaining funds = £2,500,000 − £600,000 = </w:t>
      </w:r>
      <w:r w:rsidRPr="00674081">
        <w:rPr>
          <w:b/>
          <w:bCs/>
        </w:rPr>
        <w:t>£1,900,000</w:t>
      </w:r>
    </w:p>
    <w:p w14:paraId="6EBA79D3" w14:textId="77777777" w:rsidR="00674081" w:rsidRDefault="00674081" w:rsidP="00674081">
      <w:pPr>
        <w:numPr>
          <w:ilvl w:val="0"/>
          <w:numId w:val="4"/>
        </w:numPr>
      </w:pPr>
      <w:r w:rsidRPr="00674081">
        <w:rPr>
          <w:b/>
          <w:bCs/>
        </w:rPr>
        <w:t>Project B</w:t>
      </w:r>
      <w:r w:rsidRPr="00674081">
        <w:t xml:space="preserve"> is undertaken in full:</w:t>
      </w:r>
    </w:p>
    <w:p w14:paraId="0CAB01DA" w14:textId="77777777" w:rsidR="00674081" w:rsidRDefault="00674081" w:rsidP="00674081">
      <w:pPr>
        <w:ind w:left="720"/>
      </w:pPr>
      <w:r w:rsidRPr="00674081">
        <w:t>Capital used = £1,000,000</w:t>
      </w:r>
    </w:p>
    <w:p w14:paraId="3A10E363" w14:textId="7B6FD77E" w:rsidR="00674081" w:rsidRPr="00674081" w:rsidRDefault="00674081" w:rsidP="00674081">
      <w:pPr>
        <w:ind w:left="720"/>
      </w:pPr>
      <w:r w:rsidRPr="00674081">
        <w:t xml:space="preserve">Remaining funds = £1,900,000 − £1,000,000 = </w:t>
      </w:r>
      <w:r w:rsidRPr="00674081">
        <w:rPr>
          <w:b/>
          <w:bCs/>
        </w:rPr>
        <w:t>£900,000</w:t>
      </w:r>
    </w:p>
    <w:p w14:paraId="0434697A" w14:textId="77777777" w:rsidR="00674081" w:rsidRDefault="00674081" w:rsidP="00674081">
      <w:pPr>
        <w:numPr>
          <w:ilvl w:val="0"/>
          <w:numId w:val="4"/>
        </w:numPr>
      </w:pPr>
      <w:r w:rsidRPr="00674081">
        <w:rPr>
          <w:b/>
          <w:bCs/>
        </w:rPr>
        <w:t>Project C</w:t>
      </w:r>
      <w:r w:rsidRPr="00674081">
        <w:t xml:space="preserve"> is undertaken partially using remaining funds:</w:t>
      </w:r>
    </w:p>
    <w:p w14:paraId="34F0229C" w14:textId="50AC7C96" w:rsidR="00674081" w:rsidRPr="00674081" w:rsidRDefault="00674081" w:rsidP="00674081">
      <w:pPr>
        <w:ind w:left="720"/>
      </w:pPr>
      <w:r w:rsidRPr="00674081">
        <w:t xml:space="preserve">Proportion undertaken = £900,000 ÷ £1,600,000 = </w:t>
      </w:r>
      <w:r w:rsidRPr="00674081">
        <w:rPr>
          <w:b/>
          <w:bCs/>
        </w:rPr>
        <w:t>56.25%</w:t>
      </w:r>
    </w:p>
    <w:p w14:paraId="7B6C85BF" w14:textId="77777777" w:rsidR="00674081" w:rsidRPr="00674081" w:rsidRDefault="00674081" w:rsidP="00674081">
      <w:r w:rsidRPr="00674081">
        <w:t>NPV contribution from Project C:</w:t>
      </w:r>
    </w:p>
    <w:p w14:paraId="0D53F0BE" w14:textId="69BF1EC5" w:rsidR="00674081" w:rsidRPr="00674081" w:rsidRDefault="00674081" w:rsidP="00674081">
      <m:oMathPara>
        <m:oMath>
          <m:r>
            <w:rPr>
              <w:rFonts w:ascii="Cambria Math" w:hAnsi="Cambria Math"/>
            </w:rPr>
            <m:t>0.5625×742.7=</m:t>
          </m:r>
          <m:r>
            <m:rPr>
              <m:sty m:val="b"/>
            </m:rPr>
            <w:rPr>
              <w:rFonts w:ascii="Cambria Math" w:hAnsi="Cambria Math"/>
            </w:rPr>
            <m:t>£417.8</m:t>
          </m:r>
          <m:r>
            <m:rPr>
              <m:nor/>
            </m:rPr>
            <m:t xml:space="preserve"> thousand</m:t>
          </m:r>
        </m:oMath>
      </m:oMathPara>
    </w:p>
    <w:p w14:paraId="1594A216" w14:textId="77777777" w:rsidR="00674081" w:rsidRPr="00674081" w:rsidRDefault="00674081" w:rsidP="00674081">
      <w:pPr>
        <w:rPr>
          <w:b/>
          <w:bCs/>
        </w:rPr>
      </w:pPr>
      <w:r w:rsidRPr="00674081">
        <w:rPr>
          <w:b/>
          <w:bCs/>
        </w:rPr>
        <w:t>Total NPV from Optimal Investment Policy</w:t>
      </w:r>
    </w:p>
    <w:p w14:paraId="5E9679EA" w14:textId="4AE2BDFF" w:rsidR="00674081" w:rsidRPr="00674081" w:rsidRDefault="00674081" w:rsidP="00674081">
      <m:oMathPara>
        <m:oMath>
          <m:r>
            <m:rPr>
              <m:nor/>
            </m:rPr>
            <w:lastRenderedPageBreak/>
            <m:t>Total NPV</m:t>
          </m:r>
          <m:r>
            <w:rPr>
              <w:rFonts w:ascii="Cambria Math" w:hAnsi="Cambria Math"/>
            </w:rPr>
            <m:t>=643.2+792.3+417.8=</m:t>
          </m:r>
          <m:r>
            <m:rPr>
              <m:sty m:val="b"/>
            </m:rPr>
            <w:rPr>
              <w:rFonts w:ascii="Cambria Math" w:hAnsi="Cambria Math"/>
            </w:rPr>
            <m:t>£1</m:t>
          </m:r>
          <m:r>
            <w:rPr>
              <w:rFonts w:ascii="Cambria Math" w:hAnsi="Cambria Math"/>
            </w:rPr>
            <m:t>,</m:t>
          </m:r>
          <m:r>
            <m:rPr>
              <m:sty m:val="b"/>
            </m:rPr>
            <w:rPr>
              <w:rFonts w:ascii="Cambria Math" w:hAnsi="Cambria Math"/>
            </w:rPr>
            <m:t>853.3</m:t>
          </m:r>
          <m:r>
            <m:rPr>
              <m:nor/>
            </m:rPr>
            <m:t xml:space="preserve"> thousand</m:t>
          </m:r>
          <m:r>
            <m:rPr>
              <m:sty m:val="p"/>
            </m:rPr>
            <w:br/>
          </m:r>
        </m:oMath>
      </m:oMathPara>
    </w:p>
    <w:p w14:paraId="4DCFF1FB" w14:textId="77777777" w:rsidR="00674081" w:rsidRPr="00674081" w:rsidRDefault="00674081" w:rsidP="00674081">
      <w:pPr>
        <w:rPr>
          <w:b/>
          <w:bCs/>
        </w:rPr>
      </w:pPr>
      <w:r w:rsidRPr="00674081">
        <w:rPr>
          <w:b/>
          <w:bCs/>
        </w:rPr>
        <w:t>Interpretation</w:t>
      </w:r>
    </w:p>
    <w:p w14:paraId="3D831136" w14:textId="3F5D8333" w:rsidR="00674081" w:rsidRDefault="008F2197" w:rsidP="00674081">
      <w:r w:rsidRPr="008F2197">
        <w:t>The investments chosen in this manner maximise the total NPV at the capital constraint and hence optimum. Arnold (2019) and Damodaran (2024) mention that in cases of divisible projects, profitability index-based ranking can offer a theoretically sound and practically effective solution to an issue of capital rationing</w:t>
      </w:r>
      <w:r w:rsidR="00674081" w:rsidRPr="00674081">
        <w:t>.</w:t>
      </w:r>
    </w:p>
    <w:p w14:paraId="248566C1" w14:textId="77777777" w:rsidR="0049644F" w:rsidRDefault="009729AC" w:rsidP="0049644F">
      <w:pPr>
        <w:keepNext/>
        <w:jc w:val="center"/>
      </w:pPr>
      <w:r>
        <w:rPr>
          <w:noProof/>
        </w:rPr>
        <w:drawing>
          <wp:inline distT="0" distB="0" distL="0" distR="0" wp14:anchorId="31A83217" wp14:editId="12644FBD">
            <wp:extent cx="3017520" cy="2359057"/>
            <wp:effectExtent l="76200" t="76200" r="125730" b="136525"/>
            <wp:docPr id="13575357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025880" cy="236559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2828A82" w14:textId="22F05ED9" w:rsidR="009729AC" w:rsidRPr="00674081" w:rsidRDefault="0049644F" w:rsidP="0049644F">
      <w:pPr>
        <w:pStyle w:val="Caption"/>
        <w:jc w:val="center"/>
      </w:pPr>
      <w:r>
        <w:t xml:space="preserve">Figure </w:t>
      </w:r>
      <w:fldSimple w:instr=" SEQ Figure \* ARABIC ">
        <w:r>
          <w:rPr>
            <w:noProof/>
          </w:rPr>
          <w:t>8</w:t>
        </w:r>
      </w:fldSimple>
      <w:r>
        <w:t xml:space="preserve"> </w:t>
      </w:r>
      <w:r w:rsidRPr="00A14CE0">
        <w:t>Optimal Capital Allocation (£2.5m Constraint)</w:t>
      </w:r>
      <w:r>
        <w:t xml:space="preserve"> </w:t>
      </w:r>
    </w:p>
    <w:p w14:paraId="0184FA00" w14:textId="77777777" w:rsidR="001A49FA" w:rsidRPr="001A49FA" w:rsidRDefault="001A49FA" w:rsidP="001A49FA">
      <w:pPr>
        <w:pStyle w:val="Heading2"/>
      </w:pPr>
      <w:bookmarkStart w:id="20" w:name="_Toc217483980"/>
      <w:r w:rsidRPr="001A49FA">
        <w:t>8. Financing the Investment Programme</w:t>
      </w:r>
      <w:bookmarkEnd w:id="20"/>
    </w:p>
    <w:p w14:paraId="65777E0E" w14:textId="4BAADFE8" w:rsidR="001A49FA" w:rsidRPr="001A49FA" w:rsidRDefault="008F2197" w:rsidP="001A49FA">
      <w:r w:rsidRPr="008F2197">
        <w:t>The next thing to consider after identifying the best investment programme would be on how to finance investments proposed. The financing option also carries significant risk profile implications, cost of capital and financial flexibility implications to Westward Plc. Practically, companies usually combine internal and external sources of finance, which have its own benefits and drawbacks (Brealey, Myers and Allen, 2020)</w:t>
      </w:r>
      <w:r w:rsidR="001A49FA" w:rsidRPr="001A49FA">
        <w:t>.</w:t>
      </w:r>
    </w:p>
    <w:p w14:paraId="342BD7CC" w14:textId="7BCF388D" w:rsidR="001A49FA" w:rsidRPr="001A49FA" w:rsidRDefault="008F2197" w:rsidP="001A49FA">
      <w:r w:rsidRPr="008F2197">
        <w:t>The most appealing source of finance is also the internal finance in a form of retained earnings. It is not floated and lacks any the sustaining cost, repayment is not mandatory and the ownership is not diluted. In addition, internal financing provides management with flexibility of the management and minimal exposure to the market of capital (Myers, 1984). Retained earnings are however, limited and their utilisation might limit the amount of dividend paid hence disappointing the shareholders should income be sacrificed at the expense of returns</w:t>
      </w:r>
      <w:r w:rsidR="001A49FA" w:rsidRPr="001A49FA">
        <w:t>.</w:t>
      </w:r>
    </w:p>
    <w:p w14:paraId="110283F4" w14:textId="354D4774" w:rsidR="001A49FA" w:rsidRPr="001A49FA" w:rsidRDefault="008F2197" w:rsidP="001A49FA">
      <w:r w:rsidRPr="008F2197">
        <w:lastRenderedPageBreak/>
        <w:t>Another major source of funding is the debt finance which includes the bank loan or corporate bonds. This can be because of the attractiveness of debt where the interest payments are tax deductible and reduces the effective cost of obtaining debt and increases shareholder returns over the use of financial leverage (Modigliani and Miller, 1958). Nonetheless, the intensified use of debt increases financial risk, creates fixed payment obligations and potentially decreases the response of the firm to negative economic factors. Over-gearing would as well add to cost of capital of the firm and also increase threat of bankruptcy (Brigham and Ehrhardt, 2020)</w:t>
      </w:r>
      <w:r w:rsidR="001A49FA" w:rsidRPr="001A49FA">
        <w:t>.</w:t>
      </w:r>
    </w:p>
    <w:p w14:paraId="288CEF20" w14:textId="7387C82B" w:rsidR="001A49FA" w:rsidRPr="001A49FA" w:rsidRDefault="008F2197" w:rsidP="001A49FA">
      <w:r w:rsidRPr="008F2197">
        <w:t>Equity finance; by issuing new shares, equity capital is obtained which does not have any set fixed payment policy. This has the potential to build the balance sheet and make the financial risk less strong. Nevertheless, the cost of equity issue is generally higher than debt, and it can reduce the shareholding of current investors and indicate uncertainty to investors, who can also provide diverse information on managers (Arnold, 2019)</w:t>
      </w:r>
      <w:r w:rsidR="001A49FA" w:rsidRPr="001A49FA">
        <w:t>.</w:t>
      </w:r>
    </w:p>
    <w:p w14:paraId="41BE5D0A" w14:textId="19F79FA6" w:rsidR="001A49FA" w:rsidRPr="001A49FA" w:rsidRDefault="008F2197" w:rsidP="001A49FA">
      <w:r w:rsidRPr="008F2197">
        <w:t>Practically, it is advisable to have a balanced financing approach. An equity issue along with moderate debt financing would enable the Westward Plc to trouble the tax benefits and financial flexibility as well as escaping the high risk. This is a sustainable long-term value generating approach that aligns with the trade-off perspective of capital structure (Damodaran, 2024)</w:t>
      </w:r>
      <w:r w:rsidR="001A49FA" w:rsidRPr="001A49FA">
        <w:t>.</w:t>
      </w:r>
      <w:r>
        <w:t xml:space="preserve"> </w:t>
      </w:r>
    </w:p>
    <w:p w14:paraId="4775FECE" w14:textId="77777777" w:rsidR="009F1CDF" w:rsidRPr="009F1CDF" w:rsidRDefault="009F1CDF" w:rsidP="009F1CDF">
      <w:pPr>
        <w:pStyle w:val="Heading2"/>
      </w:pPr>
      <w:bookmarkStart w:id="21" w:name="_Toc217483981"/>
      <w:r w:rsidRPr="009F1CDF">
        <w:t>Conclusion</w:t>
      </w:r>
      <w:bookmarkEnd w:id="21"/>
    </w:p>
    <w:p w14:paraId="14BCFA2F" w14:textId="266BF01C" w:rsidR="009F1CDF" w:rsidRPr="009F1CDF" w:rsidRDefault="004E72D6" w:rsidP="009F1CDF">
      <w:r w:rsidRPr="004E72D6">
        <w:t>The four-year investment programme of Westward Plc has been reviewed in this report through a stringent capital appraisal model that is based on the proven financial theory. Net Present Value analysis shows that all three investments yield positive NPVs, as such, each of the projects can create a shareholder value. Nevertheless, the internet sales (Option B) development is chosen as the most desired standalone investment because it results in the maximum value creation due to the highest NPV and the Internal Rate of Return (IRR) that is considerably higher than the cost of capital of the company (Brealey, Myers and Allen, 2020; Brigham and Ehrhardt, 2020)</w:t>
      </w:r>
      <w:r w:rsidR="009F1CDF" w:rsidRPr="009F1CDF">
        <w:t>.</w:t>
      </w:r>
    </w:p>
    <w:p w14:paraId="30D68C48" w14:textId="06A1B8DE" w:rsidR="009F1CDF" w:rsidRPr="009F1CDF" w:rsidRDefault="004E72D6" w:rsidP="009F1CDF">
      <w:r w:rsidRPr="004E72D6">
        <w:t xml:space="preserve">In the state of capital rationing, the analysis indicates that the most optimal mix of projects, that is, adopting the full implementations of the A and B options and investing partially in the C option will maximise the total NPV at the </w:t>
      </w:r>
      <w:r w:rsidR="00C11447" w:rsidRPr="00C11447">
        <w:t>£</w:t>
      </w:r>
      <w:r w:rsidRPr="004E72D6">
        <w:t>2.5 million funding limit. It underscores the fact that prioritisation of investments should be done in an organised manner in cases where financial resources are scarce (Arnold, 2019)</w:t>
      </w:r>
      <w:r w:rsidR="009F1CDF" w:rsidRPr="009F1CDF">
        <w:t>.</w:t>
      </w:r>
      <w:r w:rsidR="00C11447">
        <w:t xml:space="preserve"> </w:t>
      </w:r>
    </w:p>
    <w:p w14:paraId="31D06A44" w14:textId="0C45B564" w:rsidR="009F1CDF" w:rsidRPr="009F1CDF" w:rsidRDefault="004E72D6" w:rsidP="009F1CDF">
      <w:r w:rsidRPr="004E72D6">
        <w:lastRenderedPageBreak/>
        <w:t>In future, the Board must make sure that investment decisions are backed with a suitable financing strategy with appropriate balance on risk, cost and flexibility. To sustain the growth and maintain financial strength, a wise combination of retention and moderate level of debt financing is suggested. In a sense, through a strong financial appraisal complex intertwined with strong strategic and qualitative implications, Westward Plc will be in a place to achieve sustainable growth and increase future shareholder value in a highly competitive market environment (Damodaran, 2024; Myers, 1984)</w:t>
      </w:r>
      <w:r w:rsidR="009F1CDF" w:rsidRPr="009F1CDF">
        <w:t>.</w:t>
      </w:r>
      <w:r>
        <w:t xml:space="preserve"> </w:t>
      </w:r>
    </w:p>
    <w:p w14:paraId="5E3E31B5" w14:textId="77777777" w:rsidR="00010C04" w:rsidRPr="007C3A9A" w:rsidRDefault="00010C04" w:rsidP="007C3A9A"/>
    <w:p w14:paraId="2C275A76" w14:textId="77777777" w:rsidR="001A4264" w:rsidRDefault="001A4264" w:rsidP="001A4264"/>
    <w:p w14:paraId="08A8A4F6" w14:textId="77777777" w:rsidR="008C673D" w:rsidRDefault="008C673D" w:rsidP="001A4264"/>
    <w:p w14:paraId="04164119" w14:textId="77777777" w:rsidR="008C673D" w:rsidRDefault="008C673D" w:rsidP="001A4264"/>
    <w:p w14:paraId="02C89AC6" w14:textId="77777777" w:rsidR="008C673D" w:rsidRDefault="008C673D" w:rsidP="001A4264"/>
    <w:p w14:paraId="7166849E" w14:textId="77777777" w:rsidR="008C673D" w:rsidRDefault="008C673D" w:rsidP="001A4264"/>
    <w:p w14:paraId="1E2D61A9" w14:textId="77777777" w:rsidR="008C673D" w:rsidRDefault="008C673D" w:rsidP="001A4264"/>
    <w:p w14:paraId="76E16237" w14:textId="77777777" w:rsidR="009729AC" w:rsidRDefault="009729AC" w:rsidP="001A4264"/>
    <w:p w14:paraId="65AB5C11" w14:textId="77777777" w:rsidR="009729AC" w:rsidRDefault="009729AC" w:rsidP="001A4264"/>
    <w:p w14:paraId="5D510D6C" w14:textId="77777777" w:rsidR="009729AC" w:rsidRDefault="009729AC" w:rsidP="001A4264"/>
    <w:p w14:paraId="3F082C1F" w14:textId="77777777" w:rsidR="009729AC" w:rsidRDefault="009729AC" w:rsidP="001A4264"/>
    <w:p w14:paraId="133F8281" w14:textId="77777777" w:rsidR="009729AC" w:rsidRDefault="009729AC" w:rsidP="001A4264"/>
    <w:p w14:paraId="5365E66C" w14:textId="77777777" w:rsidR="009729AC" w:rsidRDefault="009729AC" w:rsidP="001A4264"/>
    <w:p w14:paraId="04B65F86" w14:textId="77777777" w:rsidR="009729AC" w:rsidRDefault="009729AC" w:rsidP="001A4264"/>
    <w:p w14:paraId="2FE99F1F" w14:textId="71B190D7" w:rsidR="008C673D" w:rsidRDefault="008C673D" w:rsidP="008C673D">
      <w:pPr>
        <w:pStyle w:val="Heading1"/>
      </w:pPr>
      <w:bookmarkStart w:id="22" w:name="_Toc217483982"/>
      <w:r>
        <w:t>References</w:t>
      </w:r>
      <w:bookmarkEnd w:id="22"/>
    </w:p>
    <w:p w14:paraId="7D33E8FF" w14:textId="2B7489B8" w:rsidR="008C673D" w:rsidRDefault="00F26BE2" w:rsidP="00F26BE2">
      <w:pPr>
        <w:pStyle w:val="Heading2"/>
      </w:pPr>
      <w:bookmarkStart w:id="23" w:name="_Toc217483983"/>
      <w:r>
        <w:t>Part 1</w:t>
      </w:r>
      <w:bookmarkEnd w:id="23"/>
    </w:p>
    <w:p w14:paraId="7056D8C2" w14:textId="1E2E7AAB" w:rsidR="00E500A7" w:rsidRPr="00E500A7" w:rsidRDefault="00E500A7" w:rsidP="00E500A7">
      <w:r w:rsidRPr="00E500A7">
        <w:t xml:space="preserve">Atrill, P. and McLaney, E. (2023) </w:t>
      </w:r>
      <w:r w:rsidRPr="00E500A7">
        <w:rPr>
          <w:i/>
          <w:iCs/>
        </w:rPr>
        <w:t>Financial accounting for decision makers</w:t>
      </w:r>
      <w:r w:rsidRPr="00E500A7">
        <w:t>. 10th edn. Harlow: Pearson Education.</w:t>
      </w:r>
      <w:r>
        <w:t xml:space="preserve"> </w:t>
      </w:r>
    </w:p>
    <w:p w14:paraId="4EC67F5D" w14:textId="77777777" w:rsidR="00E500A7" w:rsidRPr="00E500A7" w:rsidRDefault="00E500A7" w:rsidP="00E500A7">
      <w:r w:rsidRPr="00E500A7">
        <w:lastRenderedPageBreak/>
        <w:t xml:space="preserve">Beaver, W.H. (1966) ‘Financial ratios as predictors of failure’, </w:t>
      </w:r>
      <w:r w:rsidRPr="00E500A7">
        <w:rPr>
          <w:i/>
          <w:iCs/>
        </w:rPr>
        <w:t>Journal of Accounting Research</w:t>
      </w:r>
      <w:r w:rsidRPr="00E500A7">
        <w:t xml:space="preserve">, 4, pp. 71–111. </w:t>
      </w:r>
      <w:hyperlink r:id="rId19" w:tgtFrame="_new" w:history="1">
        <w:r w:rsidRPr="00E500A7">
          <w:rPr>
            <w:rStyle w:val="Hyperlink"/>
          </w:rPr>
          <w:t>https://doi.org/10.2307/2490171</w:t>
        </w:r>
      </w:hyperlink>
    </w:p>
    <w:p w14:paraId="3010FA6A" w14:textId="7824A85E" w:rsidR="00E500A7" w:rsidRPr="00E500A7" w:rsidRDefault="00E500A7" w:rsidP="00E500A7">
      <w:r w:rsidRPr="00E500A7">
        <w:t xml:space="preserve">Brigham, E.F. and Ehrhardt, M.C. (2020) </w:t>
      </w:r>
      <w:r w:rsidRPr="00E500A7">
        <w:rPr>
          <w:i/>
          <w:iCs/>
        </w:rPr>
        <w:t>Financial management: theory and practice</w:t>
      </w:r>
      <w:r w:rsidRPr="00E500A7">
        <w:t>. 15th edn. Boston: Cengage Learning.</w:t>
      </w:r>
      <w:r>
        <w:t xml:space="preserve"> </w:t>
      </w:r>
    </w:p>
    <w:p w14:paraId="16637001" w14:textId="77777777" w:rsidR="00E500A7" w:rsidRPr="00E500A7" w:rsidRDefault="00E500A7" w:rsidP="00E500A7">
      <w:r w:rsidRPr="00E500A7">
        <w:t xml:space="preserve">Damodaran, A. (2024) </w:t>
      </w:r>
      <w:r w:rsidRPr="00E500A7">
        <w:rPr>
          <w:i/>
          <w:iCs/>
        </w:rPr>
        <w:t>Applied corporate finance</w:t>
      </w:r>
      <w:r w:rsidRPr="00E500A7">
        <w:t xml:space="preserve">. 5th edn. Hoboken, NJ: John Wiley &amp; Sons. Available at: </w:t>
      </w:r>
      <w:hyperlink r:id="rId20" w:tgtFrame="_new" w:history="1">
        <w:r w:rsidRPr="00E500A7">
          <w:rPr>
            <w:rStyle w:val="Hyperlink"/>
          </w:rPr>
          <w:t>https://pages.stern.nyu.edu/~adamodar/</w:t>
        </w:r>
      </w:hyperlink>
      <w:r w:rsidRPr="00E500A7">
        <w:t xml:space="preserve"> (Accessed: 23 December 2025).</w:t>
      </w:r>
    </w:p>
    <w:p w14:paraId="7FCC9261" w14:textId="0C00E452" w:rsidR="00E500A7" w:rsidRPr="00E500A7" w:rsidRDefault="00E500A7" w:rsidP="00E500A7">
      <w:r w:rsidRPr="00E500A7">
        <w:t xml:space="preserve">Financial Times (2024) </w:t>
      </w:r>
      <w:r w:rsidRPr="00E500A7">
        <w:rPr>
          <w:i/>
          <w:iCs/>
        </w:rPr>
        <w:t>Unilever PLC: company profile and financial performance</w:t>
      </w:r>
      <w:r w:rsidRPr="00E500A7">
        <w:t xml:space="preserve">. Available at: </w:t>
      </w:r>
      <w:hyperlink r:id="rId21" w:history="1">
        <w:r w:rsidRPr="00E500A7">
          <w:rPr>
            <w:rStyle w:val="Hyperlink"/>
          </w:rPr>
          <w:t>https://www.ft.com/companies/unilever-plc</w:t>
        </w:r>
      </w:hyperlink>
      <w:r>
        <w:t xml:space="preserve"> </w:t>
      </w:r>
      <w:r w:rsidRPr="00E500A7">
        <w:t>(Accessed: 23 December 2025).</w:t>
      </w:r>
    </w:p>
    <w:p w14:paraId="66188008" w14:textId="57D63E7A" w:rsidR="00E500A7" w:rsidRPr="00E500A7" w:rsidRDefault="00E500A7" w:rsidP="00E500A7">
      <w:r w:rsidRPr="00E500A7">
        <w:t xml:space="preserve">Horrigan, J.O. (1965) ‘Some empirical bases of financial ratio analysis’, </w:t>
      </w:r>
      <w:r w:rsidRPr="00E500A7">
        <w:rPr>
          <w:i/>
          <w:iCs/>
        </w:rPr>
        <w:t>The Accounting Review</w:t>
      </w:r>
      <w:r w:rsidRPr="00E500A7">
        <w:t xml:space="preserve">, 40(3), pp. 558–569. Available at: </w:t>
      </w:r>
      <w:hyperlink r:id="rId22" w:history="1">
        <w:r w:rsidRPr="00E500A7">
          <w:rPr>
            <w:rStyle w:val="Hyperlink"/>
          </w:rPr>
          <w:t>https://www.jstor.org/stable/243379</w:t>
        </w:r>
      </w:hyperlink>
      <w:r>
        <w:t xml:space="preserve"> </w:t>
      </w:r>
    </w:p>
    <w:p w14:paraId="54F4A938" w14:textId="0B5319DC" w:rsidR="00E500A7" w:rsidRPr="00E500A7" w:rsidRDefault="00E500A7" w:rsidP="00E500A7">
      <w:r w:rsidRPr="00E500A7">
        <w:t xml:space="preserve">Lev, B. and Sunder, S. (1979) ‘Methodological issues in the use of financial ratios’, </w:t>
      </w:r>
      <w:r w:rsidRPr="00E500A7">
        <w:rPr>
          <w:i/>
          <w:iCs/>
        </w:rPr>
        <w:t>Journal of Accounting and Economics</w:t>
      </w:r>
      <w:r w:rsidRPr="00E500A7">
        <w:t xml:space="preserve">, 1(3), pp. 187–210. </w:t>
      </w:r>
      <w:hyperlink r:id="rId23" w:history="1">
        <w:r w:rsidRPr="00E500A7">
          <w:rPr>
            <w:rStyle w:val="Hyperlink"/>
          </w:rPr>
          <w:t>https://doi.org/10.1016/0165-4101(79)90007-7</w:t>
        </w:r>
      </w:hyperlink>
      <w:r>
        <w:t xml:space="preserve"> </w:t>
      </w:r>
    </w:p>
    <w:p w14:paraId="490C9BEA" w14:textId="6E1805C5" w:rsidR="00E500A7" w:rsidRPr="00E500A7" w:rsidRDefault="00E500A7" w:rsidP="00E500A7">
      <w:r w:rsidRPr="00E500A7">
        <w:t xml:space="preserve">Penman, S.H. (2013) </w:t>
      </w:r>
      <w:r w:rsidRPr="00E500A7">
        <w:rPr>
          <w:i/>
          <w:iCs/>
        </w:rPr>
        <w:t>Financial statement analysis and security valuation</w:t>
      </w:r>
      <w:r w:rsidRPr="00E500A7">
        <w:t>. 5th edn. New York: McGraw-Hill Education.</w:t>
      </w:r>
      <w:r>
        <w:t xml:space="preserve"> </w:t>
      </w:r>
    </w:p>
    <w:p w14:paraId="03C6404B" w14:textId="77777777" w:rsidR="00E500A7" w:rsidRPr="00E500A7" w:rsidRDefault="00E500A7" w:rsidP="00E500A7">
      <w:r w:rsidRPr="00E500A7">
        <w:t xml:space="preserve">Unilever PLC (2023) </w:t>
      </w:r>
      <w:r w:rsidRPr="00E500A7">
        <w:rPr>
          <w:i/>
          <w:iCs/>
        </w:rPr>
        <w:t>Annual report and accounts 2022</w:t>
      </w:r>
      <w:r w:rsidRPr="00E500A7">
        <w:t xml:space="preserve">. London: Unilever PLC. Available at: </w:t>
      </w:r>
      <w:hyperlink r:id="rId24" w:tgtFrame="_new" w:history="1">
        <w:r w:rsidRPr="00E500A7">
          <w:rPr>
            <w:rStyle w:val="Hyperlink"/>
          </w:rPr>
          <w:t>https://www.unilever.com/investors/annual-report-and-accounts/</w:t>
        </w:r>
      </w:hyperlink>
      <w:r w:rsidRPr="00E500A7">
        <w:t xml:space="preserve"> (Accessed: 23 December 2025).</w:t>
      </w:r>
    </w:p>
    <w:p w14:paraId="679D4061" w14:textId="77777777" w:rsidR="00E500A7" w:rsidRPr="00E500A7" w:rsidRDefault="00E500A7" w:rsidP="00E500A7">
      <w:r w:rsidRPr="00E500A7">
        <w:t xml:space="preserve">Unilever PLC (2024) </w:t>
      </w:r>
      <w:r w:rsidRPr="00E500A7">
        <w:rPr>
          <w:i/>
          <w:iCs/>
        </w:rPr>
        <w:t>Annual report and accounts 2023</w:t>
      </w:r>
      <w:r w:rsidRPr="00E500A7">
        <w:t xml:space="preserve">. London: Unilever PLC. Available at: </w:t>
      </w:r>
      <w:hyperlink r:id="rId25" w:tgtFrame="_new" w:history="1">
        <w:r w:rsidRPr="00E500A7">
          <w:rPr>
            <w:rStyle w:val="Hyperlink"/>
          </w:rPr>
          <w:t>https://www.unilever.com/investors/annual-report-and-accounts/</w:t>
        </w:r>
      </w:hyperlink>
      <w:r w:rsidRPr="00E500A7">
        <w:t xml:space="preserve"> (Accessed: 23 December 2025).</w:t>
      </w:r>
    </w:p>
    <w:p w14:paraId="536F6731" w14:textId="3B7BF3B1" w:rsidR="00F26BE2" w:rsidRDefault="00FD3505" w:rsidP="00FD3505">
      <w:pPr>
        <w:pStyle w:val="Heading2"/>
      </w:pPr>
      <w:bookmarkStart w:id="24" w:name="_Toc217483984"/>
      <w:r>
        <w:t>Part 2</w:t>
      </w:r>
      <w:bookmarkEnd w:id="24"/>
    </w:p>
    <w:p w14:paraId="3FCDF4FA" w14:textId="77777777" w:rsidR="003859C3" w:rsidRPr="003859C3" w:rsidRDefault="003859C3" w:rsidP="003859C3">
      <w:r w:rsidRPr="003859C3">
        <w:t xml:space="preserve">Arnold, G. (2019) </w:t>
      </w:r>
      <w:r w:rsidRPr="003859C3">
        <w:rPr>
          <w:i/>
          <w:iCs/>
        </w:rPr>
        <w:t>Corporate financial management</w:t>
      </w:r>
      <w:r w:rsidRPr="003859C3">
        <w:t>. 6th edn. Harlow: Pearson Education.</w:t>
      </w:r>
    </w:p>
    <w:p w14:paraId="5B3C03B8" w14:textId="77777777" w:rsidR="003859C3" w:rsidRPr="003859C3" w:rsidRDefault="003859C3" w:rsidP="003859C3">
      <w:r w:rsidRPr="003859C3">
        <w:t xml:space="preserve">Atrill, P. and McLaney, E. (2023) </w:t>
      </w:r>
      <w:r w:rsidRPr="003859C3">
        <w:rPr>
          <w:i/>
          <w:iCs/>
        </w:rPr>
        <w:t>Financial management for decision makers</w:t>
      </w:r>
      <w:r w:rsidRPr="003859C3">
        <w:t>. 10th edn. Harlow: Pearson Education.</w:t>
      </w:r>
    </w:p>
    <w:p w14:paraId="28678F13" w14:textId="77777777" w:rsidR="003859C3" w:rsidRPr="003859C3" w:rsidRDefault="003859C3" w:rsidP="003859C3">
      <w:r w:rsidRPr="003859C3">
        <w:t xml:space="preserve">Brealey, R.A., Myers, S.C. and Allen, F. (2020) </w:t>
      </w:r>
      <w:r w:rsidRPr="003859C3">
        <w:rPr>
          <w:i/>
          <w:iCs/>
        </w:rPr>
        <w:t>Principles of corporate finance</w:t>
      </w:r>
      <w:r w:rsidRPr="003859C3">
        <w:t>. 13th edn. New York: McGraw-Hill Education.</w:t>
      </w:r>
    </w:p>
    <w:p w14:paraId="27E88E97" w14:textId="77777777" w:rsidR="003859C3" w:rsidRPr="003859C3" w:rsidRDefault="003859C3" w:rsidP="003859C3">
      <w:r w:rsidRPr="003859C3">
        <w:t xml:space="preserve">Brigham, E.F. and Ehrhardt, M.C. (2020) </w:t>
      </w:r>
      <w:r w:rsidRPr="003859C3">
        <w:rPr>
          <w:i/>
          <w:iCs/>
        </w:rPr>
        <w:t>Financial management: theory and practice</w:t>
      </w:r>
      <w:r w:rsidRPr="003859C3">
        <w:t>. 15th edn. Boston: Cengage Learning.</w:t>
      </w:r>
    </w:p>
    <w:p w14:paraId="1FB303A9" w14:textId="77777777" w:rsidR="003859C3" w:rsidRPr="003859C3" w:rsidRDefault="003859C3" w:rsidP="003859C3">
      <w:r w:rsidRPr="003859C3">
        <w:lastRenderedPageBreak/>
        <w:t xml:space="preserve">Damodaran, A. (2024) </w:t>
      </w:r>
      <w:r w:rsidRPr="003859C3">
        <w:rPr>
          <w:i/>
          <w:iCs/>
        </w:rPr>
        <w:t>Applied corporate finance</w:t>
      </w:r>
      <w:r w:rsidRPr="003859C3">
        <w:t xml:space="preserve">. 5th edn. Hoboken, NJ: John Wiley &amp; Sons. Available at: </w:t>
      </w:r>
      <w:hyperlink r:id="rId26" w:tgtFrame="_new" w:history="1">
        <w:r w:rsidRPr="003859C3">
          <w:rPr>
            <w:rStyle w:val="Hyperlink"/>
          </w:rPr>
          <w:t>https://pages.stern.nyu.edu/~adamodar/</w:t>
        </w:r>
      </w:hyperlink>
      <w:r w:rsidRPr="003859C3">
        <w:t xml:space="preserve"> (Accessed: 23 December 2025).</w:t>
      </w:r>
    </w:p>
    <w:p w14:paraId="31A024D7" w14:textId="7124471E" w:rsidR="003859C3" w:rsidRPr="003859C3" w:rsidRDefault="003859C3" w:rsidP="003859C3">
      <w:r w:rsidRPr="003859C3">
        <w:t xml:space="preserve">Fisher, I. (1930) </w:t>
      </w:r>
      <w:r w:rsidRPr="003859C3">
        <w:rPr>
          <w:i/>
          <w:iCs/>
        </w:rPr>
        <w:t>The theory of interest</w:t>
      </w:r>
      <w:r w:rsidRPr="003859C3">
        <w:t xml:space="preserve">. New York: Macmillan. Available at: </w:t>
      </w:r>
      <w:hyperlink r:id="rId27" w:history="1">
        <w:r w:rsidRPr="003859C3">
          <w:rPr>
            <w:rStyle w:val="Hyperlink"/>
          </w:rPr>
          <w:t>https://archive.org/details/theoryofinterest00fish</w:t>
        </w:r>
      </w:hyperlink>
      <w:r>
        <w:t xml:space="preserve"> </w:t>
      </w:r>
      <w:r w:rsidRPr="003859C3">
        <w:t>(Accessed: 23 December 2025).</w:t>
      </w:r>
    </w:p>
    <w:p w14:paraId="67B219A7" w14:textId="18DE0659" w:rsidR="003859C3" w:rsidRPr="003859C3" w:rsidRDefault="003859C3" w:rsidP="003859C3">
      <w:r w:rsidRPr="003859C3">
        <w:t xml:space="preserve">Hirshleifer, J. (1958) ‘On the theory of optimal investment decision’, </w:t>
      </w:r>
      <w:r w:rsidRPr="003859C3">
        <w:rPr>
          <w:i/>
          <w:iCs/>
        </w:rPr>
        <w:t>Journal of Political Economy</w:t>
      </w:r>
      <w:r w:rsidRPr="003859C3">
        <w:t xml:space="preserve">, 66(4), pp. 329–352. </w:t>
      </w:r>
      <w:hyperlink r:id="rId28" w:history="1">
        <w:r w:rsidRPr="003859C3">
          <w:rPr>
            <w:rStyle w:val="Hyperlink"/>
          </w:rPr>
          <w:t>https://doi.org/10.1086/258056</w:t>
        </w:r>
      </w:hyperlink>
      <w:r>
        <w:t xml:space="preserve"> </w:t>
      </w:r>
    </w:p>
    <w:p w14:paraId="368F1BCC" w14:textId="77777777" w:rsidR="003859C3" w:rsidRPr="003859C3" w:rsidRDefault="003859C3" w:rsidP="003859C3">
      <w:r w:rsidRPr="003859C3">
        <w:t xml:space="preserve">HM Revenue &amp; Customs (2024) </w:t>
      </w:r>
      <w:r w:rsidRPr="003859C3">
        <w:rPr>
          <w:i/>
          <w:iCs/>
        </w:rPr>
        <w:t>Capital allowances: overview</w:t>
      </w:r>
      <w:r w:rsidRPr="003859C3">
        <w:t xml:space="preserve">. Available at: </w:t>
      </w:r>
      <w:hyperlink r:id="rId29" w:tgtFrame="_new" w:history="1">
        <w:r w:rsidRPr="003859C3">
          <w:rPr>
            <w:rStyle w:val="Hyperlink"/>
          </w:rPr>
          <w:t>https://www.gov.uk/capital-allowances</w:t>
        </w:r>
      </w:hyperlink>
      <w:r w:rsidRPr="003859C3">
        <w:t xml:space="preserve"> (Accessed: 23 December 2025).</w:t>
      </w:r>
    </w:p>
    <w:p w14:paraId="2B2A2BD1" w14:textId="4F3F6050" w:rsidR="003859C3" w:rsidRPr="003859C3" w:rsidRDefault="003859C3" w:rsidP="003859C3">
      <w:r w:rsidRPr="003859C3">
        <w:t xml:space="preserve">Magni, C.A. (2010) ‘Average internal rate of return and investment decisions’, </w:t>
      </w:r>
      <w:r w:rsidRPr="003859C3">
        <w:rPr>
          <w:i/>
          <w:iCs/>
        </w:rPr>
        <w:t>The Engineering Economist</w:t>
      </w:r>
      <w:r w:rsidRPr="003859C3">
        <w:t xml:space="preserve">, 55(2), pp. 150–180. </w:t>
      </w:r>
      <w:hyperlink r:id="rId30" w:history="1">
        <w:r w:rsidRPr="003859C3">
          <w:rPr>
            <w:rStyle w:val="Hyperlink"/>
          </w:rPr>
          <w:t>https://doi.org/10.1080/0013791X.2010.491448</w:t>
        </w:r>
      </w:hyperlink>
      <w:r>
        <w:t xml:space="preserve"> </w:t>
      </w:r>
    </w:p>
    <w:p w14:paraId="0BDFA814" w14:textId="7E8CEF11" w:rsidR="003859C3" w:rsidRPr="003859C3" w:rsidRDefault="003859C3" w:rsidP="003859C3">
      <w:r w:rsidRPr="003859C3">
        <w:t xml:space="preserve">Modigliani, F. and Miller, M.H. (1958) ‘The cost of capital, corporation finance and the theory of investment’, </w:t>
      </w:r>
      <w:r w:rsidRPr="003859C3">
        <w:rPr>
          <w:i/>
          <w:iCs/>
        </w:rPr>
        <w:t>American Economic Review</w:t>
      </w:r>
      <w:r w:rsidRPr="003859C3">
        <w:t xml:space="preserve">, 48(3), pp. 261–297. </w:t>
      </w:r>
      <w:hyperlink r:id="rId31" w:history="1">
        <w:r w:rsidRPr="003859C3">
          <w:rPr>
            <w:rStyle w:val="Hyperlink"/>
          </w:rPr>
          <w:t>https://doi.org/10.2307/1809766</w:t>
        </w:r>
      </w:hyperlink>
      <w:r>
        <w:t xml:space="preserve"> </w:t>
      </w:r>
    </w:p>
    <w:p w14:paraId="1E3FAEC1" w14:textId="77777777" w:rsidR="003859C3" w:rsidRPr="003859C3" w:rsidRDefault="003859C3" w:rsidP="003859C3">
      <w:r w:rsidRPr="003859C3">
        <w:t xml:space="preserve">Myers, S.C. (1984) ‘The capital structure puzzle’, </w:t>
      </w:r>
      <w:r w:rsidRPr="003859C3">
        <w:rPr>
          <w:i/>
          <w:iCs/>
        </w:rPr>
        <w:t>Journal of Finance</w:t>
      </w:r>
      <w:r w:rsidRPr="003859C3">
        <w:t xml:space="preserve">, 39(3), pp. 575–592. </w:t>
      </w:r>
      <w:hyperlink r:id="rId32" w:tgtFrame="_new" w:history="1">
        <w:r w:rsidRPr="003859C3">
          <w:rPr>
            <w:rStyle w:val="Hyperlink"/>
          </w:rPr>
          <w:t>https://doi.org/10.1111/j.1540-6261.1984.tb03646.x</w:t>
        </w:r>
      </w:hyperlink>
    </w:p>
    <w:p w14:paraId="0C1FF164" w14:textId="0967B686" w:rsidR="003859C3" w:rsidRPr="003859C3" w:rsidRDefault="003859C3" w:rsidP="003859C3">
      <w:r w:rsidRPr="003859C3">
        <w:t xml:space="preserve">Ryan, P.A. and Ryan, G.P. (2002) ‘Capital budgeting practices of the Fortune 1000’, </w:t>
      </w:r>
      <w:r w:rsidRPr="003859C3">
        <w:rPr>
          <w:i/>
          <w:iCs/>
        </w:rPr>
        <w:t>Financial Management</w:t>
      </w:r>
      <w:r w:rsidRPr="003859C3">
        <w:t xml:space="preserve">, 31(4), pp. 5–20. </w:t>
      </w:r>
      <w:hyperlink r:id="rId33" w:history="1">
        <w:r w:rsidRPr="003859C3">
          <w:rPr>
            <w:rStyle w:val="Hyperlink"/>
          </w:rPr>
          <w:t>https://doi.org/10.2307/3666083</w:t>
        </w:r>
      </w:hyperlink>
      <w:r>
        <w:t xml:space="preserve"> </w:t>
      </w:r>
    </w:p>
    <w:p w14:paraId="51E35E12" w14:textId="77777777" w:rsidR="00FD3505" w:rsidRDefault="00FD3505" w:rsidP="00FD3505"/>
    <w:p w14:paraId="5D4F1B91" w14:textId="77777777" w:rsidR="001F6B2A" w:rsidRDefault="001F6B2A" w:rsidP="00FD3505"/>
    <w:p w14:paraId="677CF314" w14:textId="77777777" w:rsidR="001F6B2A" w:rsidRDefault="001F6B2A" w:rsidP="00FD3505"/>
    <w:p w14:paraId="1D755954" w14:textId="77777777" w:rsidR="001F6B2A" w:rsidRDefault="001F6B2A" w:rsidP="00FD3505"/>
    <w:p w14:paraId="613B0EFC" w14:textId="77777777" w:rsidR="001F6B2A" w:rsidRDefault="001F6B2A" w:rsidP="00FD3505"/>
    <w:p w14:paraId="63F93DB1" w14:textId="7F8B874F" w:rsidR="001F6B2A" w:rsidRDefault="001F6B2A" w:rsidP="001F6B2A">
      <w:pPr>
        <w:pStyle w:val="Heading1"/>
      </w:pPr>
      <w:bookmarkStart w:id="25" w:name="_Toc217483985"/>
      <w:r>
        <w:lastRenderedPageBreak/>
        <w:t>Appendix</w:t>
      </w:r>
      <w:bookmarkEnd w:id="25"/>
    </w:p>
    <w:p w14:paraId="02904AD7" w14:textId="4E02FA1A" w:rsidR="001F6B2A" w:rsidRDefault="0087403A" w:rsidP="0087403A">
      <w:pPr>
        <w:pStyle w:val="Heading2"/>
      </w:pPr>
      <w:bookmarkStart w:id="26" w:name="_Toc217483986"/>
      <w:r>
        <w:t>Appendix A – Annual Report Screenshots</w:t>
      </w:r>
      <w:bookmarkEnd w:id="26"/>
    </w:p>
    <w:p w14:paraId="65E26A04" w14:textId="4C214739" w:rsidR="0087403A" w:rsidRDefault="00414066" w:rsidP="00414066">
      <w:pPr>
        <w:jc w:val="center"/>
      </w:pPr>
      <w:r w:rsidRPr="00414066">
        <w:rPr>
          <w:noProof/>
        </w:rPr>
        <w:drawing>
          <wp:inline distT="0" distB="0" distL="0" distR="0" wp14:anchorId="33B635B1" wp14:editId="253D8200">
            <wp:extent cx="5731510" cy="4921250"/>
            <wp:effectExtent l="76200" t="76200" r="135890" b="127000"/>
            <wp:docPr id="12394273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427326" name=""/>
                    <pic:cNvPicPr/>
                  </pic:nvPicPr>
                  <pic:blipFill>
                    <a:blip r:embed="rId34"/>
                    <a:stretch>
                      <a:fillRect/>
                    </a:stretch>
                  </pic:blipFill>
                  <pic:spPr>
                    <a:xfrm>
                      <a:off x="0" y="0"/>
                      <a:ext cx="5731510" cy="49212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7F3F39D" w14:textId="6965315B" w:rsidR="00722F21" w:rsidRDefault="00722F21" w:rsidP="00414066">
      <w:pPr>
        <w:jc w:val="center"/>
      </w:pPr>
      <w:r w:rsidRPr="00722F21">
        <w:rPr>
          <w:noProof/>
        </w:rPr>
        <w:lastRenderedPageBreak/>
        <w:drawing>
          <wp:inline distT="0" distB="0" distL="0" distR="0" wp14:anchorId="6A236339" wp14:editId="41AA5D0E">
            <wp:extent cx="5731510" cy="6376035"/>
            <wp:effectExtent l="0" t="0" r="2540" b="5715"/>
            <wp:docPr id="7561919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191942" name=""/>
                    <pic:cNvPicPr/>
                  </pic:nvPicPr>
                  <pic:blipFill>
                    <a:blip r:embed="rId35"/>
                    <a:stretch>
                      <a:fillRect/>
                    </a:stretch>
                  </pic:blipFill>
                  <pic:spPr>
                    <a:xfrm>
                      <a:off x="0" y="0"/>
                      <a:ext cx="5731510" cy="6376035"/>
                    </a:xfrm>
                    <a:prstGeom prst="rect">
                      <a:avLst/>
                    </a:prstGeom>
                  </pic:spPr>
                </pic:pic>
              </a:graphicData>
            </a:graphic>
          </wp:inline>
        </w:drawing>
      </w:r>
    </w:p>
    <w:p w14:paraId="5CF3E76D" w14:textId="1EC331A1" w:rsidR="00722F21" w:rsidRDefault="008F632A" w:rsidP="00414066">
      <w:pPr>
        <w:jc w:val="center"/>
      </w:pPr>
      <w:r w:rsidRPr="008F632A">
        <w:rPr>
          <w:noProof/>
        </w:rPr>
        <w:drawing>
          <wp:inline distT="0" distB="0" distL="0" distR="0" wp14:anchorId="4153A037" wp14:editId="0CE6805A">
            <wp:extent cx="5731510" cy="2057400"/>
            <wp:effectExtent l="0" t="0" r="2540" b="0"/>
            <wp:docPr id="8773746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374666" name=""/>
                    <pic:cNvPicPr/>
                  </pic:nvPicPr>
                  <pic:blipFill>
                    <a:blip r:embed="rId36"/>
                    <a:stretch>
                      <a:fillRect/>
                    </a:stretch>
                  </pic:blipFill>
                  <pic:spPr>
                    <a:xfrm>
                      <a:off x="0" y="0"/>
                      <a:ext cx="5731510" cy="2057400"/>
                    </a:xfrm>
                    <a:prstGeom prst="rect">
                      <a:avLst/>
                    </a:prstGeom>
                  </pic:spPr>
                </pic:pic>
              </a:graphicData>
            </a:graphic>
          </wp:inline>
        </w:drawing>
      </w:r>
    </w:p>
    <w:p w14:paraId="43F13B68" w14:textId="36C4B2B0" w:rsidR="00E72DD0" w:rsidRDefault="002A6C11" w:rsidP="002A6C11">
      <w:pPr>
        <w:pStyle w:val="Heading2"/>
      </w:pPr>
      <w:bookmarkStart w:id="27" w:name="_Toc217483987"/>
      <w:r>
        <w:lastRenderedPageBreak/>
        <w:t>Appendix B – Ratios Calculations</w:t>
      </w:r>
      <w:bookmarkEnd w:id="27"/>
    </w:p>
    <w:p w14:paraId="2D67F03A" w14:textId="77777777" w:rsidR="00A414B4" w:rsidRPr="00A414B4" w:rsidRDefault="00A414B4" w:rsidP="00A414B4">
      <w:pPr>
        <w:rPr>
          <w:b/>
          <w:bCs/>
        </w:rPr>
      </w:pPr>
      <w:r w:rsidRPr="00A414B4">
        <w:rPr>
          <w:b/>
          <w:bCs/>
        </w:rPr>
        <w:t>B1. Profitability Ratios</w:t>
      </w:r>
    </w:p>
    <w:p w14:paraId="0777A196" w14:textId="77777777" w:rsidR="00A414B4" w:rsidRPr="00A414B4" w:rsidRDefault="00A414B4" w:rsidP="00A414B4">
      <w:pPr>
        <w:rPr>
          <w:b/>
          <w:bCs/>
        </w:rPr>
      </w:pPr>
      <w:r w:rsidRPr="00A414B4">
        <w:rPr>
          <w:b/>
          <w:bCs/>
        </w:rPr>
        <w:t>Table B1: Profitability – Workings (2023 vs 2024)</w:t>
      </w:r>
    </w:p>
    <w:tbl>
      <w:tblPr>
        <w:tblStyle w:val="TableGridLight"/>
        <w:tblW w:w="0" w:type="auto"/>
        <w:tblLook w:val="04A0" w:firstRow="1" w:lastRow="0" w:firstColumn="1" w:lastColumn="0" w:noHBand="0" w:noVBand="1"/>
      </w:tblPr>
      <w:tblGrid>
        <w:gridCol w:w="1506"/>
        <w:gridCol w:w="1940"/>
        <w:gridCol w:w="1519"/>
        <w:gridCol w:w="1266"/>
        <w:gridCol w:w="1519"/>
        <w:gridCol w:w="1266"/>
      </w:tblGrid>
      <w:tr w:rsidR="00A414B4" w:rsidRPr="00A414B4" w14:paraId="1AD6B9EB" w14:textId="77777777" w:rsidTr="00A414B4">
        <w:tc>
          <w:tcPr>
            <w:tcW w:w="0" w:type="auto"/>
            <w:hideMark/>
          </w:tcPr>
          <w:p w14:paraId="137EBA08" w14:textId="77777777" w:rsidR="00A414B4" w:rsidRPr="00A414B4" w:rsidRDefault="00A414B4" w:rsidP="00A414B4">
            <w:pPr>
              <w:spacing w:after="160"/>
              <w:rPr>
                <w:b/>
                <w:bCs/>
                <w:sz w:val="20"/>
                <w:szCs w:val="18"/>
              </w:rPr>
            </w:pPr>
            <w:r w:rsidRPr="00A414B4">
              <w:rPr>
                <w:b/>
                <w:bCs/>
                <w:sz w:val="20"/>
                <w:szCs w:val="18"/>
              </w:rPr>
              <w:t>Ratio</w:t>
            </w:r>
          </w:p>
        </w:tc>
        <w:tc>
          <w:tcPr>
            <w:tcW w:w="0" w:type="auto"/>
            <w:hideMark/>
          </w:tcPr>
          <w:p w14:paraId="7FB383C4" w14:textId="77777777" w:rsidR="00A414B4" w:rsidRPr="00A414B4" w:rsidRDefault="00A414B4" w:rsidP="00A414B4">
            <w:pPr>
              <w:spacing w:after="160"/>
              <w:rPr>
                <w:b/>
                <w:bCs/>
                <w:sz w:val="20"/>
                <w:szCs w:val="18"/>
              </w:rPr>
            </w:pPr>
            <w:r w:rsidRPr="00A414B4">
              <w:rPr>
                <w:b/>
                <w:bCs/>
                <w:sz w:val="20"/>
                <w:szCs w:val="18"/>
              </w:rPr>
              <w:t>Formula</w:t>
            </w:r>
          </w:p>
        </w:tc>
        <w:tc>
          <w:tcPr>
            <w:tcW w:w="0" w:type="auto"/>
            <w:hideMark/>
          </w:tcPr>
          <w:p w14:paraId="24D3059E" w14:textId="77777777" w:rsidR="00A414B4" w:rsidRPr="00A414B4" w:rsidRDefault="00A414B4" w:rsidP="00A414B4">
            <w:pPr>
              <w:spacing w:after="160"/>
              <w:rPr>
                <w:b/>
                <w:bCs/>
                <w:sz w:val="20"/>
                <w:szCs w:val="18"/>
              </w:rPr>
            </w:pPr>
            <w:r w:rsidRPr="00A414B4">
              <w:rPr>
                <w:b/>
                <w:bCs/>
                <w:sz w:val="20"/>
                <w:szCs w:val="18"/>
              </w:rPr>
              <w:t>2023 Workings</w:t>
            </w:r>
          </w:p>
        </w:tc>
        <w:tc>
          <w:tcPr>
            <w:tcW w:w="0" w:type="auto"/>
            <w:hideMark/>
          </w:tcPr>
          <w:p w14:paraId="4E8B4B59" w14:textId="77777777" w:rsidR="00A414B4" w:rsidRPr="00A414B4" w:rsidRDefault="00A414B4" w:rsidP="00A414B4">
            <w:pPr>
              <w:spacing w:after="160"/>
              <w:rPr>
                <w:b/>
                <w:bCs/>
                <w:sz w:val="20"/>
                <w:szCs w:val="18"/>
              </w:rPr>
            </w:pPr>
            <w:r w:rsidRPr="00A414B4">
              <w:rPr>
                <w:b/>
                <w:bCs/>
                <w:sz w:val="20"/>
                <w:szCs w:val="18"/>
              </w:rPr>
              <w:t>2023 Result</w:t>
            </w:r>
          </w:p>
        </w:tc>
        <w:tc>
          <w:tcPr>
            <w:tcW w:w="0" w:type="auto"/>
            <w:hideMark/>
          </w:tcPr>
          <w:p w14:paraId="50D68413" w14:textId="77777777" w:rsidR="00A414B4" w:rsidRPr="00A414B4" w:rsidRDefault="00A414B4" w:rsidP="00A414B4">
            <w:pPr>
              <w:spacing w:after="160"/>
              <w:rPr>
                <w:b/>
                <w:bCs/>
                <w:sz w:val="20"/>
                <w:szCs w:val="18"/>
              </w:rPr>
            </w:pPr>
            <w:r w:rsidRPr="00A414B4">
              <w:rPr>
                <w:b/>
                <w:bCs/>
                <w:sz w:val="20"/>
                <w:szCs w:val="18"/>
              </w:rPr>
              <w:t>2024 Workings</w:t>
            </w:r>
          </w:p>
        </w:tc>
        <w:tc>
          <w:tcPr>
            <w:tcW w:w="0" w:type="auto"/>
            <w:hideMark/>
          </w:tcPr>
          <w:p w14:paraId="5095B893" w14:textId="77777777" w:rsidR="00A414B4" w:rsidRPr="00A414B4" w:rsidRDefault="00A414B4" w:rsidP="00A414B4">
            <w:pPr>
              <w:spacing w:after="160"/>
              <w:rPr>
                <w:b/>
                <w:bCs/>
                <w:sz w:val="20"/>
                <w:szCs w:val="18"/>
              </w:rPr>
            </w:pPr>
            <w:r w:rsidRPr="00A414B4">
              <w:rPr>
                <w:b/>
                <w:bCs/>
                <w:sz w:val="20"/>
                <w:szCs w:val="18"/>
              </w:rPr>
              <w:t>2024 Result</w:t>
            </w:r>
          </w:p>
        </w:tc>
      </w:tr>
      <w:tr w:rsidR="00A414B4" w:rsidRPr="00A414B4" w14:paraId="014495CE" w14:textId="77777777" w:rsidTr="00A414B4">
        <w:tc>
          <w:tcPr>
            <w:tcW w:w="0" w:type="auto"/>
            <w:hideMark/>
          </w:tcPr>
          <w:p w14:paraId="3AA73008" w14:textId="77777777" w:rsidR="00A414B4" w:rsidRPr="00A414B4" w:rsidRDefault="00A414B4" w:rsidP="00A414B4">
            <w:pPr>
              <w:spacing w:after="160"/>
              <w:rPr>
                <w:sz w:val="20"/>
                <w:szCs w:val="18"/>
              </w:rPr>
            </w:pPr>
            <w:r w:rsidRPr="00A414B4">
              <w:rPr>
                <w:b/>
                <w:bCs/>
                <w:sz w:val="20"/>
                <w:szCs w:val="18"/>
              </w:rPr>
              <w:t>Gross Margin</w:t>
            </w:r>
          </w:p>
        </w:tc>
        <w:tc>
          <w:tcPr>
            <w:tcW w:w="0" w:type="auto"/>
            <w:hideMark/>
          </w:tcPr>
          <w:p w14:paraId="3AEA7D92" w14:textId="77777777" w:rsidR="00A414B4" w:rsidRPr="00A414B4" w:rsidRDefault="00A414B4" w:rsidP="00A414B4">
            <w:pPr>
              <w:spacing w:after="160"/>
              <w:rPr>
                <w:sz w:val="20"/>
                <w:szCs w:val="18"/>
              </w:rPr>
            </w:pPr>
            <w:r w:rsidRPr="00A414B4">
              <w:rPr>
                <w:sz w:val="20"/>
                <w:szCs w:val="18"/>
              </w:rPr>
              <w:t>Gross Profit ÷ Revenue</w:t>
            </w:r>
          </w:p>
        </w:tc>
        <w:tc>
          <w:tcPr>
            <w:tcW w:w="0" w:type="auto"/>
            <w:hideMark/>
          </w:tcPr>
          <w:p w14:paraId="50E01BA3" w14:textId="77777777" w:rsidR="00A414B4" w:rsidRPr="00A414B4" w:rsidRDefault="00A414B4" w:rsidP="00A414B4">
            <w:pPr>
              <w:spacing w:after="160"/>
              <w:rPr>
                <w:sz w:val="20"/>
                <w:szCs w:val="18"/>
              </w:rPr>
            </w:pPr>
            <w:r w:rsidRPr="00A414B4">
              <w:rPr>
                <w:sz w:val="20"/>
                <w:szCs w:val="18"/>
              </w:rPr>
              <w:t>25,175,000 ÷ 59,604,000</w:t>
            </w:r>
          </w:p>
        </w:tc>
        <w:tc>
          <w:tcPr>
            <w:tcW w:w="0" w:type="auto"/>
            <w:hideMark/>
          </w:tcPr>
          <w:p w14:paraId="40910EA3" w14:textId="77777777" w:rsidR="00A414B4" w:rsidRPr="00A414B4" w:rsidRDefault="00A414B4" w:rsidP="00A414B4">
            <w:pPr>
              <w:spacing w:after="160"/>
              <w:rPr>
                <w:sz w:val="20"/>
                <w:szCs w:val="18"/>
              </w:rPr>
            </w:pPr>
            <w:r w:rsidRPr="00A414B4">
              <w:rPr>
                <w:b/>
                <w:bCs/>
                <w:sz w:val="20"/>
                <w:szCs w:val="18"/>
              </w:rPr>
              <w:t>0.4224 = 42.3%</w:t>
            </w:r>
          </w:p>
        </w:tc>
        <w:tc>
          <w:tcPr>
            <w:tcW w:w="0" w:type="auto"/>
            <w:hideMark/>
          </w:tcPr>
          <w:p w14:paraId="17EB5590" w14:textId="77777777" w:rsidR="00A414B4" w:rsidRPr="00A414B4" w:rsidRDefault="00A414B4" w:rsidP="00A414B4">
            <w:pPr>
              <w:spacing w:after="160"/>
              <w:rPr>
                <w:sz w:val="20"/>
                <w:szCs w:val="18"/>
              </w:rPr>
            </w:pPr>
            <w:r w:rsidRPr="00A414B4">
              <w:rPr>
                <w:sz w:val="20"/>
                <w:szCs w:val="18"/>
              </w:rPr>
              <w:t>27,370,000 ÷ 60,761,000</w:t>
            </w:r>
          </w:p>
        </w:tc>
        <w:tc>
          <w:tcPr>
            <w:tcW w:w="0" w:type="auto"/>
            <w:hideMark/>
          </w:tcPr>
          <w:p w14:paraId="3A3E40B1" w14:textId="77777777" w:rsidR="00A414B4" w:rsidRPr="00A414B4" w:rsidRDefault="00A414B4" w:rsidP="00A414B4">
            <w:pPr>
              <w:spacing w:after="160"/>
              <w:rPr>
                <w:sz w:val="20"/>
                <w:szCs w:val="18"/>
              </w:rPr>
            </w:pPr>
            <w:r w:rsidRPr="00A414B4">
              <w:rPr>
                <w:b/>
                <w:bCs/>
                <w:sz w:val="20"/>
                <w:szCs w:val="18"/>
              </w:rPr>
              <w:t>0.4505 = 45.1%</w:t>
            </w:r>
          </w:p>
        </w:tc>
      </w:tr>
      <w:tr w:rsidR="00A414B4" w:rsidRPr="00A414B4" w14:paraId="77A9EC6D" w14:textId="77777777" w:rsidTr="00A414B4">
        <w:tc>
          <w:tcPr>
            <w:tcW w:w="0" w:type="auto"/>
            <w:hideMark/>
          </w:tcPr>
          <w:p w14:paraId="3F33A899" w14:textId="77777777" w:rsidR="00A414B4" w:rsidRPr="00A414B4" w:rsidRDefault="00A414B4" w:rsidP="00A414B4">
            <w:pPr>
              <w:spacing w:after="160"/>
              <w:rPr>
                <w:sz w:val="20"/>
                <w:szCs w:val="18"/>
              </w:rPr>
            </w:pPr>
            <w:r w:rsidRPr="00A414B4">
              <w:rPr>
                <w:b/>
                <w:bCs/>
                <w:sz w:val="20"/>
                <w:szCs w:val="18"/>
              </w:rPr>
              <w:t>Operating Margin</w:t>
            </w:r>
          </w:p>
        </w:tc>
        <w:tc>
          <w:tcPr>
            <w:tcW w:w="0" w:type="auto"/>
            <w:hideMark/>
          </w:tcPr>
          <w:p w14:paraId="3BD7C83B" w14:textId="77777777" w:rsidR="00A414B4" w:rsidRPr="00A414B4" w:rsidRDefault="00A414B4" w:rsidP="00A414B4">
            <w:pPr>
              <w:spacing w:after="160"/>
              <w:rPr>
                <w:sz w:val="20"/>
                <w:szCs w:val="18"/>
              </w:rPr>
            </w:pPr>
            <w:r w:rsidRPr="00A414B4">
              <w:rPr>
                <w:sz w:val="20"/>
                <w:szCs w:val="18"/>
              </w:rPr>
              <w:t>Operating Income ÷ Revenue</w:t>
            </w:r>
          </w:p>
        </w:tc>
        <w:tc>
          <w:tcPr>
            <w:tcW w:w="0" w:type="auto"/>
            <w:hideMark/>
          </w:tcPr>
          <w:p w14:paraId="60294BC9" w14:textId="77777777" w:rsidR="00A414B4" w:rsidRPr="00A414B4" w:rsidRDefault="00A414B4" w:rsidP="00A414B4">
            <w:pPr>
              <w:spacing w:after="160"/>
              <w:rPr>
                <w:sz w:val="20"/>
                <w:szCs w:val="18"/>
              </w:rPr>
            </w:pPr>
            <w:r w:rsidRPr="00A414B4">
              <w:rPr>
                <w:sz w:val="20"/>
                <w:szCs w:val="18"/>
              </w:rPr>
              <w:t>10,041,000 ÷ 59,604,000</w:t>
            </w:r>
          </w:p>
        </w:tc>
        <w:tc>
          <w:tcPr>
            <w:tcW w:w="0" w:type="auto"/>
            <w:hideMark/>
          </w:tcPr>
          <w:p w14:paraId="2B4D3B62" w14:textId="77777777" w:rsidR="00A414B4" w:rsidRPr="00A414B4" w:rsidRDefault="00A414B4" w:rsidP="00A414B4">
            <w:pPr>
              <w:spacing w:after="160"/>
              <w:rPr>
                <w:sz w:val="20"/>
                <w:szCs w:val="18"/>
              </w:rPr>
            </w:pPr>
            <w:r w:rsidRPr="00A414B4">
              <w:rPr>
                <w:b/>
                <w:bCs/>
                <w:sz w:val="20"/>
                <w:szCs w:val="18"/>
              </w:rPr>
              <w:t>0.1685 = 16.9%</w:t>
            </w:r>
          </w:p>
        </w:tc>
        <w:tc>
          <w:tcPr>
            <w:tcW w:w="0" w:type="auto"/>
            <w:hideMark/>
          </w:tcPr>
          <w:p w14:paraId="4CEBDE84" w14:textId="77777777" w:rsidR="00A414B4" w:rsidRPr="00A414B4" w:rsidRDefault="00A414B4" w:rsidP="00A414B4">
            <w:pPr>
              <w:spacing w:after="160"/>
              <w:rPr>
                <w:sz w:val="20"/>
                <w:szCs w:val="18"/>
              </w:rPr>
            </w:pPr>
            <w:r w:rsidRPr="00A414B4">
              <w:rPr>
                <w:sz w:val="20"/>
                <w:szCs w:val="18"/>
              </w:rPr>
              <w:t>11,250,000 ÷ 60,761,000</w:t>
            </w:r>
          </w:p>
        </w:tc>
        <w:tc>
          <w:tcPr>
            <w:tcW w:w="0" w:type="auto"/>
            <w:hideMark/>
          </w:tcPr>
          <w:p w14:paraId="0FC44579" w14:textId="77777777" w:rsidR="00A414B4" w:rsidRPr="00A414B4" w:rsidRDefault="00A414B4" w:rsidP="00A414B4">
            <w:pPr>
              <w:spacing w:after="160"/>
              <w:rPr>
                <w:sz w:val="20"/>
                <w:szCs w:val="18"/>
              </w:rPr>
            </w:pPr>
            <w:r w:rsidRPr="00A414B4">
              <w:rPr>
                <w:b/>
                <w:bCs/>
                <w:sz w:val="20"/>
                <w:szCs w:val="18"/>
              </w:rPr>
              <w:t>0.1852 = 18.5%</w:t>
            </w:r>
          </w:p>
        </w:tc>
      </w:tr>
      <w:tr w:rsidR="00A414B4" w:rsidRPr="00A414B4" w14:paraId="1D2EE52D" w14:textId="77777777" w:rsidTr="00A414B4">
        <w:tc>
          <w:tcPr>
            <w:tcW w:w="0" w:type="auto"/>
            <w:hideMark/>
          </w:tcPr>
          <w:p w14:paraId="4CDFF7A6" w14:textId="77777777" w:rsidR="00A414B4" w:rsidRPr="00A414B4" w:rsidRDefault="00A414B4" w:rsidP="00A414B4">
            <w:pPr>
              <w:spacing w:after="160"/>
              <w:rPr>
                <w:sz w:val="20"/>
                <w:szCs w:val="18"/>
              </w:rPr>
            </w:pPr>
            <w:r w:rsidRPr="00A414B4">
              <w:rPr>
                <w:b/>
                <w:bCs/>
                <w:sz w:val="20"/>
                <w:szCs w:val="18"/>
              </w:rPr>
              <w:t>Capital Employed (CE)</w:t>
            </w:r>
          </w:p>
        </w:tc>
        <w:tc>
          <w:tcPr>
            <w:tcW w:w="0" w:type="auto"/>
            <w:hideMark/>
          </w:tcPr>
          <w:p w14:paraId="472C846E" w14:textId="77777777" w:rsidR="00A414B4" w:rsidRPr="00A414B4" w:rsidRDefault="00A414B4" w:rsidP="00A414B4">
            <w:pPr>
              <w:spacing w:after="160"/>
              <w:rPr>
                <w:sz w:val="20"/>
                <w:szCs w:val="18"/>
              </w:rPr>
            </w:pPr>
            <w:r w:rsidRPr="00A414B4">
              <w:rPr>
                <w:sz w:val="20"/>
                <w:szCs w:val="18"/>
              </w:rPr>
              <w:t>Total Assets − Current Liabilities</w:t>
            </w:r>
          </w:p>
        </w:tc>
        <w:tc>
          <w:tcPr>
            <w:tcW w:w="0" w:type="auto"/>
            <w:hideMark/>
          </w:tcPr>
          <w:p w14:paraId="11E143BC" w14:textId="77777777" w:rsidR="00A414B4" w:rsidRPr="00A414B4" w:rsidRDefault="00A414B4" w:rsidP="00A414B4">
            <w:pPr>
              <w:spacing w:after="160"/>
              <w:rPr>
                <w:sz w:val="20"/>
                <w:szCs w:val="18"/>
              </w:rPr>
            </w:pPr>
            <w:r w:rsidRPr="00A414B4">
              <w:rPr>
                <w:sz w:val="20"/>
                <w:szCs w:val="18"/>
              </w:rPr>
              <w:t>75,266,000 − 23,507,000</w:t>
            </w:r>
          </w:p>
        </w:tc>
        <w:tc>
          <w:tcPr>
            <w:tcW w:w="0" w:type="auto"/>
            <w:hideMark/>
          </w:tcPr>
          <w:p w14:paraId="09F039A0" w14:textId="77777777" w:rsidR="00A414B4" w:rsidRPr="00A414B4" w:rsidRDefault="00A414B4" w:rsidP="00A414B4">
            <w:pPr>
              <w:spacing w:after="160"/>
              <w:rPr>
                <w:sz w:val="20"/>
                <w:szCs w:val="18"/>
              </w:rPr>
            </w:pPr>
            <w:r w:rsidRPr="00A414B4">
              <w:rPr>
                <w:b/>
                <w:bCs/>
                <w:sz w:val="20"/>
                <w:szCs w:val="18"/>
              </w:rPr>
              <w:t>51,759,000</w:t>
            </w:r>
          </w:p>
        </w:tc>
        <w:tc>
          <w:tcPr>
            <w:tcW w:w="0" w:type="auto"/>
            <w:hideMark/>
          </w:tcPr>
          <w:p w14:paraId="5FDF56AF" w14:textId="77777777" w:rsidR="00A414B4" w:rsidRPr="00A414B4" w:rsidRDefault="00A414B4" w:rsidP="00A414B4">
            <w:pPr>
              <w:spacing w:after="160"/>
              <w:rPr>
                <w:sz w:val="20"/>
                <w:szCs w:val="18"/>
              </w:rPr>
            </w:pPr>
            <w:r w:rsidRPr="00A414B4">
              <w:rPr>
                <w:sz w:val="20"/>
                <w:szCs w:val="18"/>
              </w:rPr>
              <w:t>79,750,000 − 25,234,000</w:t>
            </w:r>
          </w:p>
        </w:tc>
        <w:tc>
          <w:tcPr>
            <w:tcW w:w="0" w:type="auto"/>
            <w:hideMark/>
          </w:tcPr>
          <w:p w14:paraId="160D742F" w14:textId="77777777" w:rsidR="00A414B4" w:rsidRPr="00A414B4" w:rsidRDefault="00A414B4" w:rsidP="00A414B4">
            <w:pPr>
              <w:spacing w:after="160"/>
              <w:rPr>
                <w:sz w:val="20"/>
                <w:szCs w:val="18"/>
              </w:rPr>
            </w:pPr>
            <w:r w:rsidRPr="00A414B4">
              <w:rPr>
                <w:b/>
                <w:bCs/>
                <w:sz w:val="20"/>
                <w:szCs w:val="18"/>
              </w:rPr>
              <w:t>54,516,000</w:t>
            </w:r>
          </w:p>
        </w:tc>
      </w:tr>
      <w:tr w:rsidR="00A414B4" w:rsidRPr="00A414B4" w14:paraId="5556EA48" w14:textId="77777777" w:rsidTr="00A414B4">
        <w:tc>
          <w:tcPr>
            <w:tcW w:w="0" w:type="auto"/>
            <w:hideMark/>
          </w:tcPr>
          <w:p w14:paraId="2B1AA85F" w14:textId="77777777" w:rsidR="00A414B4" w:rsidRPr="00A414B4" w:rsidRDefault="00A414B4" w:rsidP="00A414B4">
            <w:pPr>
              <w:spacing w:after="160"/>
              <w:rPr>
                <w:sz w:val="20"/>
                <w:szCs w:val="18"/>
              </w:rPr>
            </w:pPr>
            <w:r w:rsidRPr="00A414B4">
              <w:rPr>
                <w:b/>
                <w:bCs/>
                <w:sz w:val="20"/>
                <w:szCs w:val="18"/>
              </w:rPr>
              <w:t>ROCE</w:t>
            </w:r>
          </w:p>
        </w:tc>
        <w:tc>
          <w:tcPr>
            <w:tcW w:w="0" w:type="auto"/>
            <w:hideMark/>
          </w:tcPr>
          <w:p w14:paraId="38BA00C1" w14:textId="77777777" w:rsidR="00A414B4" w:rsidRPr="00A414B4" w:rsidRDefault="00A414B4" w:rsidP="00A414B4">
            <w:pPr>
              <w:spacing w:after="160"/>
              <w:rPr>
                <w:sz w:val="20"/>
                <w:szCs w:val="18"/>
              </w:rPr>
            </w:pPr>
            <w:r w:rsidRPr="00A414B4">
              <w:rPr>
                <w:sz w:val="20"/>
                <w:szCs w:val="18"/>
              </w:rPr>
              <w:t>Operating Income ÷ CE</w:t>
            </w:r>
          </w:p>
        </w:tc>
        <w:tc>
          <w:tcPr>
            <w:tcW w:w="0" w:type="auto"/>
            <w:hideMark/>
          </w:tcPr>
          <w:p w14:paraId="52BBC773" w14:textId="77777777" w:rsidR="00A414B4" w:rsidRPr="00A414B4" w:rsidRDefault="00A414B4" w:rsidP="00A414B4">
            <w:pPr>
              <w:spacing w:after="160"/>
              <w:rPr>
                <w:sz w:val="20"/>
                <w:szCs w:val="18"/>
              </w:rPr>
            </w:pPr>
            <w:r w:rsidRPr="00A414B4">
              <w:rPr>
                <w:sz w:val="20"/>
                <w:szCs w:val="18"/>
              </w:rPr>
              <w:t>10,041,000 ÷ 51,759,000</w:t>
            </w:r>
          </w:p>
        </w:tc>
        <w:tc>
          <w:tcPr>
            <w:tcW w:w="0" w:type="auto"/>
            <w:hideMark/>
          </w:tcPr>
          <w:p w14:paraId="08DF70BB" w14:textId="77777777" w:rsidR="00A414B4" w:rsidRPr="00A414B4" w:rsidRDefault="00A414B4" w:rsidP="00A414B4">
            <w:pPr>
              <w:spacing w:after="160"/>
              <w:rPr>
                <w:sz w:val="20"/>
                <w:szCs w:val="18"/>
              </w:rPr>
            </w:pPr>
            <w:r w:rsidRPr="00A414B4">
              <w:rPr>
                <w:b/>
                <w:bCs/>
                <w:sz w:val="20"/>
                <w:szCs w:val="18"/>
              </w:rPr>
              <w:t>0.1940 = 19.4%</w:t>
            </w:r>
          </w:p>
        </w:tc>
        <w:tc>
          <w:tcPr>
            <w:tcW w:w="0" w:type="auto"/>
            <w:hideMark/>
          </w:tcPr>
          <w:p w14:paraId="7EF46343" w14:textId="77777777" w:rsidR="00A414B4" w:rsidRPr="00A414B4" w:rsidRDefault="00A414B4" w:rsidP="00A414B4">
            <w:pPr>
              <w:spacing w:after="160"/>
              <w:rPr>
                <w:sz w:val="20"/>
                <w:szCs w:val="18"/>
              </w:rPr>
            </w:pPr>
            <w:r w:rsidRPr="00A414B4">
              <w:rPr>
                <w:sz w:val="20"/>
                <w:szCs w:val="18"/>
              </w:rPr>
              <w:t>11,250,000 ÷ 54,516,000</w:t>
            </w:r>
          </w:p>
        </w:tc>
        <w:tc>
          <w:tcPr>
            <w:tcW w:w="0" w:type="auto"/>
            <w:hideMark/>
          </w:tcPr>
          <w:p w14:paraId="0090FD6D" w14:textId="77777777" w:rsidR="00A414B4" w:rsidRPr="00A414B4" w:rsidRDefault="00A414B4" w:rsidP="00A414B4">
            <w:pPr>
              <w:spacing w:after="160"/>
              <w:rPr>
                <w:sz w:val="20"/>
                <w:szCs w:val="18"/>
              </w:rPr>
            </w:pPr>
            <w:r w:rsidRPr="00A414B4">
              <w:rPr>
                <w:b/>
                <w:bCs/>
                <w:sz w:val="20"/>
                <w:szCs w:val="18"/>
              </w:rPr>
              <w:t>0.2064 = 20.6%</w:t>
            </w:r>
          </w:p>
        </w:tc>
      </w:tr>
      <w:tr w:rsidR="00A414B4" w:rsidRPr="00A414B4" w14:paraId="01FC4933" w14:textId="77777777" w:rsidTr="00A414B4">
        <w:tc>
          <w:tcPr>
            <w:tcW w:w="0" w:type="auto"/>
            <w:hideMark/>
          </w:tcPr>
          <w:p w14:paraId="0266A208" w14:textId="77777777" w:rsidR="00A414B4" w:rsidRPr="00A414B4" w:rsidRDefault="00A414B4" w:rsidP="00A414B4">
            <w:pPr>
              <w:spacing w:after="160"/>
              <w:rPr>
                <w:sz w:val="20"/>
                <w:szCs w:val="18"/>
              </w:rPr>
            </w:pPr>
            <w:r w:rsidRPr="00A414B4">
              <w:rPr>
                <w:b/>
                <w:bCs/>
                <w:sz w:val="20"/>
                <w:szCs w:val="18"/>
              </w:rPr>
              <w:t>ROE</w:t>
            </w:r>
          </w:p>
        </w:tc>
        <w:tc>
          <w:tcPr>
            <w:tcW w:w="0" w:type="auto"/>
            <w:hideMark/>
          </w:tcPr>
          <w:p w14:paraId="3662ABA1" w14:textId="77777777" w:rsidR="00A414B4" w:rsidRPr="00A414B4" w:rsidRDefault="00A414B4" w:rsidP="00A414B4">
            <w:pPr>
              <w:spacing w:after="160"/>
              <w:rPr>
                <w:sz w:val="20"/>
                <w:szCs w:val="18"/>
              </w:rPr>
            </w:pPr>
            <w:r w:rsidRPr="00A414B4">
              <w:rPr>
                <w:sz w:val="20"/>
                <w:szCs w:val="18"/>
              </w:rPr>
              <w:t>Net Income ÷ Shareholders’ Equity</w:t>
            </w:r>
          </w:p>
        </w:tc>
        <w:tc>
          <w:tcPr>
            <w:tcW w:w="0" w:type="auto"/>
            <w:hideMark/>
          </w:tcPr>
          <w:p w14:paraId="025F051A" w14:textId="77777777" w:rsidR="00A414B4" w:rsidRPr="00A414B4" w:rsidRDefault="00A414B4" w:rsidP="00A414B4">
            <w:pPr>
              <w:spacing w:after="160"/>
              <w:rPr>
                <w:sz w:val="20"/>
                <w:szCs w:val="18"/>
              </w:rPr>
            </w:pPr>
            <w:r w:rsidRPr="00A414B4">
              <w:rPr>
                <w:sz w:val="20"/>
                <w:szCs w:val="18"/>
              </w:rPr>
              <w:t>6,487,000 ÷ 18,102,000</w:t>
            </w:r>
          </w:p>
        </w:tc>
        <w:tc>
          <w:tcPr>
            <w:tcW w:w="0" w:type="auto"/>
            <w:hideMark/>
          </w:tcPr>
          <w:p w14:paraId="1253771D" w14:textId="77777777" w:rsidR="00A414B4" w:rsidRPr="00A414B4" w:rsidRDefault="00A414B4" w:rsidP="00A414B4">
            <w:pPr>
              <w:spacing w:after="160"/>
              <w:rPr>
                <w:sz w:val="20"/>
                <w:szCs w:val="18"/>
              </w:rPr>
            </w:pPr>
            <w:r w:rsidRPr="00A414B4">
              <w:rPr>
                <w:b/>
                <w:bCs/>
                <w:sz w:val="20"/>
                <w:szCs w:val="18"/>
              </w:rPr>
              <w:t>0.3584 = 35.8%</w:t>
            </w:r>
          </w:p>
        </w:tc>
        <w:tc>
          <w:tcPr>
            <w:tcW w:w="0" w:type="auto"/>
            <w:hideMark/>
          </w:tcPr>
          <w:p w14:paraId="270D3DA6" w14:textId="77777777" w:rsidR="00A414B4" w:rsidRPr="00A414B4" w:rsidRDefault="00A414B4" w:rsidP="00A414B4">
            <w:pPr>
              <w:spacing w:after="160"/>
              <w:rPr>
                <w:sz w:val="20"/>
                <w:szCs w:val="18"/>
              </w:rPr>
            </w:pPr>
            <w:r w:rsidRPr="00A414B4">
              <w:rPr>
                <w:sz w:val="20"/>
                <w:szCs w:val="18"/>
              </w:rPr>
              <w:t>5,744,000 ÷ 19,990,000</w:t>
            </w:r>
          </w:p>
        </w:tc>
        <w:tc>
          <w:tcPr>
            <w:tcW w:w="0" w:type="auto"/>
            <w:hideMark/>
          </w:tcPr>
          <w:p w14:paraId="4202D6EE" w14:textId="77777777" w:rsidR="00A414B4" w:rsidRPr="00A414B4" w:rsidRDefault="00A414B4" w:rsidP="00A414B4">
            <w:pPr>
              <w:spacing w:after="160"/>
              <w:rPr>
                <w:sz w:val="20"/>
                <w:szCs w:val="18"/>
              </w:rPr>
            </w:pPr>
            <w:r w:rsidRPr="00A414B4">
              <w:rPr>
                <w:b/>
                <w:bCs/>
                <w:sz w:val="20"/>
                <w:szCs w:val="18"/>
              </w:rPr>
              <w:t>0.2873 = 28.7%</w:t>
            </w:r>
          </w:p>
        </w:tc>
      </w:tr>
    </w:tbl>
    <w:p w14:paraId="68E5C442" w14:textId="77777777" w:rsidR="00A414B4" w:rsidRDefault="00A414B4" w:rsidP="00A414B4"/>
    <w:p w14:paraId="3B988246" w14:textId="7A494B96" w:rsidR="00A414B4" w:rsidRPr="00A414B4" w:rsidRDefault="00A414B4" w:rsidP="00A414B4">
      <w:pPr>
        <w:rPr>
          <w:b/>
          <w:bCs/>
        </w:rPr>
      </w:pPr>
      <w:r w:rsidRPr="00A414B4">
        <w:rPr>
          <w:b/>
          <w:bCs/>
        </w:rPr>
        <w:t>B2. Liquidity Ratios</w:t>
      </w:r>
    </w:p>
    <w:p w14:paraId="64CA98C2" w14:textId="77777777" w:rsidR="00A414B4" w:rsidRPr="00A414B4" w:rsidRDefault="00A414B4" w:rsidP="00A414B4">
      <w:pPr>
        <w:rPr>
          <w:b/>
          <w:bCs/>
        </w:rPr>
      </w:pPr>
      <w:r w:rsidRPr="00A414B4">
        <w:rPr>
          <w:b/>
          <w:bCs/>
        </w:rPr>
        <w:t>Table B2: Liquidity – Workings (2023 vs 2024)</w:t>
      </w:r>
    </w:p>
    <w:tbl>
      <w:tblPr>
        <w:tblStyle w:val="TableGridLight"/>
        <w:tblW w:w="0" w:type="auto"/>
        <w:tblLook w:val="04A0" w:firstRow="1" w:lastRow="0" w:firstColumn="1" w:lastColumn="0" w:noHBand="0" w:noVBand="1"/>
      </w:tblPr>
      <w:tblGrid>
        <w:gridCol w:w="1527"/>
        <w:gridCol w:w="1981"/>
        <w:gridCol w:w="1823"/>
        <w:gridCol w:w="930"/>
        <w:gridCol w:w="1825"/>
        <w:gridCol w:w="930"/>
      </w:tblGrid>
      <w:tr w:rsidR="00A414B4" w:rsidRPr="00A414B4" w14:paraId="2301EF74" w14:textId="77777777" w:rsidTr="00A414B4">
        <w:tc>
          <w:tcPr>
            <w:tcW w:w="0" w:type="auto"/>
            <w:hideMark/>
          </w:tcPr>
          <w:p w14:paraId="4B5348CE" w14:textId="77777777" w:rsidR="00A414B4" w:rsidRPr="00A414B4" w:rsidRDefault="00A414B4" w:rsidP="00A414B4">
            <w:pPr>
              <w:spacing w:after="160"/>
              <w:rPr>
                <w:b/>
                <w:bCs/>
                <w:sz w:val="20"/>
                <w:szCs w:val="18"/>
              </w:rPr>
            </w:pPr>
            <w:r w:rsidRPr="00A414B4">
              <w:rPr>
                <w:b/>
                <w:bCs/>
                <w:sz w:val="20"/>
                <w:szCs w:val="18"/>
              </w:rPr>
              <w:t>Ratio</w:t>
            </w:r>
          </w:p>
        </w:tc>
        <w:tc>
          <w:tcPr>
            <w:tcW w:w="0" w:type="auto"/>
            <w:hideMark/>
          </w:tcPr>
          <w:p w14:paraId="551CEA1D" w14:textId="77777777" w:rsidR="00A414B4" w:rsidRPr="00A414B4" w:rsidRDefault="00A414B4" w:rsidP="00A414B4">
            <w:pPr>
              <w:spacing w:after="160"/>
              <w:rPr>
                <w:b/>
                <w:bCs/>
                <w:sz w:val="20"/>
                <w:szCs w:val="18"/>
              </w:rPr>
            </w:pPr>
            <w:r w:rsidRPr="00A414B4">
              <w:rPr>
                <w:b/>
                <w:bCs/>
                <w:sz w:val="20"/>
                <w:szCs w:val="18"/>
              </w:rPr>
              <w:t>Formula</w:t>
            </w:r>
          </w:p>
        </w:tc>
        <w:tc>
          <w:tcPr>
            <w:tcW w:w="0" w:type="auto"/>
            <w:hideMark/>
          </w:tcPr>
          <w:p w14:paraId="514E4E39" w14:textId="77777777" w:rsidR="00A414B4" w:rsidRPr="00A414B4" w:rsidRDefault="00A414B4" w:rsidP="00A414B4">
            <w:pPr>
              <w:spacing w:after="160"/>
              <w:rPr>
                <w:b/>
                <w:bCs/>
                <w:sz w:val="20"/>
                <w:szCs w:val="18"/>
              </w:rPr>
            </w:pPr>
            <w:r w:rsidRPr="00A414B4">
              <w:rPr>
                <w:b/>
                <w:bCs/>
                <w:sz w:val="20"/>
                <w:szCs w:val="18"/>
              </w:rPr>
              <w:t>2023 Workings</w:t>
            </w:r>
          </w:p>
        </w:tc>
        <w:tc>
          <w:tcPr>
            <w:tcW w:w="0" w:type="auto"/>
            <w:hideMark/>
          </w:tcPr>
          <w:p w14:paraId="441BCBEE" w14:textId="77777777" w:rsidR="00A414B4" w:rsidRPr="00A414B4" w:rsidRDefault="00A414B4" w:rsidP="00A414B4">
            <w:pPr>
              <w:spacing w:after="160"/>
              <w:rPr>
                <w:b/>
                <w:bCs/>
                <w:sz w:val="20"/>
                <w:szCs w:val="18"/>
              </w:rPr>
            </w:pPr>
            <w:r w:rsidRPr="00A414B4">
              <w:rPr>
                <w:b/>
                <w:bCs/>
                <w:sz w:val="20"/>
                <w:szCs w:val="18"/>
              </w:rPr>
              <w:t>2023 Result</w:t>
            </w:r>
          </w:p>
        </w:tc>
        <w:tc>
          <w:tcPr>
            <w:tcW w:w="0" w:type="auto"/>
            <w:hideMark/>
          </w:tcPr>
          <w:p w14:paraId="796B4086" w14:textId="77777777" w:rsidR="00A414B4" w:rsidRPr="00A414B4" w:rsidRDefault="00A414B4" w:rsidP="00A414B4">
            <w:pPr>
              <w:spacing w:after="160"/>
              <w:rPr>
                <w:b/>
                <w:bCs/>
                <w:sz w:val="20"/>
                <w:szCs w:val="18"/>
              </w:rPr>
            </w:pPr>
            <w:r w:rsidRPr="00A414B4">
              <w:rPr>
                <w:b/>
                <w:bCs/>
                <w:sz w:val="20"/>
                <w:szCs w:val="18"/>
              </w:rPr>
              <w:t>2024 Workings</w:t>
            </w:r>
          </w:p>
        </w:tc>
        <w:tc>
          <w:tcPr>
            <w:tcW w:w="0" w:type="auto"/>
            <w:hideMark/>
          </w:tcPr>
          <w:p w14:paraId="2297576F" w14:textId="77777777" w:rsidR="00A414B4" w:rsidRPr="00A414B4" w:rsidRDefault="00A414B4" w:rsidP="00A414B4">
            <w:pPr>
              <w:spacing w:after="160"/>
              <w:rPr>
                <w:b/>
                <w:bCs/>
                <w:sz w:val="20"/>
                <w:szCs w:val="18"/>
              </w:rPr>
            </w:pPr>
            <w:r w:rsidRPr="00A414B4">
              <w:rPr>
                <w:b/>
                <w:bCs/>
                <w:sz w:val="20"/>
                <w:szCs w:val="18"/>
              </w:rPr>
              <w:t>2024 Result</w:t>
            </w:r>
          </w:p>
        </w:tc>
      </w:tr>
      <w:tr w:rsidR="00A414B4" w:rsidRPr="00A414B4" w14:paraId="46CE089B" w14:textId="77777777" w:rsidTr="00A414B4">
        <w:tc>
          <w:tcPr>
            <w:tcW w:w="0" w:type="auto"/>
            <w:hideMark/>
          </w:tcPr>
          <w:p w14:paraId="1C4BFC7A" w14:textId="77777777" w:rsidR="00A414B4" w:rsidRPr="00A414B4" w:rsidRDefault="00A414B4" w:rsidP="00A414B4">
            <w:pPr>
              <w:spacing w:after="160"/>
              <w:rPr>
                <w:sz w:val="20"/>
                <w:szCs w:val="18"/>
              </w:rPr>
            </w:pPr>
            <w:r w:rsidRPr="00A414B4">
              <w:rPr>
                <w:b/>
                <w:bCs/>
                <w:sz w:val="20"/>
                <w:szCs w:val="18"/>
              </w:rPr>
              <w:t>Current Ratio</w:t>
            </w:r>
          </w:p>
        </w:tc>
        <w:tc>
          <w:tcPr>
            <w:tcW w:w="0" w:type="auto"/>
            <w:hideMark/>
          </w:tcPr>
          <w:p w14:paraId="2A2184CD" w14:textId="77777777" w:rsidR="00A414B4" w:rsidRPr="00A414B4" w:rsidRDefault="00A414B4" w:rsidP="00A414B4">
            <w:pPr>
              <w:spacing w:after="160"/>
              <w:rPr>
                <w:sz w:val="20"/>
                <w:szCs w:val="18"/>
              </w:rPr>
            </w:pPr>
            <w:r w:rsidRPr="00A414B4">
              <w:rPr>
                <w:sz w:val="20"/>
                <w:szCs w:val="18"/>
              </w:rPr>
              <w:t>Current Assets ÷ Current Liabilities</w:t>
            </w:r>
          </w:p>
        </w:tc>
        <w:tc>
          <w:tcPr>
            <w:tcW w:w="0" w:type="auto"/>
            <w:hideMark/>
          </w:tcPr>
          <w:p w14:paraId="62F073F4" w14:textId="77777777" w:rsidR="00A414B4" w:rsidRPr="00A414B4" w:rsidRDefault="00A414B4" w:rsidP="00A414B4">
            <w:pPr>
              <w:spacing w:after="160"/>
              <w:rPr>
                <w:sz w:val="20"/>
                <w:szCs w:val="18"/>
              </w:rPr>
            </w:pPr>
            <w:r w:rsidRPr="00A414B4">
              <w:rPr>
                <w:sz w:val="20"/>
                <w:szCs w:val="18"/>
              </w:rPr>
              <w:t>17,902,000 ÷ 23,507,000</w:t>
            </w:r>
          </w:p>
        </w:tc>
        <w:tc>
          <w:tcPr>
            <w:tcW w:w="0" w:type="auto"/>
            <w:hideMark/>
          </w:tcPr>
          <w:p w14:paraId="3D9D3C6B" w14:textId="77777777" w:rsidR="00A414B4" w:rsidRPr="00A414B4" w:rsidRDefault="00A414B4" w:rsidP="00A414B4">
            <w:pPr>
              <w:spacing w:after="160"/>
              <w:rPr>
                <w:sz w:val="20"/>
                <w:szCs w:val="18"/>
              </w:rPr>
            </w:pPr>
            <w:r w:rsidRPr="00A414B4">
              <w:rPr>
                <w:b/>
                <w:bCs/>
                <w:sz w:val="20"/>
                <w:szCs w:val="18"/>
              </w:rPr>
              <w:t>0.7616 ≈ 0.76</w:t>
            </w:r>
          </w:p>
        </w:tc>
        <w:tc>
          <w:tcPr>
            <w:tcW w:w="0" w:type="auto"/>
            <w:hideMark/>
          </w:tcPr>
          <w:p w14:paraId="5423BA79" w14:textId="77777777" w:rsidR="00A414B4" w:rsidRPr="00A414B4" w:rsidRDefault="00A414B4" w:rsidP="00A414B4">
            <w:pPr>
              <w:spacing w:after="160"/>
              <w:rPr>
                <w:sz w:val="20"/>
                <w:szCs w:val="18"/>
              </w:rPr>
            </w:pPr>
            <w:r w:rsidRPr="00A414B4">
              <w:rPr>
                <w:sz w:val="20"/>
                <w:szCs w:val="18"/>
              </w:rPr>
              <w:t>19,194,000 ÷ 25,234,000</w:t>
            </w:r>
          </w:p>
        </w:tc>
        <w:tc>
          <w:tcPr>
            <w:tcW w:w="0" w:type="auto"/>
            <w:hideMark/>
          </w:tcPr>
          <w:p w14:paraId="79B5997B" w14:textId="77777777" w:rsidR="00A414B4" w:rsidRPr="00A414B4" w:rsidRDefault="00A414B4" w:rsidP="00A414B4">
            <w:pPr>
              <w:spacing w:after="160"/>
              <w:rPr>
                <w:sz w:val="20"/>
                <w:szCs w:val="18"/>
              </w:rPr>
            </w:pPr>
            <w:r w:rsidRPr="00A414B4">
              <w:rPr>
                <w:b/>
                <w:bCs/>
                <w:sz w:val="20"/>
                <w:szCs w:val="18"/>
              </w:rPr>
              <w:t>0.7606 ≈ 0.76</w:t>
            </w:r>
          </w:p>
        </w:tc>
      </w:tr>
      <w:tr w:rsidR="00A414B4" w:rsidRPr="00A414B4" w14:paraId="7ADAEAB1" w14:textId="77777777" w:rsidTr="00A414B4">
        <w:tc>
          <w:tcPr>
            <w:tcW w:w="0" w:type="auto"/>
            <w:hideMark/>
          </w:tcPr>
          <w:p w14:paraId="692D0523" w14:textId="77777777" w:rsidR="00A414B4" w:rsidRPr="00A414B4" w:rsidRDefault="00A414B4" w:rsidP="00A414B4">
            <w:pPr>
              <w:spacing w:after="160"/>
              <w:rPr>
                <w:sz w:val="20"/>
                <w:szCs w:val="18"/>
              </w:rPr>
            </w:pPr>
            <w:r w:rsidRPr="00A414B4">
              <w:rPr>
                <w:b/>
                <w:bCs/>
                <w:sz w:val="20"/>
                <w:szCs w:val="18"/>
              </w:rPr>
              <w:t>Quick Ratio</w:t>
            </w:r>
          </w:p>
        </w:tc>
        <w:tc>
          <w:tcPr>
            <w:tcW w:w="0" w:type="auto"/>
            <w:hideMark/>
          </w:tcPr>
          <w:p w14:paraId="7F2AFFF4" w14:textId="77777777" w:rsidR="00A414B4" w:rsidRPr="00A414B4" w:rsidRDefault="00A414B4" w:rsidP="00A414B4">
            <w:pPr>
              <w:spacing w:after="160"/>
              <w:rPr>
                <w:sz w:val="20"/>
                <w:szCs w:val="18"/>
              </w:rPr>
            </w:pPr>
            <w:r w:rsidRPr="00A414B4">
              <w:rPr>
                <w:sz w:val="20"/>
                <w:szCs w:val="18"/>
              </w:rPr>
              <w:t>(Current Assets − Inventory) ÷ Current Liabilities</w:t>
            </w:r>
          </w:p>
        </w:tc>
        <w:tc>
          <w:tcPr>
            <w:tcW w:w="0" w:type="auto"/>
            <w:hideMark/>
          </w:tcPr>
          <w:p w14:paraId="2FAA3797" w14:textId="77777777" w:rsidR="00A414B4" w:rsidRPr="00A414B4" w:rsidRDefault="00A414B4" w:rsidP="00A414B4">
            <w:pPr>
              <w:spacing w:after="160"/>
              <w:rPr>
                <w:sz w:val="20"/>
                <w:szCs w:val="18"/>
              </w:rPr>
            </w:pPr>
            <w:r w:rsidRPr="00A414B4">
              <w:rPr>
                <w:sz w:val="20"/>
                <w:szCs w:val="18"/>
              </w:rPr>
              <w:t>(17,902,000 − 5,119,000) ÷ 23,507,000</w:t>
            </w:r>
          </w:p>
        </w:tc>
        <w:tc>
          <w:tcPr>
            <w:tcW w:w="0" w:type="auto"/>
            <w:hideMark/>
          </w:tcPr>
          <w:p w14:paraId="302370C0" w14:textId="77777777" w:rsidR="00A414B4" w:rsidRPr="00A414B4" w:rsidRDefault="00A414B4" w:rsidP="00A414B4">
            <w:pPr>
              <w:spacing w:after="160"/>
              <w:rPr>
                <w:sz w:val="20"/>
                <w:szCs w:val="18"/>
              </w:rPr>
            </w:pPr>
            <w:r w:rsidRPr="00A414B4">
              <w:rPr>
                <w:b/>
                <w:bCs/>
                <w:sz w:val="20"/>
                <w:szCs w:val="18"/>
              </w:rPr>
              <w:t>0.5438 ≈ 0.54</w:t>
            </w:r>
          </w:p>
        </w:tc>
        <w:tc>
          <w:tcPr>
            <w:tcW w:w="0" w:type="auto"/>
            <w:hideMark/>
          </w:tcPr>
          <w:p w14:paraId="5AA947DF" w14:textId="77777777" w:rsidR="00A414B4" w:rsidRPr="00A414B4" w:rsidRDefault="00A414B4" w:rsidP="00A414B4">
            <w:pPr>
              <w:spacing w:after="160"/>
              <w:rPr>
                <w:sz w:val="20"/>
                <w:szCs w:val="18"/>
              </w:rPr>
            </w:pPr>
            <w:r w:rsidRPr="00A414B4">
              <w:rPr>
                <w:sz w:val="20"/>
                <w:szCs w:val="18"/>
              </w:rPr>
              <w:t>(19,194,000 − 5,177,000) ÷ 25,234,000</w:t>
            </w:r>
          </w:p>
        </w:tc>
        <w:tc>
          <w:tcPr>
            <w:tcW w:w="0" w:type="auto"/>
            <w:hideMark/>
          </w:tcPr>
          <w:p w14:paraId="2B3712D9" w14:textId="77777777" w:rsidR="00A414B4" w:rsidRPr="00A414B4" w:rsidRDefault="00A414B4" w:rsidP="00A414B4">
            <w:pPr>
              <w:spacing w:after="160"/>
              <w:rPr>
                <w:sz w:val="20"/>
                <w:szCs w:val="18"/>
              </w:rPr>
            </w:pPr>
            <w:r w:rsidRPr="00A414B4">
              <w:rPr>
                <w:b/>
                <w:bCs/>
                <w:sz w:val="20"/>
                <w:szCs w:val="18"/>
              </w:rPr>
              <w:t>0.5555 ≈ 0.56</w:t>
            </w:r>
          </w:p>
        </w:tc>
      </w:tr>
      <w:tr w:rsidR="00A414B4" w:rsidRPr="00A414B4" w14:paraId="7F06413C" w14:textId="77777777" w:rsidTr="00A414B4">
        <w:tc>
          <w:tcPr>
            <w:tcW w:w="0" w:type="auto"/>
            <w:hideMark/>
          </w:tcPr>
          <w:p w14:paraId="3B6A7CAA" w14:textId="77777777" w:rsidR="00A414B4" w:rsidRPr="00A414B4" w:rsidRDefault="00A414B4" w:rsidP="00A414B4">
            <w:pPr>
              <w:spacing w:after="160"/>
              <w:rPr>
                <w:sz w:val="20"/>
                <w:szCs w:val="18"/>
              </w:rPr>
            </w:pPr>
            <w:r w:rsidRPr="00A414B4">
              <w:rPr>
                <w:b/>
                <w:bCs/>
                <w:sz w:val="20"/>
                <w:szCs w:val="18"/>
              </w:rPr>
              <w:t>Operating Cash Flow Ratio</w:t>
            </w:r>
          </w:p>
        </w:tc>
        <w:tc>
          <w:tcPr>
            <w:tcW w:w="0" w:type="auto"/>
            <w:hideMark/>
          </w:tcPr>
          <w:p w14:paraId="7F3D630A" w14:textId="77777777" w:rsidR="00A414B4" w:rsidRPr="00A414B4" w:rsidRDefault="00A414B4" w:rsidP="00A414B4">
            <w:pPr>
              <w:spacing w:after="160"/>
              <w:rPr>
                <w:sz w:val="20"/>
                <w:szCs w:val="18"/>
              </w:rPr>
            </w:pPr>
            <w:r w:rsidRPr="00A414B4">
              <w:rPr>
                <w:sz w:val="20"/>
                <w:szCs w:val="18"/>
              </w:rPr>
              <w:t>Operating Cash Flow ÷ Current Liabilities</w:t>
            </w:r>
          </w:p>
        </w:tc>
        <w:tc>
          <w:tcPr>
            <w:tcW w:w="0" w:type="auto"/>
            <w:hideMark/>
          </w:tcPr>
          <w:p w14:paraId="710D7C4D" w14:textId="77777777" w:rsidR="00A414B4" w:rsidRPr="00A414B4" w:rsidRDefault="00A414B4" w:rsidP="00A414B4">
            <w:pPr>
              <w:spacing w:after="160"/>
              <w:rPr>
                <w:sz w:val="20"/>
                <w:szCs w:val="18"/>
              </w:rPr>
            </w:pPr>
            <w:r w:rsidRPr="00A414B4">
              <w:rPr>
                <w:sz w:val="20"/>
                <w:szCs w:val="18"/>
              </w:rPr>
              <w:t>9,426,000 ÷ 23,507,000</w:t>
            </w:r>
          </w:p>
        </w:tc>
        <w:tc>
          <w:tcPr>
            <w:tcW w:w="0" w:type="auto"/>
            <w:hideMark/>
          </w:tcPr>
          <w:p w14:paraId="2D6697FA" w14:textId="77777777" w:rsidR="00A414B4" w:rsidRPr="00A414B4" w:rsidRDefault="00A414B4" w:rsidP="00A414B4">
            <w:pPr>
              <w:spacing w:after="160"/>
              <w:rPr>
                <w:sz w:val="20"/>
                <w:szCs w:val="18"/>
              </w:rPr>
            </w:pPr>
            <w:r w:rsidRPr="00A414B4">
              <w:rPr>
                <w:b/>
                <w:bCs/>
                <w:sz w:val="20"/>
                <w:szCs w:val="18"/>
              </w:rPr>
              <w:t>0.4010 ≈ 0.40</w:t>
            </w:r>
          </w:p>
        </w:tc>
        <w:tc>
          <w:tcPr>
            <w:tcW w:w="0" w:type="auto"/>
            <w:hideMark/>
          </w:tcPr>
          <w:p w14:paraId="53E10AFD" w14:textId="77777777" w:rsidR="00A414B4" w:rsidRPr="00A414B4" w:rsidRDefault="00A414B4" w:rsidP="00A414B4">
            <w:pPr>
              <w:spacing w:after="160"/>
              <w:rPr>
                <w:sz w:val="20"/>
                <w:szCs w:val="18"/>
              </w:rPr>
            </w:pPr>
            <w:r w:rsidRPr="00A414B4">
              <w:rPr>
                <w:sz w:val="20"/>
                <w:szCs w:val="18"/>
              </w:rPr>
              <w:t>8,442,000 ÷ 25,234,000</w:t>
            </w:r>
          </w:p>
        </w:tc>
        <w:tc>
          <w:tcPr>
            <w:tcW w:w="0" w:type="auto"/>
            <w:hideMark/>
          </w:tcPr>
          <w:p w14:paraId="7B6F7C73" w14:textId="77777777" w:rsidR="00A414B4" w:rsidRPr="00A414B4" w:rsidRDefault="00A414B4" w:rsidP="00A414B4">
            <w:pPr>
              <w:spacing w:after="160"/>
              <w:rPr>
                <w:sz w:val="20"/>
                <w:szCs w:val="18"/>
              </w:rPr>
            </w:pPr>
            <w:r w:rsidRPr="00A414B4">
              <w:rPr>
                <w:b/>
                <w:bCs/>
                <w:sz w:val="20"/>
                <w:szCs w:val="18"/>
              </w:rPr>
              <w:t>0.3345 ≈ 0.33</w:t>
            </w:r>
          </w:p>
        </w:tc>
      </w:tr>
    </w:tbl>
    <w:p w14:paraId="3C1F8C18" w14:textId="77777777" w:rsidR="00A414B4" w:rsidRDefault="00A414B4" w:rsidP="00A414B4"/>
    <w:p w14:paraId="0B6E05BD" w14:textId="16EA788E" w:rsidR="00A414B4" w:rsidRPr="00A414B4" w:rsidRDefault="00A414B4" w:rsidP="00A414B4">
      <w:pPr>
        <w:rPr>
          <w:b/>
          <w:bCs/>
        </w:rPr>
      </w:pPr>
      <w:r w:rsidRPr="00A414B4">
        <w:rPr>
          <w:b/>
          <w:bCs/>
        </w:rPr>
        <w:t>B3. Efficiency Ratios</w:t>
      </w:r>
    </w:p>
    <w:p w14:paraId="16DED305" w14:textId="77777777" w:rsidR="00A414B4" w:rsidRPr="00A414B4" w:rsidRDefault="00A414B4" w:rsidP="00A414B4">
      <w:pPr>
        <w:rPr>
          <w:b/>
          <w:bCs/>
        </w:rPr>
      </w:pPr>
      <w:r w:rsidRPr="00A414B4">
        <w:rPr>
          <w:b/>
          <w:bCs/>
        </w:rPr>
        <w:lastRenderedPageBreak/>
        <w:t>Table B3: Efficiency – Workings (2023 vs 2024)</w:t>
      </w:r>
    </w:p>
    <w:tbl>
      <w:tblPr>
        <w:tblStyle w:val="TableGridLight"/>
        <w:tblW w:w="0" w:type="auto"/>
        <w:tblLook w:val="04A0" w:firstRow="1" w:lastRow="0" w:firstColumn="1" w:lastColumn="0" w:noHBand="0" w:noVBand="1"/>
      </w:tblPr>
      <w:tblGrid>
        <w:gridCol w:w="1385"/>
        <w:gridCol w:w="1921"/>
        <w:gridCol w:w="1822"/>
        <w:gridCol w:w="1033"/>
        <w:gridCol w:w="1822"/>
        <w:gridCol w:w="1033"/>
      </w:tblGrid>
      <w:tr w:rsidR="00A414B4" w:rsidRPr="00A414B4" w14:paraId="17FF283F" w14:textId="77777777" w:rsidTr="00A414B4">
        <w:tc>
          <w:tcPr>
            <w:tcW w:w="0" w:type="auto"/>
            <w:hideMark/>
          </w:tcPr>
          <w:p w14:paraId="7D52127F" w14:textId="77777777" w:rsidR="00A414B4" w:rsidRPr="00A414B4" w:rsidRDefault="00A414B4" w:rsidP="00A414B4">
            <w:pPr>
              <w:spacing w:after="160"/>
              <w:rPr>
                <w:b/>
                <w:bCs/>
                <w:sz w:val="20"/>
                <w:szCs w:val="18"/>
              </w:rPr>
            </w:pPr>
            <w:r w:rsidRPr="00A414B4">
              <w:rPr>
                <w:b/>
                <w:bCs/>
                <w:sz w:val="20"/>
                <w:szCs w:val="18"/>
              </w:rPr>
              <w:t>Ratio</w:t>
            </w:r>
          </w:p>
        </w:tc>
        <w:tc>
          <w:tcPr>
            <w:tcW w:w="0" w:type="auto"/>
            <w:hideMark/>
          </w:tcPr>
          <w:p w14:paraId="509C8E5E" w14:textId="77777777" w:rsidR="00A414B4" w:rsidRPr="00A414B4" w:rsidRDefault="00A414B4" w:rsidP="00A414B4">
            <w:pPr>
              <w:spacing w:after="160"/>
              <w:rPr>
                <w:b/>
                <w:bCs/>
                <w:sz w:val="20"/>
                <w:szCs w:val="18"/>
              </w:rPr>
            </w:pPr>
            <w:r w:rsidRPr="00A414B4">
              <w:rPr>
                <w:b/>
                <w:bCs/>
                <w:sz w:val="20"/>
                <w:szCs w:val="18"/>
              </w:rPr>
              <w:t>Formula</w:t>
            </w:r>
          </w:p>
        </w:tc>
        <w:tc>
          <w:tcPr>
            <w:tcW w:w="0" w:type="auto"/>
            <w:hideMark/>
          </w:tcPr>
          <w:p w14:paraId="210E8C49" w14:textId="77777777" w:rsidR="00A414B4" w:rsidRPr="00A414B4" w:rsidRDefault="00A414B4" w:rsidP="00A414B4">
            <w:pPr>
              <w:spacing w:after="160"/>
              <w:rPr>
                <w:b/>
                <w:bCs/>
                <w:sz w:val="20"/>
                <w:szCs w:val="18"/>
              </w:rPr>
            </w:pPr>
            <w:r w:rsidRPr="00A414B4">
              <w:rPr>
                <w:b/>
                <w:bCs/>
                <w:sz w:val="20"/>
                <w:szCs w:val="18"/>
              </w:rPr>
              <w:t>2023 Workings</w:t>
            </w:r>
          </w:p>
        </w:tc>
        <w:tc>
          <w:tcPr>
            <w:tcW w:w="0" w:type="auto"/>
            <w:hideMark/>
          </w:tcPr>
          <w:p w14:paraId="462881B8" w14:textId="77777777" w:rsidR="00A414B4" w:rsidRPr="00A414B4" w:rsidRDefault="00A414B4" w:rsidP="00A414B4">
            <w:pPr>
              <w:spacing w:after="160"/>
              <w:rPr>
                <w:b/>
                <w:bCs/>
                <w:sz w:val="20"/>
                <w:szCs w:val="18"/>
              </w:rPr>
            </w:pPr>
            <w:r w:rsidRPr="00A414B4">
              <w:rPr>
                <w:b/>
                <w:bCs/>
                <w:sz w:val="20"/>
                <w:szCs w:val="18"/>
              </w:rPr>
              <w:t>2023 Result</w:t>
            </w:r>
          </w:p>
        </w:tc>
        <w:tc>
          <w:tcPr>
            <w:tcW w:w="0" w:type="auto"/>
            <w:hideMark/>
          </w:tcPr>
          <w:p w14:paraId="1B054856" w14:textId="77777777" w:rsidR="00A414B4" w:rsidRPr="00A414B4" w:rsidRDefault="00A414B4" w:rsidP="00A414B4">
            <w:pPr>
              <w:spacing w:after="160"/>
              <w:rPr>
                <w:b/>
                <w:bCs/>
                <w:sz w:val="20"/>
                <w:szCs w:val="18"/>
              </w:rPr>
            </w:pPr>
            <w:r w:rsidRPr="00A414B4">
              <w:rPr>
                <w:b/>
                <w:bCs/>
                <w:sz w:val="20"/>
                <w:szCs w:val="18"/>
              </w:rPr>
              <w:t>2024 Workings</w:t>
            </w:r>
          </w:p>
        </w:tc>
        <w:tc>
          <w:tcPr>
            <w:tcW w:w="0" w:type="auto"/>
            <w:hideMark/>
          </w:tcPr>
          <w:p w14:paraId="34B4D293" w14:textId="77777777" w:rsidR="00A414B4" w:rsidRPr="00A414B4" w:rsidRDefault="00A414B4" w:rsidP="00A414B4">
            <w:pPr>
              <w:spacing w:after="160"/>
              <w:rPr>
                <w:b/>
                <w:bCs/>
                <w:sz w:val="20"/>
                <w:szCs w:val="18"/>
              </w:rPr>
            </w:pPr>
            <w:r w:rsidRPr="00A414B4">
              <w:rPr>
                <w:b/>
                <w:bCs/>
                <w:sz w:val="20"/>
                <w:szCs w:val="18"/>
              </w:rPr>
              <w:t>2024 Result</w:t>
            </w:r>
          </w:p>
        </w:tc>
      </w:tr>
      <w:tr w:rsidR="00A414B4" w:rsidRPr="00A414B4" w14:paraId="62C3D691" w14:textId="77777777" w:rsidTr="00A414B4">
        <w:tc>
          <w:tcPr>
            <w:tcW w:w="0" w:type="auto"/>
            <w:hideMark/>
          </w:tcPr>
          <w:p w14:paraId="32B7C05F" w14:textId="77777777" w:rsidR="00A414B4" w:rsidRPr="00A414B4" w:rsidRDefault="00A414B4" w:rsidP="00A414B4">
            <w:pPr>
              <w:spacing w:after="160"/>
              <w:rPr>
                <w:sz w:val="20"/>
                <w:szCs w:val="18"/>
              </w:rPr>
            </w:pPr>
            <w:r w:rsidRPr="00A414B4">
              <w:rPr>
                <w:b/>
                <w:bCs/>
                <w:sz w:val="20"/>
                <w:szCs w:val="18"/>
              </w:rPr>
              <w:t>Asset Turnover</w:t>
            </w:r>
          </w:p>
        </w:tc>
        <w:tc>
          <w:tcPr>
            <w:tcW w:w="0" w:type="auto"/>
            <w:hideMark/>
          </w:tcPr>
          <w:p w14:paraId="4E5BBAED" w14:textId="77777777" w:rsidR="00A414B4" w:rsidRPr="00A414B4" w:rsidRDefault="00A414B4" w:rsidP="00A414B4">
            <w:pPr>
              <w:spacing w:after="160"/>
              <w:rPr>
                <w:sz w:val="20"/>
                <w:szCs w:val="18"/>
              </w:rPr>
            </w:pPr>
            <w:r w:rsidRPr="00A414B4">
              <w:rPr>
                <w:sz w:val="20"/>
                <w:szCs w:val="18"/>
              </w:rPr>
              <w:t>Revenue ÷ Total Assets</w:t>
            </w:r>
          </w:p>
        </w:tc>
        <w:tc>
          <w:tcPr>
            <w:tcW w:w="0" w:type="auto"/>
            <w:hideMark/>
          </w:tcPr>
          <w:p w14:paraId="301EFBB4" w14:textId="77777777" w:rsidR="00A414B4" w:rsidRPr="00A414B4" w:rsidRDefault="00A414B4" w:rsidP="00A414B4">
            <w:pPr>
              <w:spacing w:after="160"/>
              <w:rPr>
                <w:sz w:val="20"/>
                <w:szCs w:val="18"/>
              </w:rPr>
            </w:pPr>
            <w:r w:rsidRPr="00A414B4">
              <w:rPr>
                <w:sz w:val="20"/>
                <w:szCs w:val="18"/>
              </w:rPr>
              <w:t>59,604,000 ÷ 75,266,000</w:t>
            </w:r>
          </w:p>
        </w:tc>
        <w:tc>
          <w:tcPr>
            <w:tcW w:w="0" w:type="auto"/>
            <w:hideMark/>
          </w:tcPr>
          <w:p w14:paraId="2FAAE78E" w14:textId="77777777" w:rsidR="00A414B4" w:rsidRPr="00A414B4" w:rsidRDefault="00A414B4" w:rsidP="00A414B4">
            <w:pPr>
              <w:spacing w:after="160"/>
              <w:rPr>
                <w:sz w:val="20"/>
                <w:szCs w:val="18"/>
              </w:rPr>
            </w:pPr>
            <w:r w:rsidRPr="00A414B4">
              <w:rPr>
                <w:b/>
                <w:bCs/>
                <w:sz w:val="20"/>
                <w:szCs w:val="18"/>
              </w:rPr>
              <w:t>0.7919 ≈ 0.79</w:t>
            </w:r>
          </w:p>
        </w:tc>
        <w:tc>
          <w:tcPr>
            <w:tcW w:w="0" w:type="auto"/>
            <w:hideMark/>
          </w:tcPr>
          <w:p w14:paraId="4A821125" w14:textId="77777777" w:rsidR="00A414B4" w:rsidRPr="00A414B4" w:rsidRDefault="00A414B4" w:rsidP="00A414B4">
            <w:pPr>
              <w:spacing w:after="160"/>
              <w:rPr>
                <w:sz w:val="20"/>
                <w:szCs w:val="18"/>
              </w:rPr>
            </w:pPr>
            <w:r w:rsidRPr="00A414B4">
              <w:rPr>
                <w:sz w:val="20"/>
                <w:szCs w:val="18"/>
              </w:rPr>
              <w:t>60,761,000 ÷ 79,750,000</w:t>
            </w:r>
          </w:p>
        </w:tc>
        <w:tc>
          <w:tcPr>
            <w:tcW w:w="0" w:type="auto"/>
            <w:hideMark/>
          </w:tcPr>
          <w:p w14:paraId="7AD89B1E" w14:textId="77777777" w:rsidR="00A414B4" w:rsidRPr="00A414B4" w:rsidRDefault="00A414B4" w:rsidP="00A414B4">
            <w:pPr>
              <w:spacing w:after="160"/>
              <w:rPr>
                <w:sz w:val="20"/>
                <w:szCs w:val="18"/>
              </w:rPr>
            </w:pPr>
            <w:r w:rsidRPr="00A414B4">
              <w:rPr>
                <w:b/>
                <w:bCs/>
                <w:sz w:val="20"/>
                <w:szCs w:val="18"/>
              </w:rPr>
              <w:t>0.7619 ≈ 0.76</w:t>
            </w:r>
          </w:p>
        </w:tc>
      </w:tr>
      <w:tr w:rsidR="00A414B4" w:rsidRPr="00A414B4" w14:paraId="39856FDA" w14:textId="77777777" w:rsidTr="00A414B4">
        <w:tc>
          <w:tcPr>
            <w:tcW w:w="0" w:type="auto"/>
            <w:hideMark/>
          </w:tcPr>
          <w:p w14:paraId="0E0B5E82" w14:textId="77777777" w:rsidR="00A414B4" w:rsidRPr="00A414B4" w:rsidRDefault="00A414B4" w:rsidP="00A414B4">
            <w:pPr>
              <w:spacing w:after="160"/>
              <w:rPr>
                <w:sz w:val="20"/>
                <w:szCs w:val="18"/>
              </w:rPr>
            </w:pPr>
            <w:r w:rsidRPr="00A414B4">
              <w:rPr>
                <w:b/>
                <w:bCs/>
                <w:sz w:val="20"/>
                <w:szCs w:val="18"/>
              </w:rPr>
              <w:t>Inventory Days</w:t>
            </w:r>
          </w:p>
        </w:tc>
        <w:tc>
          <w:tcPr>
            <w:tcW w:w="0" w:type="auto"/>
            <w:hideMark/>
          </w:tcPr>
          <w:p w14:paraId="65354EEE" w14:textId="77777777" w:rsidR="00A414B4" w:rsidRPr="00A414B4" w:rsidRDefault="00A414B4" w:rsidP="00A414B4">
            <w:pPr>
              <w:spacing w:after="160"/>
              <w:rPr>
                <w:sz w:val="20"/>
                <w:szCs w:val="18"/>
              </w:rPr>
            </w:pPr>
            <w:r w:rsidRPr="00A414B4">
              <w:rPr>
                <w:sz w:val="20"/>
                <w:szCs w:val="18"/>
              </w:rPr>
              <w:t>(Inventory ÷ Cost of Revenue) × 365</w:t>
            </w:r>
          </w:p>
        </w:tc>
        <w:tc>
          <w:tcPr>
            <w:tcW w:w="0" w:type="auto"/>
            <w:hideMark/>
          </w:tcPr>
          <w:p w14:paraId="4921F905" w14:textId="77777777" w:rsidR="00A414B4" w:rsidRPr="00A414B4" w:rsidRDefault="00A414B4" w:rsidP="00A414B4">
            <w:pPr>
              <w:spacing w:after="160"/>
              <w:rPr>
                <w:sz w:val="20"/>
                <w:szCs w:val="18"/>
              </w:rPr>
            </w:pPr>
            <w:r w:rsidRPr="00A414B4">
              <w:rPr>
                <w:sz w:val="20"/>
                <w:szCs w:val="18"/>
              </w:rPr>
              <w:t>(5,119,000 ÷ 34,429,000) × 365</w:t>
            </w:r>
          </w:p>
        </w:tc>
        <w:tc>
          <w:tcPr>
            <w:tcW w:w="0" w:type="auto"/>
            <w:hideMark/>
          </w:tcPr>
          <w:p w14:paraId="375B189F" w14:textId="77777777" w:rsidR="00A414B4" w:rsidRPr="00A414B4" w:rsidRDefault="00A414B4" w:rsidP="00A414B4">
            <w:pPr>
              <w:spacing w:after="160"/>
              <w:rPr>
                <w:sz w:val="20"/>
                <w:szCs w:val="18"/>
              </w:rPr>
            </w:pPr>
            <w:r w:rsidRPr="00A414B4">
              <w:rPr>
                <w:b/>
                <w:bCs/>
                <w:sz w:val="20"/>
                <w:szCs w:val="18"/>
              </w:rPr>
              <w:t>54.27 ≈ 54 days</w:t>
            </w:r>
          </w:p>
        </w:tc>
        <w:tc>
          <w:tcPr>
            <w:tcW w:w="0" w:type="auto"/>
            <w:hideMark/>
          </w:tcPr>
          <w:p w14:paraId="3CCC6381" w14:textId="77777777" w:rsidR="00A414B4" w:rsidRPr="00A414B4" w:rsidRDefault="00A414B4" w:rsidP="00A414B4">
            <w:pPr>
              <w:spacing w:after="160"/>
              <w:rPr>
                <w:sz w:val="20"/>
                <w:szCs w:val="18"/>
              </w:rPr>
            </w:pPr>
            <w:r w:rsidRPr="00A414B4">
              <w:rPr>
                <w:sz w:val="20"/>
                <w:szCs w:val="18"/>
              </w:rPr>
              <w:t>(5,177,000 ÷ 33,391,000) × 365</w:t>
            </w:r>
          </w:p>
        </w:tc>
        <w:tc>
          <w:tcPr>
            <w:tcW w:w="0" w:type="auto"/>
            <w:hideMark/>
          </w:tcPr>
          <w:p w14:paraId="08121A3E" w14:textId="77777777" w:rsidR="00A414B4" w:rsidRPr="00A414B4" w:rsidRDefault="00A414B4" w:rsidP="00A414B4">
            <w:pPr>
              <w:spacing w:after="160"/>
              <w:rPr>
                <w:sz w:val="20"/>
                <w:szCs w:val="18"/>
              </w:rPr>
            </w:pPr>
            <w:r w:rsidRPr="00A414B4">
              <w:rPr>
                <w:b/>
                <w:bCs/>
                <w:sz w:val="20"/>
                <w:szCs w:val="18"/>
              </w:rPr>
              <w:t>56.59 ≈ 57 days</w:t>
            </w:r>
          </w:p>
        </w:tc>
      </w:tr>
      <w:tr w:rsidR="00A414B4" w:rsidRPr="00A414B4" w14:paraId="17996D74" w14:textId="77777777" w:rsidTr="00A414B4">
        <w:tc>
          <w:tcPr>
            <w:tcW w:w="0" w:type="auto"/>
            <w:hideMark/>
          </w:tcPr>
          <w:p w14:paraId="4F20C1EE" w14:textId="77777777" w:rsidR="00A414B4" w:rsidRPr="00A414B4" w:rsidRDefault="00A414B4" w:rsidP="00A414B4">
            <w:pPr>
              <w:spacing w:after="160"/>
              <w:rPr>
                <w:sz w:val="20"/>
                <w:szCs w:val="18"/>
              </w:rPr>
            </w:pPr>
            <w:r w:rsidRPr="00A414B4">
              <w:rPr>
                <w:b/>
                <w:bCs/>
                <w:sz w:val="20"/>
                <w:szCs w:val="18"/>
              </w:rPr>
              <w:t>Receivables Days</w:t>
            </w:r>
          </w:p>
        </w:tc>
        <w:tc>
          <w:tcPr>
            <w:tcW w:w="0" w:type="auto"/>
            <w:hideMark/>
          </w:tcPr>
          <w:p w14:paraId="36BCA918" w14:textId="77777777" w:rsidR="00A414B4" w:rsidRPr="00A414B4" w:rsidRDefault="00A414B4" w:rsidP="00A414B4">
            <w:pPr>
              <w:spacing w:after="160"/>
              <w:rPr>
                <w:sz w:val="20"/>
                <w:szCs w:val="18"/>
              </w:rPr>
            </w:pPr>
            <w:r w:rsidRPr="00A414B4">
              <w:rPr>
                <w:sz w:val="20"/>
                <w:szCs w:val="18"/>
              </w:rPr>
              <w:t>(Trade Receivables ÷ Revenue) × 365</w:t>
            </w:r>
          </w:p>
        </w:tc>
        <w:tc>
          <w:tcPr>
            <w:tcW w:w="0" w:type="auto"/>
            <w:hideMark/>
          </w:tcPr>
          <w:p w14:paraId="7EAFCB31" w14:textId="77777777" w:rsidR="00A414B4" w:rsidRPr="00A414B4" w:rsidRDefault="00A414B4" w:rsidP="00A414B4">
            <w:pPr>
              <w:spacing w:after="160"/>
              <w:rPr>
                <w:sz w:val="20"/>
                <w:szCs w:val="18"/>
              </w:rPr>
            </w:pPr>
            <w:r w:rsidRPr="00A414B4">
              <w:rPr>
                <w:b/>
                <w:bCs/>
                <w:sz w:val="20"/>
                <w:szCs w:val="18"/>
              </w:rPr>
              <w:t>Trade Receivables not provided</w:t>
            </w:r>
          </w:p>
        </w:tc>
        <w:tc>
          <w:tcPr>
            <w:tcW w:w="0" w:type="auto"/>
            <w:hideMark/>
          </w:tcPr>
          <w:p w14:paraId="39130FF6" w14:textId="77777777" w:rsidR="00A414B4" w:rsidRPr="00A414B4" w:rsidRDefault="00A414B4" w:rsidP="00A414B4">
            <w:pPr>
              <w:spacing w:after="160"/>
              <w:rPr>
                <w:sz w:val="20"/>
                <w:szCs w:val="18"/>
              </w:rPr>
            </w:pPr>
            <w:r w:rsidRPr="00A414B4">
              <w:rPr>
                <w:b/>
                <w:bCs/>
                <w:sz w:val="20"/>
                <w:szCs w:val="18"/>
              </w:rPr>
              <w:t>N/A</w:t>
            </w:r>
          </w:p>
        </w:tc>
        <w:tc>
          <w:tcPr>
            <w:tcW w:w="0" w:type="auto"/>
            <w:hideMark/>
          </w:tcPr>
          <w:p w14:paraId="2B581F45" w14:textId="77777777" w:rsidR="00A414B4" w:rsidRPr="00A414B4" w:rsidRDefault="00A414B4" w:rsidP="00A414B4">
            <w:pPr>
              <w:spacing w:after="160"/>
              <w:rPr>
                <w:sz w:val="20"/>
                <w:szCs w:val="18"/>
              </w:rPr>
            </w:pPr>
            <w:r w:rsidRPr="00A414B4">
              <w:rPr>
                <w:b/>
                <w:bCs/>
                <w:sz w:val="20"/>
                <w:szCs w:val="18"/>
              </w:rPr>
              <w:t>Trade Receivables not provided</w:t>
            </w:r>
          </w:p>
        </w:tc>
        <w:tc>
          <w:tcPr>
            <w:tcW w:w="0" w:type="auto"/>
            <w:hideMark/>
          </w:tcPr>
          <w:p w14:paraId="6EB457CE" w14:textId="77777777" w:rsidR="00A414B4" w:rsidRPr="00A414B4" w:rsidRDefault="00A414B4" w:rsidP="00A414B4">
            <w:pPr>
              <w:spacing w:after="160"/>
              <w:rPr>
                <w:sz w:val="20"/>
                <w:szCs w:val="18"/>
              </w:rPr>
            </w:pPr>
            <w:r w:rsidRPr="00A414B4">
              <w:rPr>
                <w:b/>
                <w:bCs/>
                <w:sz w:val="20"/>
                <w:szCs w:val="18"/>
              </w:rPr>
              <w:t>N/A</w:t>
            </w:r>
          </w:p>
        </w:tc>
      </w:tr>
    </w:tbl>
    <w:p w14:paraId="6F0767C9" w14:textId="77777777" w:rsidR="00A414B4" w:rsidRDefault="00A414B4" w:rsidP="00A414B4"/>
    <w:p w14:paraId="0DB222F8" w14:textId="6C5409C3" w:rsidR="00A414B4" w:rsidRPr="00A414B4" w:rsidRDefault="00A414B4" w:rsidP="00A414B4">
      <w:pPr>
        <w:rPr>
          <w:b/>
          <w:bCs/>
        </w:rPr>
      </w:pPr>
      <w:r w:rsidRPr="00A414B4">
        <w:rPr>
          <w:b/>
          <w:bCs/>
        </w:rPr>
        <w:t>B4. Gearing &amp; Capital Structure Ratios</w:t>
      </w:r>
    </w:p>
    <w:p w14:paraId="05F435C6" w14:textId="77777777" w:rsidR="00A414B4" w:rsidRPr="00A414B4" w:rsidRDefault="00A414B4" w:rsidP="00A414B4">
      <w:pPr>
        <w:rPr>
          <w:b/>
          <w:bCs/>
        </w:rPr>
      </w:pPr>
      <w:r w:rsidRPr="00A414B4">
        <w:rPr>
          <w:b/>
          <w:bCs/>
        </w:rPr>
        <w:t>Table B4: Gearing – Workings (2023 vs 2024)</w:t>
      </w:r>
    </w:p>
    <w:tbl>
      <w:tblPr>
        <w:tblStyle w:val="TableGridLight"/>
        <w:tblW w:w="0" w:type="auto"/>
        <w:tblLook w:val="04A0" w:firstRow="1" w:lastRow="0" w:firstColumn="1" w:lastColumn="0" w:noHBand="0" w:noVBand="1"/>
      </w:tblPr>
      <w:tblGrid>
        <w:gridCol w:w="1442"/>
        <w:gridCol w:w="2130"/>
        <w:gridCol w:w="1670"/>
        <w:gridCol w:w="1052"/>
        <w:gridCol w:w="1670"/>
        <w:gridCol w:w="1052"/>
      </w:tblGrid>
      <w:tr w:rsidR="00A414B4" w:rsidRPr="00A414B4" w14:paraId="55A6943A" w14:textId="77777777" w:rsidTr="00A414B4">
        <w:tc>
          <w:tcPr>
            <w:tcW w:w="0" w:type="auto"/>
            <w:hideMark/>
          </w:tcPr>
          <w:p w14:paraId="04BFB0D2" w14:textId="77777777" w:rsidR="00A414B4" w:rsidRPr="00A414B4" w:rsidRDefault="00A414B4" w:rsidP="00A414B4">
            <w:pPr>
              <w:spacing w:after="160"/>
              <w:rPr>
                <w:b/>
                <w:bCs/>
                <w:sz w:val="20"/>
                <w:szCs w:val="18"/>
              </w:rPr>
            </w:pPr>
            <w:r w:rsidRPr="00A414B4">
              <w:rPr>
                <w:b/>
                <w:bCs/>
                <w:sz w:val="20"/>
                <w:szCs w:val="18"/>
              </w:rPr>
              <w:t>Ratio</w:t>
            </w:r>
          </w:p>
        </w:tc>
        <w:tc>
          <w:tcPr>
            <w:tcW w:w="0" w:type="auto"/>
            <w:hideMark/>
          </w:tcPr>
          <w:p w14:paraId="48EF0B21" w14:textId="77777777" w:rsidR="00A414B4" w:rsidRPr="00A414B4" w:rsidRDefault="00A414B4" w:rsidP="00A414B4">
            <w:pPr>
              <w:spacing w:after="160"/>
              <w:rPr>
                <w:b/>
                <w:bCs/>
                <w:sz w:val="20"/>
                <w:szCs w:val="18"/>
              </w:rPr>
            </w:pPr>
            <w:r w:rsidRPr="00A414B4">
              <w:rPr>
                <w:b/>
                <w:bCs/>
                <w:sz w:val="20"/>
                <w:szCs w:val="18"/>
              </w:rPr>
              <w:t>Formula</w:t>
            </w:r>
          </w:p>
        </w:tc>
        <w:tc>
          <w:tcPr>
            <w:tcW w:w="0" w:type="auto"/>
            <w:hideMark/>
          </w:tcPr>
          <w:p w14:paraId="158ADC97" w14:textId="77777777" w:rsidR="00A414B4" w:rsidRPr="00A414B4" w:rsidRDefault="00A414B4" w:rsidP="00A414B4">
            <w:pPr>
              <w:spacing w:after="160"/>
              <w:rPr>
                <w:b/>
                <w:bCs/>
                <w:sz w:val="20"/>
                <w:szCs w:val="18"/>
              </w:rPr>
            </w:pPr>
            <w:r w:rsidRPr="00A414B4">
              <w:rPr>
                <w:b/>
                <w:bCs/>
                <w:sz w:val="20"/>
                <w:szCs w:val="18"/>
              </w:rPr>
              <w:t>2023 Workings</w:t>
            </w:r>
          </w:p>
        </w:tc>
        <w:tc>
          <w:tcPr>
            <w:tcW w:w="0" w:type="auto"/>
            <w:hideMark/>
          </w:tcPr>
          <w:p w14:paraId="0B3D3A0A" w14:textId="77777777" w:rsidR="00A414B4" w:rsidRPr="00A414B4" w:rsidRDefault="00A414B4" w:rsidP="00A414B4">
            <w:pPr>
              <w:spacing w:after="160"/>
              <w:rPr>
                <w:b/>
                <w:bCs/>
                <w:sz w:val="20"/>
                <w:szCs w:val="18"/>
              </w:rPr>
            </w:pPr>
            <w:r w:rsidRPr="00A414B4">
              <w:rPr>
                <w:b/>
                <w:bCs/>
                <w:sz w:val="20"/>
                <w:szCs w:val="18"/>
              </w:rPr>
              <w:t>2023 Result</w:t>
            </w:r>
          </w:p>
        </w:tc>
        <w:tc>
          <w:tcPr>
            <w:tcW w:w="0" w:type="auto"/>
            <w:hideMark/>
          </w:tcPr>
          <w:p w14:paraId="46E8596A" w14:textId="77777777" w:rsidR="00A414B4" w:rsidRPr="00A414B4" w:rsidRDefault="00A414B4" w:rsidP="00A414B4">
            <w:pPr>
              <w:spacing w:after="160"/>
              <w:rPr>
                <w:b/>
                <w:bCs/>
                <w:sz w:val="20"/>
                <w:szCs w:val="18"/>
              </w:rPr>
            </w:pPr>
            <w:r w:rsidRPr="00A414B4">
              <w:rPr>
                <w:b/>
                <w:bCs/>
                <w:sz w:val="20"/>
                <w:szCs w:val="18"/>
              </w:rPr>
              <w:t>2024 Workings</w:t>
            </w:r>
          </w:p>
        </w:tc>
        <w:tc>
          <w:tcPr>
            <w:tcW w:w="0" w:type="auto"/>
            <w:hideMark/>
          </w:tcPr>
          <w:p w14:paraId="5ABB11CC" w14:textId="77777777" w:rsidR="00A414B4" w:rsidRPr="00A414B4" w:rsidRDefault="00A414B4" w:rsidP="00A414B4">
            <w:pPr>
              <w:spacing w:after="160"/>
              <w:rPr>
                <w:b/>
                <w:bCs/>
                <w:sz w:val="20"/>
                <w:szCs w:val="18"/>
              </w:rPr>
            </w:pPr>
            <w:r w:rsidRPr="00A414B4">
              <w:rPr>
                <w:b/>
                <w:bCs/>
                <w:sz w:val="20"/>
                <w:szCs w:val="18"/>
              </w:rPr>
              <w:t>2024 Result</w:t>
            </w:r>
          </w:p>
        </w:tc>
      </w:tr>
      <w:tr w:rsidR="00A414B4" w:rsidRPr="00A414B4" w14:paraId="42B3D6EC" w14:textId="77777777" w:rsidTr="00A414B4">
        <w:tc>
          <w:tcPr>
            <w:tcW w:w="0" w:type="auto"/>
            <w:hideMark/>
          </w:tcPr>
          <w:p w14:paraId="72915C18" w14:textId="77777777" w:rsidR="00A414B4" w:rsidRPr="00A414B4" w:rsidRDefault="00A414B4" w:rsidP="00A414B4">
            <w:pPr>
              <w:spacing w:after="160"/>
              <w:rPr>
                <w:sz w:val="20"/>
                <w:szCs w:val="18"/>
              </w:rPr>
            </w:pPr>
            <w:r w:rsidRPr="00A414B4">
              <w:rPr>
                <w:b/>
                <w:bCs/>
                <w:sz w:val="20"/>
                <w:szCs w:val="18"/>
              </w:rPr>
              <w:t>Debt-to-Equity</w:t>
            </w:r>
          </w:p>
        </w:tc>
        <w:tc>
          <w:tcPr>
            <w:tcW w:w="0" w:type="auto"/>
            <w:hideMark/>
          </w:tcPr>
          <w:p w14:paraId="4D86FB8E" w14:textId="77777777" w:rsidR="00A414B4" w:rsidRPr="00A414B4" w:rsidRDefault="00A414B4" w:rsidP="00A414B4">
            <w:pPr>
              <w:spacing w:after="160"/>
              <w:rPr>
                <w:sz w:val="20"/>
                <w:szCs w:val="18"/>
              </w:rPr>
            </w:pPr>
            <w:r w:rsidRPr="00A414B4">
              <w:rPr>
                <w:sz w:val="20"/>
                <w:szCs w:val="18"/>
              </w:rPr>
              <w:t>Total Debt ÷ Shareholders’ Equity</w:t>
            </w:r>
          </w:p>
        </w:tc>
        <w:tc>
          <w:tcPr>
            <w:tcW w:w="0" w:type="auto"/>
            <w:hideMark/>
          </w:tcPr>
          <w:p w14:paraId="4E6D53B9" w14:textId="77777777" w:rsidR="00A414B4" w:rsidRPr="00A414B4" w:rsidRDefault="00A414B4" w:rsidP="00A414B4">
            <w:pPr>
              <w:spacing w:after="160"/>
              <w:rPr>
                <w:sz w:val="20"/>
                <w:szCs w:val="18"/>
              </w:rPr>
            </w:pPr>
            <w:r w:rsidRPr="00A414B4">
              <w:rPr>
                <w:sz w:val="20"/>
                <w:szCs w:val="18"/>
              </w:rPr>
              <w:t>28,593,000 ÷ 18,102,000</w:t>
            </w:r>
          </w:p>
        </w:tc>
        <w:tc>
          <w:tcPr>
            <w:tcW w:w="0" w:type="auto"/>
            <w:hideMark/>
          </w:tcPr>
          <w:p w14:paraId="5331B194" w14:textId="77777777" w:rsidR="00A414B4" w:rsidRPr="00A414B4" w:rsidRDefault="00A414B4" w:rsidP="00A414B4">
            <w:pPr>
              <w:spacing w:after="160"/>
              <w:rPr>
                <w:sz w:val="20"/>
                <w:szCs w:val="18"/>
              </w:rPr>
            </w:pPr>
            <w:r w:rsidRPr="00A414B4">
              <w:rPr>
                <w:b/>
                <w:bCs/>
                <w:sz w:val="20"/>
                <w:szCs w:val="18"/>
              </w:rPr>
              <w:t>1.5795 ≈ 1.58</w:t>
            </w:r>
          </w:p>
        </w:tc>
        <w:tc>
          <w:tcPr>
            <w:tcW w:w="0" w:type="auto"/>
            <w:hideMark/>
          </w:tcPr>
          <w:p w14:paraId="34765EA5" w14:textId="77777777" w:rsidR="00A414B4" w:rsidRPr="00A414B4" w:rsidRDefault="00A414B4" w:rsidP="00A414B4">
            <w:pPr>
              <w:spacing w:after="160"/>
              <w:rPr>
                <w:sz w:val="20"/>
                <w:szCs w:val="18"/>
              </w:rPr>
            </w:pPr>
            <w:r w:rsidRPr="00A414B4">
              <w:rPr>
                <w:sz w:val="20"/>
                <w:szCs w:val="18"/>
              </w:rPr>
              <w:t>30,655,000 ÷ 19,990,000</w:t>
            </w:r>
          </w:p>
        </w:tc>
        <w:tc>
          <w:tcPr>
            <w:tcW w:w="0" w:type="auto"/>
            <w:hideMark/>
          </w:tcPr>
          <w:p w14:paraId="3C19BEA7" w14:textId="77777777" w:rsidR="00A414B4" w:rsidRPr="00A414B4" w:rsidRDefault="00A414B4" w:rsidP="00A414B4">
            <w:pPr>
              <w:spacing w:after="160"/>
              <w:rPr>
                <w:sz w:val="20"/>
                <w:szCs w:val="18"/>
              </w:rPr>
            </w:pPr>
            <w:r w:rsidRPr="00A414B4">
              <w:rPr>
                <w:b/>
                <w:bCs/>
                <w:sz w:val="20"/>
                <w:szCs w:val="18"/>
              </w:rPr>
              <w:t>1.5335 ≈ 1.53</w:t>
            </w:r>
          </w:p>
        </w:tc>
      </w:tr>
      <w:tr w:rsidR="00A414B4" w:rsidRPr="00A414B4" w14:paraId="6D17B410" w14:textId="77777777" w:rsidTr="00A414B4">
        <w:tc>
          <w:tcPr>
            <w:tcW w:w="0" w:type="auto"/>
            <w:hideMark/>
          </w:tcPr>
          <w:p w14:paraId="0848F5CD" w14:textId="77777777" w:rsidR="00A414B4" w:rsidRPr="00A414B4" w:rsidRDefault="00A414B4" w:rsidP="00A414B4">
            <w:pPr>
              <w:spacing w:after="160"/>
              <w:rPr>
                <w:sz w:val="20"/>
                <w:szCs w:val="18"/>
              </w:rPr>
            </w:pPr>
            <w:r w:rsidRPr="00A414B4">
              <w:rPr>
                <w:b/>
                <w:bCs/>
                <w:sz w:val="20"/>
                <w:szCs w:val="18"/>
              </w:rPr>
              <w:t>Interest Cover</w:t>
            </w:r>
          </w:p>
        </w:tc>
        <w:tc>
          <w:tcPr>
            <w:tcW w:w="0" w:type="auto"/>
            <w:hideMark/>
          </w:tcPr>
          <w:p w14:paraId="720A79AF" w14:textId="77777777" w:rsidR="00A414B4" w:rsidRPr="00A414B4" w:rsidRDefault="00A414B4" w:rsidP="00A414B4">
            <w:pPr>
              <w:spacing w:after="160"/>
              <w:rPr>
                <w:sz w:val="20"/>
                <w:szCs w:val="18"/>
              </w:rPr>
            </w:pPr>
            <w:r w:rsidRPr="00A414B4">
              <w:rPr>
                <w:sz w:val="20"/>
                <w:szCs w:val="18"/>
              </w:rPr>
              <w:t>EBIT ÷ Interest Expense</w:t>
            </w:r>
          </w:p>
        </w:tc>
        <w:tc>
          <w:tcPr>
            <w:tcW w:w="0" w:type="auto"/>
            <w:hideMark/>
          </w:tcPr>
          <w:p w14:paraId="16EB21F7" w14:textId="77777777" w:rsidR="00A414B4" w:rsidRPr="00A414B4" w:rsidRDefault="00A414B4" w:rsidP="00A414B4">
            <w:pPr>
              <w:spacing w:after="160"/>
              <w:rPr>
                <w:sz w:val="20"/>
                <w:szCs w:val="18"/>
              </w:rPr>
            </w:pPr>
            <w:r w:rsidRPr="00A414B4">
              <w:rPr>
                <w:sz w:val="20"/>
                <w:szCs w:val="18"/>
              </w:rPr>
              <w:t>10,414,000 ÷ 1,075,000</w:t>
            </w:r>
          </w:p>
        </w:tc>
        <w:tc>
          <w:tcPr>
            <w:tcW w:w="0" w:type="auto"/>
            <w:hideMark/>
          </w:tcPr>
          <w:p w14:paraId="5582D014" w14:textId="77777777" w:rsidR="00A414B4" w:rsidRPr="00A414B4" w:rsidRDefault="00A414B4" w:rsidP="00A414B4">
            <w:pPr>
              <w:spacing w:after="160"/>
              <w:rPr>
                <w:sz w:val="20"/>
                <w:szCs w:val="18"/>
              </w:rPr>
            </w:pPr>
            <w:r w:rsidRPr="00A414B4">
              <w:rPr>
                <w:b/>
                <w:bCs/>
                <w:sz w:val="20"/>
                <w:szCs w:val="18"/>
              </w:rPr>
              <w:t>9.6874 ≈ 9.7×</w:t>
            </w:r>
          </w:p>
        </w:tc>
        <w:tc>
          <w:tcPr>
            <w:tcW w:w="0" w:type="auto"/>
            <w:hideMark/>
          </w:tcPr>
          <w:p w14:paraId="167576D2" w14:textId="77777777" w:rsidR="00A414B4" w:rsidRPr="00A414B4" w:rsidRDefault="00A414B4" w:rsidP="00A414B4">
            <w:pPr>
              <w:spacing w:after="160"/>
              <w:rPr>
                <w:sz w:val="20"/>
                <w:szCs w:val="18"/>
              </w:rPr>
            </w:pPr>
            <w:r w:rsidRPr="00A414B4">
              <w:rPr>
                <w:sz w:val="20"/>
                <w:szCs w:val="18"/>
              </w:rPr>
              <w:t>9,460,000 ÷ 1,064,000</w:t>
            </w:r>
          </w:p>
        </w:tc>
        <w:tc>
          <w:tcPr>
            <w:tcW w:w="0" w:type="auto"/>
            <w:hideMark/>
          </w:tcPr>
          <w:p w14:paraId="335C0AD1" w14:textId="77777777" w:rsidR="00A414B4" w:rsidRPr="00A414B4" w:rsidRDefault="00A414B4" w:rsidP="00A414B4">
            <w:pPr>
              <w:spacing w:after="160"/>
              <w:rPr>
                <w:sz w:val="20"/>
                <w:szCs w:val="18"/>
              </w:rPr>
            </w:pPr>
            <w:r w:rsidRPr="00A414B4">
              <w:rPr>
                <w:b/>
                <w:bCs/>
                <w:sz w:val="20"/>
                <w:szCs w:val="18"/>
              </w:rPr>
              <w:t>8.8910 ≈ 8.9×</w:t>
            </w:r>
          </w:p>
        </w:tc>
      </w:tr>
      <w:tr w:rsidR="00A414B4" w:rsidRPr="00A414B4" w14:paraId="100F86A9" w14:textId="77777777" w:rsidTr="00A414B4">
        <w:tc>
          <w:tcPr>
            <w:tcW w:w="0" w:type="auto"/>
            <w:hideMark/>
          </w:tcPr>
          <w:p w14:paraId="4163B63C" w14:textId="77777777" w:rsidR="00A414B4" w:rsidRPr="00A414B4" w:rsidRDefault="00A414B4" w:rsidP="00A414B4">
            <w:pPr>
              <w:spacing w:after="160"/>
              <w:rPr>
                <w:sz w:val="20"/>
                <w:szCs w:val="18"/>
              </w:rPr>
            </w:pPr>
            <w:r w:rsidRPr="00A414B4">
              <w:rPr>
                <w:b/>
                <w:bCs/>
                <w:sz w:val="20"/>
                <w:szCs w:val="18"/>
              </w:rPr>
              <w:t>Net Debt / EBITDA</w:t>
            </w:r>
          </w:p>
        </w:tc>
        <w:tc>
          <w:tcPr>
            <w:tcW w:w="0" w:type="auto"/>
            <w:hideMark/>
          </w:tcPr>
          <w:p w14:paraId="2952EF58" w14:textId="77777777" w:rsidR="00A414B4" w:rsidRPr="00A414B4" w:rsidRDefault="00A414B4" w:rsidP="00A414B4">
            <w:pPr>
              <w:spacing w:after="160"/>
              <w:rPr>
                <w:sz w:val="20"/>
                <w:szCs w:val="18"/>
              </w:rPr>
            </w:pPr>
            <w:r w:rsidRPr="00A414B4">
              <w:rPr>
                <w:sz w:val="20"/>
                <w:szCs w:val="18"/>
              </w:rPr>
              <w:t>Net Debt ÷ EBITDA</w:t>
            </w:r>
          </w:p>
        </w:tc>
        <w:tc>
          <w:tcPr>
            <w:tcW w:w="0" w:type="auto"/>
            <w:hideMark/>
          </w:tcPr>
          <w:p w14:paraId="6DB4CABF" w14:textId="77777777" w:rsidR="00A414B4" w:rsidRPr="00A414B4" w:rsidRDefault="00A414B4" w:rsidP="00A414B4">
            <w:pPr>
              <w:spacing w:after="160"/>
              <w:rPr>
                <w:sz w:val="20"/>
                <w:szCs w:val="18"/>
              </w:rPr>
            </w:pPr>
            <w:r w:rsidRPr="00A414B4">
              <w:rPr>
                <w:sz w:val="20"/>
                <w:szCs w:val="18"/>
              </w:rPr>
              <w:t>23,039,000 ÷ 11,992,000</w:t>
            </w:r>
          </w:p>
        </w:tc>
        <w:tc>
          <w:tcPr>
            <w:tcW w:w="0" w:type="auto"/>
            <w:hideMark/>
          </w:tcPr>
          <w:p w14:paraId="4BD3020A" w14:textId="77777777" w:rsidR="00A414B4" w:rsidRPr="00A414B4" w:rsidRDefault="00A414B4" w:rsidP="00A414B4">
            <w:pPr>
              <w:spacing w:after="160"/>
              <w:rPr>
                <w:sz w:val="20"/>
                <w:szCs w:val="18"/>
              </w:rPr>
            </w:pPr>
            <w:r w:rsidRPr="00A414B4">
              <w:rPr>
                <w:b/>
                <w:bCs/>
                <w:sz w:val="20"/>
                <w:szCs w:val="18"/>
              </w:rPr>
              <w:t>1.9212 ≈ 1.92</w:t>
            </w:r>
          </w:p>
        </w:tc>
        <w:tc>
          <w:tcPr>
            <w:tcW w:w="0" w:type="auto"/>
            <w:hideMark/>
          </w:tcPr>
          <w:p w14:paraId="79020ED3" w14:textId="77777777" w:rsidR="00A414B4" w:rsidRPr="00A414B4" w:rsidRDefault="00A414B4" w:rsidP="00A414B4">
            <w:pPr>
              <w:spacing w:after="160"/>
              <w:rPr>
                <w:sz w:val="20"/>
                <w:szCs w:val="18"/>
              </w:rPr>
            </w:pPr>
            <w:r w:rsidRPr="00A414B4">
              <w:rPr>
                <w:sz w:val="20"/>
                <w:szCs w:val="18"/>
              </w:rPr>
              <w:t>23,033,000 ÷ 11,269,000</w:t>
            </w:r>
          </w:p>
        </w:tc>
        <w:tc>
          <w:tcPr>
            <w:tcW w:w="0" w:type="auto"/>
            <w:hideMark/>
          </w:tcPr>
          <w:p w14:paraId="5EFFA2A5" w14:textId="77777777" w:rsidR="00A414B4" w:rsidRPr="00A414B4" w:rsidRDefault="00A414B4" w:rsidP="00A414B4">
            <w:pPr>
              <w:spacing w:after="160"/>
              <w:rPr>
                <w:sz w:val="20"/>
                <w:szCs w:val="18"/>
              </w:rPr>
            </w:pPr>
            <w:r w:rsidRPr="00A414B4">
              <w:rPr>
                <w:b/>
                <w:bCs/>
                <w:sz w:val="20"/>
                <w:szCs w:val="18"/>
              </w:rPr>
              <w:t>2.0439 ≈ 2.04</w:t>
            </w:r>
          </w:p>
        </w:tc>
      </w:tr>
    </w:tbl>
    <w:p w14:paraId="5B1E6836" w14:textId="77777777" w:rsidR="00A414B4" w:rsidRDefault="00A414B4" w:rsidP="00A414B4"/>
    <w:p w14:paraId="2987BA9B" w14:textId="5CE51333" w:rsidR="00A414B4" w:rsidRPr="00A414B4" w:rsidRDefault="00A414B4" w:rsidP="00A414B4">
      <w:pPr>
        <w:rPr>
          <w:b/>
          <w:bCs/>
        </w:rPr>
      </w:pPr>
      <w:r w:rsidRPr="00A414B4">
        <w:rPr>
          <w:b/>
          <w:bCs/>
        </w:rPr>
        <w:t>B5. Investor Ratios</w:t>
      </w:r>
    </w:p>
    <w:p w14:paraId="67AFB57C" w14:textId="271E4187" w:rsidR="00A414B4" w:rsidRPr="00A414B4" w:rsidRDefault="00A414B4" w:rsidP="00A414B4">
      <w:pPr>
        <w:rPr>
          <w:b/>
          <w:bCs/>
        </w:rPr>
      </w:pPr>
      <w:r w:rsidRPr="00A414B4">
        <w:rPr>
          <w:b/>
          <w:bCs/>
        </w:rPr>
        <w:t>Table B5: Investor – Workings (2023 vs 2024)</w:t>
      </w:r>
    </w:p>
    <w:tbl>
      <w:tblPr>
        <w:tblStyle w:val="TableGridLight"/>
        <w:tblW w:w="0" w:type="auto"/>
        <w:tblLook w:val="04A0" w:firstRow="1" w:lastRow="0" w:firstColumn="1" w:lastColumn="0" w:noHBand="0" w:noVBand="1"/>
      </w:tblPr>
      <w:tblGrid>
        <w:gridCol w:w="1463"/>
        <w:gridCol w:w="2080"/>
        <w:gridCol w:w="1416"/>
        <w:gridCol w:w="1319"/>
        <w:gridCol w:w="1416"/>
        <w:gridCol w:w="1322"/>
      </w:tblGrid>
      <w:tr w:rsidR="00A414B4" w:rsidRPr="00A414B4" w14:paraId="74677E96" w14:textId="77777777" w:rsidTr="00A414B4">
        <w:tc>
          <w:tcPr>
            <w:tcW w:w="0" w:type="auto"/>
            <w:hideMark/>
          </w:tcPr>
          <w:p w14:paraId="5AD23C19" w14:textId="77777777" w:rsidR="00A414B4" w:rsidRPr="00A414B4" w:rsidRDefault="00A414B4" w:rsidP="00A414B4">
            <w:pPr>
              <w:spacing w:after="160"/>
              <w:rPr>
                <w:b/>
                <w:bCs/>
                <w:sz w:val="20"/>
                <w:szCs w:val="18"/>
              </w:rPr>
            </w:pPr>
            <w:r w:rsidRPr="00A414B4">
              <w:rPr>
                <w:b/>
                <w:bCs/>
                <w:sz w:val="20"/>
                <w:szCs w:val="18"/>
              </w:rPr>
              <w:t>Ratio</w:t>
            </w:r>
          </w:p>
        </w:tc>
        <w:tc>
          <w:tcPr>
            <w:tcW w:w="0" w:type="auto"/>
            <w:hideMark/>
          </w:tcPr>
          <w:p w14:paraId="4E58740E" w14:textId="77777777" w:rsidR="00A414B4" w:rsidRPr="00A414B4" w:rsidRDefault="00A414B4" w:rsidP="00A414B4">
            <w:pPr>
              <w:spacing w:after="160"/>
              <w:rPr>
                <w:b/>
                <w:bCs/>
                <w:sz w:val="20"/>
                <w:szCs w:val="18"/>
              </w:rPr>
            </w:pPr>
            <w:r w:rsidRPr="00A414B4">
              <w:rPr>
                <w:b/>
                <w:bCs/>
                <w:sz w:val="20"/>
                <w:szCs w:val="18"/>
              </w:rPr>
              <w:t>Formula</w:t>
            </w:r>
          </w:p>
        </w:tc>
        <w:tc>
          <w:tcPr>
            <w:tcW w:w="0" w:type="auto"/>
            <w:hideMark/>
          </w:tcPr>
          <w:p w14:paraId="32692949" w14:textId="77777777" w:rsidR="00A414B4" w:rsidRPr="00A414B4" w:rsidRDefault="00A414B4" w:rsidP="00A414B4">
            <w:pPr>
              <w:spacing w:after="160"/>
              <w:rPr>
                <w:b/>
                <w:bCs/>
                <w:sz w:val="20"/>
                <w:szCs w:val="18"/>
              </w:rPr>
            </w:pPr>
            <w:r w:rsidRPr="00A414B4">
              <w:rPr>
                <w:b/>
                <w:bCs/>
                <w:sz w:val="20"/>
                <w:szCs w:val="18"/>
              </w:rPr>
              <w:t>2023 Workings</w:t>
            </w:r>
          </w:p>
        </w:tc>
        <w:tc>
          <w:tcPr>
            <w:tcW w:w="0" w:type="auto"/>
            <w:hideMark/>
          </w:tcPr>
          <w:p w14:paraId="07619417" w14:textId="77777777" w:rsidR="00A414B4" w:rsidRPr="00A414B4" w:rsidRDefault="00A414B4" w:rsidP="00A414B4">
            <w:pPr>
              <w:spacing w:after="160"/>
              <w:rPr>
                <w:b/>
                <w:bCs/>
                <w:sz w:val="20"/>
                <w:szCs w:val="18"/>
              </w:rPr>
            </w:pPr>
            <w:r w:rsidRPr="00A414B4">
              <w:rPr>
                <w:b/>
                <w:bCs/>
                <w:sz w:val="20"/>
                <w:szCs w:val="18"/>
              </w:rPr>
              <w:t>2023 Result</w:t>
            </w:r>
          </w:p>
        </w:tc>
        <w:tc>
          <w:tcPr>
            <w:tcW w:w="0" w:type="auto"/>
            <w:hideMark/>
          </w:tcPr>
          <w:p w14:paraId="457ADD2B" w14:textId="77777777" w:rsidR="00A414B4" w:rsidRPr="00A414B4" w:rsidRDefault="00A414B4" w:rsidP="00A414B4">
            <w:pPr>
              <w:spacing w:after="160"/>
              <w:rPr>
                <w:b/>
                <w:bCs/>
                <w:sz w:val="20"/>
                <w:szCs w:val="18"/>
              </w:rPr>
            </w:pPr>
            <w:r w:rsidRPr="00A414B4">
              <w:rPr>
                <w:b/>
                <w:bCs/>
                <w:sz w:val="20"/>
                <w:szCs w:val="18"/>
              </w:rPr>
              <w:t>2024 Workings</w:t>
            </w:r>
          </w:p>
        </w:tc>
        <w:tc>
          <w:tcPr>
            <w:tcW w:w="0" w:type="auto"/>
            <w:hideMark/>
          </w:tcPr>
          <w:p w14:paraId="158397E9" w14:textId="77777777" w:rsidR="00A414B4" w:rsidRPr="00A414B4" w:rsidRDefault="00A414B4" w:rsidP="00A414B4">
            <w:pPr>
              <w:spacing w:after="160"/>
              <w:rPr>
                <w:b/>
                <w:bCs/>
                <w:sz w:val="20"/>
                <w:szCs w:val="18"/>
              </w:rPr>
            </w:pPr>
            <w:r w:rsidRPr="00A414B4">
              <w:rPr>
                <w:b/>
                <w:bCs/>
                <w:sz w:val="20"/>
                <w:szCs w:val="18"/>
              </w:rPr>
              <w:t>2024 Result</w:t>
            </w:r>
          </w:p>
        </w:tc>
      </w:tr>
      <w:tr w:rsidR="00A414B4" w:rsidRPr="00A414B4" w14:paraId="0B2C4052" w14:textId="77777777" w:rsidTr="00A414B4">
        <w:tc>
          <w:tcPr>
            <w:tcW w:w="0" w:type="auto"/>
            <w:hideMark/>
          </w:tcPr>
          <w:p w14:paraId="4170427E" w14:textId="77777777" w:rsidR="00A414B4" w:rsidRPr="00A414B4" w:rsidRDefault="00A414B4" w:rsidP="00A414B4">
            <w:pPr>
              <w:spacing w:after="160"/>
              <w:rPr>
                <w:sz w:val="20"/>
                <w:szCs w:val="18"/>
              </w:rPr>
            </w:pPr>
            <w:r w:rsidRPr="00A414B4">
              <w:rPr>
                <w:b/>
                <w:bCs/>
                <w:sz w:val="20"/>
                <w:szCs w:val="18"/>
              </w:rPr>
              <w:t>EPS (Diluted)</w:t>
            </w:r>
          </w:p>
        </w:tc>
        <w:tc>
          <w:tcPr>
            <w:tcW w:w="0" w:type="auto"/>
            <w:hideMark/>
          </w:tcPr>
          <w:p w14:paraId="0AB3BB50" w14:textId="77777777" w:rsidR="00A414B4" w:rsidRPr="00A414B4" w:rsidRDefault="00A414B4" w:rsidP="00A414B4">
            <w:pPr>
              <w:spacing w:after="160"/>
              <w:rPr>
                <w:sz w:val="20"/>
                <w:szCs w:val="18"/>
              </w:rPr>
            </w:pPr>
            <w:r w:rsidRPr="00A414B4">
              <w:rPr>
                <w:sz w:val="20"/>
                <w:szCs w:val="18"/>
              </w:rPr>
              <w:t>Given</w:t>
            </w:r>
          </w:p>
        </w:tc>
        <w:tc>
          <w:tcPr>
            <w:tcW w:w="0" w:type="auto"/>
            <w:hideMark/>
          </w:tcPr>
          <w:p w14:paraId="2C258FE1" w14:textId="77777777" w:rsidR="00A414B4" w:rsidRPr="00A414B4" w:rsidRDefault="00A414B4" w:rsidP="00A414B4">
            <w:pPr>
              <w:spacing w:after="160"/>
              <w:rPr>
                <w:sz w:val="20"/>
                <w:szCs w:val="18"/>
              </w:rPr>
            </w:pPr>
            <w:r w:rsidRPr="00A414B4">
              <w:rPr>
                <w:sz w:val="20"/>
                <w:szCs w:val="18"/>
              </w:rPr>
              <w:t xml:space="preserve">Given: </w:t>
            </w:r>
            <w:r w:rsidRPr="00A414B4">
              <w:rPr>
                <w:b/>
                <w:bCs/>
                <w:sz w:val="20"/>
                <w:szCs w:val="18"/>
              </w:rPr>
              <w:t>2.56</w:t>
            </w:r>
          </w:p>
        </w:tc>
        <w:tc>
          <w:tcPr>
            <w:tcW w:w="0" w:type="auto"/>
            <w:hideMark/>
          </w:tcPr>
          <w:p w14:paraId="380D7DD6" w14:textId="77777777" w:rsidR="00A414B4" w:rsidRPr="00A414B4" w:rsidRDefault="00A414B4" w:rsidP="00A414B4">
            <w:pPr>
              <w:spacing w:after="160"/>
              <w:rPr>
                <w:sz w:val="20"/>
                <w:szCs w:val="18"/>
              </w:rPr>
            </w:pPr>
            <w:r w:rsidRPr="00A414B4">
              <w:rPr>
                <w:b/>
                <w:bCs/>
                <w:sz w:val="20"/>
                <w:szCs w:val="18"/>
              </w:rPr>
              <w:t>2.56</w:t>
            </w:r>
          </w:p>
        </w:tc>
        <w:tc>
          <w:tcPr>
            <w:tcW w:w="0" w:type="auto"/>
            <w:hideMark/>
          </w:tcPr>
          <w:p w14:paraId="78A13F13" w14:textId="77777777" w:rsidR="00A414B4" w:rsidRPr="00A414B4" w:rsidRDefault="00A414B4" w:rsidP="00A414B4">
            <w:pPr>
              <w:spacing w:after="160"/>
              <w:rPr>
                <w:sz w:val="20"/>
                <w:szCs w:val="18"/>
              </w:rPr>
            </w:pPr>
            <w:r w:rsidRPr="00A414B4">
              <w:rPr>
                <w:sz w:val="20"/>
                <w:szCs w:val="18"/>
              </w:rPr>
              <w:t xml:space="preserve">Given: </w:t>
            </w:r>
            <w:r w:rsidRPr="00A414B4">
              <w:rPr>
                <w:b/>
                <w:bCs/>
                <w:sz w:val="20"/>
                <w:szCs w:val="18"/>
              </w:rPr>
              <w:t>2.29</w:t>
            </w:r>
          </w:p>
        </w:tc>
        <w:tc>
          <w:tcPr>
            <w:tcW w:w="0" w:type="auto"/>
            <w:hideMark/>
          </w:tcPr>
          <w:p w14:paraId="5CFDAEEA" w14:textId="77777777" w:rsidR="00A414B4" w:rsidRPr="00A414B4" w:rsidRDefault="00A414B4" w:rsidP="00A414B4">
            <w:pPr>
              <w:spacing w:after="160"/>
              <w:rPr>
                <w:sz w:val="20"/>
                <w:szCs w:val="18"/>
              </w:rPr>
            </w:pPr>
            <w:r w:rsidRPr="00A414B4">
              <w:rPr>
                <w:b/>
                <w:bCs/>
                <w:sz w:val="20"/>
                <w:szCs w:val="18"/>
              </w:rPr>
              <w:t>2.29</w:t>
            </w:r>
          </w:p>
        </w:tc>
      </w:tr>
      <w:tr w:rsidR="00A414B4" w:rsidRPr="00A414B4" w14:paraId="35E989E9" w14:textId="77777777" w:rsidTr="00A414B4">
        <w:tc>
          <w:tcPr>
            <w:tcW w:w="0" w:type="auto"/>
            <w:hideMark/>
          </w:tcPr>
          <w:p w14:paraId="3BAC4030" w14:textId="77777777" w:rsidR="00A414B4" w:rsidRPr="00A414B4" w:rsidRDefault="00A414B4" w:rsidP="00A414B4">
            <w:pPr>
              <w:spacing w:after="160"/>
              <w:rPr>
                <w:sz w:val="20"/>
                <w:szCs w:val="18"/>
              </w:rPr>
            </w:pPr>
            <w:r w:rsidRPr="00A414B4">
              <w:rPr>
                <w:b/>
                <w:bCs/>
                <w:sz w:val="20"/>
                <w:szCs w:val="18"/>
              </w:rPr>
              <w:t>Dividend Cover</w:t>
            </w:r>
          </w:p>
        </w:tc>
        <w:tc>
          <w:tcPr>
            <w:tcW w:w="0" w:type="auto"/>
            <w:hideMark/>
          </w:tcPr>
          <w:p w14:paraId="5A274654" w14:textId="77777777" w:rsidR="00A414B4" w:rsidRPr="00A414B4" w:rsidRDefault="00A414B4" w:rsidP="00A414B4">
            <w:pPr>
              <w:spacing w:after="160"/>
              <w:rPr>
                <w:sz w:val="20"/>
                <w:szCs w:val="18"/>
              </w:rPr>
            </w:pPr>
            <w:r w:rsidRPr="00A414B4">
              <w:rPr>
                <w:sz w:val="20"/>
                <w:szCs w:val="18"/>
              </w:rPr>
              <w:t>EPS ÷ Dividend per Share</w:t>
            </w:r>
          </w:p>
        </w:tc>
        <w:tc>
          <w:tcPr>
            <w:tcW w:w="0" w:type="auto"/>
            <w:hideMark/>
          </w:tcPr>
          <w:p w14:paraId="2FC1FD00" w14:textId="77777777" w:rsidR="00A414B4" w:rsidRPr="00A414B4" w:rsidRDefault="00A414B4" w:rsidP="00A414B4">
            <w:pPr>
              <w:spacing w:after="160"/>
              <w:rPr>
                <w:sz w:val="20"/>
                <w:szCs w:val="18"/>
              </w:rPr>
            </w:pPr>
            <w:r w:rsidRPr="00A414B4">
              <w:rPr>
                <w:sz w:val="20"/>
                <w:szCs w:val="18"/>
              </w:rPr>
              <w:t>2.56 ÷ 2.06</w:t>
            </w:r>
          </w:p>
        </w:tc>
        <w:tc>
          <w:tcPr>
            <w:tcW w:w="0" w:type="auto"/>
            <w:hideMark/>
          </w:tcPr>
          <w:p w14:paraId="4013C5D6" w14:textId="77777777" w:rsidR="00A414B4" w:rsidRPr="00A414B4" w:rsidRDefault="00A414B4" w:rsidP="00A414B4">
            <w:pPr>
              <w:spacing w:after="160"/>
              <w:rPr>
                <w:sz w:val="20"/>
                <w:szCs w:val="18"/>
              </w:rPr>
            </w:pPr>
            <w:r w:rsidRPr="00A414B4">
              <w:rPr>
                <w:b/>
                <w:bCs/>
                <w:sz w:val="20"/>
                <w:szCs w:val="18"/>
              </w:rPr>
              <w:t>1.2427 ≈ 1.24×</w:t>
            </w:r>
          </w:p>
        </w:tc>
        <w:tc>
          <w:tcPr>
            <w:tcW w:w="0" w:type="auto"/>
            <w:hideMark/>
          </w:tcPr>
          <w:p w14:paraId="51997E9B" w14:textId="77777777" w:rsidR="00A414B4" w:rsidRPr="00A414B4" w:rsidRDefault="00A414B4" w:rsidP="00A414B4">
            <w:pPr>
              <w:spacing w:after="160"/>
              <w:rPr>
                <w:sz w:val="20"/>
                <w:szCs w:val="18"/>
              </w:rPr>
            </w:pPr>
            <w:r w:rsidRPr="00A414B4">
              <w:rPr>
                <w:sz w:val="20"/>
                <w:szCs w:val="18"/>
              </w:rPr>
              <w:t>2.29 ÷ 2.29</w:t>
            </w:r>
          </w:p>
        </w:tc>
        <w:tc>
          <w:tcPr>
            <w:tcW w:w="0" w:type="auto"/>
            <w:hideMark/>
          </w:tcPr>
          <w:p w14:paraId="089ACE50" w14:textId="77777777" w:rsidR="00A414B4" w:rsidRPr="00A414B4" w:rsidRDefault="00A414B4" w:rsidP="00A414B4">
            <w:pPr>
              <w:spacing w:after="160"/>
              <w:rPr>
                <w:sz w:val="20"/>
                <w:szCs w:val="18"/>
              </w:rPr>
            </w:pPr>
            <w:r w:rsidRPr="00A414B4">
              <w:rPr>
                <w:b/>
                <w:bCs/>
                <w:sz w:val="20"/>
                <w:szCs w:val="18"/>
              </w:rPr>
              <w:t>1.0000 = 1.00×</w:t>
            </w:r>
          </w:p>
        </w:tc>
      </w:tr>
      <w:tr w:rsidR="00A414B4" w:rsidRPr="00A414B4" w14:paraId="675E326A" w14:textId="77777777" w:rsidTr="00A414B4">
        <w:tc>
          <w:tcPr>
            <w:tcW w:w="0" w:type="auto"/>
            <w:hideMark/>
          </w:tcPr>
          <w:p w14:paraId="5B5C87FC" w14:textId="77777777" w:rsidR="00A414B4" w:rsidRPr="00A414B4" w:rsidRDefault="00A414B4" w:rsidP="00A414B4">
            <w:pPr>
              <w:spacing w:after="160"/>
              <w:rPr>
                <w:sz w:val="20"/>
                <w:szCs w:val="18"/>
              </w:rPr>
            </w:pPr>
            <w:r w:rsidRPr="00A414B4">
              <w:rPr>
                <w:b/>
                <w:bCs/>
                <w:sz w:val="20"/>
                <w:szCs w:val="18"/>
              </w:rPr>
              <w:t>P/E Ratio</w:t>
            </w:r>
          </w:p>
        </w:tc>
        <w:tc>
          <w:tcPr>
            <w:tcW w:w="0" w:type="auto"/>
            <w:hideMark/>
          </w:tcPr>
          <w:p w14:paraId="07D9AE4F" w14:textId="77777777" w:rsidR="00A414B4" w:rsidRPr="00A414B4" w:rsidRDefault="00A414B4" w:rsidP="00A414B4">
            <w:pPr>
              <w:spacing w:after="160"/>
              <w:rPr>
                <w:sz w:val="20"/>
                <w:szCs w:val="18"/>
              </w:rPr>
            </w:pPr>
            <w:r w:rsidRPr="00A414B4">
              <w:rPr>
                <w:sz w:val="20"/>
                <w:szCs w:val="18"/>
              </w:rPr>
              <w:t>Market Price ÷ EPS</w:t>
            </w:r>
          </w:p>
        </w:tc>
        <w:tc>
          <w:tcPr>
            <w:tcW w:w="0" w:type="auto"/>
            <w:hideMark/>
          </w:tcPr>
          <w:p w14:paraId="4500C56C" w14:textId="77777777" w:rsidR="00A414B4" w:rsidRPr="00A414B4" w:rsidRDefault="00A414B4" w:rsidP="00A414B4">
            <w:pPr>
              <w:spacing w:after="160"/>
              <w:rPr>
                <w:sz w:val="20"/>
                <w:szCs w:val="18"/>
              </w:rPr>
            </w:pPr>
            <w:r w:rsidRPr="00A414B4">
              <w:rPr>
                <w:sz w:val="20"/>
                <w:szCs w:val="18"/>
              </w:rPr>
              <w:t>64.96 ÷ 2.56</w:t>
            </w:r>
          </w:p>
        </w:tc>
        <w:tc>
          <w:tcPr>
            <w:tcW w:w="0" w:type="auto"/>
            <w:hideMark/>
          </w:tcPr>
          <w:p w14:paraId="49A286F7" w14:textId="77777777" w:rsidR="00A414B4" w:rsidRPr="00A414B4" w:rsidRDefault="00A414B4" w:rsidP="00A414B4">
            <w:pPr>
              <w:spacing w:after="160"/>
              <w:rPr>
                <w:sz w:val="20"/>
                <w:szCs w:val="18"/>
              </w:rPr>
            </w:pPr>
            <w:r w:rsidRPr="00A414B4">
              <w:rPr>
                <w:b/>
                <w:bCs/>
                <w:sz w:val="20"/>
                <w:szCs w:val="18"/>
              </w:rPr>
              <w:t>25.375 ≈ 25.4</w:t>
            </w:r>
          </w:p>
        </w:tc>
        <w:tc>
          <w:tcPr>
            <w:tcW w:w="0" w:type="auto"/>
            <w:hideMark/>
          </w:tcPr>
          <w:p w14:paraId="7B209D8D" w14:textId="77777777" w:rsidR="00A414B4" w:rsidRPr="00A414B4" w:rsidRDefault="00A414B4" w:rsidP="00A414B4">
            <w:pPr>
              <w:spacing w:after="160"/>
              <w:rPr>
                <w:sz w:val="20"/>
                <w:szCs w:val="18"/>
              </w:rPr>
            </w:pPr>
            <w:r w:rsidRPr="00A414B4">
              <w:rPr>
                <w:sz w:val="20"/>
                <w:szCs w:val="18"/>
              </w:rPr>
              <w:t>65.35 ÷ 2.29</w:t>
            </w:r>
          </w:p>
        </w:tc>
        <w:tc>
          <w:tcPr>
            <w:tcW w:w="0" w:type="auto"/>
            <w:hideMark/>
          </w:tcPr>
          <w:p w14:paraId="2D4912AD" w14:textId="77777777" w:rsidR="00A414B4" w:rsidRPr="00A414B4" w:rsidRDefault="00A414B4" w:rsidP="00A414B4">
            <w:pPr>
              <w:spacing w:after="160"/>
              <w:rPr>
                <w:sz w:val="20"/>
                <w:szCs w:val="18"/>
              </w:rPr>
            </w:pPr>
            <w:r w:rsidRPr="00A414B4">
              <w:rPr>
                <w:b/>
                <w:bCs/>
                <w:sz w:val="20"/>
                <w:szCs w:val="18"/>
              </w:rPr>
              <w:t>28.559 ≈ 28.6</w:t>
            </w:r>
          </w:p>
        </w:tc>
      </w:tr>
    </w:tbl>
    <w:p w14:paraId="624A6AAD" w14:textId="77777777" w:rsidR="00A414B4" w:rsidRDefault="00A414B4" w:rsidP="00A414B4">
      <w:pPr>
        <w:rPr>
          <w:b/>
          <w:bCs/>
        </w:rPr>
      </w:pPr>
    </w:p>
    <w:p w14:paraId="23C0F5DC" w14:textId="3845163D" w:rsidR="00A414B4" w:rsidRPr="00A414B4" w:rsidRDefault="00A414B4" w:rsidP="00A414B4">
      <w:r w:rsidRPr="00A414B4">
        <w:rPr>
          <w:b/>
          <w:bCs/>
        </w:rPr>
        <w:lastRenderedPageBreak/>
        <w:t>Dividend per share note:</w:t>
      </w:r>
    </w:p>
    <w:p w14:paraId="3CA4BB3C" w14:textId="77777777" w:rsidR="00A414B4" w:rsidRPr="00A414B4" w:rsidRDefault="00A414B4" w:rsidP="00A414B4">
      <w:pPr>
        <w:numPr>
          <w:ilvl w:val="0"/>
          <w:numId w:val="5"/>
        </w:numPr>
      </w:pPr>
      <w:r w:rsidRPr="00A414B4">
        <w:t xml:space="preserve">2023 dividend per share used = </w:t>
      </w:r>
      <w:r w:rsidRPr="00A414B4">
        <w:rPr>
          <w:b/>
          <w:bCs/>
        </w:rPr>
        <w:t>Trailing annual dividend rate = 2.06</w:t>
      </w:r>
    </w:p>
    <w:p w14:paraId="16AFBD1F" w14:textId="77777777" w:rsidR="00A414B4" w:rsidRPr="00A414B4" w:rsidRDefault="00A414B4" w:rsidP="00A414B4">
      <w:pPr>
        <w:numPr>
          <w:ilvl w:val="0"/>
          <w:numId w:val="5"/>
        </w:numPr>
      </w:pPr>
      <w:r w:rsidRPr="00A414B4">
        <w:t xml:space="preserve">2024 dividend per share used = </w:t>
      </w:r>
      <w:r w:rsidRPr="00A414B4">
        <w:rPr>
          <w:b/>
          <w:bCs/>
        </w:rPr>
        <w:t>Forward annual dividend rate = 2.29</w:t>
      </w:r>
    </w:p>
    <w:p w14:paraId="4D6FE0DB" w14:textId="77777777" w:rsidR="002A6C11" w:rsidRPr="002A6C11" w:rsidRDefault="002A6C11" w:rsidP="002A6C11"/>
    <w:sectPr w:rsidR="002A6C11" w:rsidRPr="002A6C11" w:rsidSect="00027033">
      <w:footerReference w:type="default" r:id="rId3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C5F461" w14:textId="77777777" w:rsidR="000A6988" w:rsidRDefault="000A6988" w:rsidP="00E30EE6">
      <w:pPr>
        <w:spacing w:after="0" w:line="240" w:lineRule="auto"/>
      </w:pPr>
      <w:r>
        <w:separator/>
      </w:r>
    </w:p>
  </w:endnote>
  <w:endnote w:type="continuationSeparator" w:id="0">
    <w:p w14:paraId="7EB24000" w14:textId="77777777" w:rsidR="000A6988" w:rsidRDefault="000A6988" w:rsidP="00E30E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6783073"/>
      <w:docPartObj>
        <w:docPartGallery w:val="Page Numbers (Bottom of Page)"/>
        <w:docPartUnique/>
      </w:docPartObj>
    </w:sdtPr>
    <w:sdtEndPr>
      <w:rPr>
        <w:noProof/>
      </w:rPr>
    </w:sdtEndPr>
    <w:sdtContent>
      <w:p w14:paraId="62F9CD48" w14:textId="14B97BDE" w:rsidR="00E30EE6" w:rsidRDefault="00E30EE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29B9AA" w14:textId="77777777" w:rsidR="00E30EE6" w:rsidRDefault="00E30E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81DD64" w14:textId="77777777" w:rsidR="000A6988" w:rsidRDefault="000A6988" w:rsidP="00E30EE6">
      <w:pPr>
        <w:spacing w:after="0" w:line="240" w:lineRule="auto"/>
      </w:pPr>
      <w:r>
        <w:separator/>
      </w:r>
    </w:p>
  </w:footnote>
  <w:footnote w:type="continuationSeparator" w:id="0">
    <w:p w14:paraId="34E4DA53" w14:textId="77777777" w:rsidR="000A6988" w:rsidRDefault="000A6988" w:rsidP="00E30E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6A4B03"/>
    <w:multiLevelType w:val="multilevel"/>
    <w:tmpl w:val="CE4CC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4D6E0B"/>
    <w:multiLevelType w:val="multilevel"/>
    <w:tmpl w:val="D36C9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D93019B"/>
    <w:multiLevelType w:val="multilevel"/>
    <w:tmpl w:val="774E7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917206B"/>
    <w:multiLevelType w:val="multilevel"/>
    <w:tmpl w:val="C23AB7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27374C6"/>
    <w:multiLevelType w:val="multilevel"/>
    <w:tmpl w:val="3C7A8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70835210">
    <w:abstractNumId w:val="4"/>
  </w:num>
  <w:num w:numId="2" w16cid:durableId="587932516">
    <w:abstractNumId w:val="1"/>
  </w:num>
  <w:num w:numId="3" w16cid:durableId="1048337798">
    <w:abstractNumId w:val="2"/>
  </w:num>
  <w:num w:numId="4" w16cid:durableId="1413163983">
    <w:abstractNumId w:val="3"/>
  </w:num>
  <w:num w:numId="5" w16cid:durableId="4967668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00A1"/>
    <w:rsid w:val="00010C04"/>
    <w:rsid w:val="00026B22"/>
    <w:rsid w:val="00027033"/>
    <w:rsid w:val="0008013D"/>
    <w:rsid w:val="00095E51"/>
    <w:rsid w:val="00096DB7"/>
    <w:rsid w:val="000A6988"/>
    <w:rsid w:val="00141516"/>
    <w:rsid w:val="00142FBA"/>
    <w:rsid w:val="00181DC3"/>
    <w:rsid w:val="001A4264"/>
    <w:rsid w:val="001A49FA"/>
    <w:rsid w:val="001C38C4"/>
    <w:rsid w:val="001C72A5"/>
    <w:rsid w:val="001D6DA9"/>
    <w:rsid w:val="001F6B2A"/>
    <w:rsid w:val="002800A1"/>
    <w:rsid w:val="002A6C11"/>
    <w:rsid w:val="002E1C5E"/>
    <w:rsid w:val="002F69E2"/>
    <w:rsid w:val="0034232D"/>
    <w:rsid w:val="003859C3"/>
    <w:rsid w:val="00392333"/>
    <w:rsid w:val="00414066"/>
    <w:rsid w:val="004279E4"/>
    <w:rsid w:val="00443245"/>
    <w:rsid w:val="0044783C"/>
    <w:rsid w:val="00455DAD"/>
    <w:rsid w:val="0049644F"/>
    <w:rsid w:val="004C4F66"/>
    <w:rsid w:val="004E72D6"/>
    <w:rsid w:val="005B6310"/>
    <w:rsid w:val="0060260B"/>
    <w:rsid w:val="00635659"/>
    <w:rsid w:val="00640F1A"/>
    <w:rsid w:val="00674081"/>
    <w:rsid w:val="006E32F2"/>
    <w:rsid w:val="006F0CC2"/>
    <w:rsid w:val="007220BF"/>
    <w:rsid w:val="00722F21"/>
    <w:rsid w:val="00733008"/>
    <w:rsid w:val="00742E21"/>
    <w:rsid w:val="00783ED0"/>
    <w:rsid w:val="007A6E68"/>
    <w:rsid w:val="007C3A9A"/>
    <w:rsid w:val="00825127"/>
    <w:rsid w:val="00831016"/>
    <w:rsid w:val="0087403A"/>
    <w:rsid w:val="008B7BC4"/>
    <w:rsid w:val="008C673D"/>
    <w:rsid w:val="008D4CB2"/>
    <w:rsid w:val="008F2197"/>
    <w:rsid w:val="008F2652"/>
    <w:rsid w:val="008F632A"/>
    <w:rsid w:val="009018CA"/>
    <w:rsid w:val="00916B09"/>
    <w:rsid w:val="00924F78"/>
    <w:rsid w:val="00942141"/>
    <w:rsid w:val="0094358C"/>
    <w:rsid w:val="00952ECE"/>
    <w:rsid w:val="009729AC"/>
    <w:rsid w:val="009B3AE4"/>
    <w:rsid w:val="009F1CDF"/>
    <w:rsid w:val="00A0227A"/>
    <w:rsid w:val="00A24055"/>
    <w:rsid w:val="00A327FE"/>
    <w:rsid w:val="00A414B4"/>
    <w:rsid w:val="00AD0B06"/>
    <w:rsid w:val="00B2336F"/>
    <w:rsid w:val="00B92536"/>
    <w:rsid w:val="00BA3B69"/>
    <w:rsid w:val="00BE4E61"/>
    <w:rsid w:val="00C11447"/>
    <w:rsid w:val="00C12AEA"/>
    <w:rsid w:val="00C45C61"/>
    <w:rsid w:val="00C733B6"/>
    <w:rsid w:val="00C97182"/>
    <w:rsid w:val="00CC3ED3"/>
    <w:rsid w:val="00CD024A"/>
    <w:rsid w:val="00CD461D"/>
    <w:rsid w:val="00CF0D37"/>
    <w:rsid w:val="00D4022B"/>
    <w:rsid w:val="00DB5A14"/>
    <w:rsid w:val="00DE278E"/>
    <w:rsid w:val="00DF28B9"/>
    <w:rsid w:val="00E03690"/>
    <w:rsid w:val="00E14D83"/>
    <w:rsid w:val="00E30EE6"/>
    <w:rsid w:val="00E500A7"/>
    <w:rsid w:val="00E72DD0"/>
    <w:rsid w:val="00E75D6F"/>
    <w:rsid w:val="00EE50C4"/>
    <w:rsid w:val="00F26BE2"/>
    <w:rsid w:val="00F51E08"/>
    <w:rsid w:val="00F66D2D"/>
    <w:rsid w:val="00FD3505"/>
    <w:rsid w:val="00FD5F79"/>
    <w:rsid w:val="00FE408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8B2442"/>
  <w15:chartTrackingRefBased/>
  <w15:docId w15:val="{64622DD7-436A-42C6-88FB-6E1AC2F8EE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512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25127"/>
    <w:pPr>
      <w:keepNext/>
      <w:keepLines/>
      <w:spacing w:before="360" w:after="80"/>
      <w:outlineLvl w:val="0"/>
    </w:pPr>
    <w:rPr>
      <w:rFonts w:eastAsiaTheme="majorEastAsia" w:cstheme="majorBidi"/>
      <w:b/>
      <w:color w:val="0F4761" w:themeColor="accent1" w:themeShade="BF"/>
      <w:sz w:val="32"/>
      <w:szCs w:val="40"/>
    </w:rPr>
  </w:style>
  <w:style w:type="paragraph" w:styleId="Heading2">
    <w:name w:val="heading 2"/>
    <w:basedOn w:val="Normal"/>
    <w:next w:val="Normal"/>
    <w:link w:val="Heading2Char"/>
    <w:uiPriority w:val="9"/>
    <w:unhideWhenUsed/>
    <w:qFormat/>
    <w:rsid w:val="00825127"/>
    <w:pPr>
      <w:keepNext/>
      <w:keepLines/>
      <w:spacing w:before="160" w:after="80"/>
      <w:outlineLvl w:val="1"/>
    </w:pPr>
    <w:rPr>
      <w:rFonts w:eastAsiaTheme="majorEastAsia" w:cstheme="majorBidi"/>
      <w:b/>
      <w:color w:val="0F4761" w:themeColor="accent1" w:themeShade="BF"/>
      <w:sz w:val="28"/>
      <w:szCs w:val="32"/>
    </w:rPr>
  </w:style>
  <w:style w:type="paragraph" w:styleId="Heading3">
    <w:name w:val="heading 3"/>
    <w:basedOn w:val="Normal"/>
    <w:next w:val="Normal"/>
    <w:link w:val="Heading3Char"/>
    <w:uiPriority w:val="9"/>
    <w:semiHidden/>
    <w:unhideWhenUsed/>
    <w:qFormat/>
    <w:rsid w:val="002800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00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00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00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00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00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00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5127"/>
    <w:rPr>
      <w:rFonts w:ascii="Times New Roman" w:eastAsiaTheme="majorEastAsia" w:hAnsi="Times New Roman" w:cstheme="majorBidi"/>
      <w:b/>
      <w:color w:val="0F4761" w:themeColor="accent1" w:themeShade="BF"/>
      <w:sz w:val="32"/>
      <w:szCs w:val="40"/>
    </w:rPr>
  </w:style>
  <w:style w:type="character" w:customStyle="1" w:styleId="Heading2Char">
    <w:name w:val="Heading 2 Char"/>
    <w:basedOn w:val="DefaultParagraphFont"/>
    <w:link w:val="Heading2"/>
    <w:uiPriority w:val="9"/>
    <w:rsid w:val="00825127"/>
    <w:rPr>
      <w:rFonts w:ascii="Times New Roman" w:eastAsiaTheme="majorEastAsia" w:hAnsi="Times New Roman" w:cstheme="majorBidi"/>
      <w:b/>
      <w:color w:val="0F4761" w:themeColor="accent1" w:themeShade="BF"/>
      <w:sz w:val="28"/>
      <w:szCs w:val="32"/>
    </w:rPr>
  </w:style>
  <w:style w:type="character" w:customStyle="1" w:styleId="Heading3Char">
    <w:name w:val="Heading 3 Char"/>
    <w:basedOn w:val="DefaultParagraphFont"/>
    <w:link w:val="Heading3"/>
    <w:uiPriority w:val="9"/>
    <w:semiHidden/>
    <w:rsid w:val="002800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00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00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00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00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00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00A1"/>
    <w:rPr>
      <w:rFonts w:eastAsiaTheme="majorEastAsia" w:cstheme="majorBidi"/>
      <w:color w:val="272727" w:themeColor="text1" w:themeTint="D8"/>
    </w:rPr>
  </w:style>
  <w:style w:type="paragraph" w:styleId="Title">
    <w:name w:val="Title"/>
    <w:basedOn w:val="Normal"/>
    <w:next w:val="Normal"/>
    <w:link w:val="TitleChar"/>
    <w:uiPriority w:val="10"/>
    <w:qFormat/>
    <w:rsid w:val="002800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00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00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00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00A1"/>
    <w:pPr>
      <w:spacing w:before="160"/>
      <w:jc w:val="center"/>
    </w:pPr>
    <w:rPr>
      <w:i/>
      <w:iCs/>
      <w:color w:val="404040" w:themeColor="text1" w:themeTint="BF"/>
    </w:rPr>
  </w:style>
  <w:style w:type="character" w:customStyle="1" w:styleId="QuoteChar">
    <w:name w:val="Quote Char"/>
    <w:basedOn w:val="DefaultParagraphFont"/>
    <w:link w:val="Quote"/>
    <w:uiPriority w:val="29"/>
    <w:rsid w:val="002800A1"/>
    <w:rPr>
      <w:i/>
      <w:iCs/>
      <w:color w:val="404040" w:themeColor="text1" w:themeTint="BF"/>
    </w:rPr>
  </w:style>
  <w:style w:type="paragraph" w:styleId="ListParagraph">
    <w:name w:val="List Paragraph"/>
    <w:basedOn w:val="Normal"/>
    <w:uiPriority w:val="34"/>
    <w:qFormat/>
    <w:rsid w:val="002800A1"/>
    <w:pPr>
      <w:ind w:left="720"/>
      <w:contextualSpacing/>
    </w:pPr>
  </w:style>
  <w:style w:type="character" w:styleId="IntenseEmphasis">
    <w:name w:val="Intense Emphasis"/>
    <w:basedOn w:val="DefaultParagraphFont"/>
    <w:uiPriority w:val="21"/>
    <w:qFormat/>
    <w:rsid w:val="002800A1"/>
    <w:rPr>
      <w:i/>
      <w:iCs/>
      <w:color w:val="0F4761" w:themeColor="accent1" w:themeShade="BF"/>
    </w:rPr>
  </w:style>
  <w:style w:type="paragraph" w:styleId="IntenseQuote">
    <w:name w:val="Intense Quote"/>
    <w:basedOn w:val="Normal"/>
    <w:next w:val="Normal"/>
    <w:link w:val="IntenseQuoteChar"/>
    <w:uiPriority w:val="30"/>
    <w:qFormat/>
    <w:rsid w:val="002800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00A1"/>
    <w:rPr>
      <w:i/>
      <w:iCs/>
      <w:color w:val="0F4761" w:themeColor="accent1" w:themeShade="BF"/>
    </w:rPr>
  </w:style>
  <w:style w:type="character" w:styleId="IntenseReference">
    <w:name w:val="Intense Reference"/>
    <w:basedOn w:val="DefaultParagraphFont"/>
    <w:uiPriority w:val="32"/>
    <w:qFormat/>
    <w:rsid w:val="002800A1"/>
    <w:rPr>
      <w:b/>
      <w:bCs/>
      <w:smallCaps/>
      <w:color w:val="0F4761" w:themeColor="accent1" w:themeShade="BF"/>
      <w:spacing w:val="5"/>
    </w:rPr>
  </w:style>
  <w:style w:type="table" w:styleId="TableGridLight">
    <w:name w:val="Grid Table Light"/>
    <w:basedOn w:val="TableNormal"/>
    <w:uiPriority w:val="40"/>
    <w:rsid w:val="001C38C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Hyperlink">
    <w:name w:val="Hyperlink"/>
    <w:basedOn w:val="DefaultParagraphFont"/>
    <w:uiPriority w:val="99"/>
    <w:unhideWhenUsed/>
    <w:rsid w:val="00E500A7"/>
    <w:rPr>
      <w:color w:val="467886" w:themeColor="hyperlink"/>
      <w:u w:val="single"/>
    </w:rPr>
  </w:style>
  <w:style w:type="character" w:styleId="UnresolvedMention">
    <w:name w:val="Unresolved Mention"/>
    <w:basedOn w:val="DefaultParagraphFont"/>
    <w:uiPriority w:val="99"/>
    <w:semiHidden/>
    <w:unhideWhenUsed/>
    <w:rsid w:val="00E500A7"/>
    <w:rPr>
      <w:color w:val="605E5C"/>
      <w:shd w:val="clear" w:color="auto" w:fill="E1DFDD"/>
    </w:rPr>
  </w:style>
  <w:style w:type="paragraph" w:styleId="TOCHeading">
    <w:name w:val="TOC Heading"/>
    <w:basedOn w:val="Heading1"/>
    <w:next w:val="Normal"/>
    <w:uiPriority w:val="39"/>
    <w:unhideWhenUsed/>
    <w:qFormat/>
    <w:rsid w:val="00455DAD"/>
    <w:pPr>
      <w:spacing w:before="240" w:after="0" w:line="259" w:lineRule="auto"/>
      <w:jc w:val="left"/>
      <w:outlineLvl w:val="9"/>
    </w:pPr>
    <w:rPr>
      <w:rFonts w:asciiTheme="majorHAnsi" w:hAnsiTheme="majorHAnsi"/>
      <w:b w:val="0"/>
      <w:kern w:val="0"/>
      <w:szCs w:val="32"/>
      <w:lang w:val="en-US"/>
      <w14:ligatures w14:val="none"/>
    </w:rPr>
  </w:style>
  <w:style w:type="paragraph" w:styleId="TOC1">
    <w:name w:val="toc 1"/>
    <w:basedOn w:val="Normal"/>
    <w:next w:val="Normal"/>
    <w:autoRedefine/>
    <w:uiPriority w:val="39"/>
    <w:unhideWhenUsed/>
    <w:rsid w:val="00455DAD"/>
    <w:pPr>
      <w:spacing w:after="100"/>
    </w:pPr>
  </w:style>
  <w:style w:type="paragraph" w:styleId="TOC2">
    <w:name w:val="toc 2"/>
    <w:basedOn w:val="Normal"/>
    <w:next w:val="Normal"/>
    <w:autoRedefine/>
    <w:uiPriority w:val="39"/>
    <w:unhideWhenUsed/>
    <w:rsid w:val="00455DAD"/>
    <w:pPr>
      <w:spacing w:after="100"/>
      <w:ind w:left="240"/>
    </w:pPr>
  </w:style>
  <w:style w:type="paragraph" w:styleId="NoSpacing">
    <w:name w:val="No Spacing"/>
    <w:link w:val="NoSpacingChar"/>
    <w:uiPriority w:val="1"/>
    <w:qFormat/>
    <w:rsid w:val="0002703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27033"/>
    <w:rPr>
      <w:rFonts w:eastAsiaTheme="minorEastAsia"/>
      <w:kern w:val="0"/>
      <w:lang w:val="en-US"/>
      <w14:ligatures w14:val="none"/>
    </w:rPr>
  </w:style>
  <w:style w:type="paragraph" w:styleId="Header">
    <w:name w:val="header"/>
    <w:basedOn w:val="Normal"/>
    <w:link w:val="HeaderChar"/>
    <w:uiPriority w:val="99"/>
    <w:unhideWhenUsed/>
    <w:rsid w:val="00E30E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0EE6"/>
    <w:rPr>
      <w:rFonts w:ascii="Times New Roman" w:hAnsi="Times New Roman"/>
      <w:sz w:val="24"/>
    </w:rPr>
  </w:style>
  <w:style w:type="paragraph" w:styleId="Footer">
    <w:name w:val="footer"/>
    <w:basedOn w:val="Normal"/>
    <w:link w:val="FooterChar"/>
    <w:uiPriority w:val="99"/>
    <w:unhideWhenUsed/>
    <w:rsid w:val="00E30E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0EE6"/>
    <w:rPr>
      <w:rFonts w:ascii="Times New Roman" w:hAnsi="Times New Roman"/>
      <w:sz w:val="24"/>
    </w:rPr>
  </w:style>
  <w:style w:type="paragraph" w:styleId="Caption">
    <w:name w:val="caption"/>
    <w:basedOn w:val="Normal"/>
    <w:next w:val="Normal"/>
    <w:uiPriority w:val="35"/>
    <w:unhideWhenUsed/>
    <w:qFormat/>
    <w:rsid w:val="0049644F"/>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pages.stern.nyu.edu/~adamodar/" TargetMode="External"/><Relationship Id="rId39" Type="http://schemas.openxmlformats.org/officeDocument/2006/relationships/glossaryDocument" Target="glossary/document.xml"/><Relationship Id="rId21" Type="http://schemas.openxmlformats.org/officeDocument/2006/relationships/hyperlink" Target="https://www.ft.com/companies/unilever-plc" TargetMode="External"/><Relationship Id="rId34" Type="http://schemas.openxmlformats.org/officeDocument/2006/relationships/image" Target="media/image11.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unilever.com/investors/annual-report-and-accounts/" TargetMode="External"/><Relationship Id="rId33" Type="http://schemas.openxmlformats.org/officeDocument/2006/relationships/hyperlink" Target="https://doi.org/10.2307/3666083"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pages.stern.nyu.edu/~adamodar/" TargetMode="External"/><Relationship Id="rId29" Type="http://schemas.openxmlformats.org/officeDocument/2006/relationships/hyperlink" Target="https://www.gov.uk/capital-allowance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unilever.com/investors/annual-report-and-accounts/" TargetMode="External"/><Relationship Id="rId32" Type="http://schemas.openxmlformats.org/officeDocument/2006/relationships/hyperlink" Target="https://doi.org/10.1111/j.1540-6261.1984.tb03646.x" TargetMode="External"/><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doi.org/10.1016/0165-4101(79)90007-7" TargetMode="External"/><Relationship Id="rId28" Type="http://schemas.openxmlformats.org/officeDocument/2006/relationships/hyperlink" Target="https://doi.org/10.1086/258056" TargetMode="External"/><Relationship Id="rId36" Type="http://schemas.openxmlformats.org/officeDocument/2006/relationships/image" Target="media/image13.png"/><Relationship Id="rId10" Type="http://schemas.openxmlformats.org/officeDocument/2006/relationships/image" Target="media/image2.png"/><Relationship Id="rId19" Type="http://schemas.openxmlformats.org/officeDocument/2006/relationships/hyperlink" Target="https://doi.org/10.2307/2490171" TargetMode="External"/><Relationship Id="rId31" Type="http://schemas.openxmlformats.org/officeDocument/2006/relationships/hyperlink" Target="https://doi.org/10.2307/1809766"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jstor.org/stable/243379" TargetMode="External"/><Relationship Id="rId27" Type="http://schemas.openxmlformats.org/officeDocument/2006/relationships/hyperlink" Target="https://archive.org/details/theoryofinterest00fish" TargetMode="External"/><Relationship Id="rId30" Type="http://schemas.openxmlformats.org/officeDocument/2006/relationships/hyperlink" Target="https://doi.org/10.1080/0013791X.2010.491448" TargetMode="External"/><Relationship Id="rId35" Type="http://schemas.openxmlformats.org/officeDocument/2006/relationships/image" Target="media/image12.png"/><Relationship Id="rId8" Type="http://schemas.openxmlformats.org/officeDocument/2006/relationships/endnotes" Target="endnotes.xml"/><Relationship Id="rId3"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BF4C7379CDD45769178C66EF841D396"/>
        <w:category>
          <w:name w:val="General"/>
          <w:gallery w:val="placeholder"/>
        </w:category>
        <w:types>
          <w:type w:val="bbPlcHdr"/>
        </w:types>
        <w:behaviors>
          <w:behavior w:val="content"/>
        </w:behaviors>
        <w:guid w:val="{0A1C6332-6875-4D15-B747-B9730DA939CD}"/>
      </w:docPartPr>
      <w:docPartBody>
        <w:p w:rsidR="008339E3" w:rsidRDefault="004E2B24" w:rsidP="004E2B24">
          <w:pPr>
            <w:pStyle w:val="CBF4C7379CDD45769178C66EF841D396"/>
          </w:pPr>
          <w:r>
            <w:rPr>
              <w:rFonts w:asciiTheme="majorHAnsi" w:eastAsiaTheme="majorEastAsia" w:hAnsiTheme="majorHAnsi" w:cstheme="majorBidi"/>
              <w:caps/>
              <w:color w:val="156082" w:themeColor="accent1"/>
              <w:sz w:val="80"/>
              <w:szCs w:val="80"/>
            </w:rPr>
            <w:t>[Document title]</w:t>
          </w:r>
        </w:p>
      </w:docPartBody>
    </w:docPart>
    <w:docPart>
      <w:docPartPr>
        <w:name w:val="D61C8D224FB04596ABC22E0AC64C3C1E"/>
        <w:category>
          <w:name w:val="General"/>
          <w:gallery w:val="placeholder"/>
        </w:category>
        <w:types>
          <w:type w:val="bbPlcHdr"/>
        </w:types>
        <w:behaviors>
          <w:behavior w:val="content"/>
        </w:behaviors>
        <w:guid w:val="{56A45D93-3453-4526-9667-2BE224E4758C}"/>
      </w:docPartPr>
      <w:docPartBody>
        <w:p w:rsidR="008339E3" w:rsidRDefault="004E2B24" w:rsidP="004E2B24">
          <w:pPr>
            <w:pStyle w:val="D61C8D224FB04596ABC22E0AC64C3C1E"/>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2B24"/>
    <w:rsid w:val="00491C4F"/>
    <w:rsid w:val="004E2B24"/>
    <w:rsid w:val="004E7036"/>
    <w:rsid w:val="005B6310"/>
    <w:rsid w:val="006326E3"/>
    <w:rsid w:val="00701B6B"/>
    <w:rsid w:val="008339E3"/>
    <w:rsid w:val="00A327FE"/>
    <w:rsid w:val="00DF28B9"/>
    <w:rsid w:val="00E75D6F"/>
    <w:rsid w:val="00FC3AC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N" w:eastAsia="en-I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BF4C7379CDD45769178C66EF841D396">
    <w:name w:val="CBF4C7379CDD45769178C66EF841D396"/>
    <w:rsid w:val="004E2B24"/>
  </w:style>
  <w:style w:type="paragraph" w:customStyle="1" w:styleId="D61C8D224FB04596ABC22E0AC64C3C1E">
    <w:name w:val="D61C8D224FB04596ABC22E0AC64C3C1E"/>
    <w:rsid w:val="004E2B2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2026-01-12T00:00:00</PublishDate>
  <Abstract/>
  <CompanyAddress>Student ID :2514890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1969A89-9D99-43AA-A888-3BC4CB7EB1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37</Pages>
  <Words>9370</Words>
  <Characters>53410</Characters>
  <Application>Microsoft Office Word</Application>
  <DocSecurity>0</DocSecurity>
  <Lines>445</Lines>
  <Paragraphs>125</Paragraphs>
  <ScaleCrop>false</ScaleCrop>
  <HeadingPairs>
    <vt:vector size="2" baseType="variant">
      <vt:variant>
        <vt:lpstr>Title</vt:lpstr>
      </vt:variant>
      <vt:variant>
        <vt:i4>1</vt:i4>
      </vt:variant>
    </vt:vector>
  </HeadingPairs>
  <TitlesOfParts>
    <vt:vector size="1" baseType="lpstr">
      <vt:lpstr>Financial Performance Analysis and Capital Investment Appraisal</vt:lpstr>
    </vt:vector>
  </TitlesOfParts>
  <Company/>
  <LinksUpToDate>false</LinksUpToDate>
  <CharactersWithSpaces>62655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Performance Analysis and Capital Investment Appraisal</dc:title>
  <dc:subject>Finance for Business Managers (BMMB7005D) - Unilever PLC and Westward Plc</dc:subject>
  <dc:creator>hp laptop</dc:creator>
  <cp:keywords/>
  <dc:description/>
  <cp:lastModifiedBy>vamsi rapaka</cp:lastModifiedBy>
  <cp:revision>2</cp:revision>
  <dcterms:created xsi:type="dcterms:W3CDTF">2026-01-12T12:10:00Z</dcterms:created>
  <dcterms:modified xsi:type="dcterms:W3CDTF">2026-01-12T12:10:00Z</dcterms:modified>
</cp:coreProperties>
</file>