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ptos" w:cs="Aptos" w:eastAsia="Aptos" w:hAnsi="Aptos"/>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ptos" w:cs="Aptos" w:eastAsia="Aptos" w:hAnsi="Aptos"/>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3">
      <w:pPr>
        <w:pBdr>
          <w:top w:color="156082" w:space="10" w:sz="4" w:val="single"/>
          <w:bottom w:color="156082" w:space="26" w:sz="4" w:val="single"/>
        </w:pBdr>
        <w:spacing w:after="360" w:before="360" w:lineRule="auto"/>
        <w:ind w:left="864" w:right="864" w:firstLine="0"/>
        <w:rPr>
          <w:i w:val="1"/>
          <w:color w:val="156082"/>
        </w:rPr>
      </w:pPr>
      <w:r w:rsidDel="00000000" w:rsidR="00000000" w:rsidRPr="00000000">
        <w:rPr>
          <w:i w:val="1"/>
          <w:color w:val="156082"/>
          <w:rtl w:val="0"/>
        </w:rPr>
        <w:br w:type="textWrapping"/>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2697714" cy="891617"/>
            <wp:effectExtent b="0" l="0" r="0" t="0"/>
            <wp:wrapSquare wrapText="bothSides" distB="0" distT="0" distL="114300" distR="114300"/>
            <wp:docPr descr="A close up of black text&#10;&#10;Description automatically generated" id="846876588" name="image1.png"/>
            <a:graphic>
              <a:graphicData uri="http://schemas.openxmlformats.org/drawingml/2006/picture">
                <pic:pic>
                  <pic:nvPicPr>
                    <pic:cNvPr descr="A close up of black text&#10;&#10;Description automatically generated" id="0" name="image1.png"/>
                    <pic:cNvPicPr preferRelativeResize="0"/>
                  </pic:nvPicPr>
                  <pic:blipFill>
                    <a:blip r:embed="rId7"/>
                    <a:srcRect b="0" l="0" r="0" t="0"/>
                    <a:stretch>
                      <a:fillRect/>
                    </a:stretch>
                  </pic:blipFill>
                  <pic:spPr>
                    <a:xfrm>
                      <a:off x="0" y="0"/>
                      <a:ext cx="2697714" cy="891617"/>
                    </a:xfrm>
                    <a:prstGeom prst="rect"/>
                    <a:ln/>
                  </pic:spPr>
                </pic:pic>
              </a:graphicData>
            </a:graphic>
          </wp:anchor>
        </w:drawing>
      </w:r>
    </w:p>
    <w:p w:rsidR="00000000" w:rsidDel="00000000" w:rsidP="00000000" w:rsidRDefault="00000000" w:rsidRPr="00000000" w14:paraId="00000004">
      <w:pPr>
        <w:pBdr>
          <w:top w:color="156082" w:space="10" w:sz="4" w:val="single"/>
          <w:bottom w:color="156082" w:space="26" w:sz="4" w:val="single"/>
        </w:pBdr>
        <w:spacing w:after="360" w:before="360" w:lineRule="auto"/>
        <w:ind w:left="864" w:right="864" w:firstLine="0"/>
        <w:jc w:val="center"/>
        <w:rPr>
          <w:rFonts w:ascii="Arial" w:cs="Arial" w:eastAsia="Arial" w:hAnsi="Arial"/>
          <w:b w:val="1"/>
          <w:i w:val="1"/>
          <w:color w:val="156082"/>
          <w:sz w:val="36"/>
          <w:szCs w:val="36"/>
        </w:rPr>
      </w:pPr>
      <w:r w:rsidDel="00000000" w:rsidR="00000000" w:rsidRPr="00000000">
        <w:rPr>
          <w:rFonts w:ascii="Arial" w:cs="Arial" w:eastAsia="Arial" w:hAnsi="Arial"/>
          <w:b w:val="1"/>
          <w:smallCaps w:val="1"/>
          <w:color w:val="156082"/>
          <w:sz w:val="36"/>
          <w:szCs w:val="36"/>
          <w:rtl w:val="0"/>
        </w:rPr>
        <w:t xml:space="preserve">International Hotel Management</w:t>
      </w:r>
      <w:r w:rsidDel="00000000" w:rsidR="00000000" w:rsidRPr="00000000">
        <w:rPr>
          <w:rtl w:val="0"/>
        </w:rPr>
      </w:r>
    </w:p>
    <w:p w:rsidR="00000000" w:rsidDel="00000000" w:rsidP="00000000" w:rsidRDefault="00000000" w:rsidRPr="00000000" w14:paraId="00000005">
      <w:pPr>
        <w:rPr>
          <w:rFonts w:ascii="Arial" w:cs="Arial" w:eastAsia="Arial" w:hAnsi="Arial"/>
        </w:rPr>
      </w:pPr>
      <w:r w:rsidDel="00000000" w:rsidR="00000000" w:rsidRPr="00000000">
        <w:rPr>
          <w:rtl w:val="0"/>
        </w:rPr>
      </w:r>
    </w:p>
    <w:p w:rsidR="00000000" w:rsidDel="00000000" w:rsidP="00000000" w:rsidRDefault="00000000" w:rsidRPr="00000000" w14:paraId="00000006">
      <w:pPr>
        <w:jc w:val="center"/>
        <w:rPr>
          <w:rFonts w:ascii="Arial" w:cs="Arial" w:eastAsia="Arial" w:hAnsi="Arial"/>
        </w:rPr>
      </w:pPr>
      <w:r w:rsidDel="00000000" w:rsidR="00000000" w:rsidRPr="00000000">
        <w:rPr>
          <w:rFonts w:ascii="Arial" w:cs="Arial" w:eastAsia="Arial" w:hAnsi="Arial"/>
          <w:rtl w:val="0"/>
        </w:rPr>
        <w:t xml:space="preserve">Hotel Placement – Managing Food and Beverage</w:t>
      </w:r>
    </w:p>
    <w:p w:rsidR="00000000" w:rsidDel="00000000" w:rsidP="00000000" w:rsidRDefault="00000000" w:rsidRPr="00000000" w14:paraId="00000007">
      <w:pPr>
        <w:jc w:val="center"/>
        <w:rPr>
          <w:rFonts w:ascii="Arial" w:cs="Arial" w:eastAsia="Arial" w:hAnsi="Arial"/>
        </w:rPr>
      </w:pPr>
      <w:r w:rsidDel="00000000" w:rsidR="00000000" w:rsidRPr="00000000">
        <w:rPr>
          <w:rFonts w:ascii="Arial" w:cs="Arial" w:eastAsia="Arial" w:hAnsi="Arial"/>
          <w:rtl w:val="0"/>
        </w:rPr>
        <w:t xml:space="preserve">Operations BMIH6002</w:t>
      </w:r>
    </w:p>
    <w:p w:rsidR="00000000" w:rsidDel="00000000" w:rsidP="00000000" w:rsidRDefault="00000000" w:rsidRPr="00000000" w14:paraId="00000008">
      <w:pPr>
        <w:jc w:val="center"/>
        <w:rPr>
          <w:rFonts w:ascii="Arial" w:cs="Arial" w:eastAsia="Arial" w:hAnsi="Arial"/>
        </w:rPr>
      </w:pPr>
      <w:r w:rsidDel="00000000" w:rsidR="00000000" w:rsidRPr="00000000">
        <w:rPr>
          <w:rtl w:val="0"/>
        </w:rPr>
      </w:r>
    </w:p>
    <w:p w:rsidR="00000000" w:rsidDel="00000000" w:rsidP="00000000" w:rsidRDefault="00000000" w:rsidRPr="00000000" w14:paraId="00000009">
      <w:pPr>
        <w:jc w:val="center"/>
        <w:rPr>
          <w:rFonts w:ascii="Arial" w:cs="Arial" w:eastAsia="Arial" w:hAnsi="Arial"/>
        </w:rPr>
      </w:pPr>
      <w:r w:rsidDel="00000000" w:rsidR="00000000" w:rsidRPr="00000000">
        <w:rPr>
          <w:rtl w:val="0"/>
        </w:rPr>
      </w:r>
    </w:p>
    <w:p w:rsidR="00000000" w:rsidDel="00000000" w:rsidP="00000000" w:rsidRDefault="00000000" w:rsidRPr="00000000" w14:paraId="0000000A">
      <w:pPr>
        <w:jc w:val="center"/>
        <w:rPr>
          <w:rFonts w:ascii="Arial" w:cs="Arial" w:eastAsia="Arial" w:hAnsi="Arial"/>
        </w:rPr>
      </w:pPr>
      <w:r w:rsidDel="00000000" w:rsidR="00000000" w:rsidRPr="00000000">
        <w:rPr>
          <w:rtl w:val="0"/>
        </w:rPr>
      </w:r>
    </w:p>
    <w:p w:rsidR="00000000" w:rsidDel="00000000" w:rsidP="00000000" w:rsidRDefault="00000000" w:rsidRPr="00000000" w14:paraId="0000000B">
      <w:pPr>
        <w:jc w:val="center"/>
        <w:rPr>
          <w:rFonts w:ascii="Arial" w:cs="Arial" w:eastAsia="Arial" w:hAnsi="Arial"/>
          <w:b w:val="1"/>
        </w:rPr>
      </w:pPr>
      <w:r w:rsidDel="00000000" w:rsidR="00000000" w:rsidRPr="00000000">
        <w:rPr>
          <w:rFonts w:ascii="Arial" w:cs="Arial" w:eastAsia="Arial" w:hAnsi="Arial"/>
          <w:b w:val="1"/>
          <w:color w:val="156082"/>
          <w:rtl w:val="0"/>
        </w:rPr>
        <w:t xml:space="preserve">Reflective Learning Log – Managing Food and Beverage Operations at Ibis Thurrock</w:t>
      </w:r>
      <w:r w:rsidDel="00000000" w:rsidR="00000000" w:rsidRPr="00000000">
        <w:rPr>
          <w:rtl w:val="0"/>
        </w:rPr>
      </w:r>
    </w:p>
    <w:p w:rsidR="00000000" w:rsidDel="00000000" w:rsidP="00000000" w:rsidRDefault="00000000" w:rsidRPr="00000000" w14:paraId="0000000C">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D">
      <w:pPr>
        <w:rPr>
          <w:rFonts w:ascii="Arial" w:cs="Arial" w:eastAsia="Arial" w:hAnsi="Arial"/>
          <w:b w:val="1"/>
        </w:rPr>
      </w:pPr>
      <w:r w:rsidDel="00000000" w:rsidR="00000000" w:rsidRPr="00000000">
        <w:rPr>
          <w:rtl w:val="0"/>
        </w:rPr>
      </w:r>
    </w:p>
    <w:p w:rsidR="00000000" w:rsidDel="00000000" w:rsidP="00000000" w:rsidRDefault="00000000" w:rsidRPr="00000000" w14:paraId="0000000E">
      <w:pPr>
        <w:rPr>
          <w:rFonts w:ascii="Arial" w:cs="Arial" w:eastAsia="Arial" w:hAnsi="Arial"/>
          <w:b w:val="1"/>
        </w:rPr>
      </w:pPr>
      <w:r w:rsidDel="00000000" w:rsidR="00000000" w:rsidRPr="00000000">
        <w:rPr>
          <w:rFonts w:ascii="Arial" w:cs="Arial" w:eastAsia="Arial" w:hAnsi="Arial"/>
          <w:b w:val="1"/>
          <w:rtl w:val="0"/>
        </w:rPr>
        <w:t xml:space="preserve">Student Name: Georgiana Poteaca</w:t>
      </w:r>
    </w:p>
    <w:p w:rsidR="00000000" w:rsidDel="00000000" w:rsidP="00000000" w:rsidRDefault="00000000" w:rsidRPr="00000000" w14:paraId="0000000F">
      <w:pPr>
        <w:rPr>
          <w:rFonts w:ascii="Arial" w:cs="Arial" w:eastAsia="Arial" w:hAnsi="Arial"/>
          <w:b w:val="1"/>
        </w:rPr>
      </w:pPr>
      <w:r w:rsidDel="00000000" w:rsidR="00000000" w:rsidRPr="00000000">
        <w:rPr>
          <w:rFonts w:ascii="Arial" w:cs="Arial" w:eastAsia="Arial" w:hAnsi="Arial"/>
          <w:b w:val="1"/>
          <w:rtl w:val="0"/>
        </w:rPr>
        <w:t xml:space="preserve">Student ID: 2206484</w:t>
      </w:r>
    </w:p>
    <w:p w:rsidR="00000000" w:rsidDel="00000000" w:rsidP="00000000" w:rsidRDefault="00000000" w:rsidRPr="00000000" w14:paraId="00000010">
      <w:pPr>
        <w:rPr>
          <w:rFonts w:ascii="Arial" w:cs="Arial" w:eastAsia="Arial" w:hAnsi="Arial"/>
          <w:b w:val="1"/>
        </w:rPr>
      </w:pPr>
      <w:r w:rsidDel="00000000" w:rsidR="00000000" w:rsidRPr="00000000">
        <w:rPr>
          <w:rFonts w:ascii="Arial" w:cs="Arial" w:eastAsia="Arial" w:hAnsi="Arial"/>
          <w:b w:val="1"/>
          <w:rtl w:val="0"/>
        </w:rPr>
        <w:t xml:space="preserve">Tutor's Name: Jessica Newport</w:t>
      </w:r>
    </w:p>
    <w:p w:rsidR="00000000" w:rsidDel="00000000" w:rsidP="00000000" w:rsidRDefault="00000000" w:rsidRPr="00000000" w14:paraId="00000011">
      <w:pPr>
        <w:rPr>
          <w:rFonts w:ascii="Arial" w:cs="Arial" w:eastAsia="Arial" w:hAnsi="Arial"/>
          <w:b w:val="1"/>
        </w:rPr>
      </w:pPr>
      <w:r w:rsidDel="00000000" w:rsidR="00000000" w:rsidRPr="00000000">
        <w:rPr>
          <w:rtl w:val="0"/>
        </w:rPr>
      </w:r>
    </w:p>
    <w:p w:rsidR="00000000" w:rsidDel="00000000" w:rsidP="00000000" w:rsidRDefault="00000000" w:rsidRPr="00000000" w14:paraId="00000012">
      <w:pPr>
        <w:rPr>
          <w:rFonts w:ascii="Arial" w:cs="Arial" w:eastAsia="Arial" w:hAnsi="Arial"/>
        </w:rPr>
      </w:pPr>
      <w:r w:rsidDel="00000000" w:rsidR="00000000" w:rsidRPr="00000000">
        <w:rPr>
          <w:rtl w:val="0"/>
        </w:rPr>
      </w:r>
    </w:p>
    <w:p w:rsidR="00000000" w:rsidDel="00000000" w:rsidP="00000000" w:rsidRDefault="00000000" w:rsidRPr="00000000" w14:paraId="00000013">
      <w:pPr>
        <w:rPr>
          <w:rFonts w:ascii="Arial" w:cs="Arial" w:eastAsia="Arial" w:hAnsi="Arial"/>
        </w:rPr>
      </w:pP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color="0f4761" w:space="10" w:sz="4" w:val="single"/>
          <w:left w:space="0" w:sz="0" w:val="nil"/>
          <w:bottom w:color="0f4761" w:space="10" w:sz="4" w:val="single"/>
          <w:right w:space="0" w:sz="0" w:val="nil"/>
          <w:between w:space="0" w:sz="0" w:val="nil"/>
        </w:pBdr>
        <w:shd w:fill="auto" w:val="clear"/>
        <w:spacing w:after="360" w:before="360" w:line="279" w:lineRule="auto"/>
        <w:ind w:left="864" w:right="864" w:firstLine="0"/>
        <w:jc w:val="center"/>
        <w:rPr>
          <w:rFonts w:ascii="Arial" w:cs="Arial" w:eastAsia="Arial" w:hAnsi="Arial"/>
          <w:b w:val="0"/>
          <w:i w:val="1"/>
          <w:smallCaps w:val="0"/>
          <w:strike w:val="0"/>
          <w:color w:val="0f4761"/>
          <w:sz w:val="32"/>
          <w:szCs w:val="32"/>
          <w:u w:val="none"/>
          <w:shd w:fill="auto" w:val="clear"/>
          <w:vertAlign w:val="baseline"/>
        </w:rPr>
      </w:pPr>
      <w:r w:rsidDel="00000000" w:rsidR="00000000" w:rsidRPr="00000000">
        <w:rPr>
          <w:rFonts w:ascii="Arial" w:cs="Arial" w:eastAsia="Arial" w:hAnsi="Arial"/>
          <w:b w:val="0"/>
          <w:i w:val="1"/>
          <w:smallCaps w:val="0"/>
          <w:strike w:val="0"/>
          <w:color w:val="0f4761"/>
          <w:sz w:val="32"/>
          <w:szCs w:val="32"/>
          <w:u w:val="none"/>
          <w:shd w:fill="auto" w:val="clear"/>
          <w:vertAlign w:val="baseline"/>
          <w:rtl w:val="0"/>
        </w:rPr>
        <w:t xml:space="preserve">Report</w:t>
      </w:r>
    </w:p>
    <w:p w:rsidR="00000000" w:rsidDel="00000000" w:rsidP="00000000" w:rsidRDefault="00000000" w:rsidRPr="00000000" w14:paraId="00000015">
      <w:pPr>
        <w:rPr>
          <w:rFonts w:ascii="Arial" w:cs="Arial" w:eastAsia="Arial" w:hAnsi="Arial"/>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6">
      <w:pPr>
        <w:rPr>
          <w:b w:val="1"/>
        </w:rPr>
      </w:pPr>
      <w:r w:rsidDel="00000000" w:rsidR="00000000" w:rsidRPr="00000000">
        <w:rPr>
          <w:b w:val="1"/>
          <w:rtl w:val="0"/>
        </w:rPr>
        <w:t xml:space="preserve">Reflective Learning Log – Managing Food and Beverage Operations at Ibis Thurrock</w:t>
      </w:r>
    </w:p>
    <w:p w:rsidR="00000000" w:rsidDel="00000000" w:rsidP="00000000" w:rsidRDefault="00000000" w:rsidRPr="00000000" w14:paraId="00000017">
      <w:pPr>
        <w:rPr>
          <w:b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8">
      <w:pPr>
        <w:rPr>
          <w:b w:val="1"/>
        </w:rPr>
      </w:pPr>
      <w:r w:rsidDel="00000000" w:rsidR="00000000" w:rsidRPr="00000000">
        <w:rPr>
          <w:b w:val="1"/>
          <w:rtl w:val="0"/>
        </w:rPr>
        <w:t xml:space="preserve">Table of Contents</w:t>
      </w:r>
    </w:p>
    <w:tbl>
      <w:tblPr>
        <w:tblStyle w:val="Table1"/>
        <w:tblW w:w="7513.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804"/>
        <w:gridCol w:w="709"/>
        <w:tblGridChange w:id="0">
          <w:tblGrid>
            <w:gridCol w:w="6804"/>
            <w:gridCol w:w="709"/>
          </w:tblGrid>
        </w:tblGridChange>
      </w:tblGrid>
      <w:tr>
        <w:trPr>
          <w:cantSplit w:val="0"/>
          <w:trHeight w:val="396" w:hRule="atLeast"/>
          <w:tblHeader w:val="0"/>
        </w:trPr>
        <w:tc>
          <w:tcPr>
            <w:tcMar>
              <w:top w:w="0.0" w:type="dxa"/>
              <w:bottom w:w="0.0" w:type="dxa"/>
            </w:tcMar>
          </w:tcPr>
          <w:p w:rsidR="00000000" w:rsidDel="00000000" w:rsidP="00000000" w:rsidRDefault="00000000" w:rsidRPr="00000000" w14:paraId="00000019">
            <w:pPr>
              <w:numPr>
                <w:ilvl w:val="0"/>
                <w:numId w:val="1"/>
              </w:numPr>
              <w:ind w:left="720" w:hanging="360"/>
              <w:rPr>
                <w:b w:val="1"/>
              </w:rPr>
            </w:pPr>
            <w:r w:rsidDel="00000000" w:rsidR="00000000" w:rsidRPr="00000000">
              <w:rPr>
                <w:b w:val="1"/>
                <w:rtl w:val="0"/>
              </w:rPr>
              <w:t xml:space="preserve">Introduction</w:t>
            </w:r>
          </w:p>
        </w:tc>
        <w:tc>
          <w:tcPr>
            <w:shd w:fill="auto" w:val="clear"/>
            <w:tcMar>
              <w:top w:w="0.0" w:type="dxa"/>
              <w:bottom w:w="0.0" w:type="dxa"/>
            </w:tcMar>
          </w:tcPr>
          <w:p w:rsidR="00000000" w:rsidDel="00000000" w:rsidP="00000000" w:rsidRDefault="00000000" w:rsidRPr="00000000" w14:paraId="0000001A">
            <w:pPr>
              <w:rPr>
                <w:b w:val="1"/>
              </w:rPr>
            </w:pPr>
            <w:r w:rsidDel="00000000" w:rsidR="00000000" w:rsidRPr="00000000">
              <w:rPr>
                <w:b w:val="1"/>
                <w:rtl w:val="0"/>
              </w:rPr>
              <w:t xml:space="preserve">2</w:t>
            </w:r>
          </w:p>
        </w:tc>
      </w:tr>
      <w:tr>
        <w:trPr>
          <w:cantSplit w:val="0"/>
          <w:trHeight w:val="408" w:hRule="atLeast"/>
          <w:tblHeader w:val="0"/>
        </w:trPr>
        <w:tc>
          <w:tcPr>
            <w:tcMar>
              <w:top w:w="0.0" w:type="dxa"/>
              <w:bottom w:w="0.0" w:type="dxa"/>
            </w:tcMar>
          </w:tcPr>
          <w:p w:rsidR="00000000" w:rsidDel="00000000" w:rsidP="00000000" w:rsidRDefault="00000000" w:rsidRPr="00000000" w14:paraId="0000001B">
            <w:pPr>
              <w:numPr>
                <w:ilvl w:val="0"/>
                <w:numId w:val="1"/>
              </w:numPr>
              <w:ind w:left="720" w:hanging="360"/>
              <w:rPr>
                <w:b w:val="1"/>
              </w:rPr>
            </w:pPr>
            <w:r w:rsidDel="00000000" w:rsidR="00000000" w:rsidRPr="00000000">
              <w:rPr>
                <w:b w:val="1"/>
                <w:rtl w:val="0"/>
              </w:rPr>
              <w:t xml:space="preserve">Reflection on Supervisory Experience</w:t>
            </w:r>
          </w:p>
        </w:tc>
        <w:tc>
          <w:tcPr>
            <w:shd w:fill="auto" w:val="clear"/>
            <w:tcMar>
              <w:top w:w="0.0" w:type="dxa"/>
              <w:bottom w:w="0.0" w:type="dxa"/>
            </w:tcMar>
          </w:tcPr>
          <w:p w:rsidR="00000000" w:rsidDel="00000000" w:rsidP="00000000" w:rsidRDefault="00000000" w:rsidRPr="00000000" w14:paraId="0000001C">
            <w:pPr>
              <w:rPr>
                <w:b w:val="1"/>
              </w:rPr>
            </w:pPr>
            <w:r w:rsidDel="00000000" w:rsidR="00000000" w:rsidRPr="00000000">
              <w:rPr>
                <w:b w:val="1"/>
                <w:rtl w:val="0"/>
              </w:rPr>
              <w:t xml:space="preserve">2</w:t>
            </w:r>
          </w:p>
        </w:tc>
      </w:tr>
      <w:tr>
        <w:trPr>
          <w:cantSplit w:val="0"/>
          <w:trHeight w:val="300" w:hRule="atLeast"/>
          <w:tblHeader w:val="0"/>
        </w:trPr>
        <w:tc>
          <w:tcPr>
            <w:tcMar>
              <w:top w:w="0.0" w:type="dxa"/>
              <w:bottom w:w="0.0" w:type="dxa"/>
            </w:tcMar>
          </w:tcPr>
          <w:p w:rsidR="00000000" w:rsidDel="00000000" w:rsidP="00000000" w:rsidRDefault="00000000" w:rsidRPr="00000000" w14:paraId="0000001D">
            <w:pPr>
              <w:numPr>
                <w:ilvl w:val="0"/>
                <w:numId w:val="1"/>
              </w:numPr>
              <w:ind w:left="720" w:hanging="360"/>
              <w:rPr>
                <w:b w:val="1"/>
              </w:rPr>
            </w:pPr>
            <w:r w:rsidDel="00000000" w:rsidR="00000000" w:rsidRPr="00000000">
              <w:rPr>
                <w:b w:val="1"/>
                <w:rtl w:val="0"/>
              </w:rPr>
              <w:t xml:space="preserve">Critical Analysis of Key Skills and Knowledge</w:t>
            </w:r>
          </w:p>
        </w:tc>
        <w:tc>
          <w:tcPr>
            <w:shd w:fill="auto" w:val="clear"/>
            <w:tcMar>
              <w:top w:w="0.0" w:type="dxa"/>
              <w:bottom w:w="0.0" w:type="dxa"/>
            </w:tcMar>
          </w:tcPr>
          <w:p w:rsidR="00000000" w:rsidDel="00000000" w:rsidP="00000000" w:rsidRDefault="00000000" w:rsidRPr="00000000" w14:paraId="0000001E">
            <w:pPr>
              <w:rPr>
                <w:b w:val="1"/>
              </w:rPr>
            </w:pPr>
            <w:r w:rsidDel="00000000" w:rsidR="00000000" w:rsidRPr="00000000">
              <w:rPr>
                <w:b w:val="1"/>
                <w:rtl w:val="0"/>
              </w:rPr>
              <w:t xml:space="preserve">4</w:t>
            </w:r>
          </w:p>
        </w:tc>
      </w:tr>
      <w:tr>
        <w:trPr>
          <w:cantSplit w:val="0"/>
          <w:trHeight w:val="408" w:hRule="atLeast"/>
          <w:tblHeader w:val="0"/>
        </w:trPr>
        <w:tc>
          <w:tcPr>
            <w:tcMar>
              <w:top w:w="0.0" w:type="dxa"/>
              <w:bottom w:w="0.0" w:type="dxa"/>
            </w:tcMar>
          </w:tcPr>
          <w:p w:rsidR="00000000" w:rsidDel="00000000" w:rsidP="00000000" w:rsidRDefault="00000000" w:rsidRPr="00000000" w14:paraId="0000001F">
            <w:pPr>
              <w:numPr>
                <w:ilvl w:val="0"/>
                <w:numId w:val="1"/>
              </w:numPr>
              <w:ind w:left="720" w:hanging="360"/>
              <w:rPr>
                <w:b w:val="1"/>
              </w:rPr>
            </w:pPr>
            <w:r w:rsidDel="00000000" w:rsidR="00000000" w:rsidRPr="00000000">
              <w:rPr>
                <w:b w:val="1"/>
                <w:rtl w:val="0"/>
              </w:rPr>
              <w:t xml:space="preserve">Organisational Challenges and Solutions</w:t>
            </w:r>
          </w:p>
        </w:tc>
        <w:tc>
          <w:tcPr>
            <w:shd w:fill="auto" w:val="clear"/>
            <w:tcMar>
              <w:top w:w="0.0" w:type="dxa"/>
              <w:bottom w:w="0.0" w:type="dxa"/>
            </w:tcMar>
          </w:tcPr>
          <w:p w:rsidR="00000000" w:rsidDel="00000000" w:rsidP="00000000" w:rsidRDefault="00000000" w:rsidRPr="00000000" w14:paraId="00000020">
            <w:pPr>
              <w:rPr>
                <w:b w:val="1"/>
              </w:rPr>
            </w:pPr>
            <w:r w:rsidDel="00000000" w:rsidR="00000000" w:rsidRPr="00000000">
              <w:rPr>
                <w:b w:val="1"/>
                <w:rtl w:val="0"/>
              </w:rPr>
              <w:t xml:space="preserve">5</w:t>
            </w:r>
          </w:p>
        </w:tc>
      </w:tr>
      <w:tr>
        <w:trPr>
          <w:cantSplit w:val="0"/>
          <w:trHeight w:val="348" w:hRule="atLeast"/>
          <w:tblHeader w:val="0"/>
        </w:trPr>
        <w:tc>
          <w:tcPr>
            <w:tcMar>
              <w:top w:w="0.0" w:type="dxa"/>
              <w:bottom w:w="0.0" w:type="dxa"/>
            </w:tcMar>
          </w:tcPr>
          <w:p w:rsidR="00000000" w:rsidDel="00000000" w:rsidP="00000000" w:rsidRDefault="00000000" w:rsidRPr="00000000" w14:paraId="00000021">
            <w:pPr>
              <w:numPr>
                <w:ilvl w:val="0"/>
                <w:numId w:val="1"/>
              </w:numPr>
              <w:ind w:left="720" w:hanging="360"/>
              <w:rPr>
                <w:b w:val="1"/>
              </w:rPr>
            </w:pPr>
            <w:r w:rsidDel="00000000" w:rsidR="00000000" w:rsidRPr="00000000">
              <w:rPr>
                <w:b w:val="1"/>
                <w:rtl w:val="0"/>
              </w:rPr>
              <w:t xml:space="preserve">Conclusion and Future Action Plan</w:t>
            </w:r>
          </w:p>
        </w:tc>
        <w:tc>
          <w:tcPr>
            <w:shd w:fill="auto" w:val="clear"/>
            <w:tcMar>
              <w:top w:w="0.0" w:type="dxa"/>
              <w:bottom w:w="0.0" w:type="dxa"/>
            </w:tcMar>
          </w:tcPr>
          <w:p w:rsidR="00000000" w:rsidDel="00000000" w:rsidP="00000000" w:rsidRDefault="00000000" w:rsidRPr="00000000" w14:paraId="00000022">
            <w:pPr>
              <w:rPr>
                <w:b w:val="1"/>
              </w:rPr>
            </w:pPr>
            <w:r w:rsidDel="00000000" w:rsidR="00000000" w:rsidRPr="00000000">
              <w:rPr>
                <w:b w:val="1"/>
                <w:rtl w:val="0"/>
              </w:rPr>
              <w:t xml:space="preserve">6</w:t>
            </w:r>
          </w:p>
        </w:tc>
      </w:tr>
      <w:tr>
        <w:trPr>
          <w:cantSplit w:val="0"/>
          <w:trHeight w:val="472" w:hRule="atLeast"/>
          <w:tblHeader w:val="0"/>
        </w:trPr>
        <w:tc>
          <w:tcPr>
            <w:tcMar>
              <w:top w:w="0.0" w:type="dxa"/>
              <w:bottom w:w="0.0" w:type="dxa"/>
            </w:tcMar>
          </w:tcPr>
          <w:p w:rsidR="00000000" w:rsidDel="00000000" w:rsidP="00000000" w:rsidRDefault="00000000" w:rsidRPr="00000000" w14:paraId="00000023">
            <w:pPr>
              <w:numPr>
                <w:ilvl w:val="0"/>
                <w:numId w:val="1"/>
              </w:numPr>
              <w:ind w:left="720" w:hanging="360"/>
              <w:rPr>
                <w:b w:val="1"/>
              </w:rPr>
            </w:pPr>
            <w:r w:rsidDel="00000000" w:rsidR="00000000" w:rsidRPr="00000000">
              <w:rPr>
                <w:b w:val="1"/>
                <w:rtl w:val="0"/>
              </w:rPr>
              <w:t xml:space="preserve">Reference</w:t>
            </w:r>
          </w:p>
        </w:tc>
        <w:tc>
          <w:tcPr>
            <w:shd w:fill="auto" w:val="clear"/>
            <w:tcMar>
              <w:top w:w="0.0" w:type="dxa"/>
              <w:bottom w:w="0.0" w:type="dxa"/>
            </w:tcMar>
          </w:tcPr>
          <w:p w:rsidR="00000000" w:rsidDel="00000000" w:rsidP="00000000" w:rsidRDefault="00000000" w:rsidRPr="00000000" w14:paraId="00000024">
            <w:pPr>
              <w:rPr>
                <w:b w:val="1"/>
              </w:rPr>
            </w:pPr>
            <w:r w:rsidDel="00000000" w:rsidR="00000000" w:rsidRPr="00000000">
              <w:rPr>
                <w:b w:val="1"/>
                <w:rtl w:val="0"/>
              </w:rPr>
              <w:t xml:space="preserve">6</w:t>
            </w:r>
          </w:p>
        </w:tc>
      </w:tr>
    </w:tbl>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27">
      <w:pPr>
        <w:spacing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Introduction </w:t>
      </w:r>
    </w:p>
    <w:p w:rsidR="00000000" w:rsidDel="00000000" w:rsidP="00000000" w:rsidRDefault="00000000" w:rsidRPr="00000000" w14:paraId="00000028">
      <w:pPr>
        <w:spacing w:line="360" w:lineRule="auto"/>
        <w:jc w:val="both"/>
        <w:rPr>
          <w:rFonts w:ascii="Arial" w:cs="Arial" w:eastAsia="Arial" w:hAnsi="Arial"/>
          <w:color w:val="000000"/>
          <w:highlight w:val="white"/>
        </w:rPr>
      </w:pPr>
      <w:r w:rsidDel="00000000" w:rsidR="00000000" w:rsidRPr="00000000">
        <w:rPr>
          <w:rFonts w:ascii="Arial" w:cs="Arial" w:eastAsia="Arial" w:hAnsi="Arial"/>
          <w:highlight w:val="white"/>
          <w:rtl w:val="0"/>
        </w:rPr>
        <w:t xml:space="preserve">C</w:t>
      </w:r>
      <w:r w:rsidDel="00000000" w:rsidR="00000000" w:rsidRPr="00000000">
        <w:rPr>
          <w:rFonts w:ascii="Arial" w:cs="Arial" w:eastAsia="Arial" w:hAnsi="Arial"/>
          <w:color w:val="000000"/>
          <w:highlight w:val="white"/>
          <w:rtl w:val="0"/>
        </w:rPr>
        <w:t xml:space="preserve">rucially important to hotel operations, the Food and Beverage (F&amp;B) department directly influences client happiness and income generating (Walker, 2021). At Ibis Thurrock, operational management, quality food preparation , and effective service guarantee flawless dining experiences. Good supervision in this field calls for excellent communication, teamwork, and problem-solving skills—all of which help to preserve high service standards (Johnston, Clark &amp; Shulver, 2012).</w:t>
      </w:r>
    </w:p>
    <w:p w:rsidR="00000000" w:rsidDel="00000000" w:rsidP="00000000" w:rsidRDefault="00000000" w:rsidRPr="00000000" w14:paraId="00000029">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This reflective learning journal records my Level 6 placement experience in the F&amp;B department at Ibis Thurrock, where I shadowed a supervisor. My goals were to develop managerial and practical abilities pertinent to food and beverage service.</w:t>
      </w:r>
    </w:p>
    <w:p w:rsidR="00000000" w:rsidDel="00000000" w:rsidP="00000000" w:rsidRDefault="00000000" w:rsidRPr="00000000" w14:paraId="0000002A">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Use theoretical understanding to guide actual hotel operations.</w:t>
      </w:r>
    </w:p>
    <w:p w:rsidR="00000000" w:rsidDel="00000000" w:rsidP="00000000" w:rsidRDefault="00000000" w:rsidRPr="00000000" w14:paraId="0000002B">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By means of strategic thinking and problem-solving, analyse and overcome operational difficulties (Fallon &amp; Rutherford, 2010).</w:t>
      </w:r>
    </w:p>
    <w:p w:rsidR="00000000" w:rsidDel="00000000" w:rsidP="00000000" w:rsidRDefault="00000000" w:rsidRPr="00000000" w14:paraId="0000002C">
      <w:pPr>
        <w:spacing w:line="360" w:lineRule="auto"/>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Using Gibbs' Reflective Cycle (1988), I hope to assess my development and future professional direction in the hotel sector.</w:t>
      </w:r>
      <w:r w:rsidDel="00000000" w:rsidR="00000000" w:rsidRPr="00000000">
        <w:rPr>
          <w:rtl w:val="0"/>
        </w:rPr>
      </w:r>
    </w:p>
    <w:p w:rsidR="00000000" w:rsidDel="00000000" w:rsidP="00000000" w:rsidRDefault="00000000" w:rsidRPr="00000000" w14:paraId="0000002D">
      <w:pPr>
        <w:spacing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2. Supervisory Experience Reflection</w:t>
      </w:r>
    </w:p>
    <w:p w:rsidR="00000000" w:rsidDel="00000000" w:rsidP="00000000" w:rsidRDefault="00000000" w:rsidRPr="00000000" w14:paraId="0000002E">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Food and beverage operations management needs for a combination of customer service, technical understanding, and leadership abilities (Vallen &amp; Vallen, 2014). To learn about everyday operations, guest contacts, and staff coordination, I followed a supervisor in Ibis Thurrock's F&amp;B section. Monitoring service quality, supporting personnel management, and ensuring food safety rule compliance came first (Food Standards Agency, 2024).</w:t>
      </w:r>
    </w:p>
    <w:p w:rsidR="00000000" w:rsidDel="00000000" w:rsidP="00000000" w:rsidRDefault="00000000" w:rsidRPr="00000000" w14:paraId="0000002F">
      <w:pPr>
        <w:spacing w:line="360" w:lineRule="auto"/>
        <w:jc w:val="both"/>
        <w:rPr>
          <w:rFonts w:ascii="Arial" w:cs="Arial" w:eastAsia="Arial" w:hAnsi="Arial"/>
          <w:b w:val="1"/>
          <w:color w:val="000000"/>
          <w:highlight w:val="white"/>
        </w:rPr>
      </w:pPr>
      <w:r w:rsidDel="00000000" w:rsidR="00000000" w:rsidRPr="00000000">
        <w:rPr>
          <w:rFonts w:ascii="Arial" w:cs="Arial" w:eastAsia="Arial" w:hAnsi="Arial"/>
          <w:b w:val="1"/>
          <w:color w:val="000000"/>
          <w:highlight w:val="white"/>
          <w:rtl w:val="0"/>
        </w:rPr>
        <w:t xml:space="preserve">Notable responsibilities and challenges</w:t>
      </w:r>
    </w:p>
    <w:p w:rsidR="00000000" w:rsidDel="00000000" w:rsidP="00000000" w:rsidRDefault="00000000" w:rsidRPr="00000000" w14:paraId="00000030">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Among the primary duties I observed was planning food service logistics amid peak demand. The role designated for fast judgements, adaptability, and great communication guarantees effective operations (Johnston, Clark &amp; Shulver, 2012). Especially with insufficient personnel levels, controlling great client demand while maintaining service quality proved to be a challenging issue. This emphasised the requirement of effective staff planning and delegating in ensuring perfect operations (Walker, 2021).</w:t>
      </w:r>
    </w:p>
    <w:p w:rsidR="00000000" w:rsidDel="00000000" w:rsidP="00000000" w:rsidRDefault="00000000" w:rsidRPr="00000000" w14:paraId="00000031">
      <w:pPr>
        <w:spacing w:line="360" w:lineRule="auto"/>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Managing customer issues was still another essential element of supervision. A guest once grumbled once about the speed of the service among a filled house one evening. Following the hotel's standard operating standards (SOPs), I saw as the supervisor de-escalated the situation using active listening, swift corrected action, and goodwill gesture offering. This experience reinforced the requirement of visitor recovery strategies for service management (Hagg, 2013).</w:t>
      </w:r>
      <w:r w:rsidDel="00000000" w:rsidR="00000000" w:rsidRPr="00000000">
        <w:rPr>
          <w:rtl w:val="0"/>
        </w:rPr>
      </w:r>
    </w:p>
    <w:p w:rsidR="00000000" w:rsidDel="00000000" w:rsidP="00000000" w:rsidRDefault="00000000" w:rsidRPr="00000000" w14:paraId="00000032">
      <w:pPr>
        <w:spacing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Development of Work-Based Skills</w:t>
      </w:r>
    </w:p>
    <w:p w:rsidR="00000000" w:rsidDel="00000000" w:rsidP="00000000" w:rsidRDefault="00000000" w:rsidRPr="00000000" w14:paraId="00000033">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Over the placement, I improved numerous key competencies:</w:t>
      </w:r>
    </w:p>
    <w:p w:rsidR="00000000" w:rsidDel="00000000" w:rsidP="00000000" w:rsidRDefault="00000000" w:rsidRPr="00000000" w14:paraId="00000034">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Engaging visitors, working with the kitchen crew, and giving clear directions to service staff help to improve communication (Fallon &amp; Rutherford, 2010).</w:t>
      </w:r>
    </w:p>
    <w:p w:rsidR="00000000" w:rsidDel="00000000" w:rsidP="00000000" w:rsidRDefault="00000000" w:rsidRPr="00000000" w14:paraId="00000035">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Teamwork ensures seamless departmental cooperation and helps staff members under pressure.</w:t>
      </w:r>
    </w:p>
    <w:p w:rsidR="00000000" w:rsidDel="00000000" w:rsidP="00000000" w:rsidRDefault="00000000" w:rsidRPr="00000000" w14:paraId="00000036">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Task Management: Setting priorities and changing operations depending on demand.</w:t>
      </w:r>
    </w:p>
    <w:p w:rsidR="00000000" w:rsidDel="00000000" w:rsidP="00000000" w:rsidRDefault="00000000" w:rsidRPr="00000000" w14:paraId="00000037">
      <w:pPr>
        <w:spacing w:line="360" w:lineRule="auto"/>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Using Gibbs's Reflective Cycle (1988), I examined these encounters closely to pinpoint areas needing work. For example, I saw that proactive service—that which pre-empts visitor needs—markedly lowered complaints and raised guest satisfaction (Cousins &amp; Weekes, 2020) .</w:t>
      </w:r>
      <w:r w:rsidDel="00000000" w:rsidR="00000000" w:rsidRPr="00000000">
        <w:rPr>
          <w:rtl w:val="0"/>
        </w:rPr>
      </w:r>
    </w:p>
    <w:p w:rsidR="00000000" w:rsidDel="00000000" w:rsidP="00000000" w:rsidRDefault="00000000" w:rsidRPr="00000000" w14:paraId="00000038">
      <w:pPr>
        <w:spacing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Application of Theoretical Knowledge</w:t>
      </w:r>
    </w:p>
    <w:p w:rsidR="00000000" w:rsidDel="00000000" w:rsidP="00000000" w:rsidRDefault="00000000" w:rsidRPr="00000000" w14:paraId="00000039">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This encounter strongly related with Kolb's Experiential Learning Cycle (1984), which stresses the need of active engagement in acquiring professional competences. Through observation, introspection, and supervisor feedback application, I progressively became better in managing service-related tasks. Furthermore, the location supported theoretical ideas from Service Operations Management on consumer expectations and service recovery strategies (Johnston, Clark &amp; Shulver, 2012).</w:t>
      </w:r>
    </w:p>
    <w:p w:rsidR="00000000" w:rsidDel="00000000" w:rsidP="00000000" w:rsidRDefault="00000000" w:rsidRPr="00000000" w14:paraId="0000003A">
      <w:pPr>
        <w:spacing w:line="360" w:lineRule="auto"/>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Along with enhancing my operational skills, this supervising experience helped me become ready for future leadership positions in the hotel sector, where flexibility and wise decision-making are rather important.</w:t>
      </w:r>
      <w:r w:rsidDel="00000000" w:rsidR="00000000" w:rsidRPr="00000000">
        <w:rPr>
          <w:rtl w:val="0"/>
        </w:rPr>
      </w:r>
    </w:p>
    <w:p w:rsidR="00000000" w:rsidDel="00000000" w:rsidP="00000000" w:rsidRDefault="00000000" w:rsidRPr="00000000" w14:paraId="0000003B">
      <w:pPr>
        <w:spacing w:line="360" w:lineRule="auto"/>
        <w:jc w:val="both"/>
        <w:rPr>
          <w:rFonts w:ascii="Arial" w:cs="Arial" w:eastAsia="Arial" w:hAnsi="Arial"/>
          <w:color w:val="00000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C">
      <w:pPr>
        <w:spacing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3. Critical Analysis of Work-Based Skills and Technical Knowledge</w:t>
      </w:r>
    </w:p>
    <w:p w:rsidR="00000000" w:rsidDel="00000000" w:rsidP="00000000" w:rsidRDefault="00000000" w:rsidRPr="00000000" w14:paraId="0000003D">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To satisfy industry standards and guest expectations, good food and beverage (F&amp;B) operations combine soft skills with technical understanding (Johnston, Clark &amp; Shulver, 2012). Being at Ibis Thurrock let me see and use fundamental work-based competencies that support effective service delivery.</w:t>
      </w:r>
    </w:p>
    <w:p w:rsidR="00000000" w:rsidDel="00000000" w:rsidP="00000000" w:rsidRDefault="00000000" w:rsidRPr="00000000" w14:paraId="0000003E">
      <w:pPr>
        <w:spacing w:line="360" w:lineRule="auto"/>
        <w:jc w:val="both"/>
        <w:rPr>
          <w:rFonts w:ascii="Arial" w:cs="Arial" w:eastAsia="Arial" w:hAnsi="Arial"/>
          <w:b w:val="1"/>
          <w:color w:val="000000"/>
          <w:highlight w:val="white"/>
        </w:rPr>
      </w:pPr>
      <w:r w:rsidDel="00000000" w:rsidR="00000000" w:rsidRPr="00000000">
        <w:rPr>
          <w:rFonts w:ascii="Arial" w:cs="Arial" w:eastAsia="Arial" w:hAnsi="Arial"/>
          <w:b w:val="1"/>
          <w:color w:val="000000"/>
          <w:highlight w:val="white"/>
          <w:rtl w:val="0"/>
        </w:rPr>
        <w:t xml:space="preserve">Value of Service Guidelines for Food and Beverage Processing</w:t>
      </w:r>
    </w:p>
    <w:p w:rsidR="00000000" w:rsidDel="00000000" w:rsidP="00000000" w:rsidRDefault="00000000" w:rsidRPr="00000000" w14:paraId="0000003F">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Guest pleasure and business success depend on F&amp;B departments delivering premium service (Walker, 2021). Covering areas including table arrangements, order-taking efficiency, and food presentation, Standard Operating Procedures (SOPs) guarantee uniformity in service delivery . Following SOPs clearly affected customer experience since visitors expected a flawless, businesslike service.</w:t>
      </w:r>
    </w:p>
    <w:p w:rsidR="00000000" w:rsidDel="00000000" w:rsidP="00000000" w:rsidRDefault="00000000" w:rsidRPr="00000000" w14:paraId="00000040">
      <w:pPr>
        <w:spacing w:line="360" w:lineRule="auto"/>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Maintaining service efficiency also depend mostly on time management. Staff members had to juggle several tasks during busy times, including visitor seating, handling dietary requirements, and kitchen coordination. Task delegation done well enhanced workflow efficiency, a notion consistent with theories of service operations management (Johnston, Clark &amp; Shulver, 2012).</w:t>
      </w:r>
      <w:r w:rsidDel="00000000" w:rsidR="00000000" w:rsidRPr="00000000">
        <w:rPr>
          <w:rtl w:val="0"/>
        </w:rPr>
      </w:r>
    </w:p>
    <w:p w:rsidR="00000000" w:rsidDel="00000000" w:rsidP="00000000" w:rsidRDefault="00000000" w:rsidRPr="00000000" w14:paraId="00000041">
      <w:pPr>
        <w:spacing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Guest Satisfaction and Operational Efficiency</w:t>
      </w:r>
    </w:p>
    <w:p w:rsidR="00000000" w:rsidDel="00000000" w:rsidP="00000000" w:rsidRDefault="00000000" w:rsidRPr="00000000" w14:paraId="00000042">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Shape of F&amp;B operations is significantly influenced by guest comments. Guests seemed especially sensitive to service attentiveness and waiting times. Studies show that consumers' whole level of satisfaction is much influenced by their impression of the efficiency of the services (Cousins &amp; Weekes, 2020). Hotels using proactive service strategies—that is, pre-setting tables, providing drink refills before requests—reduced complaints and improved the guest experience, I found throughout my placement.</w:t>
      </w:r>
    </w:p>
    <w:p w:rsidR="00000000" w:rsidDel="00000000" w:rsidP="00000000" w:rsidRDefault="00000000" w:rsidRPr="00000000" w14:paraId="00000043">
      <w:pPr>
        <w:spacing w:line="360" w:lineRule="auto"/>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Health and safety compliance—especially in food handling and hygiene—was another important factor. Following HACCP (Hazard Analysis and Critical Control Points) recommendations is underlined by the Food Standards Agency (2024). My placement strengthened the need of these safety procedures since non-compliance might result in legal repercussions and damage of reputation .</w:t>
      </w:r>
      <w:r w:rsidDel="00000000" w:rsidR="00000000" w:rsidRPr="00000000">
        <w:rPr>
          <w:rtl w:val="0"/>
        </w:rPr>
      </w:r>
    </w:p>
    <w:p w:rsidR="00000000" w:rsidDel="00000000" w:rsidP="00000000" w:rsidRDefault="00000000" w:rsidRPr="00000000" w14:paraId="00000045">
      <w:pPr>
        <w:spacing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Comparison with Industry Best Practices</w:t>
      </w:r>
    </w:p>
    <w:p w:rsidR="00000000" w:rsidDel="00000000" w:rsidP="00000000" w:rsidRDefault="00000000" w:rsidRPr="00000000" w14:paraId="00000046">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The knowledge acquired during my placement corresponds with industry best practices described in Vallen &amp; Vallen (2014), which underline the part of operational control and leadership in food service management. Walker (2021) also contends that digitalisation—including the use of POS (Point of Sale) systems—improves order accuracy and inventory control—an area I think Ibis Thurrock should strengthen to help to simplify operations.</w:t>
      </w:r>
    </w:p>
    <w:p w:rsidR="00000000" w:rsidDel="00000000" w:rsidP="00000000" w:rsidRDefault="00000000" w:rsidRPr="00000000" w14:paraId="00000047">
      <w:pPr>
        <w:spacing w:line="360" w:lineRule="auto"/>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Applying Gibbs' Reflective Cycle (1988) helped me to see how combining theoretical knowledge with practical experience improves operational efficiency and guest pleasure, therefore preparing me for leadership roles in the hotel industry .</w:t>
      </w:r>
      <w:r w:rsidDel="00000000" w:rsidR="00000000" w:rsidRPr="00000000">
        <w:rPr>
          <w:rtl w:val="0"/>
        </w:rPr>
      </w:r>
    </w:p>
    <w:p w:rsidR="00000000" w:rsidDel="00000000" w:rsidP="00000000" w:rsidRDefault="00000000" w:rsidRPr="00000000" w14:paraId="00000048">
      <w:pPr>
        <w:spacing w:line="360" w:lineRule="auto"/>
        <w:jc w:val="both"/>
        <w:rPr>
          <w:rFonts w:ascii="Arial" w:cs="Arial" w:eastAsia="Arial" w:hAnsi="Arial"/>
          <w:color w:val="00000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9">
      <w:pPr>
        <w:spacing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4. Organisational Issues and Solutions</w:t>
      </w:r>
    </w:p>
    <w:p w:rsidR="00000000" w:rsidDel="00000000" w:rsidP="00000000" w:rsidRDefault="00000000" w:rsidRPr="00000000" w14:paraId="0000004A">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Within the Food and Beverage (F&amp;B) section of my employment at Ibis Thurrock, I ran into various organisational issues. Staffing shortages during peak hours were one major problem influencing visitor happiness and service effectiveness. Common in the hotel sector, this issue calls for adaptable staff management given changing demand (Johnston, Clark &amp; Shulver, 2012) .</w:t>
      </w:r>
    </w:p>
    <w:p w:rsidR="00000000" w:rsidDel="00000000" w:rsidP="00000000" w:rsidRDefault="00000000" w:rsidRPr="00000000" w14:paraId="0000004B">
      <w:pPr>
        <w:spacing w:line="360" w:lineRule="auto"/>
        <w:jc w:val="both"/>
        <w:rPr>
          <w:rFonts w:ascii="Arial" w:cs="Arial" w:eastAsia="Arial" w:hAnsi="Arial"/>
          <w:b w:val="1"/>
          <w:color w:val="000000"/>
          <w:highlight w:val="white"/>
        </w:rPr>
      </w:pPr>
      <w:r w:rsidDel="00000000" w:rsidR="00000000" w:rsidRPr="00000000">
        <w:rPr>
          <w:rFonts w:ascii="Arial" w:cs="Arial" w:eastAsia="Arial" w:hAnsi="Arial"/>
          <w:b w:val="1"/>
          <w:color w:val="000000"/>
          <w:highlight w:val="white"/>
          <w:rtl w:val="0"/>
        </w:rPr>
        <w:t xml:space="preserve">Effects on guest experience and department performance</w:t>
      </w:r>
    </w:p>
    <w:p w:rsidR="00000000" w:rsidDel="00000000" w:rsidP="00000000" w:rsidRDefault="00000000" w:rsidRPr="00000000" w14:paraId="0000004C">
      <w:pPr>
        <w:spacing w:line="360" w:lineRule="auto"/>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Longer wait times, more strain on current employees, and sporadic breakdowns in service quality followed from the understaffing problem. Those who expected timely and attentive treatment (Walker, 2021) voiced discontent, which, should it not be addressed, could damage the hotel's standing and income. The problem also caused employee burnout, therefore influencing team morale generally and motivation specifically (Hagg, 2013) .</w:t>
      </w:r>
      <w:r w:rsidDel="00000000" w:rsidR="00000000" w:rsidRPr="00000000">
        <w:rPr>
          <w:rtl w:val="0"/>
        </w:rPr>
      </w:r>
    </w:p>
    <w:p w:rsidR="00000000" w:rsidDel="00000000" w:rsidP="00000000" w:rsidRDefault="00000000" w:rsidRPr="00000000" w14:paraId="0000004D">
      <w:pPr>
        <w:spacing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Proposed Solutions Using Theoretical Models</w:t>
      </w:r>
    </w:p>
    <w:p w:rsidR="00000000" w:rsidDel="00000000" w:rsidP="00000000" w:rsidRDefault="00000000" w:rsidRPr="00000000" w14:paraId="0000004E">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Cross-training and flexible scheduling might help to solve this problem. According to Vallen &amp; Vallen (2014), hotels should use a demand-driven staffing strategy whereby labour numbers are changed depending on real-time occupancy projections. By use of technology-driven scheduling solutions, staff allocation can be maximised and the appropriate amount of personnel will be always available during peak demand.</w:t>
      </w:r>
    </w:p>
    <w:p w:rsidR="00000000" w:rsidDel="00000000" w:rsidP="00000000" w:rsidRDefault="00000000" w:rsidRPr="00000000" w14:paraId="0000004F">
      <w:pPr>
        <w:spacing w:line="360" w:lineRule="auto"/>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50">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Cross-training staff members to handle several positions within the F&amp;B division could also help to solve manpower shortages. Training kitchen staff to help with table service when needed, for instance, would improve operational flexibility. Johnston, Clark &amp; Shulver (2012) point out that multiskilled teams’ lower reliance on a fixed personnel structure and enhance service resilience.</w:t>
      </w:r>
    </w:p>
    <w:p w:rsidR="00000000" w:rsidDel="00000000" w:rsidP="00000000" w:rsidRDefault="00000000" w:rsidRPr="00000000" w14:paraId="00000051">
      <w:pPr>
        <w:spacing w:line="360" w:lineRule="auto"/>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Following industry best standards, Ibis Thurrock could improve visitor experiences, lower staff stress, and increase operational efficiency by using these techniques .</w:t>
      </w:r>
      <w:r w:rsidDel="00000000" w:rsidR="00000000" w:rsidRPr="00000000">
        <w:rPr>
          <w:rtl w:val="0"/>
        </w:rPr>
      </w:r>
    </w:p>
    <w:p w:rsidR="00000000" w:rsidDel="00000000" w:rsidP="00000000" w:rsidRDefault="00000000" w:rsidRPr="00000000" w14:paraId="00000052">
      <w:pPr>
        <w:spacing w:line="360" w:lineRule="auto"/>
        <w:jc w:val="both"/>
        <w:rPr>
          <w:rFonts w:ascii="Arial" w:cs="Arial" w:eastAsia="Arial" w:hAnsi="Arial"/>
          <w:color w:val="00000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3">
      <w:pPr>
        <w:spacing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5. Conclusion and Future Development Plan</w:t>
      </w:r>
    </w:p>
    <w:p w:rsidR="00000000" w:rsidDel="00000000" w:rsidP="00000000" w:rsidRDefault="00000000" w:rsidRPr="00000000" w14:paraId="00000054">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By means of my placement at Ibis Thurrock, I gained insightful understanding of food and beverage operations, thereby enhancing my supervisory skills, technical knowledge, and ability to solve problems. The event underlined the need of operational efficiency, guest service standards, and good communication as well as of guest policy guidelines (Johnston, Clark &amp; Shulver, 2012).</w:t>
      </w:r>
    </w:p>
    <w:p w:rsidR="00000000" w:rsidDel="00000000" w:rsidP="00000000" w:rsidRDefault="00000000" w:rsidRPr="00000000" w14:paraId="00000055">
      <w:pPr>
        <w:spacing w:line="360" w:lineRule="auto"/>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By acquiring more knowledge in workforce management and service optimisation, I hope to improve my leadership and decision-making abilities going ahead (Vallen &amp; Vallen, 2014). To guarantee a good career in the business, I intend to take further training in hotel management to increase my capacity to handle staffing, client happiness, and service innovation.</w:t>
      </w:r>
      <w:r w:rsidDel="00000000" w:rsidR="00000000" w:rsidRPr="00000000">
        <w:rPr>
          <w:rtl w:val="0"/>
        </w:rPr>
      </w:r>
    </w:p>
    <w:p w:rsidR="00000000" w:rsidDel="00000000" w:rsidP="00000000" w:rsidRDefault="00000000" w:rsidRPr="00000000" w14:paraId="00000056">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7">
      <w:pPr>
        <w:rPr>
          <w:b w:val="1"/>
        </w:rPr>
      </w:pPr>
      <w:r w:rsidDel="00000000" w:rsidR="00000000" w:rsidRPr="00000000">
        <w:rPr>
          <w:rtl w:val="0"/>
        </w:rPr>
      </w:r>
    </w:p>
    <w:p w:rsidR="00000000" w:rsidDel="00000000" w:rsidP="00000000" w:rsidRDefault="00000000" w:rsidRPr="00000000" w14:paraId="00000058">
      <w:pPr>
        <w:rPr>
          <w:b w:val="1"/>
        </w:rPr>
      </w:pPr>
      <w:r w:rsidDel="00000000" w:rsidR="00000000" w:rsidRPr="00000000">
        <w:rPr>
          <w:rtl w:val="0"/>
        </w:rPr>
      </w:r>
    </w:p>
    <w:p w:rsidR="00000000" w:rsidDel="00000000" w:rsidP="00000000" w:rsidRDefault="00000000" w:rsidRPr="00000000" w14:paraId="00000059">
      <w:pPr>
        <w:rPr>
          <w:b w:val="1"/>
        </w:rPr>
      </w:pPr>
      <w:r w:rsidDel="00000000" w:rsidR="00000000" w:rsidRPr="00000000">
        <w:rPr>
          <w:rtl w:val="0"/>
        </w:rPr>
      </w:r>
    </w:p>
    <w:p w:rsidR="00000000" w:rsidDel="00000000" w:rsidP="00000000" w:rsidRDefault="00000000" w:rsidRPr="00000000" w14:paraId="0000005A">
      <w:pPr>
        <w:rPr>
          <w:b w:val="1"/>
        </w:rPr>
      </w:pPr>
      <w:r w:rsidDel="00000000" w:rsidR="00000000" w:rsidRPr="00000000">
        <w:rPr>
          <w:b w:val="1"/>
          <w:rtl w:val="0"/>
        </w:rPr>
        <w:t xml:space="preserve">References</w:t>
      </w:r>
    </w:p>
    <w:p w:rsidR="00000000" w:rsidDel="00000000" w:rsidP="00000000" w:rsidRDefault="00000000" w:rsidRPr="00000000" w14:paraId="0000005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284"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ASET (2017) </w:t>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Good Practice Guide for Work-Based and Placement Learning in Higher Education</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Sheffield: ASET. Available at: </w:t>
      </w:r>
      <w:hyperlink r:id="rId8">
        <w:r w:rsidDel="00000000" w:rsidR="00000000" w:rsidRPr="00000000">
          <w:rPr>
            <w:rFonts w:ascii="Aptos" w:cs="Aptos" w:eastAsia="Aptos" w:hAnsi="Aptos"/>
            <w:b w:val="0"/>
            <w:i w:val="0"/>
            <w:smallCaps w:val="0"/>
            <w:strike w:val="0"/>
            <w:color w:val="467886"/>
            <w:sz w:val="24"/>
            <w:szCs w:val="24"/>
            <w:u w:val="single"/>
            <w:shd w:fill="auto" w:val="clear"/>
            <w:vertAlign w:val="baseline"/>
            <w:rtl w:val="0"/>
          </w:rPr>
          <w:t xml:space="preserve">https://www.asetonline.org/wp-content/uploads/2024/04/ASET-Good-Practice-Guide-Work-based-and-Placement-Learning.pdf</w:t>
        </w:r>
      </w:hyperlink>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(Accessed: 5 February 2025).</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284"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284"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Cousins, J. and Weekes, S. (2020) </w:t>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Food and Beverage Service</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10th edn. London: Hodder Education.</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284"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284"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Fallon, M. and Rutherford, D. (2010) </w:t>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Hotel Management and Operations</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London: Wiley.</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284"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284"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Food Standards Agency (2024) </w:t>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UK Food Safety Guidelines</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Available at: </w:t>
      </w:r>
      <w:hyperlink r:id="rId9">
        <w:r w:rsidDel="00000000" w:rsidR="00000000" w:rsidRPr="00000000">
          <w:rPr>
            <w:rFonts w:ascii="Aptos" w:cs="Aptos" w:eastAsia="Aptos" w:hAnsi="Aptos"/>
            <w:b w:val="0"/>
            <w:i w:val="0"/>
            <w:smallCaps w:val="0"/>
            <w:strike w:val="0"/>
            <w:color w:val="467886"/>
            <w:sz w:val="24"/>
            <w:szCs w:val="24"/>
            <w:u w:val="single"/>
            <w:shd w:fill="auto" w:val="clear"/>
            <w:vertAlign w:val="baseline"/>
            <w:rtl w:val="0"/>
          </w:rPr>
          <w:t xml:space="preserve">https://www.food.gov.uk/about-us/key-regulations</w:t>
        </w:r>
      </w:hyperlink>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(Accessed: 5 February 2025).</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284"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284"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Gibbs, G. (1988) </w:t>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Learning by Doing: A Guide to Teaching and Learning Methods</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Oxford: Oxford Further Education Unit.</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284"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284"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Hagg, E. (2013) </w:t>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Internship Guide: Work Placements Step by Step</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5th edn. The Hague: Eleven International Publishing.</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284"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284"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Johnston, R., Clark, G. and Shulver, M. (2012) </w:t>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Service Operations Management: Improving Service Delivery</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5th edn. London: Pearson.</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284"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284"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Kolb, D.A. (1984) </w:t>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Experiential Learning: Experience as the Source of Learning and Development</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Englewood Cliffs, NJ: Prentice Hall.</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284"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284"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Vallen, G.K. and Vallen, J.J. (2014) </w:t>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Check-In Check-Out: Managing Hotel Operations</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9th edn. Harlow: Pearson Education Limited.</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284"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9" w:lineRule="auto"/>
        <w:ind w:left="284"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Walker, J.C. (2021) </w:t>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Introduction to Hospitality</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8th edn. Harlow: Pearson Education Limited.</w:t>
      </w:r>
    </w:p>
    <w:p w:rsidR="00000000" w:rsidDel="00000000" w:rsidP="00000000" w:rsidRDefault="00000000" w:rsidRPr="00000000" w14:paraId="00000072">
      <w:pPr>
        <w:rPr/>
      </w:pPr>
      <w:r w:rsidDel="00000000" w:rsidR="00000000" w:rsidRPr="00000000">
        <w:rPr>
          <w:rtl w:val="0"/>
        </w:rPr>
      </w:r>
    </w:p>
    <w:sectPr>
      <w:footerReference r:id="rId10" w:type="default"/>
      <w:pgSz w:h="16838" w:w="11906"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bullet"/>
      <w:lvlText w:val="o"/>
      <w:lvlJc w:val="left"/>
      <w:pPr>
        <w:ind w:left="1440" w:hanging="360"/>
      </w:pPr>
      <w:rPr>
        <w:rFonts w:ascii="Courier New" w:cs="Courier New" w:eastAsia="Courier New" w:hAnsi="Courier New"/>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GB"/>
      </w:rPr>
    </w:rPrDefault>
    <w:pPrDefault>
      <w:pPr>
        <w:spacing w:after="160" w:line="27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paragraph" w:styleId="Heading1">
    <w:name w:val="heading 1"/>
    <w:basedOn w:val="Normal"/>
    <w:next w:val="Normal"/>
    <w:link w:val="Heading1Char"/>
    <w:uiPriority w:val="9"/>
    <w:qFormat w:val="1"/>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paragraph" w:styleId="Heading2">
    <w:name w:val="heading 2"/>
    <w:basedOn w:val="Normal"/>
    <w:next w:val="Normal"/>
    <w:link w:val="Heading2Char"/>
    <w:uiPriority w:val="9"/>
    <w:semiHidden w:val="1"/>
    <w:unhideWhenUsed w:val="1"/>
    <w:qFormat w:val="1"/>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paragraph" w:styleId="Heading3">
    <w:name w:val="heading 3"/>
    <w:basedOn w:val="Normal"/>
    <w:next w:val="Normal"/>
    <w:link w:val="Heading3Char"/>
    <w:uiPriority w:val="9"/>
    <w:semiHidden w:val="1"/>
    <w:unhideWhenUsed w:val="1"/>
    <w:qFormat w:val="1"/>
    <w:pPr>
      <w:keepNext w:val="1"/>
      <w:keepLines w:val="1"/>
      <w:spacing w:after="80" w:before="160"/>
      <w:outlineLvl w:val="2"/>
    </w:pPr>
    <w:rPr>
      <w:rFonts w:cstheme="majorBidi" w:eastAsiaTheme="majorEastAsia"/>
      <w:color w:val="0f4761" w:themeColor="accent1" w:themeShade="0000BF"/>
      <w:sz w:val="28"/>
      <w:szCs w:val="28"/>
    </w:rPr>
  </w:style>
  <w:style w:type="paragraph" w:styleId="Heading4">
    <w:name w:val="heading 4"/>
    <w:basedOn w:val="Normal"/>
    <w:next w:val="Normal"/>
    <w:link w:val="Heading4Char"/>
    <w:uiPriority w:val="9"/>
    <w:semiHidden w:val="1"/>
    <w:unhideWhenUsed w:val="1"/>
    <w:qFormat w:val="1"/>
    <w:pPr>
      <w:keepNext w:val="1"/>
      <w:keepLines w:val="1"/>
      <w:spacing w:after="40" w:before="80"/>
      <w:outlineLvl w:val="3"/>
    </w:pPr>
    <w:rPr>
      <w:rFonts w:cstheme="majorBidi" w:eastAsiaTheme="majorEastAsia"/>
      <w:i w:val="1"/>
      <w:iCs w:val="1"/>
      <w:color w:val="0f4761" w:themeColor="accent1" w:themeShade="0000BF"/>
    </w:rPr>
  </w:style>
  <w:style w:type="paragraph" w:styleId="Heading5">
    <w:name w:val="heading 5"/>
    <w:basedOn w:val="Normal"/>
    <w:next w:val="Normal"/>
    <w:link w:val="Heading5Char"/>
    <w:uiPriority w:val="9"/>
    <w:semiHidden w:val="1"/>
    <w:unhideWhenUsed w:val="1"/>
    <w:qFormat w:val="1"/>
    <w:pPr>
      <w:keepNext w:val="1"/>
      <w:keepLines w:val="1"/>
      <w:spacing w:after="40" w:before="80"/>
      <w:outlineLvl w:val="4"/>
    </w:pPr>
    <w:rPr>
      <w:rFonts w:cstheme="majorBidi" w:eastAsiaTheme="majorEastAsia"/>
      <w:color w:val="0f4761" w:themeColor="accent1" w:themeShade="0000BF"/>
    </w:rPr>
  </w:style>
  <w:style w:type="paragraph" w:styleId="Heading6">
    <w:name w:val="heading 6"/>
    <w:basedOn w:val="Normal"/>
    <w:next w:val="Normal"/>
    <w:link w:val="Heading6Char"/>
    <w:uiPriority w:val="9"/>
    <w:semiHidden w:val="1"/>
    <w:unhideWhenUsed w:val="1"/>
    <w:qFormat w:val="1"/>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unhideWhenUsed w:val="1"/>
    <w:qFormat w:val="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unhideWhenUsed w:val="1"/>
    <w:qFormat w:val="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unhideWhenUsed w:val="1"/>
    <w:qFormat w:val="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uiPriority w:val="10"/>
    <w:qFormat w:val="1"/>
    <w:pPr>
      <w:spacing w:after="80" w:line="240" w:lineRule="auto"/>
      <w:contextualSpacing w:val="1"/>
    </w:pPr>
    <w:rPr>
      <w:rFonts w:asciiTheme="majorHAnsi" w:cstheme="majorBidi" w:eastAsiaTheme="majorEastAsia" w:hAnsiTheme="majorHAnsi"/>
      <w:spacing w:val="-10"/>
      <w:kern w:val="28"/>
      <w:sz w:val="56"/>
      <w:szCs w:val="56"/>
    </w:rPr>
  </w:style>
  <w:style w:type="character" w:styleId="Heading1Char" w:customStyle="1">
    <w:name w:val="Heading 1 Char"/>
    <w:basedOn w:val="DefaultParagraphFont"/>
    <w:link w:val="Heading1"/>
    <w:uiPriority w:val="9"/>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Pr>
      <w:rFonts w:cstheme="majorBidi" w:eastAsiaTheme="majorEastAsia"/>
      <w:color w:val="595959" w:themeColor="text1" w:themeTint="0000A6"/>
    </w:rPr>
  </w:style>
  <w:style w:type="character" w:styleId="Heading8Char" w:customStyle="1">
    <w:name w:val="Heading 8 Char"/>
    <w:basedOn w:val="DefaultParagraphFont"/>
    <w:link w:val="Heading8"/>
    <w:uiPriority w:val="9"/>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rPr>
      <w:rFonts w:cstheme="majorBidi" w:eastAsiaTheme="majorEastAsia"/>
      <w:color w:val="272727" w:themeColor="text1" w:themeTint="0000D8"/>
    </w:rPr>
  </w:style>
  <w:style w:type="character" w:styleId="TitleChar" w:customStyle="1">
    <w:name w:val="Title Char"/>
    <w:basedOn w:val="DefaultParagraphFont"/>
    <w:link w:val="Title"/>
    <w:uiPriority w:val="10"/>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Pr>
      <w:rFonts w:cstheme="majorBidi" w:eastAsiaTheme="majorEastAsia"/>
      <w:color w:val="595959" w:themeColor="text1" w:themeTint="0000A6"/>
      <w:spacing w:val="15"/>
      <w:sz w:val="28"/>
      <w:szCs w:val="28"/>
    </w:rPr>
  </w:style>
  <w:style w:type="paragraph" w:styleId="Subtitle">
    <w:name w:val="Subtitle"/>
    <w:basedOn w:val="Normal"/>
    <w:next w:val="Normal"/>
    <w:link w:val="SubtitleChar"/>
    <w:uiPriority w:val="11"/>
    <w:qFormat w:val="1"/>
    <w:rPr>
      <w:color w:val="595959"/>
      <w:sz w:val="28"/>
      <w:szCs w:val="28"/>
    </w:rPr>
  </w:style>
  <w:style w:type="character" w:styleId="IntenseEmphasis">
    <w:name w:val="Intense Emphasis"/>
    <w:basedOn w:val="DefaultParagraphFont"/>
    <w:uiPriority w:val="21"/>
    <w:qFormat w:val="1"/>
    <w:rPr>
      <w:i w:val="1"/>
      <w:iCs w:val="1"/>
      <w:color w:val="0f4761" w:themeColor="accent1" w:themeShade="0000BF"/>
    </w:rPr>
  </w:style>
  <w:style w:type="character" w:styleId="QuoteChar" w:customStyle="1">
    <w:name w:val="Quote Char"/>
    <w:basedOn w:val="DefaultParagraphFont"/>
    <w:link w:val="Quote"/>
    <w:uiPriority w:val="29"/>
    <w:rPr>
      <w:i w:val="1"/>
      <w:iCs w:val="1"/>
      <w:color w:val="404040" w:themeColor="text1" w:themeTint="0000BF"/>
    </w:rPr>
  </w:style>
  <w:style w:type="paragraph" w:styleId="Quote">
    <w:name w:val="Quote"/>
    <w:basedOn w:val="Normal"/>
    <w:next w:val="Normal"/>
    <w:link w:val="QuoteChar"/>
    <w:uiPriority w:val="29"/>
    <w:qFormat w:val="1"/>
    <w:pPr>
      <w:spacing w:before="160"/>
      <w:jc w:val="center"/>
    </w:pPr>
    <w:rPr>
      <w:i w:val="1"/>
      <w:iCs w:val="1"/>
      <w:color w:val="404040" w:themeColor="text1" w:themeTint="0000BF"/>
    </w:rPr>
  </w:style>
  <w:style w:type="character" w:styleId="IntenseQuoteChar" w:customStyle="1">
    <w:name w:val="Intense Quote Char"/>
    <w:basedOn w:val="DefaultParagraphFont"/>
    <w:link w:val="IntenseQuote"/>
    <w:uiPriority w:val="30"/>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Reference">
    <w:name w:val="Intense Reference"/>
    <w:basedOn w:val="DefaultParagraphFont"/>
    <w:uiPriority w:val="32"/>
    <w:qFormat w:val="1"/>
    <w:rPr>
      <w:b w:val="1"/>
      <w:bCs w:val="1"/>
      <w:smallCaps w:val="1"/>
      <w:color w:val="0f4761" w:themeColor="accent1" w:themeShade="0000BF"/>
      <w:spacing w:val="5"/>
    </w:rPr>
  </w:style>
  <w:style w:type="character" w:styleId="Hyperlink">
    <w:name w:val="Hyperlink"/>
    <w:basedOn w:val="DefaultParagraphFont"/>
    <w:uiPriority w:val="99"/>
    <w:unhideWhenUsed w:val="1"/>
    <w:rsid w:val="00E11A81"/>
    <w:rPr>
      <w:color w:val="467886" w:themeColor="hyperlink"/>
      <w:u w:val="single"/>
    </w:rPr>
  </w:style>
  <w:style w:type="character" w:styleId="UnresolvedMention">
    <w:name w:val="Unresolved Mention"/>
    <w:basedOn w:val="DefaultParagraphFont"/>
    <w:uiPriority w:val="99"/>
    <w:semiHidden w:val="1"/>
    <w:unhideWhenUsed w:val="1"/>
    <w:rsid w:val="00E11A81"/>
    <w:rPr>
      <w:color w:val="605e5c"/>
      <w:shd w:color="auto" w:fill="e1dfdd" w:val="clear"/>
    </w:rPr>
  </w:style>
  <w:style w:type="table" w:styleId="a" w:customStyle="1">
    <w:basedOn w:val="TableNormal"/>
    <w:tblPr>
      <w:tblStyleRowBandSize w:val="1"/>
      <w:tblStyleColBandSize w:val="1"/>
      <w:tblCellMar>
        <w:left w:w="115.0" w:type="dxa"/>
        <w:right w:w="115.0" w:type="dxa"/>
      </w:tblCellMar>
    </w:tblPr>
  </w:style>
  <w:style w:type="paragraph" w:styleId="ListParagraph">
    <w:name w:val="List Paragraph"/>
    <w:basedOn w:val="Normal"/>
    <w:uiPriority w:val="34"/>
    <w:qFormat w:val="1"/>
    <w:rsid w:val="00C3599E"/>
    <w:pPr>
      <w:ind w:left="720"/>
      <w:contextualSpacing w:val="1"/>
    </w:pPr>
  </w:style>
  <w:style w:type="paragraph" w:styleId="NoSpacing">
    <w:name w:val="No Spacing"/>
    <w:link w:val="NoSpacingChar"/>
    <w:uiPriority w:val="1"/>
    <w:qFormat w:val="1"/>
    <w:rsid w:val="00C3599E"/>
    <w:pPr>
      <w:spacing w:after="0" w:line="240" w:lineRule="auto"/>
    </w:pPr>
    <w:rPr>
      <w:rFonts w:asciiTheme="minorHAnsi" w:cstheme="minorBidi" w:eastAsiaTheme="minorEastAsia" w:hAnsiTheme="minorHAnsi"/>
      <w:sz w:val="22"/>
      <w:szCs w:val="22"/>
    </w:rPr>
  </w:style>
  <w:style w:type="character" w:styleId="NoSpacingChar" w:customStyle="1">
    <w:name w:val="No Spacing Char"/>
    <w:basedOn w:val="DefaultParagraphFont"/>
    <w:link w:val="NoSpacing"/>
    <w:uiPriority w:val="1"/>
    <w:rsid w:val="00C3599E"/>
    <w:rPr>
      <w:rFonts w:asciiTheme="minorHAnsi" w:cstheme="minorBidi" w:eastAsiaTheme="minorEastAsia" w:hAnsiTheme="minorHAnsi"/>
      <w:sz w:val="22"/>
      <w:szCs w:val="22"/>
    </w:rPr>
  </w:style>
  <w:style w:type="paragraph" w:styleId="Header">
    <w:name w:val="header"/>
    <w:basedOn w:val="Normal"/>
    <w:link w:val="HeaderChar"/>
    <w:uiPriority w:val="99"/>
    <w:unhideWhenUsed w:val="1"/>
    <w:rsid w:val="00C3599E"/>
    <w:pPr>
      <w:tabs>
        <w:tab w:val="center" w:pos="4513"/>
        <w:tab w:val="right" w:pos="9026"/>
      </w:tabs>
      <w:spacing w:after="0" w:line="240" w:lineRule="auto"/>
    </w:pPr>
  </w:style>
  <w:style w:type="character" w:styleId="HeaderChar" w:customStyle="1">
    <w:name w:val="Header Char"/>
    <w:basedOn w:val="DefaultParagraphFont"/>
    <w:link w:val="Header"/>
    <w:uiPriority w:val="99"/>
    <w:rsid w:val="00C3599E"/>
  </w:style>
  <w:style w:type="paragraph" w:styleId="Footer">
    <w:name w:val="footer"/>
    <w:basedOn w:val="Normal"/>
    <w:link w:val="FooterChar"/>
    <w:uiPriority w:val="99"/>
    <w:unhideWhenUsed w:val="1"/>
    <w:rsid w:val="00C3599E"/>
    <w:pPr>
      <w:tabs>
        <w:tab w:val="center" w:pos="4513"/>
        <w:tab w:val="right" w:pos="9026"/>
      </w:tabs>
      <w:spacing w:after="0" w:line="240" w:lineRule="auto"/>
    </w:pPr>
  </w:style>
  <w:style w:type="character" w:styleId="FooterChar" w:customStyle="1">
    <w:name w:val="Footer Char"/>
    <w:basedOn w:val="DefaultParagraphFont"/>
    <w:link w:val="Footer"/>
    <w:uiPriority w:val="99"/>
    <w:rsid w:val="00C3599E"/>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yperlink" Target="https://www.food.gov.uk/about-us/key-regulation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asetonline.org/wp-content/uploads/2024/04/ASET-Good-Practice-Guide-Work-based-and-Placement-Learning.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P4Euk/lSPuE0poPwXr5oWNa7rg==">CgMxLjA4AHIhMTFET3FrVDFqMy1tSW45MENhV3hqaExTMnNvUUYxb2xi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2025-02-12T15:51:00Z</dcterms:created>
  <dc:creator>Georgiana</dc:creator>
</cp:coreProperties>
</file>