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7F780F" w14:textId="77777777" w:rsidR="00CC5621" w:rsidRDefault="00CC5621" w:rsidP="00CC5621">
      <w:pPr>
        <w:pStyle w:val="Default"/>
      </w:pPr>
      <w:bookmarkStart w:id="0" w:name="_GoBack"/>
      <w:bookmarkEnd w:id="0"/>
    </w:p>
    <w:p w14:paraId="0326CD42" w14:textId="228A921C" w:rsidR="004671A4" w:rsidRDefault="00CC5621" w:rsidP="00CC5621">
      <w:pPr>
        <w:rPr>
          <w:b/>
          <w:u w:val="single"/>
        </w:rPr>
      </w:pPr>
      <w:r w:rsidRPr="00CC5621">
        <w:rPr>
          <w:b/>
          <w:u w:val="single"/>
        </w:rPr>
        <w:t>Critically discuss the Methods used to explore the language deficits experienced by aphasic patients</w:t>
      </w:r>
    </w:p>
    <w:p w14:paraId="707910D9" w14:textId="21114787" w:rsidR="001121DD" w:rsidRDefault="00B5661E" w:rsidP="00CC5621">
      <w:r>
        <w:t xml:space="preserve">The handbook of clinical neuropsychology </w:t>
      </w:r>
      <w:r w:rsidRPr="003B6E8D">
        <w:t>(Gurd, Kischka &amp; Marshall, 2010)</w:t>
      </w:r>
      <w:r w:rsidRPr="009C4D07">
        <w:rPr>
          <w:b/>
        </w:rPr>
        <w:t xml:space="preserve"> </w:t>
      </w:r>
      <w:r>
        <w:t>defines the term aphasia as “reserved for patients who suffer from circumscribed pathology, and in whom language dysfunction constitutes a focus of cognitive impairment.</w:t>
      </w:r>
      <w:r w:rsidR="009C4D07">
        <w:t>”</w:t>
      </w:r>
      <w:r w:rsidR="00EF7C37">
        <w:t xml:space="preserve"> </w:t>
      </w:r>
      <w:r w:rsidR="006C6CFD">
        <w:t>(Ch. 13, para. 1.1.1)</w:t>
      </w:r>
      <w:r w:rsidR="003B6E8D">
        <w:t>.</w:t>
      </w:r>
      <w:r w:rsidR="006C6CFD">
        <w:t xml:space="preserve"> </w:t>
      </w:r>
      <w:r w:rsidR="00EF7C37">
        <w:t xml:space="preserve">Aphasia is common in stroke victims </w:t>
      </w:r>
      <w:r w:rsidR="00EF7C37" w:rsidRPr="003B6E8D">
        <w:t>(</w:t>
      </w:r>
      <w:r w:rsidR="00EF7C37" w:rsidRPr="003B6E8D">
        <w:t>Pederse</w:t>
      </w:r>
      <w:r w:rsidR="00EF7C37" w:rsidRPr="003B6E8D">
        <w:t>n</w:t>
      </w:r>
      <w:r w:rsidR="00EF7C37" w:rsidRPr="003B6E8D">
        <w:t>, Stig Jørgensen, Nakayama, Raaschou, &amp; Olsen</w:t>
      </w:r>
      <w:r w:rsidR="00EF7C37" w:rsidRPr="003B6E8D">
        <w:t>, 1995),</w:t>
      </w:r>
      <w:r w:rsidR="00EF7C37">
        <w:t xml:space="preserve"> </w:t>
      </w:r>
      <w:r w:rsidR="00EF7C37" w:rsidRPr="003B6E8D">
        <w:t>(</w:t>
      </w:r>
      <w:r w:rsidR="00EF7C37" w:rsidRPr="003B6E8D">
        <w:t>Wade, Hewer, David, &amp; Enderby,</w:t>
      </w:r>
      <w:r w:rsidR="00EF7C37" w:rsidRPr="003B6E8D">
        <w:t xml:space="preserve"> </w:t>
      </w:r>
      <w:r w:rsidR="00EF7C37" w:rsidRPr="003B6E8D">
        <w:t>1986).</w:t>
      </w:r>
      <w:r w:rsidR="00EF7C37" w:rsidRPr="003B6E8D">
        <w:t xml:space="preserve"> </w:t>
      </w:r>
      <w:r w:rsidR="009C4D07">
        <w:t>In many cases, aphasia is a supramodal deficit, meaning that it can affect both language production and perception in spoken and written form.</w:t>
      </w:r>
      <w:r w:rsidR="007A4906">
        <w:t xml:space="preserve"> </w:t>
      </w:r>
      <w:r w:rsidR="009155DD">
        <w:t>Broca’s</w:t>
      </w:r>
      <w:r w:rsidR="006D1414">
        <w:t xml:space="preserve"> aphasia occurs when the Broca’s and surrounding areas</w:t>
      </w:r>
      <w:r w:rsidR="009155DD">
        <w:t xml:space="preserve"> </w:t>
      </w:r>
      <w:r w:rsidR="006D1414">
        <w:t>of the brain are damaged. Broca’s aphasia is often characterised by slow, laboured speech with frequent pauses</w:t>
      </w:r>
      <w:r w:rsidR="00363894">
        <w:t xml:space="preserve"> </w:t>
      </w:r>
      <w:r w:rsidR="00363894" w:rsidRPr="003B6E8D">
        <w:t>(Damasio, 1992)</w:t>
      </w:r>
      <w:r w:rsidR="006D1414" w:rsidRPr="003B6E8D">
        <w:t>.</w:t>
      </w:r>
      <w:r w:rsidR="006D1414">
        <w:t xml:space="preserve"> However, people with Broca’s aphasia </w:t>
      </w:r>
      <w:r w:rsidR="00EF7C37">
        <w:t>generally retain very good</w:t>
      </w:r>
      <w:r w:rsidR="006D1414">
        <w:t xml:space="preserve"> language comprehension and are able to understand what someone is saying to them</w:t>
      </w:r>
      <w:r w:rsidR="00EF7C37">
        <w:t>, which often leaves patients frustrated and distressed at not being able to respond in a way that they would like</w:t>
      </w:r>
      <w:r w:rsidR="006D1414">
        <w:t xml:space="preserve">. Understanding </w:t>
      </w:r>
      <w:r w:rsidR="00225D65">
        <w:t xml:space="preserve">and recognising </w:t>
      </w:r>
      <w:r w:rsidR="006D1414">
        <w:t>different types of aphasia and correctly diagnosing patients is of utmost importance in order to ensure the</w:t>
      </w:r>
      <w:r w:rsidR="007A4906">
        <w:t>y</w:t>
      </w:r>
      <w:r w:rsidR="00225D65">
        <w:t xml:space="preserve"> are able to</w:t>
      </w:r>
      <w:r w:rsidR="007A4906">
        <w:t xml:space="preserve"> maintain</w:t>
      </w:r>
      <w:r w:rsidR="00225D65">
        <w:t xml:space="preserve"> a</w:t>
      </w:r>
      <w:r w:rsidR="007A4906">
        <w:t xml:space="preserve"> good </w:t>
      </w:r>
      <w:r w:rsidR="006D1414">
        <w:t>quality of life</w:t>
      </w:r>
      <w:r w:rsidR="00225D65">
        <w:t xml:space="preserve"> following diagnosis</w:t>
      </w:r>
      <w:r w:rsidR="006D1414">
        <w:t xml:space="preserve">. </w:t>
      </w:r>
    </w:p>
    <w:p w14:paraId="5BDC95CE" w14:textId="5066A721" w:rsidR="00186752" w:rsidRPr="00186752" w:rsidRDefault="001121DD" w:rsidP="00074D81">
      <w:pPr>
        <w:ind w:firstLine="720"/>
      </w:pPr>
      <w:r>
        <w:t xml:space="preserve">The Boston Diagnostic Aphasia Examination </w:t>
      </w:r>
      <w:r w:rsidRPr="00796B44">
        <w:t>(BDAE: Goodglass &amp; Kaplan, 1972</w:t>
      </w:r>
      <w:r w:rsidR="00796B44" w:rsidRPr="00796B44">
        <w:t xml:space="preserve">, </w:t>
      </w:r>
      <w:r w:rsidR="00796B44" w:rsidRPr="00796B44">
        <w:t>cited in Wertz, Deal and Robinson</w:t>
      </w:r>
      <w:r w:rsidR="00796B44" w:rsidRPr="00796B44">
        <w:t>, 1984</w:t>
      </w:r>
      <w:r w:rsidRPr="00796B44">
        <w:t xml:space="preserve">) </w:t>
      </w:r>
      <w:r w:rsidR="00EC25C1">
        <w:t xml:space="preserve">investigates language dysfunction in order to diagnose aphasic patients. The BDAE is </w:t>
      </w:r>
      <w:r w:rsidR="00A97F77">
        <w:t xml:space="preserve">one of the most popular methods of diagnosing aphasia and is widely used among speech language pathologists, partly due to its success in being translated into a variety of languages </w:t>
      </w:r>
      <w:r w:rsidR="00796B44" w:rsidRPr="00796B44">
        <w:t>(Radanovic, Mansur &amp; Scaff, 2004)</w:t>
      </w:r>
      <w:r w:rsidR="00796B44">
        <w:t>, (</w:t>
      </w:r>
      <w:r w:rsidR="00796B44">
        <w:t>Laine, Goodglass, Niemi,</w:t>
      </w:r>
      <w:r w:rsidR="00796B44">
        <w:t xml:space="preserve"> </w:t>
      </w:r>
      <w:r w:rsidR="00796B44">
        <w:t>Koivuselka-sallinen</w:t>
      </w:r>
      <w:r w:rsidR="00796B44">
        <w:t xml:space="preserve">, </w:t>
      </w:r>
      <w:r w:rsidR="00796B44">
        <w:t>Tuomainen &amp; Marttila,</w:t>
      </w:r>
      <w:r w:rsidR="00796B44">
        <w:t xml:space="preserve"> 1993), (</w:t>
      </w:r>
      <w:r w:rsidR="00796B44">
        <w:t>Rosselli,</w:t>
      </w:r>
      <w:r w:rsidR="00796B44">
        <w:t xml:space="preserve"> </w:t>
      </w:r>
      <w:r w:rsidR="00796B44">
        <w:t>Ardila, Florez, &amp; Castro,</w:t>
      </w:r>
      <w:r w:rsidR="00796B44">
        <w:t xml:space="preserve"> </w:t>
      </w:r>
      <w:r w:rsidR="00796B44">
        <w:t>1990</w:t>
      </w:r>
      <w:r w:rsidR="00796B44">
        <w:t>) (</w:t>
      </w:r>
      <w:r w:rsidR="00796B44">
        <w:t>Naeser &amp; Chan,</w:t>
      </w:r>
      <w:r w:rsidR="00796B44">
        <w:t xml:space="preserve"> </w:t>
      </w:r>
      <w:r w:rsidR="00796B44">
        <w:t>1980)</w:t>
      </w:r>
      <w:r w:rsidR="00A97F77" w:rsidRPr="00796B44">
        <w:t>.</w:t>
      </w:r>
      <w:r w:rsidR="00A97F77">
        <w:rPr>
          <w:b/>
        </w:rPr>
        <w:t xml:space="preserve"> </w:t>
      </w:r>
      <w:r w:rsidR="00A97F77">
        <w:t xml:space="preserve">The BDAE assessment measures eight different areas of language including fluency and naming. The BDAE is commonly used in patients who have experienced stroke but can be used to assess any adult with communication and language impairments. </w:t>
      </w:r>
      <w:r w:rsidR="001F7A9B">
        <w:t xml:space="preserve">The BDAE can be particularly </w:t>
      </w:r>
      <w:r w:rsidR="00B3248D">
        <w:t>useful</w:t>
      </w:r>
      <w:r w:rsidR="001F7A9B">
        <w:t xml:space="preserve"> in diagnosing </w:t>
      </w:r>
      <w:r w:rsidR="00B3248D">
        <w:t>Bro</w:t>
      </w:r>
      <w:r w:rsidR="001F7A9B">
        <w:t xml:space="preserve">ca’s aphasia as it </w:t>
      </w:r>
      <w:r w:rsidR="00B3248D">
        <w:t>includes</w:t>
      </w:r>
      <w:r w:rsidR="001F7A9B">
        <w:t xml:space="preserve"> language fluency as part of </w:t>
      </w:r>
      <w:r w:rsidR="00B3248D">
        <w:t xml:space="preserve">its subscales. The fluency section of the assessment involves the assessor encouraging the patient to engage in open-ended conversation. The patient is then scored over a seven-point scale for abnormalities on their sentence pattern, phrase length, articulation, grammatical construction, paraphasia and word-finding abilities. </w:t>
      </w:r>
      <w:r w:rsidR="00EE1C7E">
        <w:t>On</w:t>
      </w:r>
      <w:r w:rsidR="00D06266">
        <w:t xml:space="preserve">e strength of this approach to fluency in its own assessment is that it allows an opportunity for the patient to attempt fluent speech without interruption. For instance, they may simply recall a memory or </w:t>
      </w:r>
      <w:r w:rsidR="006B5797">
        <w:t xml:space="preserve">describe their day, instead of potential stress caused by answering </w:t>
      </w:r>
      <w:r w:rsidR="00310565">
        <w:t>pre-set</w:t>
      </w:r>
      <w:r w:rsidR="006B5797">
        <w:t xml:space="preserve"> questions, particularly in an assessment situation. </w:t>
      </w:r>
      <w:r w:rsidR="00E942EA">
        <w:t xml:space="preserve">A criticism of the BDAE is that </w:t>
      </w:r>
      <w:r w:rsidR="008E34E0">
        <w:t xml:space="preserve">the original normative study was carried out on white, </w:t>
      </w:r>
      <w:r w:rsidR="00363894">
        <w:t xml:space="preserve">English-speaking, </w:t>
      </w:r>
      <w:r w:rsidR="008E34E0">
        <w:t>right-handed males, particularly when consideration is given to the numerous translations of the study in use around the world.</w:t>
      </w:r>
      <w:r w:rsidR="00363894" w:rsidRPr="00363894">
        <w:t xml:space="preserve"> </w:t>
      </w:r>
      <w:r w:rsidR="00363894">
        <w:t xml:space="preserve">An issue with carrying out studies using only right-handed participants is that research has shown that non right-handed (left-handed or ambidextrous) people are more likely to have language representation in both the right and left hemispheres of the brain </w:t>
      </w:r>
      <w:r w:rsidR="00363894" w:rsidRPr="00796B44">
        <w:t>(Watila &amp; Balarabe, 2015)</w:t>
      </w:r>
      <w:r w:rsidR="00363894" w:rsidRPr="00796B44">
        <w:t>,</w:t>
      </w:r>
      <w:r w:rsidR="00363894">
        <w:t xml:space="preserve"> this is important to note as the Broca’s area is found in the left hemisphere of the brain</w:t>
      </w:r>
      <w:r w:rsidR="00363894">
        <w:rPr>
          <w:b/>
        </w:rPr>
        <w:t>.</w:t>
      </w:r>
      <w:r w:rsidR="008E34E0">
        <w:t xml:space="preserve"> It is possible that parts of the study are impossible to translate directly into another language, and therefore the marking system used may be compromised. </w:t>
      </w:r>
      <w:r w:rsidR="00273D90" w:rsidRPr="00796B44">
        <w:t>Radanovic and Mansur (200</w:t>
      </w:r>
      <w:r w:rsidR="00BB21FD" w:rsidRPr="00796B44">
        <w:t>2)</w:t>
      </w:r>
      <w:r w:rsidR="00BB21FD">
        <w:rPr>
          <w:b/>
        </w:rPr>
        <w:t xml:space="preserve"> </w:t>
      </w:r>
      <w:r w:rsidR="00185F61">
        <w:t>investigated</w:t>
      </w:r>
      <w:r w:rsidR="00BB21FD">
        <w:t xml:space="preserve"> this, they </w:t>
      </w:r>
      <w:r w:rsidR="008E34E0">
        <w:t xml:space="preserve">translated the </w:t>
      </w:r>
      <w:r w:rsidR="00BB21FD">
        <w:t>BDAE</w:t>
      </w:r>
      <w:r w:rsidR="008E34E0">
        <w:t xml:space="preserve"> into </w:t>
      </w:r>
      <w:r w:rsidR="00BB21FD" w:rsidRPr="00186752">
        <w:t>Portuguese and tested a sample in Brazil,</w:t>
      </w:r>
      <w:r w:rsidR="008E34E0" w:rsidRPr="00186752">
        <w:t xml:space="preserve"> </w:t>
      </w:r>
      <w:r w:rsidR="00BB21FD" w:rsidRPr="00186752">
        <w:t>they</w:t>
      </w:r>
      <w:r w:rsidR="008E34E0" w:rsidRPr="00186752">
        <w:t xml:space="preserve"> found that </w:t>
      </w:r>
      <w:r w:rsidR="00185F61" w:rsidRPr="00186752">
        <w:t>some subscale tests</w:t>
      </w:r>
      <w:r w:rsidR="008E34E0">
        <w:rPr>
          <w:b/>
        </w:rPr>
        <w:t xml:space="preserve"> </w:t>
      </w:r>
      <w:r w:rsidR="008E34E0">
        <w:t xml:space="preserve">needed to be altered </w:t>
      </w:r>
      <w:r w:rsidR="00185F61">
        <w:t>to include the same number of syllabl</w:t>
      </w:r>
      <w:r w:rsidR="00185F61" w:rsidRPr="00186752">
        <w:t>es</w:t>
      </w:r>
      <w:r w:rsidR="008E34E0">
        <w:t xml:space="preserve"> in order for patients to be assessed </w:t>
      </w:r>
      <w:r w:rsidR="00185F61">
        <w:t>with the same making criteria as the original</w:t>
      </w:r>
      <w:r w:rsidR="008E34E0">
        <w:t>.</w:t>
      </w:r>
      <w:r w:rsidR="00185F61">
        <w:t xml:space="preserve"> Changes were also made to avoid cultural differences such as changing songs and stories to popular Brazilian ones. </w:t>
      </w:r>
    </w:p>
    <w:p w14:paraId="11E4390D" w14:textId="3E081F10" w:rsidR="00B3248D" w:rsidRPr="00D53F4A" w:rsidRDefault="007A4906" w:rsidP="00F04862">
      <w:pPr>
        <w:ind w:firstLine="720"/>
        <w:rPr>
          <w:b/>
        </w:rPr>
      </w:pPr>
      <w:r>
        <w:lastRenderedPageBreak/>
        <w:t>The Western Aphasi</w:t>
      </w:r>
      <w:r w:rsidR="00DD5B5E">
        <w:t>a</w:t>
      </w:r>
      <w:r>
        <w:t xml:space="preserve"> Battery (</w:t>
      </w:r>
      <w:r w:rsidRPr="00796B44">
        <w:t>WAB: Kertesz, 1979</w:t>
      </w:r>
      <w:r w:rsidR="00796B44" w:rsidRPr="00796B44">
        <w:t xml:space="preserve">, </w:t>
      </w:r>
      <w:r w:rsidR="00796B44" w:rsidRPr="00796B44">
        <w:t>cited in Wertz, Deal and Robinson, 1984</w:t>
      </w:r>
      <w:r w:rsidRPr="004B251C">
        <w:rPr>
          <w:b/>
        </w:rPr>
        <w:t>)</w:t>
      </w:r>
      <w:r>
        <w:t xml:space="preserve"> is a diagnostic tool used to assess the linguistic and non-linguistic skills of adults with aphasia. The WAB is one of the most commonly used assessment tools by speech language pathologists</w:t>
      </w:r>
      <w:r w:rsidR="007252CA">
        <w:t xml:space="preserve"> </w:t>
      </w:r>
      <w:r>
        <w:t>and it</w:t>
      </w:r>
      <w:r>
        <w:rPr>
          <w:b/>
        </w:rPr>
        <w:t xml:space="preserve"> </w:t>
      </w:r>
      <w:r>
        <w:t xml:space="preserve">has been shown to be reliable in differentiating between aphasic and control groups </w:t>
      </w:r>
      <w:r w:rsidRPr="007252CA">
        <w:t>(Shewan &amp; Kertesz, 1980). The</w:t>
      </w:r>
      <w:r>
        <w:t xml:space="preserve"> WAB involves assessing patient’s abilities over eight different subscales including spontaneous speech, repetition and word finding. The WAB is commonly used to diagnose adult patients between the ages of eighteen and eighty-one who have acquired a neurological disorder due to stroke, head injury or dementia. </w:t>
      </w:r>
      <w:r w:rsidR="00B3248D">
        <w:t>The WA</w:t>
      </w:r>
      <w:r w:rsidR="00C7349F">
        <w:t xml:space="preserve">B also measures fluency, but as part of the spontaneous speech subscale, rather than a separate subscale as in the BDAE. The WAB requires the assessor to score the patient on their responses to six personal questions and their ability to describe a picture. Points are awarded for sentence length and </w:t>
      </w:r>
      <w:r w:rsidR="000B3420">
        <w:t>complexity</w:t>
      </w:r>
      <w:r w:rsidR="00C7349F">
        <w:t xml:space="preserve">, as well as how accurately the patient is able to describe the picture. </w:t>
      </w:r>
      <w:r w:rsidR="000B3420">
        <w:t xml:space="preserve">For fluency and grammatical competence, points are awarded based on the number of paraphasias used, speech of speech and pauses. A higher score indicates less severe to no language deficit. </w:t>
      </w:r>
      <w:r w:rsidR="00771AE2">
        <w:t xml:space="preserve"> The WAB has also been translated into multiple languages, </w:t>
      </w:r>
      <w:r w:rsidR="004D0DF0" w:rsidRPr="007252CA">
        <w:t>(Yiu, 1992),</w:t>
      </w:r>
      <w:r w:rsidR="004D0DF0" w:rsidRPr="004D0DF0">
        <w:rPr>
          <w:b/>
        </w:rPr>
        <w:t xml:space="preserve"> </w:t>
      </w:r>
      <w:r w:rsidR="004D0DF0" w:rsidRPr="007252CA">
        <w:t>(Pedersen, Vinter &amp; Olsen, 2004)</w:t>
      </w:r>
      <w:r w:rsidR="00BF0966" w:rsidRPr="007252CA">
        <w:t>,</w:t>
      </w:r>
      <w:r w:rsidR="00BF0966">
        <w:rPr>
          <w:b/>
        </w:rPr>
        <w:t xml:space="preserve"> </w:t>
      </w:r>
      <w:r w:rsidR="00BF0966" w:rsidRPr="007252CA">
        <w:t>(</w:t>
      </w:r>
      <w:r w:rsidR="00BF0966" w:rsidRPr="007252CA">
        <w:t>Keklikoglu, H. D., Selcuki, D., &amp; Keskin, S. 2010</w:t>
      </w:r>
      <w:r w:rsidR="00BF0966" w:rsidRPr="007252CA">
        <w:t>)</w:t>
      </w:r>
      <w:r w:rsidR="004D0DF0" w:rsidRPr="007252CA">
        <w:t xml:space="preserve"> </w:t>
      </w:r>
      <w:r w:rsidR="004D0DF0">
        <w:t>however, unlike the BDAE, the WAB is reported to be very simple to translate with only small details such as the image changed to be more culturally appropriate (</w:t>
      </w:r>
      <w:r w:rsidR="004D0DF0" w:rsidRPr="007252CA">
        <w:t>Kim &amp; Na, 2004</w:t>
      </w:r>
      <w:r w:rsidR="004D0DF0">
        <w:t>)</w:t>
      </w:r>
      <w:r w:rsidR="000B3420">
        <w:t xml:space="preserve"> </w:t>
      </w:r>
      <w:r w:rsidR="007D1B9D">
        <w:t xml:space="preserve">The WAB has been criticised for its assessment criteria, </w:t>
      </w:r>
      <w:r w:rsidR="007D1B9D" w:rsidRPr="007252CA">
        <w:t>Trupe (1984)</w:t>
      </w:r>
      <w:r w:rsidR="007D1B9D">
        <w:rPr>
          <w:b/>
        </w:rPr>
        <w:t xml:space="preserve"> </w:t>
      </w:r>
      <w:r w:rsidR="007D1B9D">
        <w:t xml:space="preserve">found inconsistencies among the assessors that </w:t>
      </w:r>
      <w:r w:rsidR="00E95E05">
        <w:t>s</w:t>
      </w:r>
      <w:r w:rsidR="007D1B9D">
        <w:t>he investigated in the way they scored patients. Trupe stressed the significance of this in a scoring system where one point could mean the difference between a diagnosis of Broca’s or Wernicke’s Aphasia.</w:t>
      </w:r>
      <w:r w:rsidR="00445C9D">
        <w:t xml:space="preserve"> </w:t>
      </w:r>
      <w:r w:rsidR="00D53F4A">
        <w:t xml:space="preserve">In the instance of Broca’s aphasia, the WAB has been reported to be too restrictive </w:t>
      </w:r>
      <w:r w:rsidR="00D53F4A" w:rsidRPr="007252CA">
        <w:t>(Lyon, 1986)</w:t>
      </w:r>
    </w:p>
    <w:p w14:paraId="0D35C87B" w14:textId="4241EEB1" w:rsidR="00E95E05" w:rsidRPr="00074D81" w:rsidRDefault="00E95E05" w:rsidP="00F04862">
      <w:pPr>
        <w:ind w:firstLine="720"/>
      </w:pPr>
      <w:r>
        <w:t xml:space="preserve">The </w:t>
      </w:r>
      <w:r w:rsidR="00F04862">
        <w:t>WAB and BDAE</w:t>
      </w:r>
      <w:r>
        <w:t xml:space="preserve"> are often compared to each other due to their similarities </w:t>
      </w:r>
      <w:r w:rsidRPr="007252CA">
        <w:t>(</w:t>
      </w:r>
      <w:proofErr w:type="spellStart"/>
      <w:r w:rsidRPr="007252CA">
        <w:t>Werts</w:t>
      </w:r>
      <w:proofErr w:type="spellEnd"/>
      <w:r w:rsidRPr="007252CA">
        <w:t>, Deal &amp; Robinson, 1984), (Bastiaanse &amp; Thompson, 2003)</w:t>
      </w:r>
      <w:r w:rsidR="00225D65" w:rsidRPr="007252CA">
        <w:t xml:space="preserve"> </w:t>
      </w:r>
      <w:r w:rsidR="00225D65">
        <w:t xml:space="preserve">however, both methods of assessment rely only on a bedside and assessment interview in order to make a diagnosis. </w:t>
      </w:r>
      <w:r w:rsidR="00EF7C37">
        <w:t xml:space="preserve">Both </w:t>
      </w:r>
      <w:r w:rsidR="00074D81">
        <w:t>assessments are also carried out in a single session of around two hours, and it must be queried whether this is sufficient time to accurately diagnose a patient with a single type of aphasia, particularly where Broca’s aphasia is concerned as patients may need more time to speak.</w:t>
      </w:r>
      <w:r w:rsidR="00771AE2">
        <w:t xml:space="preserve"> </w:t>
      </w:r>
      <w:r w:rsidR="00074D81">
        <w:t xml:space="preserve">The fact that both methods use a marking criteria is both a strength and limitation. On the one hand, a single criteria for every patient standardises the assessment and allows for wide distribution and use with many patients. However, the use of a single marking system does leave both methods vulnerable to inconsistencies between assessors </w:t>
      </w:r>
      <w:r w:rsidR="00771AE2">
        <w:t xml:space="preserve">as well as other methods </w:t>
      </w:r>
      <w:r w:rsidR="00771AE2" w:rsidRPr="007252CA">
        <w:t xml:space="preserve">(Trupe, </w:t>
      </w:r>
      <w:r w:rsidR="00074D81" w:rsidRPr="007252CA">
        <w:t>1984</w:t>
      </w:r>
      <w:r w:rsidR="00074D81" w:rsidRPr="007252CA">
        <w:t>)</w:t>
      </w:r>
      <w:r w:rsidR="00771AE2" w:rsidRPr="007252CA">
        <w:t>,</w:t>
      </w:r>
      <w:r w:rsidR="00771AE2">
        <w:rPr>
          <w:b/>
        </w:rPr>
        <w:t xml:space="preserve"> </w:t>
      </w:r>
      <w:r w:rsidR="00771AE2" w:rsidRPr="007252CA">
        <w:t>(</w:t>
      </w:r>
      <w:r w:rsidR="00771AE2" w:rsidRPr="007252CA">
        <w:t xml:space="preserve">Crary, Wertz </w:t>
      </w:r>
      <w:r w:rsidR="007252CA" w:rsidRPr="007252CA">
        <w:t>&amp;</w:t>
      </w:r>
      <w:r w:rsidR="00771AE2" w:rsidRPr="007252CA">
        <w:t xml:space="preserve"> Deal</w:t>
      </w:r>
      <w:r w:rsidR="007252CA" w:rsidRPr="007252CA">
        <w:t xml:space="preserve">, </w:t>
      </w:r>
      <w:r w:rsidR="00771AE2" w:rsidRPr="007252CA">
        <w:t>199</w:t>
      </w:r>
      <w:r w:rsidR="007252CA">
        <w:t>2</w:t>
      </w:r>
      <w:r w:rsidR="00771AE2" w:rsidRPr="007252CA">
        <w:t>)</w:t>
      </w:r>
      <w:r w:rsidR="00074D81" w:rsidRPr="007252CA">
        <w:t>.</w:t>
      </w:r>
      <w:r w:rsidR="00074D81">
        <w:t xml:space="preserve"> </w:t>
      </w:r>
      <w:r w:rsidR="00363894">
        <w:t xml:space="preserve">As suggested by Sapolsky, Domoto-Reilly, Negreira, Brickhouse, McGinnis &amp; Dickerson </w:t>
      </w:r>
      <w:r w:rsidR="00363894" w:rsidRPr="007252CA">
        <w:t xml:space="preserve">(2011) </w:t>
      </w:r>
      <w:r w:rsidR="00363894">
        <w:t>a comprehensive assessment of aphasia should include a detailed history of the patient, neuropsychological assessment and brain imaging to ensure a correct diagnosis.</w:t>
      </w:r>
      <w:r w:rsidR="00363894">
        <w:t xml:space="preserve"> However, the reality of combining these methods to create one comprehensive assessment is likely to come at a high financial cost to either the patient or public health body in question. </w:t>
      </w:r>
    </w:p>
    <w:p w14:paraId="4F5049B8" w14:textId="34D5A34F" w:rsidR="00D53F4A" w:rsidRDefault="00D53F4A">
      <w:r>
        <w:br w:type="page"/>
      </w:r>
    </w:p>
    <w:p w14:paraId="02E6E705" w14:textId="7B30B2CB" w:rsidR="000B3420" w:rsidRDefault="00D53F4A" w:rsidP="000B3420">
      <w:pPr>
        <w:tabs>
          <w:tab w:val="left" w:pos="5268"/>
        </w:tabs>
        <w:rPr>
          <w:b/>
          <w:u w:val="single"/>
        </w:rPr>
      </w:pPr>
      <w:r>
        <w:rPr>
          <w:b/>
          <w:u w:val="single"/>
        </w:rPr>
        <w:t>References</w:t>
      </w:r>
    </w:p>
    <w:p w14:paraId="0E6E5831" w14:textId="5F20C684" w:rsidR="001B2766" w:rsidRDefault="001B2766" w:rsidP="001B2766">
      <w:pPr>
        <w:tabs>
          <w:tab w:val="left" w:pos="5268"/>
        </w:tabs>
        <w:ind w:left="284" w:hanging="284"/>
      </w:pPr>
      <w:r>
        <w:t xml:space="preserve">Bastiaanse, R., &amp; Thompson, C. K. (2003). Verb and auxiliary movement in agrammatic Broca’s aphasia. </w:t>
      </w:r>
      <w:r>
        <w:rPr>
          <w:i/>
          <w:iCs/>
        </w:rPr>
        <w:t>Brain and Language</w:t>
      </w:r>
      <w:r>
        <w:t xml:space="preserve">, </w:t>
      </w:r>
      <w:r>
        <w:rPr>
          <w:i/>
          <w:iCs/>
        </w:rPr>
        <w:t>84</w:t>
      </w:r>
      <w:r>
        <w:t>(2), 286-305.</w:t>
      </w:r>
    </w:p>
    <w:p w14:paraId="076C9198" w14:textId="63C77127" w:rsidR="001B2766" w:rsidRDefault="001B2766" w:rsidP="001B2766">
      <w:pPr>
        <w:spacing w:after="0" w:line="240" w:lineRule="auto"/>
        <w:ind w:left="284" w:hanging="284"/>
        <w:rPr>
          <w:rFonts w:eastAsia="Times New Roman" w:cstheme="minorHAnsi"/>
          <w:lang w:eastAsia="en-GB"/>
        </w:rPr>
      </w:pPr>
      <w:r w:rsidRPr="007252CA">
        <w:rPr>
          <w:rFonts w:eastAsia="Times New Roman" w:cstheme="minorHAnsi"/>
          <w:lang w:eastAsia="en-GB"/>
        </w:rPr>
        <w:t xml:space="preserve">Crary, M. A., Wertz, R. T., &amp; Deal, J. L. (1992). Classifying aphasias: Cluster analysis of western aphasia battery and boston diagnostic aphasia examination results. </w:t>
      </w:r>
      <w:r w:rsidRPr="007252CA">
        <w:rPr>
          <w:rFonts w:eastAsia="Times New Roman" w:cstheme="minorHAnsi"/>
          <w:i/>
          <w:iCs/>
          <w:lang w:eastAsia="en-GB"/>
        </w:rPr>
        <w:t>Aphasiology</w:t>
      </w:r>
      <w:r w:rsidRPr="007252CA">
        <w:rPr>
          <w:rFonts w:eastAsia="Times New Roman" w:cstheme="minorHAnsi"/>
          <w:lang w:eastAsia="en-GB"/>
        </w:rPr>
        <w:t xml:space="preserve">, </w:t>
      </w:r>
      <w:r w:rsidRPr="007252CA">
        <w:rPr>
          <w:rFonts w:eastAsia="Times New Roman" w:cstheme="minorHAnsi"/>
          <w:i/>
          <w:iCs/>
          <w:lang w:eastAsia="en-GB"/>
        </w:rPr>
        <w:t>6</w:t>
      </w:r>
      <w:r w:rsidRPr="007252CA">
        <w:rPr>
          <w:rFonts w:eastAsia="Times New Roman" w:cstheme="minorHAnsi"/>
          <w:lang w:eastAsia="en-GB"/>
        </w:rPr>
        <w:t>(1), 29-36.</w:t>
      </w:r>
    </w:p>
    <w:p w14:paraId="754CD795" w14:textId="1FF756FB" w:rsidR="001B2766" w:rsidRDefault="001B2766" w:rsidP="001B2766">
      <w:pPr>
        <w:spacing w:after="0" w:line="240" w:lineRule="auto"/>
        <w:ind w:left="284" w:hanging="284"/>
        <w:rPr>
          <w:rFonts w:eastAsia="Times New Roman" w:cstheme="minorHAnsi"/>
          <w:lang w:eastAsia="en-GB"/>
        </w:rPr>
      </w:pPr>
    </w:p>
    <w:p w14:paraId="6ED0ABBB" w14:textId="3EA82BA4" w:rsidR="001B2766" w:rsidRDefault="001B2766" w:rsidP="001B2766">
      <w:pPr>
        <w:tabs>
          <w:tab w:val="left" w:pos="5268"/>
        </w:tabs>
        <w:ind w:left="284" w:hanging="284"/>
      </w:pPr>
      <w:r>
        <w:t xml:space="preserve">Damasio, A. R. (1992). Aphasia. </w:t>
      </w:r>
      <w:r>
        <w:rPr>
          <w:i/>
          <w:iCs/>
        </w:rPr>
        <w:t>New England Journal of Medicine</w:t>
      </w:r>
      <w:r>
        <w:t xml:space="preserve">, </w:t>
      </w:r>
      <w:r>
        <w:rPr>
          <w:i/>
          <w:iCs/>
        </w:rPr>
        <w:t>326</w:t>
      </w:r>
      <w:r>
        <w:t>(8), 531-539</w:t>
      </w:r>
      <w:r>
        <w:t>.</w:t>
      </w:r>
    </w:p>
    <w:p w14:paraId="48D35015" w14:textId="01E08264" w:rsidR="00D53F4A" w:rsidRDefault="00D53F4A" w:rsidP="001B2766">
      <w:pPr>
        <w:tabs>
          <w:tab w:val="left" w:pos="5268"/>
        </w:tabs>
        <w:ind w:left="284" w:hanging="284"/>
      </w:pPr>
      <w:r>
        <w:t xml:space="preserve">Gurd, J., Kischka, U., &amp; Marshall, J. (2010). </w:t>
      </w:r>
      <w:r>
        <w:rPr>
          <w:i/>
          <w:iCs/>
        </w:rPr>
        <w:t>The Handbook of Clinical Neuropsychology</w:t>
      </w:r>
      <w:r>
        <w:t xml:space="preserve"> (2nd ed.). Oxford University Press.</w:t>
      </w:r>
      <w:r w:rsidR="006C6CFD">
        <w:t xml:space="preserve"> </w:t>
      </w:r>
      <w:r w:rsidR="006C6CFD">
        <w:t>(Ch. 13, para. 1.1.1)</w:t>
      </w:r>
      <w:r w:rsidR="003B6E8D">
        <w:t xml:space="preserve"> Retrieved from:</w:t>
      </w:r>
      <w:r w:rsidR="001B2766">
        <w:t xml:space="preserve"> </w:t>
      </w:r>
      <w:r w:rsidR="001B2766" w:rsidRPr="001B2766">
        <w:t>http://www.oxfordscholarship.com.ezproxy.uwtsd.ac.uk/view/10.1093/acprof:oso/9780199234110</w:t>
      </w:r>
      <w:r w:rsidR="001B2766" w:rsidRPr="001B2766">
        <w:t>.</w:t>
      </w:r>
      <w:r w:rsidR="001B2766" w:rsidRPr="001B2766">
        <w:t>001.0001/acprof-9780199234110-chapter-013</w:t>
      </w:r>
    </w:p>
    <w:p w14:paraId="2B9671F5" w14:textId="77777777" w:rsidR="001B2766" w:rsidRDefault="001B2766" w:rsidP="001B2766">
      <w:pPr>
        <w:tabs>
          <w:tab w:val="left" w:pos="5268"/>
        </w:tabs>
        <w:ind w:left="284" w:hanging="284"/>
      </w:pPr>
      <w:r>
        <w:t xml:space="preserve">Keklikoglu, H. D., Selcuki, D., &amp; Keskin, S. (2010). Should the Western Aphasia Battery be translated into </w:t>
      </w:r>
      <w:proofErr w:type="gramStart"/>
      <w:r>
        <w:t>Turkish?/</w:t>
      </w:r>
      <w:proofErr w:type="gramEnd"/>
      <w:r>
        <w:t xml:space="preserve">Western Afazi Bataryasi Turkce'ye cevrilmeli mi?. </w:t>
      </w:r>
      <w:r>
        <w:rPr>
          <w:i/>
          <w:iCs/>
        </w:rPr>
        <w:t>Archives of Neuropsychiatry</w:t>
      </w:r>
      <w:r>
        <w:t xml:space="preserve">, </w:t>
      </w:r>
      <w:r>
        <w:rPr>
          <w:i/>
          <w:iCs/>
        </w:rPr>
        <w:t>47</w:t>
      </w:r>
      <w:r>
        <w:t>(1), 40-47.</w:t>
      </w:r>
    </w:p>
    <w:p w14:paraId="5F3A7388" w14:textId="20D238BD" w:rsidR="001B2766" w:rsidRDefault="001B2766" w:rsidP="001B2766">
      <w:pPr>
        <w:tabs>
          <w:tab w:val="left" w:pos="5268"/>
        </w:tabs>
        <w:ind w:left="284" w:hanging="284"/>
      </w:pPr>
      <w:r>
        <w:t xml:space="preserve">Kim, H., &amp; Na, D. L. (2004). Normative data on the Korean version of the Western Aphasia Battery. </w:t>
      </w:r>
      <w:r>
        <w:rPr>
          <w:i/>
          <w:iCs/>
        </w:rPr>
        <w:t>Journal of Clinical and Experimental Neuropsychology</w:t>
      </w:r>
      <w:r>
        <w:t xml:space="preserve">, </w:t>
      </w:r>
      <w:r>
        <w:rPr>
          <w:i/>
          <w:iCs/>
        </w:rPr>
        <w:t>26</w:t>
      </w:r>
      <w:r>
        <w:t>(8), 1011-1020.</w:t>
      </w:r>
    </w:p>
    <w:p w14:paraId="519946FF" w14:textId="063FB26B" w:rsidR="001B2766" w:rsidRDefault="001B2766" w:rsidP="001B2766">
      <w:pPr>
        <w:tabs>
          <w:tab w:val="left" w:pos="5268"/>
        </w:tabs>
        <w:ind w:left="284" w:hanging="284"/>
      </w:pPr>
      <w:r>
        <w:t xml:space="preserve">Laine, M., Goodglass, H., Niemi, J., Koivuselka-sallinen, P., Tuomainen, J., &amp; Marttila, R. (1993). Adaptation of the Boston diagnostic aphasia examination and the Boston naming test into Finnish. </w:t>
      </w:r>
      <w:r>
        <w:rPr>
          <w:i/>
          <w:iCs/>
        </w:rPr>
        <w:t>Scandinavian journal of logopedics and phoniatrics</w:t>
      </w:r>
      <w:r>
        <w:t xml:space="preserve">, </w:t>
      </w:r>
      <w:r>
        <w:rPr>
          <w:i/>
          <w:iCs/>
        </w:rPr>
        <w:t>18</w:t>
      </w:r>
      <w:r>
        <w:t>(2-3), 83-92.</w:t>
      </w:r>
    </w:p>
    <w:p w14:paraId="7332F7A5" w14:textId="5F410917" w:rsidR="001B2766" w:rsidRDefault="001B2766" w:rsidP="001B2766">
      <w:pPr>
        <w:tabs>
          <w:tab w:val="left" w:pos="5268"/>
        </w:tabs>
        <w:ind w:left="284" w:hanging="284"/>
      </w:pPr>
      <w:r>
        <w:t xml:space="preserve">Lyon, J. G. (1986, May). Standardized test batteries: advances in aphasia testing. In </w:t>
      </w:r>
      <w:r>
        <w:rPr>
          <w:i/>
          <w:iCs/>
        </w:rPr>
        <w:t>Seminars in Speech and Language</w:t>
      </w:r>
      <w:r>
        <w:t xml:space="preserve"> (Vol. 7, No. 02, pp. 159-180)</w:t>
      </w:r>
    </w:p>
    <w:p w14:paraId="11344BCA" w14:textId="77777777" w:rsidR="001B2766" w:rsidRDefault="001B2766" w:rsidP="001B2766">
      <w:pPr>
        <w:tabs>
          <w:tab w:val="left" w:pos="5268"/>
        </w:tabs>
        <w:ind w:left="284" w:hanging="284"/>
      </w:pPr>
      <w:r>
        <w:t xml:space="preserve">Naeser, M. A., &amp; Chan, S. W. C. (1980). Case study of a Chinese aphasic with the Boston diagnostic aphasia exam. </w:t>
      </w:r>
      <w:r>
        <w:rPr>
          <w:i/>
          <w:iCs/>
        </w:rPr>
        <w:t>Neuropsychologia</w:t>
      </w:r>
      <w:r>
        <w:t xml:space="preserve">, </w:t>
      </w:r>
      <w:r>
        <w:rPr>
          <w:i/>
          <w:iCs/>
        </w:rPr>
        <w:t>18</w:t>
      </w:r>
      <w:r>
        <w:t>(4-5), 389-410.</w:t>
      </w:r>
    </w:p>
    <w:p w14:paraId="64487E6F" w14:textId="6BD4496F" w:rsidR="00D53F4A" w:rsidRDefault="003B6E8D" w:rsidP="001B2766">
      <w:pPr>
        <w:tabs>
          <w:tab w:val="left" w:pos="5268"/>
        </w:tabs>
        <w:ind w:left="284" w:hanging="284"/>
      </w:pPr>
      <w:r>
        <w:t xml:space="preserve">Pedersen, P. M., Stig Jørgensen, H., Nakayama, H., Raaschou, H. O., &amp; Olsen, T. S. (1995). Aphasia in acute stroke: incidence, determinants, and recovery. </w:t>
      </w:r>
      <w:r>
        <w:rPr>
          <w:i/>
          <w:iCs/>
        </w:rPr>
        <w:t>Annals of Neurology: Official Journal of the American Neurological Association and the Child Neurology Society</w:t>
      </w:r>
      <w:r>
        <w:t xml:space="preserve">, </w:t>
      </w:r>
      <w:r>
        <w:rPr>
          <w:i/>
          <w:iCs/>
        </w:rPr>
        <w:t>38</w:t>
      </w:r>
      <w:r>
        <w:t>(4), 659-666.</w:t>
      </w:r>
    </w:p>
    <w:p w14:paraId="312DA9B6" w14:textId="48831D14" w:rsidR="001B2766" w:rsidRDefault="001B2766" w:rsidP="001B2766">
      <w:pPr>
        <w:tabs>
          <w:tab w:val="left" w:pos="5268"/>
        </w:tabs>
        <w:ind w:left="284" w:hanging="284"/>
      </w:pPr>
      <w:r>
        <w:t xml:space="preserve">Pedersen, P. M., Vinter, K., &amp; Olsen, T. S. (2004). Aphasia after stroke: type, severity and prognosis. </w:t>
      </w:r>
      <w:r>
        <w:rPr>
          <w:i/>
          <w:iCs/>
        </w:rPr>
        <w:t>Cerebrovascular Diseases</w:t>
      </w:r>
      <w:r>
        <w:t xml:space="preserve">, </w:t>
      </w:r>
      <w:r>
        <w:rPr>
          <w:i/>
          <w:iCs/>
        </w:rPr>
        <w:t>17</w:t>
      </w:r>
      <w:r>
        <w:t>(1), 35-43.</w:t>
      </w:r>
    </w:p>
    <w:p w14:paraId="2B829388" w14:textId="77777777" w:rsidR="00F630F6" w:rsidRDefault="00F630F6" w:rsidP="00F630F6">
      <w:pPr>
        <w:tabs>
          <w:tab w:val="left" w:pos="5268"/>
        </w:tabs>
        <w:ind w:left="284" w:hanging="284"/>
      </w:pPr>
      <w:r>
        <w:t xml:space="preserve">Radanovic, M., &amp; Mansur, L. L. (2002). Performance of a Brazilian population sample in the Boston Diagnostic Aphasia Examination: a pilot study. </w:t>
      </w:r>
      <w:r>
        <w:rPr>
          <w:i/>
          <w:iCs/>
        </w:rPr>
        <w:t>Brazilian Journal of Medical and Biological Research</w:t>
      </w:r>
      <w:r>
        <w:t xml:space="preserve">, </w:t>
      </w:r>
      <w:r>
        <w:rPr>
          <w:i/>
          <w:iCs/>
        </w:rPr>
        <w:t>35</w:t>
      </w:r>
      <w:r>
        <w:t>(3), 305-317.</w:t>
      </w:r>
    </w:p>
    <w:p w14:paraId="4663A678" w14:textId="37921851" w:rsidR="001B2766" w:rsidRDefault="001B2766" w:rsidP="00F630F6">
      <w:pPr>
        <w:tabs>
          <w:tab w:val="left" w:pos="5268"/>
        </w:tabs>
        <w:ind w:left="284" w:hanging="284"/>
      </w:pPr>
      <w:r>
        <w:t xml:space="preserve">Radanovic, M., Mansur, L. L., &amp; Scaff, M. (2004). Normative data for the Brazilian population in the Boston Diagnostic Aphasia Examination: influence of schooling. </w:t>
      </w:r>
      <w:r>
        <w:rPr>
          <w:i/>
          <w:iCs/>
        </w:rPr>
        <w:t>Brazilian Journal of Medical and Biological Research</w:t>
      </w:r>
      <w:r>
        <w:t xml:space="preserve">, </w:t>
      </w:r>
      <w:r>
        <w:rPr>
          <w:i/>
          <w:iCs/>
        </w:rPr>
        <w:t>37</w:t>
      </w:r>
      <w:r>
        <w:t>(11), 1731-1738</w:t>
      </w:r>
    </w:p>
    <w:p w14:paraId="0E763FC2" w14:textId="54DF6B59" w:rsidR="001B2766" w:rsidRDefault="001B2766" w:rsidP="001B2766">
      <w:pPr>
        <w:tabs>
          <w:tab w:val="left" w:pos="5268"/>
        </w:tabs>
        <w:ind w:left="284" w:hanging="284"/>
      </w:pPr>
      <w:r>
        <w:t xml:space="preserve">Rosselli, M., Ardila, A., Florez, A., &amp; Castro, C. (1990). Normative data on the Boston Diagnostic Aphasia Examination in a Spanish-speaking population. </w:t>
      </w:r>
      <w:r>
        <w:rPr>
          <w:i/>
          <w:iCs/>
        </w:rPr>
        <w:t>Journal of Clinical and Experimental Neuropsychology</w:t>
      </w:r>
      <w:r>
        <w:t xml:space="preserve">, </w:t>
      </w:r>
      <w:r>
        <w:rPr>
          <w:i/>
          <w:iCs/>
        </w:rPr>
        <w:t>12</w:t>
      </w:r>
      <w:r>
        <w:t>(2), 313-322.</w:t>
      </w:r>
    </w:p>
    <w:p w14:paraId="234D5702" w14:textId="77777777" w:rsidR="001B2766" w:rsidRDefault="001B2766" w:rsidP="001B2766">
      <w:pPr>
        <w:spacing w:after="0" w:line="240" w:lineRule="auto"/>
        <w:ind w:left="284" w:hanging="284"/>
      </w:pPr>
      <w:r>
        <w:t xml:space="preserve">Sapolsky, D., Domoto-Reilly, K., Negreira, A., Brickhouse, M., McGinnis, S., &amp; Dickerson, B. C. (2011). Monitoring progression of primary progressive aphasia: current approaches and future directions. </w:t>
      </w:r>
      <w:r>
        <w:rPr>
          <w:i/>
          <w:iCs/>
        </w:rPr>
        <w:t>Neurodegenerative Disease Management</w:t>
      </w:r>
      <w:r>
        <w:t xml:space="preserve">, </w:t>
      </w:r>
      <w:r>
        <w:rPr>
          <w:i/>
          <w:iCs/>
        </w:rPr>
        <w:t>1</w:t>
      </w:r>
      <w:r>
        <w:t>(1), 43-55.</w:t>
      </w:r>
      <w:r>
        <w:t xml:space="preserve"> </w:t>
      </w:r>
    </w:p>
    <w:p w14:paraId="1A82005F" w14:textId="77777777" w:rsidR="001B2766" w:rsidRDefault="001B2766" w:rsidP="001B2766">
      <w:pPr>
        <w:spacing w:after="0" w:line="240" w:lineRule="auto"/>
        <w:ind w:left="284" w:hanging="284"/>
      </w:pPr>
    </w:p>
    <w:p w14:paraId="27A5BDF1" w14:textId="6F2AF642" w:rsidR="001B2766" w:rsidRDefault="001B2766" w:rsidP="001B2766">
      <w:pPr>
        <w:spacing w:after="0" w:line="240" w:lineRule="auto"/>
        <w:ind w:left="284" w:hanging="284"/>
      </w:pPr>
      <w:r>
        <w:t>Shewan, C. M., &amp; Kertesz, A. (1980). Reliability and validity characteristics of the Western Aphasia Battery (WAB)</w:t>
      </w:r>
      <w:r w:rsidRPr="001B2766">
        <w:rPr>
          <w:iCs/>
        </w:rPr>
        <w:t xml:space="preserve"> </w:t>
      </w:r>
      <w:r>
        <w:rPr>
          <w:iCs/>
        </w:rPr>
        <w:t>[Abstract]</w:t>
      </w:r>
      <w:r>
        <w:t xml:space="preserve">. </w:t>
      </w:r>
      <w:r>
        <w:rPr>
          <w:i/>
          <w:iCs/>
        </w:rPr>
        <w:t>Journal of Speech and Hearing Disorders</w:t>
      </w:r>
      <w:r>
        <w:t xml:space="preserve">, </w:t>
      </w:r>
      <w:r>
        <w:rPr>
          <w:i/>
          <w:iCs/>
        </w:rPr>
        <w:t>45</w:t>
      </w:r>
      <w:r>
        <w:t xml:space="preserve">(3), 308-324. </w:t>
      </w:r>
    </w:p>
    <w:p w14:paraId="7B69DF3A" w14:textId="77777777" w:rsidR="001B2766" w:rsidRDefault="001B2766" w:rsidP="001B2766">
      <w:pPr>
        <w:spacing w:after="0" w:line="240" w:lineRule="auto"/>
        <w:ind w:left="284" w:hanging="284"/>
        <w:rPr>
          <w:rFonts w:eastAsia="Times New Roman" w:cstheme="minorHAnsi"/>
          <w:lang w:eastAsia="en-GB"/>
        </w:rPr>
      </w:pPr>
    </w:p>
    <w:p w14:paraId="3617109A" w14:textId="77777777" w:rsidR="001B2766" w:rsidRDefault="001B2766" w:rsidP="001B2766">
      <w:pPr>
        <w:spacing w:after="0" w:line="240" w:lineRule="auto"/>
        <w:ind w:left="284" w:hanging="284"/>
        <w:rPr>
          <w:rFonts w:eastAsia="Times New Roman" w:cstheme="minorHAnsi"/>
          <w:lang w:eastAsia="en-GB"/>
        </w:rPr>
      </w:pPr>
      <w:r>
        <w:t xml:space="preserve">Trupe, E. H. (1984). Reliability of rating spontaneous speech in the Western Aphasia Battery: Implications for classification. In </w:t>
      </w:r>
      <w:r>
        <w:rPr>
          <w:i/>
          <w:iCs/>
        </w:rPr>
        <w:t>Clinical Aphasiology: Proceedings of the Conference 1984</w:t>
      </w:r>
      <w:r>
        <w:t>. BRK Publishers.</w:t>
      </w:r>
    </w:p>
    <w:p w14:paraId="3C3A6F37" w14:textId="77777777" w:rsidR="001B2766" w:rsidRDefault="001B2766" w:rsidP="001B2766">
      <w:pPr>
        <w:spacing w:after="0" w:line="240" w:lineRule="auto"/>
        <w:ind w:left="284" w:hanging="284"/>
        <w:rPr>
          <w:rFonts w:eastAsia="Times New Roman" w:cstheme="minorHAnsi"/>
          <w:lang w:eastAsia="en-GB"/>
        </w:rPr>
      </w:pPr>
    </w:p>
    <w:p w14:paraId="2EF343AF" w14:textId="77777777" w:rsidR="001B2766" w:rsidRDefault="003B6E8D" w:rsidP="001B2766">
      <w:pPr>
        <w:spacing w:after="0" w:line="240" w:lineRule="auto"/>
        <w:ind w:left="284" w:hanging="284"/>
        <w:rPr>
          <w:rFonts w:eastAsia="Times New Roman" w:cstheme="minorHAnsi"/>
          <w:lang w:eastAsia="en-GB"/>
        </w:rPr>
      </w:pPr>
      <w:r>
        <w:t xml:space="preserve">Wade, D. T., Hewer, R. L., David, R. M., &amp; Enderby, P. M. (1986). Aphasia after stroke: natural history and associated deficits. </w:t>
      </w:r>
      <w:r>
        <w:rPr>
          <w:i/>
          <w:iCs/>
        </w:rPr>
        <w:t>Journal of Neurology, Neurosurgery &amp; Psychiatry</w:t>
      </w:r>
      <w:r>
        <w:t xml:space="preserve">, </w:t>
      </w:r>
      <w:r>
        <w:rPr>
          <w:i/>
          <w:iCs/>
        </w:rPr>
        <w:t>49</w:t>
      </w:r>
      <w:r>
        <w:t>(1), 11-16.</w:t>
      </w:r>
    </w:p>
    <w:p w14:paraId="385AAD63" w14:textId="77777777" w:rsidR="001B2766" w:rsidRDefault="001B2766" w:rsidP="001B2766">
      <w:pPr>
        <w:spacing w:after="0" w:line="240" w:lineRule="auto"/>
        <w:ind w:left="284" w:hanging="284"/>
        <w:rPr>
          <w:rFonts w:eastAsia="Times New Roman" w:cstheme="minorHAnsi"/>
          <w:lang w:eastAsia="en-GB"/>
        </w:rPr>
      </w:pPr>
    </w:p>
    <w:p w14:paraId="7F6D0A53" w14:textId="77777777" w:rsidR="001B2766" w:rsidRDefault="001B2766" w:rsidP="001B2766">
      <w:pPr>
        <w:spacing w:after="0" w:line="240" w:lineRule="auto"/>
        <w:ind w:left="284" w:hanging="284"/>
        <w:rPr>
          <w:rFonts w:eastAsia="Times New Roman" w:cstheme="minorHAnsi"/>
          <w:lang w:eastAsia="en-GB"/>
        </w:rPr>
      </w:pPr>
      <w:r>
        <w:t xml:space="preserve">Watila, M. M., &amp; Balarabe, S. A. (2015). Factors predicting post-stroke aphasia recovery. </w:t>
      </w:r>
      <w:r>
        <w:rPr>
          <w:i/>
          <w:iCs/>
        </w:rPr>
        <w:t>Journal of the neurological sciences</w:t>
      </w:r>
      <w:r>
        <w:t xml:space="preserve">, </w:t>
      </w:r>
      <w:r>
        <w:rPr>
          <w:i/>
          <w:iCs/>
        </w:rPr>
        <w:t>352</w:t>
      </w:r>
      <w:r>
        <w:t>(1-2), 12-18.</w:t>
      </w:r>
    </w:p>
    <w:p w14:paraId="3DA09740" w14:textId="77777777" w:rsidR="001B2766" w:rsidRDefault="001B2766" w:rsidP="001B2766">
      <w:pPr>
        <w:spacing w:after="0" w:line="240" w:lineRule="auto"/>
        <w:ind w:left="284" w:hanging="284"/>
        <w:rPr>
          <w:rFonts w:eastAsia="Times New Roman" w:cstheme="minorHAnsi"/>
          <w:lang w:eastAsia="en-GB"/>
        </w:rPr>
      </w:pPr>
    </w:p>
    <w:p w14:paraId="22222B2B" w14:textId="77777777" w:rsidR="001B2766" w:rsidRDefault="003B6E8D" w:rsidP="001B2766">
      <w:pPr>
        <w:spacing w:after="0" w:line="240" w:lineRule="auto"/>
        <w:ind w:left="284" w:hanging="284"/>
        <w:rPr>
          <w:rFonts w:eastAsia="Times New Roman" w:cstheme="minorHAnsi"/>
          <w:lang w:eastAsia="en-GB"/>
        </w:rPr>
      </w:pPr>
      <w:r>
        <w:t xml:space="preserve">Wertz, R. T., Deal, J. L., &amp; Robinson, A. J. (1984). Classifying the aphasias: a comparison of the Boston Diagnostic Aphasia Examination and the Western Aphasia Battery. In </w:t>
      </w:r>
      <w:r>
        <w:rPr>
          <w:i/>
          <w:iCs/>
        </w:rPr>
        <w:t>Clinical Aphasiology: Proceedings of the Conference 1984</w:t>
      </w:r>
      <w:r>
        <w:t xml:space="preserve"> (pp. 40-47). BRK Publishers.</w:t>
      </w:r>
    </w:p>
    <w:p w14:paraId="687C920E" w14:textId="77777777" w:rsidR="001B2766" w:rsidRDefault="001B2766" w:rsidP="001B2766">
      <w:pPr>
        <w:spacing w:after="0" w:line="240" w:lineRule="auto"/>
        <w:ind w:left="284" w:hanging="284"/>
        <w:rPr>
          <w:rFonts w:eastAsia="Times New Roman" w:cstheme="minorHAnsi"/>
          <w:lang w:eastAsia="en-GB"/>
        </w:rPr>
      </w:pPr>
    </w:p>
    <w:p w14:paraId="35637682" w14:textId="09B35645" w:rsidR="007252CA" w:rsidRPr="001B2766" w:rsidRDefault="007252CA" w:rsidP="001B2766">
      <w:pPr>
        <w:spacing w:after="0" w:line="240" w:lineRule="auto"/>
        <w:ind w:left="284" w:hanging="284"/>
        <w:rPr>
          <w:rFonts w:eastAsia="Times New Roman" w:cstheme="minorHAnsi"/>
          <w:lang w:eastAsia="en-GB"/>
        </w:rPr>
      </w:pPr>
      <w:r>
        <w:t>Yiu, E. M. (1992). Linguistic assessment of Chinese-speaking aphasics: Development of a Cantonese aphasia battery</w:t>
      </w:r>
      <w:r w:rsidR="001B2766">
        <w:t xml:space="preserve"> </w:t>
      </w:r>
      <w:r w:rsidR="001B2766">
        <w:rPr>
          <w:iCs/>
        </w:rPr>
        <w:t>[Abstract]</w:t>
      </w:r>
      <w:r>
        <w:t xml:space="preserve">. </w:t>
      </w:r>
      <w:r>
        <w:rPr>
          <w:i/>
          <w:iCs/>
        </w:rPr>
        <w:t>Journal of Neurolinguistics</w:t>
      </w:r>
      <w:r>
        <w:t xml:space="preserve">, </w:t>
      </w:r>
      <w:r>
        <w:rPr>
          <w:i/>
          <w:iCs/>
        </w:rPr>
        <w:t>7</w:t>
      </w:r>
      <w:r>
        <w:t>(4), 379-424</w:t>
      </w:r>
    </w:p>
    <w:p w14:paraId="15B0645B" w14:textId="77777777" w:rsidR="007252CA" w:rsidRDefault="007252CA" w:rsidP="000B3420">
      <w:pPr>
        <w:tabs>
          <w:tab w:val="left" w:pos="5268"/>
        </w:tabs>
      </w:pPr>
    </w:p>
    <w:p w14:paraId="01B9AAB5" w14:textId="77777777" w:rsidR="001B2766" w:rsidRDefault="001B2766" w:rsidP="001B2766">
      <w:pPr>
        <w:spacing w:after="0" w:line="240" w:lineRule="auto"/>
        <w:rPr>
          <w:rFonts w:eastAsia="Times New Roman" w:cstheme="minorHAnsi"/>
          <w:lang w:eastAsia="en-GB"/>
        </w:rPr>
      </w:pPr>
    </w:p>
    <w:p w14:paraId="21F205D2" w14:textId="77777777" w:rsidR="001B2766" w:rsidRPr="001B2766" w:rsidRDefault="001B2766" w:rsidP="001B2766">
      <w:pPr>
        <w:spacing w:after="0" w:line="240" w:lineRule="auto"/>
        <w:rPr>
          <w:rFonts w:eastAsia="Times New Roman" w:cstheme="minorHAnsi"/>
          <w:lang w:eastAsia="en-GB"/>
        </w:rPr>
      </w:pPr>
    </w:p>
    <w:sectPr w:rsidR="001B2766" w:rsidRPr="001B2766">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0D7A23" w14:textId="77777777" w:rsidR="0082327D" w:rsidRDefault="0082327D" w:rsidP="00185F61">
      <w:pPr>
        <w:spacing w:after="0" w:line="240" w:lineRule="auto"/>
      </w:pPr>
      <w:r>
        <w:separator/>
      </w:r>
    </w:p>
  </w:endnote>
  <w:endnote w:type="continuationSeparator" w:id="0">
    <w:p w14:paraId="17EAED4C" w14:textId="77777777" w:rsidR="0082327D" w:rsidRDefault="0082327D" w:rsidP="00185F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11C1BB" w14:textId="77777777" w:rsidR="0082327D" w:rsidRDefault="0082327D" w:rsidP="00185F61">
      <w:pPr>
        <w:spacing w:after="0" w:line="240" w:lineRule="auto"/>
      </w:pPr>
      <w:r>
        <w:separator/>
      </w:r>
    </w:p>
  </w:footnote>
  <w:footnote w:type="continuationSeparator" w:id="0">
    <w:p w14:paraId="3C2747AE" w14:textId="77777777" w:rsidR="0082327D" w:rsidRDefault="0082327D" w:rsidP="00185F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5383405"/>
      <w:docPartObj>
        <w:docPartGallery w:val="Page Numbers (Top of Page)"/>
        <w:docPartUnique/>
      </w:docPartObj>
    </w:sdtPr>
    <w:sdtEndPr>
      <w:rPr>
        <w:noProof/>
      </w:rPr>
    </w:sdtEndPr>
    <w:sdtContent>
      <w:p w14:paraId="3B27ACA1" w14:textId="066153B3" w:rsidR="00F630F6" w:rsidRDefault="00F630F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15A52D9" w14:textId="77777777" w:rsidR="00F630F6" w:rsidRDefault="00F630F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621"/>
    <w:rsid w:val="00000DDB"/>
    <w:rsid w:val="00062E54"/>
    <w:rsid w:val="00074D81"/>
    <w:rsid w:val="0009743A"/>
    <w:rsid w:val="000B3420"/>
    <w:rsid w:val="000C463E"/>
    <w:rsid w:val="000F573C"/>
    <w:rsid w:val="001121DD"/>
    <w:rsid w:val="00115B05"/>
    <w:rsid w:val="00157EA0"/>
    <w:rsid w:val="00185F61"/>
    <w:rsid w:val="00186752"/>
    <w:rsid w:val="001B2766"/>
    <w:rsid w:val="001F695C"/>
    <w:rsid w:val="001F7A9B"/>
    <w:rsid w:val="00225D65"/>
    <w:rsid w:val="00273D90"/>
    <w:rsid w:val="002E5749"/>
    <w:rsid w:val="00310565"/>
    <w:rsid w:val="00363894"/>
    <w:rsid w:val="00372561"/>
    <w:rsid w:val="003973E3"/>
    <w:rsid w:val="003B6E8D"/>
    <w:rsid w:val="003F03AC"/>
    <w:rsid w:val="00445C9D"/>
    <w:rsid w:val="004671A4"/>
    <w:rsid w:val="004769BA"/>
    <w:rsid w:val="004B251C"/>
    <w:rsid w:val="004D0DF0"/>
    <w:rsid w:val="00625A0E"/>
    <w:rsid w:val="006B5797"/>
    <w:rsid w:val="006C6CFD"/>
    <w:rsid w:val="006D1414"/>
    <w:rsid w:val="006F5E7A"/>
    <w:rsid w:val="007252CA"/>
    <w:rsid w:val="00736840"/>
    <w:rsid w:val="00757D78"/>
    <w:rsid w:val="00771AE2"/>
    <w:rsid w:val="00796B44"/>
    <w:rsid w:val="007A4906"/>
    <w:rsid w:val="007D1B9D"/>
    <w:rsid w:val="0082327D"/>
    <w:rsid w:val="008E34E0"/>
    <w:rsid w:val="009155DD"/>
    <w:rsid w:val="009329A0"/>
    <w:rsid w:val="009C4D07"/>
    <w:rsid w:val="00A70B30"/>
    <w:rsid w:val="00A97F77"/>
    <w:rsid w:val="00B3248D"/>
    <w:rsid w:val="00B5661E"/>
    <w:rsid w:val="00BB21FD"/>
    <w:rsid w:val="00BF0966"/>
    <w:rsid w:val="00C7349F"/>
    <w:rsid w:val="00CC5621"/>
    <w:rsid w:val="00D06266"/>
    <w:rsid w:val="00D53F4A"/>
    <w:rsid w:val="00DD5B5E"/>
    <w:rsid w:val="00E942EA"/>
    <w:rsid w:val="00E95E05"/>
    <w:rsid w:val="00EC25C1"/>
    <w:rsid w:val="00EE1C7E"/>
    <w:rsid w:val="00EF7C37"/>
    <w:rsid w:val="00F04862"/>
    <w:rsid w:val="00F63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3B1E9"/>
  <w15:chartTrackingRefBased/>
  <w15:docId w15:val="{91917841-B285-4194-847F-8BB0D083B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4D0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C5621"/>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9C4D0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C4D07"/>
  </w:style>
  <w:style w:type="character" w:styleId="Hyperlink">
    <w:name w:val="Hyperlink"/>
    <w:basedOn w:val="DefaultParagraphFont"/>
    <w:uiPriority w:val="99"/>
    <w:unhideWhenUsed/>
    <w:rsid w:val="008E34E0"/>
    <w:rPr>
      <w:color w:val="0563C1" w:themeColor="hyperlink"/>
      <w:u w:val="single"/>
    </w:rPr>
  </w:style>
  <w:style w:type="character" w:styleId="UnresolvedMention">
    <w:name w:val="Unresolved Mention"/>
    <w:basedOn w:val="DefaultParagraphFont"/>
    <w:uiPriority w:val="99"/>
    <w:semiHidden/>
    <w:unhideWhenUsed/>
    <w:rsid w:val="008E34E0"/>
    <w:rPr>
      <w:color w:val="605E5C"/>
      <w:shd w:val="clear" w:color="auto" w:fill="E1DFDD"/>
    </w:rPr>
  </w:style>
  <w:style w:type="paragraph" w:styleId="Header">
    <w:name w:val="header"/>
    <w:basedOn w:val="Normal"/>
    <w:link w:val="HeaderChar"/>
    <w:uiPriority w:val="99"/>
    <w:unhideWhenUsed/>
    <w:rsid w:val="00185F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5F61"/>
  </w:style>
  <w:style w:type="paragraph" w:styleId="Footer">
    <w:name w:val="footer"/>
    <w:basedOn w:val="Normal"/>
    <w:link w:val="FooterChar"/>
    <w:uiPriority w:val="99"/>
    <w:unhideWhenUsed/>
    <w:rsid w:val="00185F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5F61"/>
  </w:style>
  <w:style w:type="character" w:customStyle="1" w:styleId="selectable">
    <w:name w:val="selectable"/>
    <w:basedOn w:val="DefaultParagraphFont"/>
    <w:rsid w:val="00D53F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28405">
      <w:bodyDiv w:val="1"/>
      <w:marLeft w:val="0"/>
      <w:marRight w:val="0"/>
      <w:marTop w:val="0"/>
      <w:marBottom w:val="0"/>
      <w:divBdr>
        <w:top w:val="none" w:sz="0" w:space="0" w:color="auto"/>
        <w:left w:val="none" w:sz="0" w:space="0" w:color="auto"/>
        <w:bottom w:val="none" w:sz="0" w:space="0" w:color="auto"/>
        <w:right w:val="none" w:sz="0" w:space="0" w:color="auto"/>
      </w:divBdr>
    </w:div>
    <w:div w:id="808285943">
      <w:bodyDiv w:val="1"/>
      <w:marLeft w:val="0"/>
      <w:marRight w:val="0"/>
      <w:marTop w:val="0"/>
      <w:marBottom w:val="0"/>
      <w:divBdr>
        <w:top w:val="none" w:sz="0" w:space="0" w:color="auto"/>
        <w:left w:val="none" w:sz="0" w:space="0" w:color="auto"/>
        <w:bottom w:val="none" w:sz="0" w:space="0" w:color="auto"/>
        <w:right w:val="none" w:sz="0" w:space="0" w:color="auto"/>
      </w:divBdr>
    </w:div>
    <w:div w:id="1337423140">
      <w:bodyDiv w:val="1"/>
      <w:marLeft w:val="0"/>
      <w:marRight w:val="0"/>
      <w:marTop w:val="0"/>
      <w:marBottom w:val="0"/>
      <w:divBdr>
        <w:top w:val="none" w:sz="0" w:space="0" w:color="auto"/>
        <w:left w:val="none" w:sz="0" w:space="0" w:color="auto"/>
        <w:bottom w:val="none" w:sz="0" w:space="0" w:color="auto"/>
        <w:right w:val="none" w:sz="0" w:space="0" w:color="auto"/>
      </w:divBdr>
    </w:div>
    <w:div w:id="1987588751">
      <w:bodyDiv w:val="1"/>
      <w:marLeft w:val="0"/>
      <w:marRight w:val="0"/>
      <w:marTop w:val="0"/>
      <w:marBottom w:val="0"/>
      <w:divBdr>
        <w:top w:val="none" w:sz="0" w:space="0" w:color="auto"/>
        <w:left w:val="none" w:sz="0" w:space="0" w:color="auto"/>
        <w:bottom w:val="none" w:sz="0" w:space="0" w:color="auto"/>
        <w:right w:val="none" w:sz="0" w:space="0" w:color="auto"/>
      </w:divBdr>
      <w:divsChild>
        <w:div w:id="12757462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Pit10</b:Tag>
    <b:SourceType>InternetSite</b:SourceType>
    <b:Guid>{C78C9D1B-8564-42CA-938B-D42ED820A076}</b:Guid>
    <b:Author>
      <b:Author>
        <b:NameList xmlns:msxsl="urn:schemas-microsoft-com:xslt" xmlns:b="http://schemas.openxmlformats.org/officeDocument/2006/bibliography">
          <b:Person>
            <b:Last>Pitkanen</b:Last>
            <b:First>Mervi</b:First>
            <b:Middle/>
          </b:Person>
          <b:Person>
            <b:Last>Jaldow</b:Last>
            <b:First>Eli</b:First>
            <b:Middle>J</b:Middle>
          </b:Person>
          <b:Person>
            <b:Last>Kopelman</b:Last>
            <b:First>Michael</b:First>
            <b:Middle/>
          </b:Person>
        </b:NameList>
      </b:Author>
    </b:Author>
    <b:Title>The Handbook of Clinical Neuropsychology</b:Title>
    <b:InternetSiteTitle/>
    <b:ProductionCompany/>
    <b:Year>2010</b:Year>
    <b:Month/>
    <b:Day/>
    <b:YearAccessed>2019</b:YearAccessed>
    <b:MonthAccessed>2</b:MonthAccessed>
    <b:DayAccessed>25</b:DayAccessed>
    <b:URL>https://kclpure.kcl.ac.uk/portal/en/publications/the-clinical-assessment-of-neuropsychiatric-disorders(e74f1eea-39f5-4410-b8d8-b1e0b06bad8c)/export.html</b:URL>
    <b:Version/>
    <b:ShortTitle/>
    <b:StandardNumber/>
    <b:Comments/>
    <b:Medium/>
    <b:DOI/>
    <b:RefOrder>1</b:RefOrder>
  </b:Source>
  <b:Source>
    <b:Tag>Mar19</b:Tag>
    <b:SourceType>Book</b:SourceType>
    <b:Guid>{7956703D-489E-4FCE-83AB-45BC5BFC12D4}</b:Guid>
    <b:Author>
      <b:Author>
        <b:NameList xmlns:msxsl="urn:schemas-microsoft-com:xslt" xmlns:b="http://schemas.openxmlformats.org/officeDocument/2006/bibliography">
          <b:Person>
            <b:Last>Marshall</b:Last>
            <b:First>John</b:First>
            <b:Middle>C.</b:Middle>
          </b:Person>
          <b:Person>
            <b:Last>Gurd</b:Last>
            <b:First>Jennifer</b:First>
            <b:Middle/>
          </b:Person>
        </b:NameList>
      </b:Author>
      <b:Editor>
        <b:NameList xmlns:msxsl="urn:schemas-microsoft-com:xslt" xmlns:b="http://schemas.openxmlformats.org/officeDocument/2006/bibliography">
          <b:Person>
            <b:Last>Gurd</b:Last>
            <b:First>Jennifer</b:First>
            <b:Middle/>
          </b:Person>
          <b:Person>
            <b:Last>Kischka</b:Last>
            <b:First>Udo</b:First>
            <b:Middle/>
          </b:Person>
          <b:Person>
            <b:Last>Marshall</b:Last>
            <b:First>John</b:First>
            <b:Middle>C.</b:Middle>
          </b:Person>
        </b:NameList>
      </b:Editor>
    </b:Author>
    <b:Title>Handbook of clinical neuropsychology.</b:Title>
    <b:Year/>
    <b:City/>
    <b:StateProvince/>
    <b:CountryRegion/>
    <b:Publisher>Oxford University Press</b:Publisher>
    <b:Volume/>
    <b:NumberVolumes/>
    <b:ShortTitle/>
    <b:StandardNumber/>
    <b:Pages/>
    <b:Edition/>
    <b:Comments/>
    <b:Medium/>
    <b:YearAccessed>2019</b:YearAccessed>
    <b:MonthAccessed>2</b:MonthAccessed>
    <b:DayAccessed>25</b:DayAccessed>
    <b:URL/>
    <b:DOI/>
    <b:RefOrder>2</b:RefOrder>
  </b:Source>
</b:Sources>
</file>

<file path=customXml/itemProps1.xml><?xml version="1.0" encoding="utf-8"?>
<ds:datastoreItem xmlns:ds="http://schemas.openxmlformats.org/officeDocument/2006/customXml" ds:itemID="{BE4776D0-B97B-4098-AA0B-2A09EAB232F1}">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5713</TotalTime>
  <Pages>4</Pages>
  <Words>1744</Words>
  <Characters>9943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Smith (1703005)</dc:creator>
  <cp:keywords/>
  <dc:description/>
  <cp:lastModifiedBy>Louisa Smith (1703005)</cp:lastModifiedBy>
  <cp:revision>13</cp:revision>
  <dcterms:created xsi:type="dcterms:W3CDTF">2019-02-25T15:04:00Z</dcterms:created>
  <dcterms:modified xsi:type="dcterms:W3CDTF">2019-03-04T12:15:00Z</dcterms:modified>
</cp:coreProperties>
</file>