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7F2C" w:rsidRPr="00A97F2C" w:rsidRDefault="00A97F2C" w:rsidP="00CC7779">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bookmarkStart w:id="0" w:name="_GoBack"/>
      <w:r w:rsidRPr="00A97F2C">
        <w:rPr>
          <w:rFonts w:ascii="Arial" w:eastAsia="Times New Roman" w:hAnsi="Arial" w:cs="Arial"/>
          <w:b/>
          <w:color w:val="000000"/>
          <w:sz w:val="28"/>
          <w:szCs w:val="28"/>
          <w:lang w:eastAsia="en-GB"/>
        </w:rPr>
        <w:t>Task 1</w:t>
      </w:r>
    </w:p>
    <w:bookmarkEnd w:id="0"/>
    <w:p w:rsidR="00A97F2C" w:rsidRPr="00A97F2C" w:rsidRDefault="00A97F2C" w:rsidP="00A97F2C">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p>
    <w:p w:rsidR="00A97F2C" w:rsidRPr="00A97F2C" w:rsidRDefault="00A97F2C" w:rsidP="00A97F2C">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A97F2C">
        <w:rPr>
          <w:rFonts w:ascii="Arial" w:eastAsia="Times New Roman" w:hAnsi="Arial" w:cs="Arial"/>
          <w:b/>
          <w:color w:val="000000"/>
          <w:sz w:val="28"/>
          <w:szCs w:val="28"/>
          <w:lang w:eastAsia="en-GB"/>
        </w:rPr>
        <w:t>Developmental review – Part a</w:t>
      </w: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A97F2C">
        <w:rPr>
          <w:rFonts w:ascii="Arial" w:eastAsia="Times New Roman" w:hAnsi="Arial" w:cs="Arial"/>
          <w:b/>
          <w:bCs/>
          <w:i/>
          <w:iCs/>
          <w:color w:val="000000"/>
          <w:sz w:val="24"/>
          <w:szCs w:val="24"/>
          <w:lang w:eastAsia="en-GB"/>
        </w:rPr>
        <w:t>Guidanc</w:t>
      </w:r>
      <w:r w:rsidRPr="00A97F2C">
        <w:rPr>
          <w:rFonts w:ascii="Arial" w:eastAsia="Times New Roman" w:hAnsi="Arial" w:cs="Arial"/>
          <w:b/>
          <w:i/>
          <w:iCs/>
          <w:color w:val="000000"/>
          <w:sz w:val="24"/>
          <w:szCs w:val="24"/>
          <w:lang w:eastAsia="en-GB"/>
        </w:rPr>
        <w:t>e</w:t>
      </w:r>
      <w:r w:rsidRPr="00A97F2C">
        <w:rPr>
          <w:rFonts w:ascii="Arial" w:eastAsia="Times New Roman" w:hAnsi="Arial" w:cs="Arial"/>
          <w:i/>
          <w:iCs/>
          <w:color w:val="000000"/>
          <w:sz w:val="24"/>
          <w:szCs w:val="24"/>
          <w:lang w:eastAsia="en-GB"/>
        </w:rPr>
        <w:t xml:space="preserve">: </w:t>
      </w: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A97F2C">
        <w:rPr>
          <w:rFonts w:ascii="Arial" w:eastAsia="Times New Roman" w:hAnsi="Arial" w:cs="Arial"/>
          <w:i/>
          <w:iCs/>
          <w:color w:val="000000"/>
          <w:sz w:val="24"/>
          <w:szCs w:val="24"/>
          <w:lang w:eastAsia="en-GB"/>
        </w:rPr>
        <w:t>This task should be completed by taking into account</w:t>
      </w:r>
      <w:r w:rsidRPr="00A97F2C">
        <w:rPr>
          <w:rFonts w:ascii="Arial" w:eastAsia="Times New Roman" w:hAnsi="Arial" w:cs="Arial"/>
          <w:color w:val="000000"/>
          <w:sz w:val="24"/>
          <w:szCs w:val="24"/>
          <w:lang w:eastAsia="en-GB"/>
        </w:rPr>
        <w:t xml:space="preserve"> </w:t>
      </w:r>
      <w:r w:rsidRPr="00A97F2C">
        <w:rPr>
          <w:rFonts w:ascii="Arial" w:eastAsia="Times New Roman" w:hAnsi="Arial" w:cs="Arial"/>
          <w:i/>
          <w:iCs/>
          <w:color w:val="000000"/>
          <w:sz w:val="24"/>
          <w:szCs w:val="24"/>
          <w:lang w:eastAsia="en-GB"/>
        </w:rPr>
        <w:t xml:space="preserve">the work that you will have undertaken since qualifying, and discussions with your mentor and supervisor/line manager as part of your First Three Years of Practice Individual Plan. </w:t>
      </w: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A97F2C">
        <w:rPr>
          <w:rFonts w:ascii="Arial" w:eastAsia="Times New Roman" w:hAnsi="Arial" w:cs="Arial"/>
          <w:i/>
          <w:iCs/>
          <w:color w:val="000000"/>
          <w:sz w:val="24"/>
          <w:szCs w:val="24"/>
          <w:lang w:eastAsia="en-GB"/>
        </w:rPr>
        <w:t xml:space="preserve">Task one (part </w:t>
      </w:r>
      <w:proofErr w:type="gramStart"/>
      <w:r w:rsidRPr="00A97F2C">
        <w:rPr>
          <w:rFonts w:ascii="Arial" w:eastAsia="Times New Roman" w:hAnsi="Arial" w:cs="Arial"/>
          <w:i/>
          <w:iCs/>
          <w:color w:val="000000"/>
          <w:sz w:val="24"/>
          <w:szCs w:val="24"/>
          <w:lang w:eastAsia="en-GB"/>
        </w:rPr>
        <w:t>a and</w:t>
      </w:r>
      <w:proofErr w:type="gramEnd"/>
      <w:r w:rsidRPr="00A97F2C">
        <w:rPr>
          <w:rFonts w:ascii="Arial" w:eastAsia="Times New Roman" w:hAnsi="Arial" w:cs="Arial"/>
          <w:i/>
          <w:iCs/>
          <w:color w:val="000000"/>
          <w:sz w:val="24"/>
          <w:szCs w:val="24"/>
          <w:lang w:eastAsia="en-GB"/>
        </w:rPr>
        <w:t xml:space="preserve"> b) should incorporate the use of a model of reflection.</w:t>
      </w: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i/>
          <w:iCs/>
          <w:sz w:val="24"/>
          <w:szCs w:val="24"/>
          <w:highlight w:val="yellow"/>
          <w:lang w:eastAsia="en-GB"/>
        </w:rPr>
      </w:pPr>
      <w:r w:rsidRPr="00A97F2C">
        <w:rPr>
          <w:rFonts w:ascii="Arial" w:eastAsia="Times New Roman" w:hAnsi="Arial" w:cs="Arial"/>
          <w:i/>
          <w:iCs/>
          <w:color w:val="000000"/>
          <w:sz w:val="24"/>
          <w:szCs w:val="24"/>
          <w:lang w:eastAsia="en-GB"/>
        </w:rPr>
        <w:t>You must meet the Learning Outcomes for this task (</w:t>
      </w:r>
      <w:r w:rsidRPr="00A97F2C">
        <w:rPr>
          <w:rFonts w:ascii="Arial" w:eastAsia="Times New Roman" w:hAnsi="Arial" w:cs="Arial"/>
          <w:i/>
          <w:iCs/>
          <w:sz w:val="24"/>
          <w:szCs w:val="24"/>
          <w:lang w:eastAsia="en-GB"/>
        </w:rPr>
        <w:t>see appendix 5 of the handbook).</w:t>
      </w: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A97F2C">
        <w:rPr>
          <w:rFonts w:ascii="Arial" w:eastAsia="Times New Roman" w:hAnsi="Arial" w:cs="Arial"/>
          <w:i/>
          <w:iCs/>
          <w:color w:val="000000"/>
          <w:sz w:val="24"/>
          <w:szCs w:val="24"/>
          <w:lang w:eastAsia="en-GB"/>
        </w:rPr>
        <w:t xml:space="preserve">Please answer the question below. </w:t>
      </w: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09"/>
      </w:tblGrid>
      <w:tr w:rsidR="00A97F2C" w:rsidRPr="00A97F2C" w:rsidTr="00A97F2C">
        <w:tc>
          <w:tcPr>
            <w:tcW w:w="9209" w:type="dxa"/>
            <w:shd w:val="clear" w:color="auto" w:fill="auto"/>
          </w:tcPr>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
                <w:iCs/>
                <w:color w:val="000000"/>
                <w:sz w:val="24"/>
                <w:szCs w:val="24"/>
                <w:lang w:eastAsia="en-GB"/>
              </w:rPr>
            </w:pPr>
            <w:r w:rsidRPr="00A97F2C">
              <w:rPr>
                <w:rFonts w:ascii="Arial" w:eastAsia="Times New Roman" w:hAnsi="Arial" w:cs="Arial"/>
                <w:i/>
                <w:iCs/>
                <w:color w:val="000000"/>
                <w:sz w:val="24"/>
                <w:szCs w:val="24"/>
                <w:lang w:eastAsia="en-GB"/>
              </w:rPr>
              <w:t>Question:</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
                <w:iCs/>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Using a reflective model critically reflect on your professional development since qualifying as a Social Worker. Make reference to the supervision, training, learning and research that has impacted on your work. Based on this and continuing to use a reflective model</w:t>
            </w:r>
            <w:bookmarkStart w:id="1" w:name="_Hlk6242578"/>
            <w:r w:rsidRPr="00A97F2C">
              <w:rPr>
                <w:rFonts w:ascii="Arial" w:eastAsia="Times New Roman" w:hAnsi="Arial" w:cs="Arial"/>
                <w:color w:val="000000"/>
                <w:sz w:val="24"/>
                <w:szCs w:val="24"/>
                <w:lang w:eastAsia="en-GB"/>
              </w:rPr>
              <w:t xml:space="preserve"> outline what you have identified and agreed with your manager and/or mentor for your development over the coming 12 months. You must demonstrate how you intend to meet all of the following learning outcomes:- </w:t>
            </w:r>
          </w:p>
          <w:bookmarkEnd w:id="1"/>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A97F2C" w:rsidRPr="00A97F2C" w:rsidRDefault="00A97F2C" w:rsidP="00A97F2C">
            <w:pPr>
              <w:numPr>
                <w:ilvl w:val="0"/>
                <w:numId w:val="5"/>
              </w:num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applying analysis in assessment to inform interventions;</w:t>
            </w:r>
          </w:p>
          <w:p w:rsidR="00A97F2C" w:rsidRPr="00A97F2C" w:rsidRDefault="00A97F2C" w:rsidP="00A97F2C">
            <w:pPr>
              <w:numPr>
                <w:ilvl w:val="0"/>
                <w:numId w:val="5"/>
              </w:num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 xml:space="preserve">working collaboratively with people in need of care and support, their </w:t>
            </w:r>
            <w:proofErr w:type="spellStart"/>
            <w:r w:rsidRPr="00A97F2C">
              <w:rPr>
                <w:rFonts w:ascii="Arial" w:eastAsia="Times New Roman" w:hAnsi="Arial" w:cs="Arial"/>
                <w:color w:val="000000"/>
                <w:sz w:val="24"/>
                <w:szCs w:val="24"/>
                <w:lang w:eastAsia="en-GB"/>
              </w:rPr>
              <w:t>carers</w:t>
            </w:r>
            <w:proofErr w:type="spellEnd"/>
            <w:r w:rsidRPr="00A97F2C">
              <w:rPr>
                <w:rFonts w:ascii="Arial" w:eastAsia="Times New Roman" w:hAnsi="Arial" w:cs="Arial"/>
                <w:i/>
                <w:iCs/>
                <w:color w:val="000000"/>
                <w:sz w:val="24"/>
                <w:szCs w:val="24"/>
                <w:lang w:eastAsia="en-GB"/>
              </w:rPr>
              <w:t xml:space="preserve"> </w:t>
            </w:r>
            <w:r w:rsidRPr="00A97F2C">
              <w:rPr>
                <w:rFonts w:ascii="Arial" w:eastAsia="Times New Roman" w:hAnsi="Arial" w:cs="Arial"/>
                <w:color w:val="000000"/>
                <w:sz w:val="24"/>
                <w:szCs w:val="24"/>
                <w:lang w:eastAsia="en-GB"/>
              </w:rPr>
              <w:t>and other professionals;</w:t>
            </w:r>
          </w:p>
          <w:p w:rsidR="00A97F2C" w:rsidRPr="00A97F2C" w:rsidRDefault="00A97F2C" w:rsidP="00A97F2C">
            <w:pPr>
              <w:numPr>
                <w:ilvl w:val="0"/>
                <w:numId w:val="5"/>
              </w:num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Intervention and application of professional judgement in increasingly complex situations.</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
                <w:iCs/>
                <w:color w:val="000000"/>
                <w:sz w:val="24"/>
                <w:szCs w:val="24"/>
                <w:lang w:eastAsia="en-GB"/>
              </w:rPr>
            </w:pPr>
            <w:r w:rsidRPr="00A97F2C">
              <w:rPr>
                <w:rFonts w:ascii="Arial" w:eastAsia="Times New Roman" w:hAnsi="Arial" w:cs="Arial"/>
                <w:i/>
                <w:iCs/>
                <w:color w:val="000000"/>
                <w:sz w:val="24"/>
                <w:szCs w:val="24"/>
                <w:lang w:eastAsia="en-GB"/>
              </w:rPr>
              <w:t>750 words (+/- 10%:  include your actual word count at the end of each section).</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
                <w:iCs/>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 xml:space="preserve">Professional development is a process of building on knowledge, skills, and competencies in a particular profession (Blackwell, 2019). This requires ‘an ongoing investment’ into the development (Harlow, 2013).  </w:t>
            </w:r>
            <w:proofErr w:type="spellStart"/>
            <w:r w:rsidRPr="00A97F2C">
              <w:rPr>
                <w:rFonts w:ascii="Arial" w:eastAsia="Times New Roman" w:hAnsi="Arial" w:cs="Arial"/>
                <w:iCs/>
                <w:color w:val="000000"/>
                <w:sz w:val="24"/>
                <w:szCs w:val="24"/>
                <w:lang w:eastAsia="en-GB"/>
              </w:rPr>
              <w:t>Ravey</w:t>
            </w:r>
            <w:proofErr w:type="spellEnd"/>
            <w:r w:rsidRPr="00A97F2C">
              <w:rPr>
                <w:rFonts w:ascii="Arial" w:eastAsia="Times New Roman" w:hAnsi="Arial" w:cs="Arial"/>
                <w:iCs/>
                <w:color w:val="000000"/>
                <w:sz w:val="24"/>
                <w:szCs w:val="24"/>
                <w:lang w:eastAsia="en-GB"/>
              </w:rPr>
              <w:t xml:space="preserve"> (2013) elaborates, that critical reflection is an ‘integral tool’ to enable learning in ‘a structured way’. To reflect on my professional development post-qualifying, I will use Rolfe et </w:t>
            </w:r>
            <w:proofErr w:type="spellStart"/>
            <w:r w:rsidRPr="00A97F2C">
              <w:rPr>
                <w:rFonts w:ascii="Arial" w:eastAsia="Times New Roman" w:hAnsi="Arial" w:cs="Arial"/>
                <w:iCs/>
                <w:color w:val="000000"/>
                <w:sz w:val="24"/>
                <w:szCs w:val="24"/>
                <w:lang w:eastAsia="en-GB"/>
              </w:rPr>
              <w:t>al’s</w:t>
            </w:r>
            <w:proofErr w:type="spellEnd"/>
            <w:r w:rsidRPr="00A97F2C">
              <w:rPr>
                <w:rFonts w:ascii="Arial" w:eastAsia="Times New Roman" w:hAnsi="Arial" w:cs="Arial"/>
                <w:iCs/>
                <w:color w:val="000000"/>
                <w:sz w:val="24"/>
                <w:szCs w:val="24"/>
                <w:lang w:eastAsia="en-GB"/>
              </w:rPr>
              <w:t xml:space="preserve"> (2010) model of reflection which will focus on What? So what? And Now What? (</w:t>
            </w:r>
            <w:proofErr w:type="spellStart"/>
            <w:r w:rsidRPr="00A97F2C">
              <w:rPr>
                <w:rFonts w:ascii="Arial" w:eastAsia="Times New Roman" w:hAnsi="Arial" w:cs="Arial"/>
                <w:iCs/>
                <w:color w:val="000000"/>
                <w:sz w:val="24"/>
                <w:szCs w:val="24"/>
                <w:lang w:eastAsia="en-GB"/>
              </w:rPr>
              <w:t>Pawar</w:t>
            </w:r>
            <w:proofErr w:type="spellEnd"/>
            <w:r w:rsidRPr="00A97F2C">
              <w:rPr>
                <w:rFonts w:ascii="Arial" w:eastAsia="Times New Roman" w:hAnsi="Arial" w:cs="Arial"/>
                <w:iCs/>
                <w:color w:val="000000"/>
                <w:sz w:val="24"/>
                <w:szCs w:val="24"/>
                <w:lang w:eastAsia="en-GB"/>
              </w:rPr>
              <w:t xml:space="preserve"> and </w:t>
            </w:r>
            <w:proofErr w:type="spellStart"/>
            <w:r w:rsidRPr="00A97F2C">
              <w:rPr>
                <w:rFonts w:ascii="Arial" w:eastAsia="Times New Roman" w:hAnsi="Arial" w:cs="Arial"/>
                <w:iCs/>
                <w:color w:val="000000"/>
                <w:sz w:val="24"/>
                <w:szCs w:val="24"/>
                <w:lang w:eastAsia="en-GB"/>
              </w:rPr>
              <w:t>Anscombe</w:t>
            </w:r>
            <w:proofErr w:type="spellEnd"/>
            <w:r w:rsidRPr="00A97F2C">
              <w:rPr>
                <w:rFonts w:ascii="Arial" w:eastAsia="Times New Roman" w:hAnsi="Arial" w:cs="Arial"/>
                <w:iCs/>
                <w:color w:val="000000"/>
                <w:sz w:val="24"/>
                <w:szCs w:val="24"/>
                <w:lang w:eastAsia="en-GB"/>
              </w:rPr>
              <w:t>, 2015).</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What?</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Post Social Work qualification, I started a post as a Social Worker in a Disability Team within North Wales Local Authority. I was supporting children and young adults with special needs aged 16-25 living often in rural areas with limited access to resources.  This required me to quickly develop knowledge and skills in working both with children and adults simultaneously. In order to effectively support individuals and their families and to build on my confidence I explored and studied both adult and children’s legislation, policies, and procedures, alongside implementing them into practice under the supervision of my mentor. (Carpenter, et. Al. 2012).</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 xml:space="preserve">Significant impact on my experience and learning within the first year of practice had </w:t>
            </w:r>
            <w:proofErr w:type="spellStart"/>
            <w:r w:rsidRPr="00A97F2C">
              <w:rPr>
                <w:rFonts w:ascii="Arial" w:eastAsia="Times New Roman" w:hAnsi="Arial" w:cs="Arial"/>
                <w:iCs/>
                <w:color w:val="000000"/>
                <w:sz w:val="24"/>
                <w:szCs w:val="24"/>
                <w:lang w:eastAsia="en-GB"/>
              </w:rPr>
              <w:t>Covid</w:t>
            </w:r>
            <w:proofErr w:type="spellEnd"/>
            <w:r w:rsidRPr="00A97F2C">
              <w:rPr>
                <w:rFonts w:ascii="Arial" w:eastAsia="Times New Roman" w:hAnsi="Arial" w:cs="Arial"/>
                <w:iCs/>
                <w:color w:val="000000"/>
                <w:sz w:val="24"/>
                <w:szCs w:val="24"/>
                <w:lang w:eastAsia="en-GB"/>
              </w:rPr>
              <w:t xml:space="preserve"> -19 pandemic and agile working, with no face-to-face contact with the team and a possibility to shadow other professionals.  </w:t>
            </w:r>
            <w:proofErr w:type="spellStart"/>
            <w:r w:rsidRPr="00A97F2C">
              <w:rPr>
                <w:rFonts w:ascii="Arial" w:eastAsia="Times New Roman" w:hAnsi="Arial" w:cs="Arial"/>
                <w:iCs/>
                <w:color w:val="000000"/>
                <w:sz w:val="24"/>
                <w:szCs w:val="24"/>
                <w:lang w:eastAsia="en-GB"/>
              </w:rPr>
              <w:t>Oko</w:t>
            </w:r>
            <w:proofErr w:type="spellEnd"/>
            <w:r w:rsidRPr="00A97F2C">
              <w:rPr>
                <w:rFonts w:ascii="Arial" w:eastAsia="Times New Roman" w:hAnsi="Arial" w:cs="Arial"/>
                <w:iCs/>
                <w:color w:val="000000"/>
                <w:sz w:val="24"/>
                <w:szCs w:val="24"/>
                <w:lang w:eastAsia="en-GB"/>
              </w:rPr>
              <w:t xml:space="preserve"> (2006) reports that ‘practice wisdom’ offers advice on proven methods of completing tasks to achieve better outcomes. I was unable to shadow other professionals and to learn from others’ experiences at that early stage. Therefore, I engaged in activities such as a newly qualified support group, peer supervision, and supervision with my mentor whilst undertaking social work tasks such as assessment and planning for care and support. This encouraged the use of critical thinking, analytical skills, and professional judgment to inform the assessment and to achieve better outcomes for individuals experiencing complex situations (Gibbons and </w:t>
            </w:r>
            <w:proofErr w:type="spellStart"/>
            <w:r w:rsidRPr="00A97F2C">
              <w:rPr>
                <w:rFonts w:ascii="Arial" w:eastAsia="Times New Roman" w:hAnsi="Arial" w:cs="Arial"/>
                <w:iCs/>
                <w:color w:val="000000"/>
                <w:sz w:val="24"/>
                <w:szCs w:val="24"/>
                <w:lang w:eastAsia="en-GB"/>
              </w:rPr>
              <w:t>Gray</w:t>
            </w:r>
            <w:proofErr w:type="spellEnd"/>
            <w:r w:rsidRPr="00A97F2C">
              <w:rPr>
                <w:rFonts w:ascii="Arial" w:eastAsia="Times New Roman" w:hAnsi="Arial" w:cs="Arial"/>
                <w:iCs/>
                <w:color w:val="000000"/>
                <w:sz w:val="24"/>
                <w:szCs w:val="24"/>
                <w:lang w:eastAsia="en-GB"/>
              </w:rPr>
              <w:t>, 2004).</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 xml:space="preserve">The nature of my post enabled me to learn how to work in a multidisciplinary context and to cooperate with various agencies in order to support individual outcomes, through multi-agency collaboration (SSWB Wales Act 2014; SCW 2017; Welsh Government, 2014)    </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So What?</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 xml:space="preserve">The skills and knowledge I developed, and the experience I gained through the above learning and practice, helped me to better support individuals of both age groups and their families throughout the transition time. According to research, most young people with special needs and life-threatening conditions and their families find the transition to adult services very challenging and stressful (Together for Short Lives, 2016). Furthermore, 'research on protection of disabled children' shows that children with </w:t>
            </w:r>
            <w:r w:rsidRPr="00A97F2C">
              <w:rPr>
                <w:rFonts w:ascii="Arial" w:eastAsia="Times New Roman" w:hAnsi="Arial" w:cs="Arial"/>
                <w:iCs/>
                <w:color w:val="000000"/>
                <w:sz w:val="24"/>
                <w:szCs w:val="24"/>
                <w:lang w:eastAsia="en-GB"/>
              </w:rPr>
              <w:lastRenderedPageBreak/>
              <w:t xml:space="preserve">disabilities are 'over 3 times more likely to be abused or neglected than non-disabled children.' (Gov.Uk. 2017), and more likely to become subject to child protection proceedings. Research shows similar statistics for adults with disabilities (ONS, 2021). Therefore, becoming a knowledgeable and confident practitioner early on in my practice was crucial to helping them navigate through that time with the right and appropriate support. (Thompson, 2015) </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Whilst supporting individuals throughout challenging and stressful times in their life, it was crucial to reflect on my own emotions and build on emotional resilience, to reduce stress and prevent burnout (Worsley, Mann, Olsen, et al., 2013).  Supervision was a safe environment to ‘reflect on action’ taken in relation to individuals but also to reflect on the impact social work duties have on my own well-being and helped me to develop a self-care routine and establish work-life balance (Carpenter, et. Al. 2012; Thomson 2014).</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Now What?</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 xml:space="preserve">On reflection, my first year in practice gave me a wide range of experiences fulfilled with training and guidance from my mentor and helped me to develop transferable skills and knowledge. It was crucial to use supervision and reflection to establish areas of professional development that I should focus on in my future practice (Thompson, 2015). </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One of the areas for further development identified through discussion with my mentor in order to better support the families who are at the point of crisis is conflict management/ conflict resolution.  This requires skills such as ‘effective communication, problem-solving, and self-awareness’ but also empathy and compassion when managing conflict (</w:t>
            </w:r>
            <w:proofErr w:type="spellStart"/>
            <w:r w:rsidRPr="00A97F2C">
              <w:rPr>
                <w:rFonts w:ascii="Arial" w:eastAsia="Times New Roman" w:hAnsi="Arial" w:cs="Arial"/>
                <w:iCs/>
                <w:color w:val="000000"/>
                <w:sz w:val="24"/>
                <w:szCs w:val="24"/>
                <w:lang w:eastAsia="en-GB"/>
              </w:rPr>
              <w:t>O’Regan</w:t>
            </w:r>
            <w:proofErr w:type="spellEnd"/>
            <w:r w:rsidRPr="00A97F2C">
              <w:rPr>
                <w:rFonts w:ascii="Arial" w:eastAsia="Times New Roman" w:hAnsi="Arial" w:cs="Arial"/>
                <w:iCs/>
                <w:color w:val="000000"/>
                <w:sz w:val="24"/>
                <w:szCs w:val="24"/>
                <w:lang w:eastAsia="en-GB"/>
              </w:rPr>
              <w:t xml:space="preserve">, 2021).  Conflict resolution skills and competencies can be developed through an understanding of conflict mechanisms, models of addressing conflicts, and developing communication skills. (Katz, et al. 2020). </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Another identified area is to develop more understanding and experience within Welsh Mental Health legislation and processes such as Mental Capacity Assessment and Deprivation of Liberty Safeguards (</w:t>
            </w:r>
            <w:proofErr w:type="spellStart"/>
            <w:r w:rsidRPr="00A97F2C">
              <w:rPr>
                <w:rFonts w:ascii="Arial" w:eastAsia="Times New Roman" w:hAnsi="Arial" w:cs="Arial"/>
                <w:iCs/>
                <w:color w:val="000000"/>
                <w:sz w:val="24"/>
                <w:szCs w:val="24"/>
                <w:lang w:eastAsia="en-GB"/>
              </w:rPr>
              <w:t>DoLS</w:t>
            </w:r>
            <w:proofErr w:type="spellEnd"/>
            <w:r w:rsidRPr="00A97F2C">
              <w:rPr>
                <w:rFonts w:ascii="Arial" w:eastAsia="Times New Roman" w:hAnsi="Arial" w:cs="Arial"/>
                <w:iCs/>
                <w:color w:val="000000"/>
                <w:sz w:val="24"/>
                <w:szCs w:val="24"/>
                <w:lang w:eastAsia="en-GB"/>
              </w:rPr>
              <w:t xml:space="preserve">) under the Mental Capacity Act 2005. This is a key piece of legislation in Wales, that sets out how individuals experiencing mental </w:t>
            </w:r>
            <w:r w:rsidRPr="00A97F2C">
              <w:rPr>
                <w:rFonts w:ascii="Arial" w:eastAsia="Times New Roman" w:hAnsi="Arial" w:cs="Arial"/>
                <w:iCs/>
                <w:color w:val="000000"/>
                <w:sz w:val="24"/>
                <w:szCs w:val="24"/>
                <w:lang w:eastAsia="en-GB"/>
              </w:rPr>
              <w:lastRenderedPageBreak/>
              <w:t xml:space="preserve">health or cognitive impairment, illness or injury or affected by medications, should be supported in making decisions (Mind, 2023). </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 xml:space="preserve">Both areas can be addressed through further training and undertaking additional reading and research. I also intend to shadow the DOLs team to develop more understanding of the Mental Capacity Process.  </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A97F2C">
              <w:rPr>
                <w:rFonts w:ascii="Arial" w:eastAsia="Times New Roman" w:hAnsi="Arial" w:cs="Arial"/>
                <w:iCs/>
                <w:color w:val="000000"/>
                <w:sz w:val="24"/>
                <w:szCs w:val="24"/>
                <w:lang w:eastAsia="en-GB"/>
              </w:rPr>
              <w:t>(word count – 813)</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tc>
      </w:tr>
    </w:tbl>
    <w:p w:rsidR="007A1A8A" w:rsidRDefault="007A1A8A"/>
    <w:p w:rsidR="00A97F2C" w:rsidRDefault="00A97F2C"/>
    <w:p w:rsidR="00A97F2C" w:rsidRPr="00A97F2C" w:rsidRDefault="00A97F2C" w:rsidP="00A97F2C">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A97F2C">
        <w:rPr>
          <w:rFonts w:ascii="Arial" w:eastAsia="Times New Roman" w:hAnsi="Arial" w:cs="Arial"/>
          <w:b/>
          <w:color w:val="000000"/>
          <w:sz w:val="28"/>
          <w:szCs w:val="28"/>
          <w:lang w:eastAsia="en-GB"/>
        </w:rPr>
        <w:t>Task 1 (Part b)</w:t>
      </w:r>
    </w:p>
    <w:p w:rsidR="00A97F2C" w:rsidRPr="00A97F2C" w:rsidRDefault="00A97F2C" w:rsidP="00A97F2C">
      <w:pPr>
        <w:overflowPunct w:val="0"/>
        <w:autoSpaceDE w:val="0"/>
        <w:autoSpaceDN w:val="0"/>
        <w:adjustRightInd w:val="0"/>
        <w:spacing w:after="0" w:line="240" w:lineRule="auto"/>
        <w:jc w:val="center"/>
        <w:textAlignment w:val="baseline"/>
        <w:rPr>
          <w:rFonts w:ascii="Arial" w:eastAsia="Times New Roman" w:hAnsi="Arial" w:cs="Arial"/>
          <w:b/>
          <w:bCs/>
          <w:color w:val="000000"/>
          <w:sz w:val="28"/>
          <w:szCs w:val="28"/>
          <w:lang w:eastAsia="en-GB"/>
        </w:rPr>
      </w:pPr>
      <w:r w:rsidRPr="00A97F2C">
        <w:rPr>
          <w:rFonts w:ascii="Arial" w:eastAsia="Times New Roman" w:hAnsi="Arial" w:cs="Arial"/>
          <w:b/>
          <w:bCs/>
          <w:color w:val="000000"/>
          <w:sz w:val="28"/>
          <w:szCs w:val="28"/>
          <w:lang w:eastAsia="en-GB"/>
        </w:rPr>
        <w:t xml:space="preserve">Developmental Review </w:t>
      </w:r>
    </w:p>
    <w:p w:rsidR="00A97F2C" w:rsidRPr="00A97F2C" w:rsidRDefault="00A97F2C" w:rsidP="00A97F2C">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A97F2C" w:rsidRPr="00A97F2C" w:rsidRDefault="00A97F2C" w:rsidP="00A97F2C">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A97F2C">
        <w:rPr>
          <w:rFonts w:ascii="Arial" w:eastAsia="Times New Roman" w:hAnsi="Arial" w:cs="Arial"/>
          <w:b/>
          <w:color w:val="000000"/>
          <w:sz w:val="24"/>
          <w:szCs w:val="24"/>
          <w:lang w:eastAsia="en-GB"/>
        </w:rPr>
        <w:t>Guidance:</w:t>
      </w:r>
    </w:p>
    <w:p w:rsidR="00A97F2C" w:rsidRPr="00A97F2C" w:rsidRDefault="00A97F2C" w:rsidP="00A97F2C">
      <w:pPr>
        <w:overflowPunct w:val="0"/>
        <w:autoSpaceDE w:val="0"/>
        <w:autoSpaceDN w:val="0"/>
        <w:adjustRightInd w:val="0"/>
        <w:spacing w:after="0" w:line="240" w:lineRule="auto"/>
        <w:textAlignment w:val="baseline"/>
        <w:rPr>
          <w:rFonts w:ascii="Arial" w:eastAsia="Times New Roman" w:hAnsi="Arial" w:cs="Arial"/>
          <w:i/>
          <w:iCs/>
          <w:color w:val="000000"/>
          <w:sz w:val="24"/>
          <w:szCs w:val="24"/>
          <w:lang w:eastAsia="en-GB"/>
        </w:rPr>
      </w:pPr>
      <w:r w:rsidRPr="00A97F2C">
        <w:rPr>
          <w:rFonts w:ascii="Arial" w:eastAsia="Times New Roman" w:hAnsi="Arial" w:cs="Arial"/>
          <w:i/>
          <w:iCs/>
          <w:color w:val="000000"/>
          <w:sz w:val="24"/>
          <w:szCs w:val="24"/>
          <w:lang w:eastAsia="en-GB"/>
        </w:rPr>
        <w:t>Please ensure you refer to a reflective model and that you met the require learning outcomes for this task (See appendix 5 of the handbook).</w:t>
      </w: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97F2C" w:rsidRPr="00A97F2C" w:rsidTr="005509FE">
        <w:tc>
          <w:tcPr>
            <w:tcW w:w="10188" w:type="dxa"/>
            <w:shd w:val="clear" w:color="auto" w:fill="auto"/>
          </w:tcPr>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A97F2C">
              <w:rPr>
                <w:rFonts w:ascii="Arial" w:eastAsia="Times New Roman" w:hAnsi="Arial" w:cs="Arial"/>
                <w:b/>
                <w:color w:val="000000"/>
                <w:sz w:val="24"/>
                <w:szCs w:val="24"/>
                <w:lang w:eastAsia="en-GB"/>
              </w:rPr>
              <w:t>Question:</w:t>
            </w: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sz w:val="24"/>
                <w:szCs w:val="24"/>
                <w:lang w:eastAsia="en-GB"/>
              </w:rPr>
              <w:t xml:space="preserve">Using a reflective model </w:t>
            </w:r>
            <w:r w:rsidRPr="00A97F2C">
              <w:rPr>
                <w:rFonts w:ascii="Arial" w:eastAsia="Times New Roman" w:hAnsi="Arial" w:cs="Arial"/>
                <w:color w:val="000000"/>
                <w:sz w:val="24"/>
                <w:szCs w:val="24"/>
                <w:lang w:eastAsia="en-GB"/>
              </w:rPr>
              <w:t xml:space="preserve">critically reflect on your development including reference to training, learning, research and use of supervision since completing Task 1 (part a) (when you began the programme). </w:t>
            </w: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 xml:space="preserve">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w:t>
            </w:r>
            <w:r w:rsidRPr="00A97F2C">
              <w:rPr>
                <w:rFonts w:ascii="Arial" w:eastAsia="Times New Roman" w:hAnsi="Arial" w:cs="Arial"/>
                <w:sz w:val="24"/>
                <w:szCs w:val="24"/>
                <w:lang w:eastAsia="en-GB"/>
              </w:rPr>
              <w:t xml:space="preserve">individuals </w:t>
            </w:r>
            <w:r w:rsidRPr="00A97F2C">
              <w:rPr>
                <w:rFonts w:ascii="Arial" w:eastAsia="Times New Roman" w:hAnsi="Arial" w:cs="Arial"/>
                <w:color w:val="000000"/>
                <w:sz w:val="24"/>
                <w:szCs w:val="24"/>
                <w:lang w:eastAsia="en-GB"/>
              </w:rPr>
              <w:t>in need of care and support and/or their</w:t>
            </w:r>
            <w:r w:rsidRPr="00A97F2C">
              <w:rPr>
                <w:rFonts w:ascii="Arial" w:eastAsia="Times New Roman" w:hAnsi="Arial" w:cs="Arial"/>
                <w:i/>
                <w:color w:val="000000"/>
                <w:sz w:val="24"/>
                <w:szCs w:val="24"/>
                <w:lang w:eastAsia="en-GB"/>
              </w:rPr>
              <w:t xml:space="preserve"> </w:t>
            </w:r>
            <w:proofErr w:type="spellStart"/>
            <w:r w:rsidRPr="00A97F2C">
              <w:rPr>
                <w:rFonts w:ascii="Arial" w:eastAsia="Times New Roman" w:hAnsi="Arial" w:cs="Arial"/>
                <w:color w:val="000000"/>
                <w:sz w:val="24"/>
                <w:szCs w:val="24"/>
                <w:lang w:eastAsia="en-GB"/>
              </w:rPr>
              <w:t>carers</w:t>
            </w:r>
            <w:proofErr w:type="spellEnd"/>
            <w:r w:rsidRPr="00A97F2C">
              <w:rPr>
                <w:rFonts w:ascii="Arial" w:eastAsia="Times New Roman" w:hAnsi="Arial" w:cs="Arial"/>
                <w:sz w:val="24"/>
                <w:szCs w:val="24"/>
                <w:lang w:eastAsia="en-GB"/>
              </w:rPr>
              <w:t xml:space="preserve"> </w:t>
            </w:r>
            <w:r w:rsidRPr="00A97F2C">
              <w:rPr>
                <w:rFonts w:ascii="Arial" w:eastAsia="Times New Roman" w:hAnsi="Arial" w:cs="Arial"/>
                <w:color w:val="000000"/>
                <w:sz w:val="24"/>
                <w:szCs w:val="24"/>
                <w:lang w:eastAsia="en-GB"/>
              </w:rPr>
              <w:t xml:space="preserve">and </w:t>
            </w:r>
            <w:bookmarkStart w:id="2" w:name="_Hlk6242917"/>
            <w:r w:rsidRPr="00A97F2C">
              <w:rPr>
                <w:rFonts w:ascii="Arial" w:eastAsia="Times New Roman" w:hAnsi="Arial" w:cs="Arial"/>
                <w:color w:val="000000"/>
                <w:sz w:val="24"/>
                <w:szCs w:val="24"/>
                <w:lang w:eastAsia="en-GB"/>
              </w:rPr>
              <w:t>how this feedback has informed your future professional development.</w:t>
            </w:r>
            <w:bookmarkEnd w:id="2"/>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A97F2C">
              <w:rPr>
                <w:rFonts w:ascii="Arial" w:eastAsia="Times New Roman" w:hAnsi="Arial" w:cs="Arial"/>
                <w:i/>
                <w:color w:val="000000"/>
                <w:sz w:val="24"/>
                <w:szCs w:val="24"/>
                <w:lang w:eastAsia="en-GB"/>
              </w:rPr>
              <w:t>750 words (+/- 10%: include your actual word count at the end of each section).</w:t>
            </w: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 xml:space="preserve">To reflect on my further development whilst completing The Continuing Professional Education and Learning (CPEL) training, I will again apply the Rolf et al. (2010) model of reflection, and refer to Part A of Task 1. </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What?</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 xml:space="preserve">The most significant change since the competition of part A of the reflecting task was a change in my professional. Moving to Adult Social Care allowed me to further develop skills and knowledge around adult legislation and processes through engaging in practical tasks such as social care assessments and mental capacity </w:t>
            </w:r>
            <w:r w:rsidRPr="00A97F2C">
              <w:rPr>
                <w:rFonts w:ascii="Arial" w:eastAsia="Times New Roman" w:hAnsi="Arial" w:cs="Arial"/>
                <w:color w:val="000000"/>
                <w:sz w:val="24"/>
                <w:szCs w:val="24"/>
                <w:lang w:eastAsia="en-GB"/>
              </w:rPr>
              <w:lastRenderedPageBreak/>
              <w:t xml:space="preserve">assessments, care planning, and reviewing under both SSWBA14 and MCA05. I enhanced my theoretical knowledge through training, peer support groups, and formal and informal supervision. </w:t>
            </w: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
                <w:color w:val="000000"/>
                <w:sz w:val="24"/>
                <w:szCs w:val="24"/>
                <w:lang w:eastAsia="en-GB"/>
              </w:rPr>
            </w:pPr>
            <w:r w:rsidRPr="00A97F2C">
              <w:rPr>
                <w:rFonts w:ascii="Arial" w:eastAsia="Times New Roman" w:hAnsi="Arial" w:cs="Arial"/>
                <w:i/>
                <w:color w:val="000000"/>
                <w:sz w:val="24"/>
                <w:szCs w:val="24"/>
                <w:lang w:eastAsia="en-GB"/>
              </w:rPr>
              <w:t>So What?</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 xml:space="preserve">Whilst working in adult social care concerning the needs of older individuals I had an opportunity to develop further skills in the area of person-centred and outcome-focused assessment and care and support planning. The above leads to further development of critical thinking and professional judgment whilst working with older adults in need of care and support and adults at risk. I was also able to develop more understanding of adult safeguarding processes through engaging in section 126 enquiries. I completed several section 117 reviews, bets interest meetings also for hospital discharge, and Containing Heath Funding assessments and reviews. This allowed me to build on confidence to deal with more complex cases and to work within a multidisciplinary context to help individuals achieve better outcomes. This was also supported through 3-day training focussing on the outcome–focused assessment with adults provided by the local authority and strengthened in supervision. I was also able to develop skills and confidence in assessing mental capacity and completing Best Interest Decision meetings and documentation, which I consider a crucial aspect of the learning during my first months in the Older People’s team. Furthermore, I completed the Mental Capacity Act training, which also strengthened my theoretical knowledge and understanding of the Deprivation of Liberty Safeguard (MCA05). </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 xml:space="preserve">As identified in supervision, I also completed training on the Continuing healthcare process and built practical skills around completing diagnostic tools whilst working closely with health practitioners to achieve the best outcomes for individuals (Welsh Gov., 2021). The development of the above skills and knowledge, as well as professional values, was supported in supervision both with my mentor as well as peer supervision, where I was encouraged to identify areas for further development and appropriate training and research/theories (Howarth &amp; Morrison, 2005). </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 xml:space="preserve">One of the areas for further development identified in part A was conflict management and skills. Although formal training was not available at this time, I was </w:t>
            </w:r>
            <w:r w:rsidRPr="00A97F2C">
              <w:rPr>
                <w:rFonts w:ascii="Arial" w:eastAsia="Times New Roman" w:hAnsi="Arial" w:cs="Arial"/>
                <w:color w:val="000000"/>
                <w:sz w:val="24"/>
                <w:szCs w:val="24"/>
                <w:lang w:eastAsia="en-GB"/>
              </w:rPr>
              <w:lastRenderedPageBreak/>
              <w:t xml:space="preserve">able to develop conflict resolution skills whilst managing complex cases involving family disputes in relation to the care their elderly relatives may require often involving decisions around residential placements. Through supervision and discussions with my colleagues, but also reading conflict management literature, I managed to develop more self-awareness in regard to my own responses to situations involving conflict and stress responses in others (Quinn 2010). I also focused on developing communication skills required to resolve conflicts through training on motivational interviewing, which is described by Miller and </w:t>
            </w:r>
            <w:proofErr w:type="spellStart"/>
            <w:r w:rsidRPr="00A97F2C">
              <w:rPr>
                <w:rFonts w:ascii="Arial" w:eastAsia="Times New Roman" w:hAnsi="Arial" w:cs="Arial"/>
                <w:color w:val="000000"/>
                <w:sz w:val="24"/>
                <w:szCs w:val="24"/>
                <w:lang w:eastAsia="en-GB"/>
              </w:rPr>
              <w:t>Rollnick</w:t>
            </w:r>
            <w:proofErr w:type="spellEnd"/>
            <w:r w:rsidRPr="00A97F2C">
              <w:rPr>
                <w:rFonts w:ascii="Arial" w:eastAsia="Times New Roman" w:hAnsi="Arial" w:cs="Arial"/>
                <w:color w:val="000000"/>
                <w:sz w:val="24"/>
                <w:szCs w:val="24"/>
                <w:lang w:eastAsia="en-GB"/>
              </w:rPr>
              <w:t xml:space="preserve">, (2013), as ‘a collaborative, goal-oriented style of communication with particular attention to the language of change. It is designed to strengthen personal motivation for and commitment to a specific goal by eliciting and exploring the person’s own reasons for change within an atmosphere of acceptance and compassion'. </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
                <w:color w:val="000000"/>
                <w:sz w:val="24"/>
                <w:szCs w:val="24"/>
                <w:lang w:eastAsia="en-GB"/>
              </w:rPr>
            </w:pPr>
            <w:r w:rsidRPr="00A97F2C">
              <w:rPr>
                <w:rFonts w:ascii="Arial" w:eastAsia="Times New Roman" w:hAnsi="Arial" w:cs="Arial"/>
                <w:i/>
                <w:color w:val="000000"/>
                <w:sz w:val="24"/>
                <w:szCs w:val="24"/>
                <w:lang w:eastAsia="en-GB"/>
              </w:rPr>
              <w:t>Now What?</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 xml:space="preserve">As identified in supervision and discussion with my mentor, my further professional development out to focus on greater understanding and experience within the adult safeguarding arena. To enable this, relevant training on the Safeguarding Conference has been identified and secured within the next couple of weeks. Also to gain more knowledge and understanding on possible safeguarding issues, I secured training focussed on hoarding, as one of the forms of self-neglect. According to SCIE (2018), self-neglect is an ‘extreme lack of self-care’, and professionals find working with people who self-neglect very challenging due to a lack of engagement. Therefore, having theoretical knowledge related to self-neglect and hoarding, as well as awareness of the policies and procedures is vital for my further professional development as an adult social worker. Continuing to work within adult social care will also create opportunities to develop further knowledge and skills on adult legislation specifically on DOL’s assessment which I identify as my future course of development. This also can be supported through shadowing DOLs assessors in the future. </w:t>
            </w: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A97F2C" w:rsidRPr="00A97F2C" w:rsidRDefault="00A97F2C" w:rsidP="00A97F2C">
            <w:pPr>
              <w:overflowPunct w:val="0"/>
              <w:autoSpaceDE w:val="0"/>
              <w:autoSpaceDN w:val="0"/>
              <w:adjustRightInd w:val="0"/>
              <w:spacing w:after="0" w:line="360" w:lineRule="auto"/>
              <w:jc w:val="both"/>
              <w:textAlignment w:val="baseline"/>
              <w:rPr>
                <w:rFonts w:ascii="Arial" w:eastAsia="Times New Roman" w:hAnsi="Arial" w:cs="Arial"/>
                <w:i/>
                <w:color w:val="000000"/>
                <w:sz w:val="24"/>
                <w:szCs w:val="24"/>
                <w:lang w:eastAsia="en-GB"/>
              </w:rPr>
            </w:pPr>
            <w:r w:rsidRPr="00A97F2C">
              <w:rPr>
                <w:rFonts w:ascii="Arial" w:eastAsia="Times New Roman" w:hAnsi="Arial" w:cs="Arial"/>
                <w:color w:val="000000"/>
                <w:sz w:val="24"/>
                <w:szCs w:val="24"/>
                <w:lang w:eastAsia="en-GB"/>
              </w:rPr>
              <w:t>(Word count: 743)</w:t>
            </w: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c>
      </w:tr>
    </w:tbl>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97F2C" w:rsidRPr="00A97F2C" w:rsidRDefault="00A97F2C" w:rsidP="00A97F2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97F2C" w:rsidRDefault="00A97F2C"/>
    <w:sectPr w:rsidR="00A97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448E"/>
    <w:rsid w:val="007A1A8A"/>
    <w:rsid w:val="00A97F2C"/>
    <w:rsid w:val="00CC7779"/>
    <w:rsid w:val="00EE4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7083C"/>
  <w15:chartTrackingRefBased/>
  <w15:docId w15:val="{F8CA8341-78C9-4F83-A78A-905042C99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7</Pages>
  <Words>1905</Words>
  <Characters>10861</Characters>
  <Application>Microsoft Office Word</Application>
  <DocSecurity>0</DocSecurity>
  <Lines>90</Lines>
  <Paragraphs>25</Paragraphs>
  <ScaleCrop>false</ScaleCrop>
  <Company>WCBC</Company>
  <LinksUpToDate>false</LinksUpToDate>
  <CharactersWithSpaces>12741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Jujka</dc:creator>
  <cp:keywords/>
  <dc:description/>
  <cp:lastModifiedBy>Dominika Jujka</cp:lastModifiedBy>
  <cp:revision>3</cp:revision>
  <dcterms:created xsi:type="dcterms:W3CDTF">2023-10-20T18:44:00Z</dcterms:created>
  <dcterms:modified xsi:type="dcterms:W3CDTF">2023-10-20T20:30:00Z</dcterms:modified>
</cp:coreProperties>
</file>