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D3AE70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BC660B">
              <w:rPr>
                <w:rFonts w:ascii="Times New Roman" w:hAnsi="Times New Roman" w:cs="Times New Roman"/>
                <w:b/>
                <w:color w:val="auto"/>
                <w:sz w:val="48"/>
              </w:rPr>
              <w:t xml:space="preserve"> Roy David Oldfield</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7E6ED49F" w14:textId="3B7B9B76" w:rsidR="00BC660B" w:rsidRDefault="00BC660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Work: </w:t>
            </w:r>
            <w:hyperlink r:id="rId11" w:history="1">
              <w:r w:rsidR="00694D3B" w:rsidRPr="00F13919">
                <w:rPr>
                  <w:rStyle w:val="Hyperlink"/>
                  <w:rFonts w:ascii="Times New Roman" w:hAnsi="Times New Roman" w:cs="Times New Roman"/>
                  <w:b/>
                  <w:sz w:val="48"/>
                </w:rPr>
                <w:t>roy.david.oldfield@flintshire.gov.uk</w:t>
              </w:r>
            </w:hyperlink>
          </w:p>
          <w:p w14:paraId="61C0AE7B" w14:textId="6B5141A6" w:rsidR="00694D3B" w:rsidRDefault="00694D3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Personal: </w:t>
            </w:r>
            <w:hyperlink r:id="rId12" w:history="1">
              <w:r w:rsidRPr="00F13919">
                <w:rPr>
                  <w:rStyle w:val="Hyperlink"/>
                  <w:rFonts w:ascii="Times New Roman" w:hAnsi="Times New Roman" w:cs="Times New Roman"/>
                  <w:b/>
                  <w:sz w:val="48"/>
                </w:rPr>
                <w:t>roldfield@sky.com</w:t>
              </w:r>
            </w:hyperlink>
          </w:p>
          <w:p w14:paraId="1D1B3D47" w14:textId="77777777" w:rsidR="00694D3B" w:rsidRDefault="00694D3B"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7615301" w14:textId="4D97DCD5" w:rsidR="00BC660B" w:rsidRPr="005D3F07" w:rsidRDefault="00BC660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2317884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109F4977" w14:textId="77777777" w:rsidR="0048649C" w:rsidRDefault="0048649C" w:rsidP="0048649C">
      <w:pPr>
        <w:rPr>
          <w:rFonts w:ascii="Times New Roman" w:hAnsi="Times New Roman" w:cs="Times New Roman"/>
          <w:b/>
          <w:color w:val="auto"/>
          <w:sz w:val="48"/>
        </w:rPr>
      </w:pPr>
    </w:p>
    <w:p w14:paraId="0EF984DF" w14:textId="618D9BCF" w:rsidR="000D0BB6" w:rsidRPr="0048649C" w:rsidRDefault="00337FEF" w:rsidP="0048649C">
      <w:pPr>
        <w:ind w:left="3600" w:firstLine="720"/>
        <w:rPr>
          <w:b/>
          <w:sz w:val="24"/>
          <w:szCs w:val="24"/>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50AB659F" w14:textId="77777777" w:rsidR="00BD2C06" w:rsidRPr="00BD2C06" w:rsidRDefault="00BD2C06" w:rsidP="00BD2C06">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BD2C06">
              <w:rPr>
                <w:rFonts w:asciiTheme="minorHAnsi" w:eastAsiaTheme="minorHAnsi" w:hAnsiTheme="minorHAnsi" w:cstheme="minorBidi"/>
                <w:color w:val="auto"/>
                <w:kern w:val="2"/>
                <w:sz w:val="22"/>
                <w:szCs w:val="22"/>
                <w:lang w:eastAsia="en-US"/>
                <w14:ligatures w14:val="standardContextual"/>
              </w:rPr>
              <w:t xml:space="preserve">Although all based on similar principles, the UK’s four nations of England, Ireland, Scotland and Wales all have their own framework for Child Protection Legislation, procedure and practice which ensures “action is taken to promote the welfare of children and protect them from harm” (NSPCC, 2019). The statutory responsibilities to protect the safety and well-being of children in Wales are matters that are devolved to the Welsh Government. Legislative guidance is found in the Social Services and Well-Being (Wales) Act 2014 (SSWB(W)A) for Child Safeguarding and in sections 131-134 SSWB(W)A, it sets out the duties, responsibilities and guidance for the Local Authority’s ‘Regional Safeguarding Board’. Through the ‘Rights of Children and Young Persons (Wales) Measure’, 2001, Wales became the first country in the UK to incorporate ‘The United Nations Convention on the Rights of the Child, 2022’ (UNCRC) into domestic regulations when making decisions of a strategic nature. This consequently means that Welsh legislation and policy must understand the rights of children and have regard to the legally binding international agreement setting out the civil, political, economic, social and cultural rights of every child, regardless of race, religion or ability as set out in the UNCRC. The main statute that provides the framework for Children’s Safeguarding is the Children Act, 1989 (CA, 1989) which was updated in 2004 (CA, 2004). Section 17 of the CA places a duty on local authorities to, ‘safeguard and promote the welfare of children within their area who are in need’ and ‘so far as consistent with that duty, to promote the upbringing of such children by their families, by providing a range and level of services appropriate to those children’s needs’ (CA, 1989).    </w:t>
            </w:r>
          </w:p>
          <w:p w14:paraId="5A666784" w14:textId="77777777" w:rsidR="00BD2C06" w:rsidRPr="00BD2C06" w:rsidRDefault="00BD2C06" w:rsidP="00BD2C06">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BD2C06">
              <w:rPr>
                <w:rFonts w:asciiTheme="minorHAnsi" w:eastAsiaTheme="minorHAnsi" w:hAnsiTheme="minorHAnsi" w:cstheme="minorBidi"/>
                <w:color w:val="auto"/>
                <w:kern w:val="2"/>
                <w:sz w:val="22"/>
                <w:szCs w:val="22"/>
                <w:lang w:eastAsia="en-US"/>
                <w14:ligatures w14:val="standardContextual"/>
              </w:rPr>
              <w:t xml:space="preserve">Although local authorities have a principal responsibility for safeguarding and promoting the welfare of children within their area, ‘safeguarding children and protecting them from harm is everybody’s responsibility’ (HM Government, 2015). Section 47 (1) of the CA imposes a duty on local authorities to make enquiries where they have reasonable cause of suspected ‘significant harm’ to a child and ‘enable them to decide whether to take any action to safeguard or promote a child’s welfare’. Section 46 of the CA places a duty on police services to remove a child to suitable caregivers, accommodation and protection from harm (CA, 1998). Section 8 of the CA outlines a set of orders that a court can issue to safeguard a child whilst section 1 (5) of the CA states that the welfare of the child is paramountcy in a court’s considerations, and they should only make an order for a child if it is in their ‘best interests’, rather than not making an order. In recognition of a person-centred </w:t>
            </w:r>
            <w:r w:rsidRPr="00BD2C06">
              <w:rPr>
                <w:rFonts w:asciiTheme="minorHAnsi" w:eastAsiaTheme="minorHAnsi" w:hAnsiTheme="minorHAnsi" w:cstheme="minorBidi"/>
                <w:color w:val="auto"/>
                <w:kern w:val="2"/>
                <w:sz w:val="22"/>
                <w:szCs w:val="22"/>
                <w:lang w:eastAsia="en-US"/>
                <w14:ligatures w14:val="standardContextual"/>
              </w:rPr>
              <w:lastRenderedPageBreak/>
              <w:t xml:space="preserve">approach to safeguarding procedures, a child’s age and understanding is considered when decisions about what action is to be taken. The ‘Regional Child Protection Board’ within the Local Authority I operate has responsibility to ensure the ‘Wales Safeguarding Procedures’ are implemented (Welsh Government, 2017). These procedures define the standards, functions and processes to protect individual children from neglect and abuse. Based on the values that child protection is ‘everyone’s responsibility’, they clarify how organizations should converse collaboratively to protect children. They empower the structure for child protection referrals, decisions, actions and plans and form a fundamental part in the safeguarding of children by implementation of local organisational policies and procedures.  </w:t>
            </w:r>
          </w:p>
          <w:p w14:paraId="259E1C3B" w14:textId="77777777" w:rsidR="00BD2C06" w:rsidRPr="00BD2C06" w:rsidRDefault="00BD2C06" w:rsidP="00BD2C06">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BD2C06">
              <w:rPr>
                <w:rFonts w:asciiTheme="minorHAnsi" w:eastAsiaTheme="minorHAnsi" w:hAnsiTheme="minorHAnsi" w:cstheme="minorBidi"/>
                <w:color w:val="auto"/>
                <w:kern w:val="2"/>
                <w:sz w:val="22"/>
                <w:szCs w:val="22"/>
                <w:lang w:eastAsia="en-US"/>
                <w14:ligatures w14:val="standardContextual"/>
              </w:rPr>
              <w:t>Word count 547</w:t>
            </w:r>
          </w:p>
          <w:p w14:paraId="57E500BE" w14:textId="77777777" w:rsidR="00BD2C06" w:rsidRDefault="00BD2C06" w:rsidP="00FF7EBB">
            <w:pPr>
              <w:jc w:val="both"/>
              <w:rPr>
                <w:i/>
                <w:sz w:val="24"/>
                <w:szCs w:val="24"/>
              </w:rPr>
            </w:pPr>
          </w:p>
          <w:p w14:paraId="4FF8EBF3" w14:textId="6FE5A482"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303DAD8B" w14:textId="77777777" w:rsidR="00BD2C06" w:rsidRPr="00BD2C06" w:rsidRDefault="00BD2C06" w:rsidP="00BD2C06">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BD2C06">
              <w:rPr>
                <w:rFonts w:asciiTheme="minorHAnsi" w:eastAsiaTheme="minorHAnsi" w:hAnsiTheme="minorHAnsi" w:cstheme="minorBidi"/>
                <w:color w:val="auto"/>
                <w:kern w:val="2"/>
                <w:sz w:val="22"/>
                <w:szCs w:val="22"/>
                <w:lang w:eastAsia="en-US"/>
                <w14:ligatures w14:val="standardContextual"/>
              </w:rPr>
              <w:t xml:space="preserve">In answering this question, I will draw on the difference between adult and child safeguarding work by reflecting on ‘social constructionism’ in which theoretical frameworks posit concepts of belief, norms and values in society which contribute to legislation and helps contextualise it (Searle, 1995). For safeguarding and legislative purposes, children are defined as an individual up to the age of 18. In recognition that children and adults are intrinsically different, the law must make presumptions such as adults ordinarily being presumed to have mental capacity to make choices and this right is protected under law with the Human Rights Act, 1998 and the Mental Capacity Act, 2005 (MCA) for example, even when their choices appear unwise and could present harm. Consequently, powers to intervene are limited and their rights are protected with recourse to criminal and civil law. Conversely, children are generally presumed to lack mental capacity and therefore require safeguards to protect them as their assumed inherent vulnerability due to developmental uncertainties, powers of self-protection and self-governance require a dependency on adults, usually those with ‘parental responsibility’ to ensure their well-being. The right to self-determination between adults and children’s safeguarding means the bounds for safeguarding intervention is more restricted for adults (Mantell and Scragg, 2010).  </w:t>
            </w:r>
          </w:p>
          <w:p w14:paraId="49377AE6" w14:textId="77777777" w:rsidR="00BD2C06" w:rsidRPr="00BD2C06" w:rsidRDefault="00BD2C06" w:rsidP="00BD2C06">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BD2C06">
              <w:rPr>
                <w:rFonts w:asciiTheme="minorHAnsi" w:eastAsiaTheme="minorHAnsi" w:hAnsiTheme="minorHAnsi" w:cstheme="minorBidi"/>
                <w:color w:val="auto"/>
                <w:kern w:val="2"/>
                <w:sz w:val="22"/>
                <w:szCs w:val="22"/>
                <w:lang w:eastAsia="en-US"/>
                <w14:ligatures w14:val="standardContextual"/>
              </w:rPr>
              <w:t xml:space="preserve">As adults are typically viewed as having the ability to protect themselves as opposed to children who require protecting, this raises the question of how adults who are not able to protect themselves can be safeguarded. Gaining ‘informed consent’ is regularly a determining factor as to whether an action is abusive. Establishing if an individual has ‘capacity to consent’ to any form of abuse is not always clear and those assessed as lacking capacity have protections and safeguarding legislation set out in the MCA although not to the degree afforded to Children. Section 126 of the SSWB(W)A requires Local Authorities have a duty to investigate where there is a suspicion that ‘an adult with care and support needs is at risk of abuse or neglect’. One contrast between adult and children’s safeguarding strategies can be observed in the fact that there is no current emergency protection legislation for adults suspected of being abused as there is for children in the Children Act, 1998. SSWB(W)A introduced ‘protection’ and ‘support’ orders that only grant an ‘authorised person’ to gain access to speak to an adult privately who may be experiencing abuse. The orders are there to establish if the </w:t>
            </w:r>
            <w:r w:rsidRPr="00BD2C06">
              <w:rPr>
                <w:rFonts w:asciiTheme="minorHAnsi" w:eastAsiaTheme="minorHAnsi" w:hAnsiTheme="minorHAnsi" w:cstheme="minorBidi"/>
                <w:color w:val="auto"/>
                <w:kern w:val="2"/>
                <w:sz w:val="22"/>
                <w:szCs w:val="22"/>
                <w:lang w:eastAsia="en-US"/>
                <w14:ligatures w14:val="standardContextual"/>
              </w:rPr>
              <w:lastRenderedPageBreak/>
              <w:t xml:space="preserve">individual is ‘at risk’ and if any action needs to be taken. Essential to this process is assessing capacity for the adult to give ‘informed consent’ for any abuse taking place.  </w:t>
            </w:r>
          </w:p>
          <w:p w14:paraId="70729561" w14:textId="77777777" w:rsidR="00BD2C06" w:rsidRPr="00BD2C06" w:rsidRDefault="00BD2C06" w:rsidP="00BD2C06">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BD2C06">
              <w:rPr>
                <w:rFonts w:asciiTheme="minorHAnsi" w:eastAsiaTheme="minorHAnsi" w:hAnsiTheme="minorHAnsi" w:cstheme="minorBidi"/>
                <w:color w:val="auto"/>
                <w:kern w:val="2"/>
                <w:sz w:val="22"/>
                <w:szCs w:val="22"/>
                <w:lang w:eastAsia="en-US"/>
                <w14:ligatures w14:val="standardContextual"/>
              </w:rPr>
              <w:t xml:space="preserve">Word count 434             </w:t>
            </w:r>
          </w:p>
          <w:p w14:paraId="17949E9B" w14:textId="77777777" w:rsidR="00BD2C06" w:rsidRDefault="00BD2C06" w:rsidP="00FC0334">
            <w:pPr>
              <w:jc w:val="both"/>
              <w:rPr>
                <w:i/>
                <w:sz w:val="24"/>
                <w:szCs w:val="24"/>
              </w:rPr>
            </w:pPr>
          </w:p>
          <w:p w14:paraId="6BA3DD84" w14:textId="16640EB3"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649C"/>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4D3B"/>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60B"/>
    <w:rsid w:val="00BD2C06"/>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94D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roldfield@sky.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oy.david.oldfield@flintshire.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1200</Words>
  <Characters>6692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Roy Oldfield</cp:lastModifiedBy>
  <cp:revision>8</cp:revision>
  <cp:lastPrinted>2020-02-11T19:20:00Z</cp:lastPrinted>
  <dcterms:created xsi:type="dcterms:W3CDTF">2022-09-29T11:35:00Z</dcterms:created>
  <dcterms:modified xsi:type="dcterms:W3CDTF">2024-10-05T21:20:00Z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