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Thomas Westley</w:t>
      </w:r>
    </w:p>
    <w:p w:rsidR="00000000" w:rsidDel="00000000" w:rsidP="00000000" w:rsidRDefault="00000000" w:rsidRPr="00000000" w14:paraId="00000002">
      <w:pPr>
        <w:rPr/>
      </w:pPr>
      <w:r w:rsidDel="00000000" w:rsidR="00000000" w:rsidRPr="00000000">
        <w:rPr>
          <w:rtl w:val="0"/>
        </w:rPr>
        <w:t xml:space="preserve">2213483</w:t>
      </w:r>
    </w:p>
    <w:p w:rsidR="00000000" w:rsidDel="00000000" w:rsidP="00000000" w:rsidRDefault="00000000" w:rsidRPr="00000000" w14:paraId="00000003">
      <w:pPr>
        <w:rPr/>
      </w:pPr>
      <w:r w:rsidDel="00000000" w:rsidR="00000000" w:rsidRPr="00000000">
        <w:rPr>
          <w:rtl w:val="0"/>
        </w:rPr>
        <w:t xml:space="preserve">HPHP4018</w:t>
      </w:r>
    </w:p>
    <w:p w:rsidR="00000000" w:rsidDel="00000000" w:rsidP="00000000" w:rsidRDefault="00000000" w:rsidRPr="00000000" w14:paraId="00000004">
      <w:pPr>
        <w:rPr/>
      </w:pPr>
      <w:r w:rsidDel="00000000" w:rsidR="00000000" w:rsidRPr="00000000">
        <w:rPr>
          <w:rtl w:val="0"/>
        </w:rPr>
        <w:t xml:space="preserve">Quentin Drew.</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Summarise a current subject of debate within your chosen discipline. (1000)</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spacing w:line="360" w:lineRule="auto"/>
        <w:rPr>
          <w:highlight w:val="magenta"/>
        </w:rPr>
      </w:pPr>
      <w:r w:rsidDel="00000000" w:rsidR="00000000" w:rsidRPr="00000000">
        <w:rPr>
          <w:rtl w:val="0"/>
        </w:rPr>
        <w:t xml:space="preserve">In an article published in</w:t>
      </w:r>
      <w:r w:rsidDel="00000000" w:rsidR="00000000" w:rsidRPr="00000000">
        <w:rPr>
          <w:rtl w:val="0"/>
        </w:rPr>
        <w:t xml:space="preserve"> 2019, Wang started a debate with the thought that Creative Writing was becoming a neglected artform, because of the restrictions placed upon it by the language learning </w:t>
      </w:r>
      <w:r w:rsidDel="00000000" w:rsidR="00000000" w:rsidRPr="00000000">
        <w:rPr>
          <w:rtl w:val="0"/>
        </w:rPr>
        <w:t xml:space="preserve">curriculum</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9">
      <w:pPr>
        <w:spacing w:line="360" w:lineRule="auto"/>
        <w:ind w:firstLine="720"/>
        <w:rPr/>
      </w:pPr>
      <w:r w:rsidDel="00000000" w:rsidR="00000000" w:rsidRPr="00000000">
        <w:rPr>
          <w:rtl w:val="0"/>
        </w:rPr>
        <w:t xml:space="preserve">Wang starts their introduction with, </w:t>
      </w:r>
      <w:r w:rsidDel="00000000" w:rsidR="00000000" w:rsidRPr="00000000">
        <w:rPr>
          <w:rtl w:val="0"/>
        </w:rPr>
        <w:t xml:space="preserve">what is art?, then answered with multiple answers by Warburton</w:t>
      </w:r>
      <w:r w:rsidDel="00000000" w:rsidR="00000000" w:rsidRPr="00000000">
        <w:rPr>
          <w:vertAlign w:val="superscript"/>
        </w:rPr>
        <w:footnoteReference w:customMarkFollows="0" w:id="0"/>
      </w:r>
      <w:r w:rsidDel="00000000" w:rsidR="00000000" w:rsidRPr="00000000">
        <w:rPr>
          <w:rtl w:val="0"/>
        </w:rPr>
        <w:t xml:space="preserve"> in their 2003 work; </w:t>
      </w:r>
      <w:r w:rsidDel="00000000" w:rsidR="00000000" w:rsidRPr="00000000">
        <w:rPr>
          <w:i w:val="1"/>
          <w:rtl w:val="0"/>
        </w:rPr>
        <w:t xml:space="preserve">The art question</w:t>
      </w:r>
      <w:r w:rsidDel="00000000" w:rsidR="00000000" w:rsidRPr="00000000">
        <w:rPr>
          <w:rtl w:val="0"/>
        </w:rPr>
        <w:t xml:space="preserve">. By interpreting and reflecting on definitions that are listed, Warburton identifies key elements that can </w:t>
      </w:r>
      <w:r w:rsidDel="00000000" w:rsidR="00000000" w:rsidRPr="00000000">
        <w:rPr>
          <w:rtl w:val="0"/>
        </w:rPr>
        <w:t xml:space="preserve">‘explain retrospectively why what has been called art is art’</w:t>
      </w:r>
      <w:r w:rsidDel="00000000" w:rsidR="00000000" w:rsidRPr="00000000">
        <w:rPr>
          <w:vertAlign w:val="superscript"/>
        </w:rPr>
        <w:footnoteReference w:customMarkFollows="0" w:id="1"/>
      </w:r>
      <w:r w:rsidDel="00000000" w:rsidR="00000000" w:rsidRPr="00000000">
        <w:rPr>
          <w:rtl w:val="0"/>
        </w:rPr>
        <w:t xml:space="preserve">. These elements are as follows; </w:t>
      </w:r>
      <w:r w:rsidDel="00000000" w:rsidR="00000000" w:rsidRPr="00000000">
        <w:rPr>
          <w:rtl w:val="0"/>
        </w:rPr>
        <w:t xml:space="preserve">Bells</w:t>
      </w:r>
      <w:r w:rsidDel="00000000" w:rsidR="00000000" w:rsidRPr="00000000">
        <w:rPr>
          <w:vertAlign w:val="superscript"/>
        </w:rPr>
        <w:footnoteReference w:customMarkFollows="0" w:id="2"/>
      </w:r>
      <w:r w:rsidDel="00000000" w:rsidR="00000000" w:rsidRPr="00000000">
        <w:rPr>
          <w:rtl w:val="0"/>
        </w:rPr>
        <w:t xml:space="preserve"> speaks on how the definition of art </w:t>
      </w:r>
      <w:r w:rsidDel="00000000" w:rsidR="00000000" w:rsidRPr="00000000">
        <w:rPr>
          <w:rtl w:val="0"/>
        </w:rPr>
        <w:t xml:space="preserve">remains</w:t>
      </w:r>
      <w:r w:rsidDel="00000000" w:rsidR="00000000" w:rsidRPr="00000000">
        <w:rPr>
          <w:rtl w:val="0"/>
        </w:rPr>
        <w:t xml:space="preserve"> with </w:t>
      </w:r>
      <w:r w:rsidDel="00000000" w:rsidR="00000000" w:rsidRPr="00000000">
        <w:rPr>
          <w:rtl w:val="0"/>
        </w:rPr>
        <w:t xml:space="preserve">significant</w:t>
      </w:r>
      <w:r w:rsidDel="00000000" w:rsidR="00000000" w:rsidRPr="00000000">
        <w:rPr>
          <w:rtl w:val="0"/>
        </w:rPr>
        <w:t xml:space="preserve"> form as this is the only possible connection that can unify all art</w:t>
      </w:r>
      <w:r w:rsidDel="00000000" w:rsidR="00000000" w:rsidRPr="00000000">
        <w:rPr>
          <w:rtl w:val="0"/>
        </w:rPr>
        <w:t xml:space="preserve">. Expression of emotion is given importance by </w:t>
      </w:r>
      <w:r w:rsidDel="00000000" w:rsidR="00000000" w:rsidRPr="00000000">
        <w:rPr>
          <w:rtl w:val="0"/>
        </w:rPr>
        <w:t xml:space="preserve">Collingwood</w:t>
      </w:r>
      <w:r w:rsidDel="00000000" w:rsidR="00000000" w:rsidRPr="00000000">
        <w:rPr>
          <w:vertAlign w:val="superscript"/>
        </w:rPr>
        <w:footnoteReference w:customMarkFollows="0" w:id="3"/>
      </w:r>
      <w:r w:rsidDel="00000000" w:rsidR="00000000" w:rsidRPr="00000000">
        <w:rPr>
          <w:rtl w:val="0"/>
        </w:rPr>
        <w:t xml:space="preserve"> </w:t>
      </w:r>
      <w:r w:rsidDel="00000000" w:rsidR="00000000" w:rsidRPr="00000000">
        <w:rPr>
          <w:rtl w:val="0"/>
        </w:rPr>
        <w:t xml:space="preserve">with their belief that </w:t>
      </w:r>
      <w:r w:rsidDel="00000000" w:rsidR="00000000" w:rsidRPr="00000000">
        <w:rPr>
          <w:rtl w:val="0"/>
        </w:rPr>
        <w:t xml:space="preserve">‘art provides an imaginative tactile experience’</w:t>
      </w:r>
      <w:r w:rsidDel="00000000" w:rsidR="00000000" w:rsidRPr="00000000">
        <w:rPr>
          <w:vertAlign w:val="superscript"/>
        </w:rPr>
        <w:footnoteReference w:customMarkFollows="0" w:id="4"/>
      </w:r>
      <w:r w:rsidDel="00000000" w:rsidR="00000000" w:rsidRPr="00000000">
        <w:rPr>
          <w:rtl w:val="0"/>
        </w:rPr>
        <w:t xml:space="preserve"> for those who experience it. </w:t>
      </w:r>
      <w:r w:rsidDel="00000000" w:rsidR="00000000" w:rsidRPr="00000000">
        <w:rPr>
          <w:rtl w:val="0"/>
        </w:rPr>
        <w:t xml:space="preserve">Lessing</w:t>
      </w:r>
      <w:r w:rsidDel="00000000" w:rsidR="00000000" w:rsidRPr="00000000">
        <w:rPr>
          <w:rtl w:val="0"/>
        </w:rPr>
        <w:t xml:space="preserve"> claims that originality is the defining feature between a work of beauty and art, art is the </w:t>
      </w:r>
      <w:r w:rsidDel="00000000" w:rsidR="00000000" w:rsidRPr="00000000">
        <w:rPr>
          <w:rtl w:val="0"/>
        </w:rPr>
        <w:t xml:space="preserve">‘unknown and unexplored realms of beauty’</w:t>
      </w:r>
      <w:r w:rsidDel="00000000" w:rsidR="00000000" w:rsidRPr="00000000">
        <w:rPr>
          <w:vertAlign w:val="superscript"/>
        </w:rPr>
        <w:footnoteReference w:customMarkFollows="0" w:id="5"/>
      </w:r>
      <w:r w:rsidDel="00000000" w:rsidR="00000000" w:rsidRPr="00000000">
        <w:rPr>
          <w:rtl w:val="0"/>
        </w:rPr>
        <w:t xml:space="preserve">. Warburton also lists creativity as a key element to art, however its inclusion is not explained until later. If a piece of work displays some or all of these four elements, it can be defined, or partly defined, as art. </w:t>
      </w:r>
    </w:p>
    <w:p w:rsidR="00000000" w:rsidDel="00000000" w:rsidP="00000000" w:rsidRDefault="00000000" w:rsidRPr="00000000" w14:paraId="0000000A">
      <w:pPr>
        <w:spacing w:line="360" w:lineRule="auto"/>
        <w:ind w:firstLine="720"/>
        <w:rPr/>
      </w:pPr>
      <w:r w:rsidDel="00000000" w:rsidR="00000000" w:rsidRPr="00000000">
        <w:rPr>
          <w:rtl w:val="0"/>
        </w:rPr>
        <w:t xml:space="preserve">Wang then goes on in a similar fashion to give definition to creativity. From </w:t>
      </w:r>
      <w:r w:rsidDel="00000000" w:rsidR="00000000" w:rsidRPr="00000000">
        <w:rPr>
          <w:rtl w:val="0"/>
        </w:rPr>
        <w:t xml:space="preserve">Cropley</w:t>
      </w:r>
      <w:r w:rsidDel="00000000" w:rsidR="00000000" w:rsidRPr="00000000">
        <w:rPr>
          <w:rtl w:val="0"/>
        </w:rPr>
        <w:t xml:space="preserve">’s beliefs that creativity leads to </w:t>
      </w:r>
      <w:r w:rsidDel="00000000" w:rsidR="00000000" w:rsidRPr="00000000">
        <w:rPr>
          <w:rtl w:val="0"/>
        </w:rPr>
        <w:t xml:space="preserve">‘worthwhile results’</w:t>
      </w:r>
      <w:r w:rsidDel="00000000" w:rsidR="00000000" w:rsidRPr="00000000">
        <w:rPr>
          <w:vertAlign w:val="superscript"/>
        </w:rPr>
        <w:footnoteReference w:customMarkFollows="0" w:id="6"/>
      </w:r>
      <w:r w:rsidDel="00000000" w:rsidR="00000000" w:rsidRPr="00000000">
        <w:rPr>
          <w:rtl w:val="0"/>
        </w:rPr>
        <w:t xml:space="preserve">, </w:t>
      </w:r>
      <w:r w:rsidDel="00000000" w:rsidR="00000000" w:rsidRPr="00000000">
        <w:rPr>
          <w:rtl w:val="0"/>
        </w:rPr>
        <w:t xml:space="preserve">Pateman</w:t>
      </w:r>
      <w:r w:rsidDel="00000000" w:rsidR="00000000" w:rsidRPr="00000000">
        <w:rPr>
          <w:rtl w:val="0"/>
        </w:rPr>
        <w:t xml:space="preserve">’s description of creativity as </w:t>
      </w:r>
      <w:r w:rsidDel="00000000" w:rsidR="00000000" w:rsidRPr="00000000">
        <w:rPr>
          <w:rtl w:val="0"/>
        </w:rPr>
        <w:t xml:space="preserve">‘rule-breaking and rule-making’</w:t>
      </w:r>
      <w:r w:rsidDel="00000000" w:rsidR="00000000" w:rsidRPr="00000000">
        <w:rPr>
          <w:vertAlign w:val="superscript"/>
        </w:rPr>
        <w:footnoteReference w:customMarkFollows="0" w:id="7"/>
      </w:r>
      <w:r w:rsidDel="00000000" w:rsidR="00000000" w:rsidRPr="00000000">
        <w:rPr>
          <w:rtl w:val="0"/>
        </w:rPr>
        <w:t xml:space="preserve">, </w:t>
      </w:r>
      <w:r w:rsidDel="00000000" w:rsidR="00000000" w:rsidRPr="00000000">
        <w:rPr>
          <w:rtl w:val="0"/>
        </w:rPr>
        <w:t xml:space="preserve">Craft</w:t>
      </w:r>
      <w:r w:rsidDel="00000000" w:rsidR="00000000" w:rsidRPr="00000000">
        <w:rPr>
          <w:rtl w:val="0"/>
        </w:rPr>
        <w:t xml:space="preserve">’s claims that  </w:t>
      </w:r>
      <w:r w:rsidDel="00000000" w:rsidR="00000000" w:rsidRPr="00000000">
        <w:rPr>
          <w:rtl w:val="0"/>
        </w:rPr>
        <w:t xml:space="preserve">‘possibility thinking’</w:t>
      </w:r>
      <w:r w:rsidDel="00000000" w:rsidR="00000000" w:rsidRPr="00000000">
        <w:rPr>
          <w:vertAlign w:val="superscript"/>
        </w:rPr>
        <w:footnoteReference w:customMarkFollows="0" w:id="8"/>
      </w:r>
      <w:r w:rsidDel="00000000" w:rsidR="00000000" w:rsidRPr="00000000">
        <w:rPr>
          <w:rtl w:val="0"/>
        </w:rPr>
        <w:t xml:space="preserve"> is fundamental to creativity. And finally to </w:t>
      </w:r>
      <w:r w:rsidDel="00000000" w:rsidR="00000000" w:rsidRPr="00000000">
        <w:rPr>
          <w:rtl w:val="0"/>
        </w:rPr>
        <w:t xml:space="preserve">Dawson</w:t>
      </w:r>
      <w:r w:rsidDel="00000000" w:rsidR="00000000" w:rsidRPr="00000000">
        <w:rPr>
          <w:rtl w:val="0"/>
        </w:rPr>
        <w:t xml:space="preserve">’s quote of imagination that </w:t>
      </w:r>
      <w:r w:rsidDel="00000000" w:rsidR="00000000" w:rsidRPr="00000000">
        <w:rPr>
          <w:rtl w:val="0"/>
        </w:rPr>
        <w:t xml:space="preserve">‘Creativity is the productive imagination fully </w:t>
      </w:r>
      <w:r w:rsidDel="00000000" w:rsidR="00000000" w:rsidRPr="00000000">
        <w:rPr>
          <w:rtl w:val="0"/>
        </w:rPr>
        <w:t xml:space="preserve">secularized</w:t>
      </w:r>
      <w:r w:rsidDel="00000000" w:rsidR="00000000" w:rsidRPr="00000000">
        <w:rPr>
          <w:rtl w:val="0"/>
        </w:rPr>
        <w:t xml:space="preserve"> and divested of any ambivalent connotations’</w:t>
      </w:r>
      <w:r w:rsidDel="00000000" w:rsidR="00000000" w:rsidRPr="00000000">
        <w:rPr>
          <w:vertAlign w:val="superscript"/>
        </w:rPr>
        <w:footnoteReference w:customMarkFollows="0" w:id="9"/>
      </w:r>
      <w:r w:rsidDel="00000000" w:rsidR="00000000" w:rsidRPr="00000000">
        <w:rPr>
          <w:rtl w:val="0"/>
        </w:rPr>
        <w:t xml:space="preserve">.</w:t>
      </w:r>
    </w:p>
    <w:p w:rsidR="00000000" w:rsidDel="00000000" w:rsidP="00000000" w:rsidRDefault="00000000" w:rsidRPr="00000000" w14:paraId="0000000B">
      <w:pPr>
        <w:spacing w:line="360" w:lineRule="auto"/>
        <w:ind w:left="0" w:firstLine="720"/>
        <w:rPr/>
      </w:pPr>
      <w:r w:rsidDel="00000000" w:rsidR="00000000" w:rsidRPr="00000000">
        <w:rPr>
          <w:rtl w:val="0"/>
        </w:rPr>
        <w:t xml:space="preserve">And lastly, Wang calls on </w:t>
      </w:r>
      <w:r w:rsidDel="00000000" w:rsidR="00000000" w:rsidRPr="00000000">
        <w:rPr>
          <w:rtl w:val="0"/>
        </w:rPr>
        <w:t xml:space="preserve">Marshall </w:t>
      </w:r>
      <w:r w:rsidDel="00000000" w:rsidR="00000000" w:rsidRPr="00000000">
        <w:rPr>
          <w:rtl w:val="0"/>
        </w:rPr>
        <w:t xml:space="preserve">to define to creative writing as </w:t>
      </w:r>
      <w:r w:rsidDel="00000000" w:rsidR="00000000" w:rsidRPr="00000000">
        <w:rPr>
          <w:rtl w:val="0"/>
        </w:rPr>
        <w:t xml:space="preserve">‘the use of written language to </w:t>
      </w:r>
      <w:r w:rsidDel="00000000" w:rsidR="00000000" w:rsidRPr="00000000">
        <w:rPr>
          <w:rtl w:val="0"/>
        </w:rPr>
        <w:t xml:space="preserve">conceptualize</w:t>
      </w:r>
      <w:r w:rsidDel="00000000" w:rsidR="00000000" w:rsidRPr="00000000">
        <w:rPr>
          <w:rtl w:val="0"/>
        </w:rPr>
        <w:t xml:space="preserve">, explore and record experience in such a way as to create a unique symbolization of it’</w:t>
      </w:r>
      <w:r w:rsidDel="00000000" w:rsidR="00000000" w:rsidRPr="00000000">
        <w:rPr>
          <w:vertAlign w:val="superscript"/>
        </w:rPr>
        <w:footnoteReference w:customMarkFollows="0" w:id="10"/>
      </w:r>
      <w:r w:rsidDel="00000000" w:rsidR="00000000" w:rsidRPr="00000000">
        <w:rPr>
          <w:rtl w:val="0"/>
        </w:rPr>
        <w:t xml:space="preserve">. The use of “unique” explained that the text should project personal experiences, and symbolisation is how it is communicated to the audience. This is then supported by Dawson’s thoughts that creative writing ‘</w:t>
      </w:r>
      <w:r w:rsidDel="00000000" w:rsidR="00000000" w:rsidRPr="00000000">
        <w:rPr>
          <w:rtl w:val="0"/>
        </w:rPr>
        <w:t xml:space="preserve">can refer to any writing [that] is ‘creative’, i.e original, unconventional, expressive etc’</w:t>
      </w:r>
      <w:r w:rsidDel="00000000" w:rsidR="00000000" w:rsidRPr="00000000">
        <w:rPr>
          <w:vertAlign w:val="superscript"/>
        </w:rPr>
        <w:footnoteReference w:customMarkFollows="0" w:id="11"/>
      </w:r>
      <w:r w:rsidDel="00000000" w:rsidR="00000000" w:rsidRPr="00000000">
        <w:rPr>
          <w:rtl w:val="0"/>
        </w:rPr>
        <w:t xml:space="preserve">. As a result, the key elements of creative writing are; creativity, personal expression, unique symbolisation and originality. </w:t>
      </w:r>
    </w:p>
    <w:p w:rsidR="00000000" w:rsidDel="00000000" w:rsidP="00000000" w:rsidRDefault="00000000" w:rsidRPr="00000000" w14:paraId="0000000C">
      <w:pPr>
        <w:spacing w:line="360" w:lineRule="auto"/>
        <w:ind w:firstLine="720"/>
        <w:rPr/>
      </w:pPr>
      <w:r w:rsidDel="00000000" w:rsidR="00000000" w:rsidRPr="00000000">
        <w:rPr>
          <w:rtl w:val="0"/>
        </w:rPr>
        <w:t xml:space="preserve">Now that we have these two groups of key elements for their definitions, Wang then shows how they overlap. Three are the same. And Marshall explains that </w:t>
      </w:r>
      <w:r w:rsidDel="00000000" w:rsidR="00000000" w:rsidRPr="00000000">
        <w:rPr>
          <w:rtl w:val="0"/>
        </w:rPr>
        <w:t xml:space="preserve">unique symbolization means creative writing should have a </w:t>
      </w:r>
      <w:r w:rsidDel="00000000" w:rsidR="00000000" w:rsidRPr="00000000">
        <w:rPr>
          <w:i w:val="1"/>
          <w:rtl w:val="0"/>
        </w:rPr>
        <w:t xml:space="preserve">significant form</w:t>
      </w:r>
      <w:r w:rsidDel="00000000" w:rsidR="00000000" w:rsidRPr="00000000">
        <w:rPr>
          <w:rtl w:val="0"/>
        </w:rPr>
        <w:t xml:space="preserve"> to record the personal experience</w:t>
      </w:r>
      <w:r w:rsidDel="00000000" w:rsidR="00000000" w:rsidRPr="00000000">
        <w:rPr>
          <w:rtl w:val="0"/>
        </w:rPr>
        <w:t xml:space="preserve"> and that because of this conclusion; </w:t>
      </w:r>
      <w:r w:rsidDel="00000000" w:rsidR="00000000" w:rsidRPr="00000000">
        <w:rPr>
          <w:rtl w:val="0"/>
        </w:rPr>
        <w:t xml:space="preserve">‘it is not difficult to conclude that creative writing is an or at least part of an “Art Form’</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0D">
      <w:pPr>
        <w:spacing w:line="360" w:lineRule="auto"/>
        <w:ind w:firstLine="720"/>
        <w:rPr/>
      </w:pPr>
      <w:r w:rsidDel="00000000" w:rsidR="00000000" w:rsidRPr="00000000">
        <w:rPr>
          <w:rtl w:val="0"/>
        </w:rPr>
        <w:t xml:space="preserve">Wang then turns their focus to the application within education. They outline the history of creative writing. Noting how </w:t>
      </w:r>
      <w:r w:rsidDel="00000000" w:rsidR="00000000" w:rsidRPr="00000000">
        <w:rPr>
          <w:rtl w:val="0"/>
        </w:rPr>
        <w:t xml:space="preserve">‘“the creative power” was linked to natural ability from God’</w:t>
      </w:r>
      <w:r w:rsidDel="00000000" w:rsidR="00000000" w:rsidRPr="00000000">
        <w:rPr>
          <w:vertAlign w:val="superscript"/>
        </w:rPr>
        <w:footnoteReference w:customMarkFollows="0" w:id="13"/>
      </w:r>
      <w:r w:rsidDel="00000000" w:rsidR="00000000" w:rsidRPr="00000000">
        <w:rPr>
          <w:rtl w:val="0"/>
        </w:rPr>
        <w:t xml:space="preserve"> during the eighteenth century and that sparked the debate of can it be taught as well as should it be taught. However, in 1837,</w:t>
      </w:r>
      <w:r w:rsidDel="00000000" w:rsidR="00000000" w:rsidRPr="00000000">
        <w:rPr>
          <w:rtl w:val="0"/>
        </w:rPr>
        <w:t xml:space="preserve"> Emerson</w:t>
      </w:r>
      <w:r w:rsidDel="00000000" w:rsidR="00000000" w:rsidRPr="00000000">
        <w:rPr>
          <w:rtl w:val="0"/>
        </w:rPr>
        <w:t xml:space="preserve"> claimed that </w:t>
      </w:r>
      <w:r w:rsidDel="00000000" w:rsidR="00000000" w:rsidRPr="00000000">
        <w:rPr>
          <w:rtl w:val="0"/>
        </w:rPr>
        <w:t xml:space="preserve">‘the true scholar will not be the bookworm but a person who can be inspired by books with an active soul’</w:t>
      </w:r>
      <w:r w:rsidDel="00000000" w:rsidR="00000000" w:rsidRPr="00000000">
        <w:rPr>
          <w:vertAlign w:val="superscript"/>
        </w:rPr>
        <w:footnoteReference w:customMarkFollows="0" w:id="14"/>
      </w:r>
      <w:r w:rsidDel="00000000" w:rsidR="00000000" w:rsidRPr="00000000">
        <w:rPr>
          <w:rtl w:val="0"/>
        </w:rPr>
        <w:t xml:space="preserve">. Wang then begins looking at the major turning points, specifically in English Studies in the twentieth century that then led to the development of creative writing education. The first being a debate between criticism and scholarship which would introduce a literary criticism of its aesthetic qualities. Next was the rise of “Theory” and have it allowed for literature to be an aesthetic category. And finally, was the rise in teaching for career outcomes and job markets.</w:t>
      </w:r>
    </w:p>
    <w:p w:rsidR="00000000" w:rsidDel="00000000" w:rsidP="00000000" w:rsidRDefault="00000000" w:rsidRPr="00000000" w14:paraId="0000000E">
      <w:pPr>
        <w:spacing w:line="360" w:lineRule="auto"/>
        <w:ind w:firstLine="720"/>
        <w:rPr/>
      </w:pPr>
      <w:r w:rsidDel="00000000" w:rsidR="00000000" w:rsidRPr="00000000">
        <w:rPr>
          <w:rtl w:val="0"/>
        </w:rPr>
        <w:t xml:space="preserve">Next, Wang asks the question; “where is creative writing [in other forms of education]”. They introduce the National Curriculum. As well as the twelve subjects; the core subjects of English, Mathematics and Science, and the non-core foundation subjects of History, Geography, Design and Technology, Modern foreign languages, Information and communication, Art and design, Music, Citizenship and Physical education. Wang also notes that visual art is the only form in this context and argues how other art forms, like Music, are ‘highlighted as a foundation subject in the curriculum’</w:t>
      </w:r>
      <w:r w:rsidDel="00000000" w:rsidR="00000000" w:rsidRPr="00000000">
        <w:rPr>
          <w:vertAlign w:val="superscript"/>
        </w:rPr>
        <w:footnoteReference w:customMarkFollows="0" w:id="15"/>
      </w:r>
      <w:r w:rsidDel="00000000" w:rsidR="00000000" w:rsidRPr="00000000">
        <w:rPr>
          <w:rtl w:val="0"/>
        </w:rPr>
        <w:t xml:space="preserve">. This is further supported by examples where Creative Writing is taught in a similar way to Science, ‘read poetry and learn unfamiliar words, analyse the structure, learn the rhetoric, then write poems with selected titles’</w:t>
      </w:r>
      <w:r w:rsidDel="00000000" w:rsidR="00000000" w:rsidRPr="00000000">
        <w:rPr>
          <w:vertAlign w:val="superscript"/>
        </w:rPr>
        <w:footnoteReference w:customMarkFollows="0" w:id="16"/>
      </w:r>
      <w:r w:rsidDel="00000000" w:rsidR="00000000" w:rsidRPr="00000000">
        <w:rPr>
          <w:rtl w:val="0"/>
        </w:rPr>
        <w:t xml:space="preserve">. The students are being asked to repeat a technique, not to explore their own emotions.</w:t>
      </w:r>
    </w:p>
    <w:p w:rsidR="00000000" w:rsidDel="00000000" w:rsidP="00000000" w:rsidRDefault="00000000" w:rsidRPr="00000000" w14:paraId="0000000F">
      <w:pPr>
        <w:spacing w:line="360" w:lineRule="auto"/>
        <w:ind w:firstLine="720"/>
        <w:rPr/>
      </w:pPr>
      <w:r w:rsidDel="00000000" w:rsidR="00000000" w:rsidRPr="00000000">
        <w:rPr>
          <w:rtl w:val="0"/>
        </w:rPr>
        <w:t xml:space="preserve">The final section of Wang’s argument is solely on rethinking how we teach creative writing. The first factor that they address is the ”Democratic self-expression”</w:t>
      </w:r>
      <w:r w:rsidDel="00000000" w:rsidR="00000000" w:rsidRPr="00000000">
        <w:rPr>
          <w:vertAlign w:val="superscript"/>
        </w:rPr>
        <w:footnoteReference w:customMarkFollows="0" w:id="17"/>
      </w:r>
      <w:r w:rsidDel="00000000" w:rsidR="00000000" w:rsidRPr="00000000">
        <w:rPr>
          <w:rtl w:val="0"/>
        </w:rPr>
        <w:t xml:space="preserve">, which means expressing what you want freely in your unique way. Democratic in this context refers to free expression with no limitations. This is supported by Winston’s claim that creative writing can be used to ‘develop self-consciousness in a person’s growth process, especially in adolescence’</w:t>
      </w:r>
      <w:r w:rsidDel="00000000" w:rsidR="00000000" w:rsidRPr="00000000">
        <w:rPr>
          <w:vertAlign w:val="superscript"/>
        </w:rPr>
        <w:footnoteReference w:customMarkFollows="0" w:id="18"/>
      </w:r>
      <w:r w:rsidDel="00000000" w:rsidR="00000000" w:rsidRPr="00000000">
        <w:rPr>
          <w:rtl w:val="0"/>
        </w:rPr>
        <w:t xml:space="preserve">.</w:t>
      </w:r>
    </w:p>
    <w:p w:rsidR="00000000" w:rsidDel="00000000" w:rsidP="00000000" w:rsidRDefault="00000000" w:rsidRPr="00000000" w14:paraId="00000010">
      <w:pPr>
        <w:spacing w:line="360" w:lineRule="auto"/>
        <w:ind w:firstLine="720"/>
        <w:rPr/>
      </w:pPr>
      <w:r w:rsidDel="00000000" w:rsidR="00000000" w:rsidRPr="00000000">
        <w:rPr>
          <w:rtl w:val="0"/>
        </w:rPr>
        <w:t xml:space="preserve">The next factor is the “Aesthetic”, or rather the role of beauty in education. Wangs cites Winston’s thoughts of the ‘moment of epiphany’</w:t>
      </w:r>
      <w:r w:rsidDel="00000000" w:rsidR="00000000" w:rsidRPr="00000000">
        <w:rPr>
          <w:vertAlign w:val="superscript"/>
        </w:rPr>
        <w:footnoteReference w:customMarkFollows="0" w:id="19"/>
      </w:r>
      <w:r w:rsidDel="00000000" w:rsidR="00000000" w:rsidRPr="00000000">
        <w:rPr>
          <w:rtl w:val="0"/>
        </w:rPr>
        <w:t xml:space="preserve"> to explain beauty within the education experience. As epiphany refers to sudden gain of great insight into ourselves and the world around us, these moments within creative writing context depict creative ideas that seem to come from nothingness. The necessary connection between beauty and knowledge is then implied with the inclusion of Oakeshott</w:t>
      </w:r>
      <w:r w:rsidDel="00000000" w:rsidR="00000000" w:rsidRPr="00000000">
        <w:rPr>
          <w:vertAlign w:val="superscript"/>
        </w:rPr>
        <w:footnoteReference w:customMarkFollows="0" w:id="20"/>
      </w:r>
      <w:r w:rsidDel="00000000" w:rsidR="00000000" w:rsidRPr="00000000">
        <w:rPr>
          <w:rtl w:val="0"/>
        </w:rPr>
        <w:t xml:space="preserve">, who explains that the beauty that we individually experience ‘is not a simple stimulus response to the environment but it involves a thinking process informed by prior knowledge and cognitive reflection’</w:t>
      </w:r>
      <w:r w:rsidDel="00000000" w:rsidR="00000000" w:rsidRPr="00000000">
        <w:rPr>
          <w:vertAlign w:val="superscript"/>
        </w:rPr>
        <w:footnoteReference w:customMarkFollows="0" w:id="21"/>
      </w:r>
      <w:r w:rsidDel="00000000" w:rsidR="00000000" w:rsidRPr="00000000">
        <w:rPr>
          <w:rtl w:val="0"/>
        </w:rPr>
        <w:t xml:space="preserve">. </w:t>
      </w:r>
    </w:p>
    <w:p w:rsidR="00000000" w:rsidDel="00000000" w:rsidP="00000000" w:rsidRDefault="00000000" w:rsidRPr="00000000" w14:paraId="00000011">
      <w:pPr>
        <w:spacing w:line="360" w:lineRule="auto"/>
        <w:ind w:firstLine="720"/>
        <w:rPr/>
      </w:pPr>
      <w:r w:rsidDel="00000000" w:rsidR="00000000" w:rsidRPr="00000000">
        <w:rPr>
          <w:rtl w:val="0"/>
        </w:rPr>
        <w:t xml:space="preserve">The final factor that Wang touched on was the Motivation factor, starting with research that identified; </w:t>
      </w:r>
    </w:p>
    <w:p w:rsidR="00000000" w:rsidDel="00000000" w:rsidP="00000000" w:rsidRDefault="00000000" w:rsidRPr="00000000" w14:paraId="00000012">
      <w:pPr>
        <w:spacing w:line="360" w:lineRule="auto"/>
        <w:ind w:firstLine="720"/>
        <w:rPr/>
      </w:pPr>
      <w:r w:rsidDel="00000000" w:rsidR="00000000" w:rsidRPr="00000000">
        <w:rPr>
          <w:rtl w:val="0"/>
        </w:rPr>
      </w:r>
    </w:p>
    <w:p w:rsidR="00000000" w:rsidDel="00000000" w:rsidP="00000000" w:rsidRDefault="00000000" w:rsidRPr="00000000" w14:paraId="00000013">
      <w:pPr>
        <w:spacing w:line="360" w:lineRule="auto"/>
        <w:ind w:left="720" w:firstLine="0"/>
        <w:rPr/>
      </w:pPr>
      <w:r w:rsidDel="00000000" w:rsidR="00000000" w:rsidRPr="00000000">
        <w:rPr>
          <w:rtl w:val="0"/>
        </w:rPr>
        <w:t xml:space="preserve">two different cognitive learning styles by students; one is “deep-level processing” aimed at understanding the meaning of what they study, the other one is “surface-level processing”, which focuses on the reproduction of the contents from lectures or textbooks.</w:t>
      </w:r>
      <w:r w:rsidDel="00000000" w:rsidR="00000000" w:rsidRPr="00000000">
        <w:rPr>
          <w:vertAlign w:val="superscript"/>
        </w:rPr>
        <w:footnoteReference w:customMarkFollows="0" w:id="22"/>
      </w:r>
      <w:r w:rsidDel="00000000" w:rsidR="00000000" w:rsidRPr="00000000">
        <w:rPr>
          <w:rtl w:val="0"/>
        </w:rPr>
      </w:r>
    </w:p>
    <w:p w:rsidR="00000000" w:rsidDel="00000000" w:rsidP="00000000" w:rsidRDefault="00000000" w:rsidRPr="00000000" w14:paraId="00000014">
      <w:pPr>
        <w:spacing w:line="360" w:lineRule="auto"/>
        <w:ind w:left="720" w:firstLine="720"/>
        <w:rPr>
          <w:highlight w:val="green"/>
        </w:rPr>
      </w:pPr>
      <w:r w:rsidDel="00000000" w:rsidR="00000000" w:rsidRPr="00000000">
        <w:rPr>
          <w:rtl w:val="0"/>
        </w:rPr>
      </w:r>
    </w:p>
    <w:p w:rsidR="00000000" w:rsidDel="00000000" w:rsidP="00000000" w:rsidRDefault="00000000" w:rsidRPr="00000000" w14:paraId="00000015">
      <w:pPr>
        <w:spacing w:line="360" w:lineRule="auto"/>
        <w:ind w:left="0" w:firstLine="0"/>
        <w:rPr/>
      </w:pPr>
      <w:r w:rsidDel="00000000" w:rsidR="00000000" w:rsidRPr="00000000">
        <w:rPr>
          <w:rtl w:val="0"/>
        </w:rPr>
        <w:t xml:space="preserve">The results show that students that elicited “deep-level processing” strategies would perform top of their class. Wang also gives reasoning for why the two previously mentioned factors, “democratic” and “aesthetic”, can lead to motivation. Wang specifies research examples of attitudes towards writing lessons in young people. One showed that ‘incessant focus on tests and targets has generated disaffection and lack of interest in writing’</w:t>
      </w:r>
      <w:r w:rsidDel="00000000" w:rsidR="00000000" w:rsidRPr="00000000">
        <w:rPr>
          <w:vertAlign w:val="superscript"/>
        </w:rPr>
        <w:footnoteReference w:customMarkFollows="0" w:id="23"/>
      </w:r>
      <w:r w:rsidDel="00000000" w:rsidR="00000000" w:rsidRPr="00000000">
        <w:rPr>
          <w:rtl w:val="0"/>
        </w:rPr>
        <w:t xml:space="preserve">. Another one showed that students are ‘less keen on writing when tasks are entirely set and framed by their teachers and the curriculum’</w:t>
      </w:r>
      <w:r w:rsidDel="00000000" w:rsidR="00000000" w:rsidRPr="00000000">
        <w:rPr>
          <w:vertAlign w:val="superscript"/>
        </w:rPr>
        <w:footnoteReference w:customMarkFollows="0" w:id="24"/>
      </w:r>
      <w:r w:rsidDel="00000000" w:rsidR="00000000" w:rsidRPr="00000000">
        <w:rPr>
          <w:rtl w:val="0"/>
        </w:rPr>
        <w:t xml:space="preserve">.</w:t>
      </w:r>
    </w:p>
    <w:p w:rsidR="00000000" w:rsidDel="00000000" w:rsidP="00000000" w:rsidRDefault="00000000" w:rsidRPr="00000000" w14:paraId="00000016">
      <w:pPr>
        <w:spacing w:line="360" w:lineRule="auto"/>
        <w:ind w:firstLine="720"/>
        <w:rPr/>
      </w:pPr>
      <w:r w:rsidDel="00000000" w:rsidR="00000000" w:rsidRPr="00000000">
        <w:rPr>
          <w:rtl w:val="0"/>
        </w:rPr>
        <w:t xml:space="preserve">In their conclusion, Wang efficiently recounts how creative writing contains the same key elements as art, however, in the modern curriculum it is being taught as an extension of language learning. They also speak on how teachers may feel difficult trying to allow students to express themselves, instead of learning specific techniques and terminology, before finishing up with; ‘it is worthwhile to rethink creative writing as an art form to help democratic self-expression and generate motivation in language learning’</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017">
      <w:pPr>
        <w:spacing w:line="360" w:lineRule="auto"/>
        <w:ind w:firstLine="720"/>
        <w:rPr/>
      </w:pPr>
      <w:r w:rsidDel="00000000" w:rsidR="00000000" w:rsidRPr="00000000">
        <w:rPr>
          <w:rtl w:val="0"/>
        </w:rPr>
      </w:r>
    </w:p>
    <w:p w:rsidR="00000000" w:rsidDel="00000000" w:rsidP="00000000" w:rsidRDefault="00000000" w:rsidRPr="00000000" w14:paraId="00000018">
      <w:pPr>
        <w:spacing w:line="360" w:lineRule="auto"/>
        <w:ind w:firstLine="720"/>
        <w:rPr/>
      </w:pPr>
      <w:r w:rsidDel="00000000" w:rsidR="00000000" w:rsidRPr="00000000">
        <w:rPr>
          <w:rtl w:val="0"/>
        </w:rPr>
      </w:r>
    </w:p>
    <w:p w:rsidR="00000000" w:rsidDel="00000000" w:rsidP="00000000" w:rsidRDefault="00000000" w:rsidRPr="00000000" w14:paraId="00000019">
      <w:pPr>
        <w:spacing w:line="360" w:lineRule="auto"/>
        <w:ind w:firstLine="720"/>
        <w:rPr/>
      </w:pPr>
      <w:r w:rsidDel="00000000" w:rsidR="00000000" w:rsidRPr="00000000">
        <w:rPr>
          <w:rtl w:val="0"/>
        </w:rPr>
      </w:r>
    </w:p>
    <w:p w:rsidR="00000000" w:rsidDel="00000000" w:rsidP="00000000" w:rsidRDefault="00000000" w:rsidRPr="00000000" w14:paraId="0000001A">
      <w:pPr>
        <w:spacing w:line="360" w:lineRule="auto"/>
        <w:ind w:firstLine="720"/>
        <w:rPr/>
      </w:pPr>
      <w:r w:rsidDel="00000000" w:rsidR="00000000" w:rsidRPr="00000000">
        <w:rPr>
          <w:rtl w:val="0"/>
        </w:rPr>
      </w:r>
    </w:p>
    <w:p w:rsidR="00000000" w:rsidDel="00000000" w:rsidP="00000000" w:rsidRDefault="00000000" w:rsidRPr="00000000" w14:paraId="0000001B">
      <w:pPr>
        <w:spacing w:line="360" w:lineRule="auto"/>
        <w:ind w:firstLine="720"/>
        <w:rPr/>
      </w:pPr>
      <w:r w:rsidDel="00000000" w:rsidR="00000000" w:rsidRPr="00000000">
        <w:rPr>
          <w:rtl w:val="0"/>
        </w:rPr>
      </w:r>
    </w:p>
    <w:p w:rsidR="00000000" w:rsidDel="00000000" w:rsidP="00000000" w:rsidRDefault="00000000" w:rsidRPr="00000000" w14:paraId="0000001C">
      <w:pPr>
        <w:spacing w:line="360" w:lineRule="auto"/>
        <w:ind w:firstLine="720"/>
        <w:rPr/>
      </w:pPr>
      <w:r w:rsidDel="00000000" w:rsidR="00000000" w:rsidRPr="00000000">
        <w:rPr>
          <w:rtl w:val="0"/>
        </w:rPr>
      </w:r>
    </w:p>
    <w:p w:rsidR="00000000" w:rsidDel="00000000" w:rsidP="00000000" w:rsidRDefault="00000000" w:rsidRPr="00000000" w14:paraId="0000001D">
      <w:pPr>
        <w:spacing w:line="360" w:lineRule="auto"/>
        <w:ind w:firstLine="720"/>
        <w:rPr/>
      </w:pPr>
      <w:r w:rsidDel="00000000" w:rsidR="00000000" w:rsidRPr="00000000">
        <w:rPr>
          <w:rtl w:val="0"/>
        </w:rPr>
      </w:r>
    </w:p>
    <w:p w:rsidR="00000000" w:rsidDel="00000000" w:rsidP="00000000" w:rsidRDefault="00000000" w:rsidRPr="00000000" w14:paraId="0000001E">
      <w:pPr>
        <w:spacing w:line="360" w:lineRule="auto"/>
        <w:ind w:firstLine="720"/>
        <w:rPr/>
      </w:pPr>
      <w:r w:rsidDel="00000000" w:rsidR="00000000" w:rsidRPr="00000000">
        <w:rPr>
          <w:rtl w:val="0"/>
        </w:rPr>
      </w:r>
    </w:p>
    <w:p w:rsidR="00000000" w:rsidDel="00000000" w:rsidP="00000000" w:rsidRDefault="00000000" w:rsidRPr="00000000" w14:paraId="0000001F">
      <w:pPr>
        <w:spacing w:line="360" w:lineRule="auto"/>
        <w:ind w:firstLine="720"/>
        <w:rPr/>
      </w:pPr>
      <w:r w:rsidDel="00000000" w:rsidR="00000000" w:rsidRPr="00000000">
        <w:rPr>
          <w:rtl w:val="0"/>
        </w:rPr>
      </w:r>
    </w:p>
    <w:p w:rsidR="00000000" w:rsidDel="00000000" w:rsidP="00000000" w:rsidRDefault="00000000" w:rsidRPr="00000000" w14:paraId="00000020">
      <w:pPr>
        <w:spacing w:line="360" w:lineRule="auto"/>
        <w:ind w:firstLine="720"/>
        <w:rPr/>
      </w:pPr>
      <w:r w:rsidDel="00000000" w:rsidR="00000000" w:rsidRPr="00000000">
        <w:rPr>
          <w:rtl w:val="0"/>
        </w:rPr>
      </w:r>
    </w:p>
    <w:p w:rsidR="00000000" w:rsidDel="00000000" w:rsidP="00000000" w:rsidRDefault="00000000" w:rsidRPr="00000000" w14:paraId="00000021">
      <w:pPr>
        <w:spacing w:line="360" w:lineRule="auto"/>
        <w:ind w:firstLine="720"/>
        <w:rPr/>
      </w:pPr>
      <w:r w:rsidDel="00000000" w:rsidR="00000000" w:rsidRPr="00000000">
        <w:rPr>
          <w:rtl w:val="0"/>
        </w:rPr>
      </w:r>
    </w:p>
    <w:p w:rsidR="00000000" w:rsidDel="00000000" w:rsidP="00000000" w:rsidRDefault="00000000" w:rsidRPr="00000000" w14:paraId="00000022">
      <w:pPr>
        <w:spacing w:line="360" w:lineRule="auto"/>
        <w:ind w:firstLine="720"/>
        <w:rPr/>
      </w:pPr>
      <w:r w:rsidDel="00000000" w:rsidR="00000000" w:rsidRPr="00000000">
        <w:rPr>
          <w:rtl w:val="0"/>
        </w:rPr>
      </w:r>
    </w:p>
    <w:p w:rsidR="00000000" w:rsidDel="00000000" w:rsidP="00000000" w:rsidRDefault="00000000" w:rsidRPr="00000000" w14:paraId="00000023">
      <w:pPr>
        <w:spacing w:line="360" w:lineRule="auto"/>
        <w:ind w:firstLine="720"/>
        <w:rPr/>
      </w:pPr>
      <w:r w:rsidDel="00000000" w:rsidR="00000000" w:rsidRPr="00000000">
        <w:rPr>
          <w:rtl w:val="0"/>
        </w:rPr>
      </w:r>
    </w:p>
    <w:p w:rsidR="00000000" w:rsidDel="00000000" w:rsidP="00000000" w:rsidRDefault="00000000" w:rsidRPr="00000000" w14:paraId="00000024">
      <w:pPr>
        <w:spacing w:line="360" w:lineRule="auto"/>
        <w:ind w:firstLine="720"/>
        <w:rPr/>
      </w:pPr>
      <w:r w:rsidDel="00000000" w:rsidR="00000000" w:rsidRPr="00000000">
        <w:rPr>
          <w:rtl w:val="0"/>
        </w:rPr>
      </w:r>
    </w:p>
    <w:p w:rsidR="00000000" w:rsidDel="00000000" w:rsidP="00000000" w:rsidRDefault="00000000" w:rsidRPr="00000000" w14:paraId="00000025">
      <w:pPr>
        <w:spacing w:line="360" w:lineRule="auto"/>
        <w:ind w:firstLine="720"/>
        <w:rPr/>
      </w:pPr>
      <w:r w:rsidDel="00000000" w:rsidR="00000000" w:rsidRPr="00000000">
        <w:rPr>
          <w:rtl w:val="0"/>
        </w:rPr>
      </w:r>
    </w:p>
    <w:p w:rsidR="00000000" w:rsidDel="00000000" w:rsidP="00000000" w:rsidRDefault="00000000" w:rsidRPr="00000000" w14:paraId="00000026">
      <w:pPr>
        <w:spacing w:line="360" w:lineRule="auto"/>
        <w:ind w:firstLine="720"/>
        <w:rPr/>
      </w:pPr>
      <w:r w:rsidDel="00000000" w:rsidR="00000000" w:rsidRPr="00000000">
        <w:rPr>
          <w:rtl w:val="0"/>
        </w:rPr>
      </w:r>
    </w:p>
    <w:p w:rsidR="00000000" w:rsidDel="00000000" w:rsidP="00000000" w:rsidRDefault="00000000" w:rsidRPr="00000000" w14:paraId="00000027">
      <w:pPr>
        <w:spacing w:line="360" w:lineRule="auto"/>
        <w:ind w:firstLine="720"/>
        <w:rPr/>
      </w:pPr>
      <w:r w:rsidDel="00000000" w:rsidR="00000000" w:rsidRPr="00000000">
        <w:rPr>
          <w:rtl w:val="0"/>
        </w:rPr>
      </w:r>
    </w:p>
    <w:p w:rsidR="00000000" w:rsidDel="00000000" w:rsidP="00000000" w:rsidRDefault="00000000" w:rsidRPr="00000000" w14:paraId="00000028">
      <w:pPr>
        <w:ind w:firstLine="720"/>
        <w:rPr/>
      </w:pPr>
      <w:r w:rsidDel="00000000" w:rsidR="00000000" w:rsidRPr="00000000">
        <w:rPr>
          <w:rtl w:val="0"/>
        </w:rPr>
      </w:r>
    </w:p>
    <w:p w:rsidR="00000000" w:rsidDel="00000000" w:rsidP="00000000" w:rsidRDefault="00000000" w:rsidRPr="00000000" w14:paraId="00000029">
      <w:pPr>
        <w:ind w:firstLine="720"/>
        <w:rPr/>
      </w:pPr>
      <w:r w:rsidDel="00000000" w:rsidR="00000000" w:rsidRPr="00000000">
        <w:rPr>
          <w:rtl w:val="0"/>
        </w:rPr>
      </w:r>
    </w:p>
    <w:p w:rsidR="00000000" w:rsidDel="00000000" w:rsidP="00000000" w:rsidRDefault="00000000" w:rsidRPr="00000000" w14:paraId="0000002A">
      <w:pPr>
        <w:ind w:firstLine="720"/>
        <w:rPr/>
      </w:pPr>
      <w:r w:rsidDel="00000000" w:rsidR="00000000" w:rsidRPr="00000000">
        <w:rPr>
          <w:rtl w:val="0"/>
        </w:rPr>
      </w:r>
    </w:p>
    <w:p w:rsidR="00000000" w:rsidDel="00000000" w:rsidP="00000000" w:rsidRDefault="00000000" w:rsidRPr="00000000" w14:paraId="0000002B">
      <w:pPr>
        <w:ind w:firstLine="720"/>
        <w:rPr/>
      </w:pPr>
      <w:r w:rsidDel="00000000" w:rsidR="00000000" w:rsidRPr="00000000">
        <w:rPr>
          <w:rtl w:val="0"/>
        </w:rPr>
      </w:r>
    </w:p>
    <w:p w:rsidR="00000000" w:rsidDel="00000000" w:rsidP="00000000" w:rsidRDefault="00000000" w:rsidRPr="00000000" w14:paraId="0000002C">
      <w:pPr>
        <w:ind w:firstLine="720"/>
        <w:rPr/>
      </w:pPr>
      <w:r w:rsidDel="00000000" w:rsidR="00000000" w:rsidRPr="00000000">
        <w:rPr>
          <w:rtl w:val="0"/>
        </w:rPr>
      </w:r>
    </w:p>
    <w:p w:rsidR="00000000" w:rsidDel="00000000" w:rsidP="00000000" w:rsidRDefault="00000000" w:rsidRPr="00000000" w14:paraId="0000002D">
      <w:pPr>
        <w:ind w:firstLine="720"/>
        <w:rPr/>
      </w:pPr>
      <w:r w:rsidDel="00000000" w:rsidR="00000000" w:rsidRPr="00000000">
        <w:rPr>
          <w:rtl w:val="0"/>
        </w:rPr>
      </w:r>
    </w:p>
    <w:p w:rsidR="00000000" w:rsidDel="00000000" w:rsidP="00000000" w:rsidRDefault="00000000" w:rsidRPr="00000000" w14:paraId="0000002E">
      <w:pPr>
        <w:ind w:firstLine="720"/>
        <w:rPr/>
      </w:pPr>
      <w:r w:rsidDel="00000000" w:rsidR="00000000" w:rsidRPr="00000000">
        <w:rPr>
          <w:rtl w:val="0"/>
        </w:rPr>
      </w:r>
    </w:p>
    <w:p w:rsidR="00000000" w:rsidDel="00000000" w:rsidP="00000000" w:rsidRDefault="00000000" w:rsidRPr="00000000" w14:paraId="0000002F">
      <w:pPr>
        <w:ind w:firstLine="720"/>
        <w:rPr/>
      </w:pPr>
      <w:r w:rsidDel="00000000" w:rsidR="00000000" w:rsidRPr="00000000">
        <w:rPr>
          <w:rtl w:val="0"/>
        </w:rPr>
      </w:r>
    </w:p>
    <w:p w:rsidR="00000000" w:rsidDel="00000000" w:rsidP="00000000" w:rsidRDefault="00000000" w:rsidRPr="00000000" w14:paraId="00000030">
      <w:pPr>
        <w:jc w:val="left"/>
        <w:rPr/>
      </w:pPr>
      <w:r w:rsidDel="00000000" w:rsidR="00000000" w:rsidRPr="00000000">
        <w:rPr>
          <w:rtl w:val="0"/>
        </w:rPr>
      </w:r>
    </w:p>
    <w:p w:rsidR="00000000" w:rsidDel="00000000" w:rsidP="00000000" w:rsidRDefault="00000000" w:rsidRPr="00000000" w14:paraId="00000031">
      <w:pPr>
        <w:jc w:val="center"/>
        <w:rPr/>
      </w:pPr>
      <w:r w:rsidDel="00000000" w:rsidR="00000000" w:rsidRPr="00000000">
        <w:rPr>
          <w:rtl w:val="0"/>
        </w:rPr>
        <w:t xml:space="preserve">Bi</w:t>
      </w:r>
      <w:r w:rsidDel="00000000" w:rsidR="00000000" w:rsidRPr="00000000">
        <w:rPr>
          <w:rtl w:val="0"/>
        </w:rPr>
        <w:t xml:space="preserve">bliography.</w:t>
      </w:r>
    </w:p>
    <w:p w:rsidR="00000000" w:rsidDel="00000000" w:rsidP="00000000" w:rsidRDefault="00000000" w:rsidRPr="00000000" w14:paraId="00000032">
      <w:pPr>
        <w:jc w:val="center"/>
        <w:rPr/>
      </w:pPr>
      <w:r w:rsidDel="00000000" w:rsidR="00000000" w:rsidRPr="00000000">
        <w:rPr>
          <w:rtl w:val="0"/>
        </w:rPr>
      </w:r>
    </w:p>
    <w:p w:rsidR="00000000" w:rsidDel="00000000" w:rsidP="00000000" w:rsidRDefault="00000000" w:rsidRPr="00000000" w14:paraId="00000033">
      <w:pPr>
        <w:jc w:val="center"/>
        <w:rPr/>
      </w:pPr>
      <w:r w:rsidDel="00000000" w:rsidR="00000000" w:rsidRPr="00000000">
        <w:rPr>
          <w:rtl w:val="0"/>
        </w:rPr>
      </w:r>
    </w:p>
    <w:p w:rsidR="00000000" w:rsidDel="00000000" w:rsidP="00000000" w:rsidRDefault="00000000" w:rsidRPr="00000000" w14:paraId="00000034">
      <w:pPr>
        <w:numPr>
          <w:ilvl w:val="0"/>
          <w:numId w:val="1"/>
        </w:numPr>
        <w:ind w:left="720" w:hanging="360"/>
        <w:rPr>
          <w:u w:val="none"/>
        </w:rPr>
      </w:pPr>
      <w:r w:rsidDel="00000000" w:rsidR="00000000" w:rsidRPr="00000000">
        <w:rPr>
          <w:rtl w:val="0"/>
        </w:rPr>
        <w:t xml:space="preserve">Bell, Clive, </w:t>
      </w:r>
      <w:r w:rsidDel="00000000" w:rsidR="00000000" w:rsidRPr="00000000">
        <w:rPr>
          <w:i w:val="1"/>
          <w:rtl w:val="0"/>
        </w:rPr>
        <w:t xml:space="preserve">Art. </w:t>
      </w:r>
      <w:r w:rsidDel="00000000" w:rsidR="00000000" w:rsidRPr="00000000">
        <w:rPr>
          <w:rtl w:val="0"/>
        </w:rPr>
        <w:t xml:space="preserve">(London: Routledge 1915).</w:t>
      </w:r>
    </w:p>
    <w:p w:rsidR="00000000" w:rsidDel="00000000" w:rsidP="00000000" w:rsidRDefault="00000000" w:rsidRPr="00000000" w14:paraId="00000035">
      <w:pPr>
        <w:numPr>
          <w:ilvl w:val="0"/>
          <w:numId w:val="1"/>
        </w:numPr>
        <w:ind w:left="720" w:hanging="360"/>
        <w:rPr>
          <w:u w:val="none"/>
        </w:rPr>
      </w:pPr>
      <w:r w:rsidDel="00000000" w:rsidR="00000000" w:rsidRPr="00000000">
        <w:rPr>
          <w:rtl w:val="0"/>
        </w:rPr>
        <w:t xml:space="preserve">Collingwood, R. G., </w:t>
      </w:r>
      <w:r w:rsidDel="00000000" w:rsidR="00000000" w:rsidRPr="00000000">
        <w:rPr>
          <w:i w:val="1"/>
          <w:rtl w:val="0"/>
        </w:rPr>
        <w:t xml:space="preserve">The principles of art. </w:t>
      </w:r>
      <w:r w:rsidDel="00000000" w:rsidR="00000000" w:rsidRPr="00000000">
        <w:rPr>
          <w:rtl w:val="0"/>
        </w:rPr>
        <w:t xml:space="preserve">(London: Oxford University Press 1958)</w:t>
      </w:r>
    </w:p>
    <w:p w:rsidR="00000000" w:rsidDel="00000000" w:rsidP="00000000" w:rsidRDefault="00000000" w:rsidRPr="00000000" w14:paraId="00000036">
      <w:pPr>
        <w:numPr>
          <w:ilvl w:val="0"/>
          <w:numId w:val="1"/>
        </w:numPr>
        <w:ind w:left="720" w:hanging="360"/>
        <w:rPr>
          <w:u w:val="none"/>
        </w:rPr>
      </w:pPr>
      <w:r w:rsidDel="00000000" w:rsidR="00000000" w:rsidRPr="00000000">
        <w:rPr>
          <w:rtl w:val="0"/>
        </w:rPr>
        <w:t xml:space="preserve">Dawson, Paul, </w:t>
      </w:r>
      <w:r w:rsidDel="00000000" w:rsidR="00000000" w:rsidRPr="00000000">
        <w:rPr>
          <w:i w:val="1"/>
          <w:rtl w:val="0"/>
        </w:rPr>
        <w:t xml:space="preserve">Creative Writing and the New Humanities</w:t>
      </w:r>
      <w:r w:rsidDel="00000000" w:rsidR="00000000" w:rsidRPr="00000000">
        <w:rPr>
          <w:rtl w:val="0"/>
        </w:rPr>
        <w:t xml:space="preserve"> (Oxford: Routledge, 2004).</w:t>
      </w:r>
    </w:p>
    <w:p w:rsidR="00000000" w:rsidDel="00000000" w:rsidP="00000000" w:rsidRDefault="00000000" w:rsidRPr="00000000" w14:paraId="00000037">
      <w:pPr>
        <w:numPr>
          <w:ilvl w:val="0"/>
          <w:numId w:val="1"/>
        </w:numPr>
        <w:ind w:left="720" w:hanging="360"/>
      </w:pPr>
      <w:r w:rsidDel="00000000" w:rsidR="00000000" w:rsidRPr="00000000">
        <w:rPr>
          <w:rtl w:val="0"/>
        </w:rPr>
        <w:t xml:space="preserve">Grainger, Goouch and Lambirth, </w:t>
      </w:r>
      <w:r w:rsidDel="00000000" w:rsidR="00000000" w:rsidRPr="00000000">
        <w:rPr>
          <w:i w:val="1"/>
          <w:rtl w:val="0"/>
        </w:rPr>
        <w:t xml:space="preserve">Creativity and writing: Developing voice and verve in the classroom</w:t>
      </w:r>
      <w:r w:rsidDel="00000000" w:rsidR="00000000" w:rsidRPr="00000000">
        <w:rPr>
          <w:rtl w:val="0"/>
        </w:rPr>
        <w:t xml:space="preserve"> (London: Routledge 2005)</w:t>
      </w:r>
    </w:p>
    <w:p w:rsidR="00000000" w:rsidDel="00000000" w:rsidP="00000000" w:rsidRDefault="00000000" w:rsidRPr="00000000" w14:paraId="00000038">
      <w:pPr>
        <w:numPr>
          <w:ilvl w:val="0"/>
          <w:numId w:val="1"/>
        </w:numPr>
        <w:ind w:left="720" w:hanging="360"/>
      </w:pPr>
      <w:r w:rsidDel="00000000" w:rsidR="00000000" w:rsidRPr="00000000">
        <w:rPr>
          <w:rtl w:val="0"/>
        </w:rPr>
        <w:t xml:space="preserve">Hilton, ‘Writing process and progress: Where do we go from here?’ </w:t>
      </w:r>
      <w:r w:rsidDel="00000000" w:rsidR="00000000" w:rsidRPr="00000000">
        <w:rPr>
          <w:i w:val="1"/>
          <w:rtl w:val="0"/>
        </w:rPr>
        <w:t xml:space="preserve">English in Education</w:t>
      </w:r>
      <w:r w:rsidDel="00000000" w:rsidR="00000000" w:rsidRPr="00000000">
        <w:rPr>
          <w:rtl w:val="0"/>
        </w:rPr>
        <w:t xml:space="preserve">, 35 (2001) pp.4-12</w:t>
      </w:r>
    </w:p>
    <w:p w:rsidR="00000000" w:rsidDel="00000000" w:rsidP="00000000" w:rsidRDefault="00000000" w:rsidRPr="00000000" w14:paraId="00000039">
      <w:pPr>
        <w:numPr>
          <w:ilvl w:val="0"/>
          <w:numId w:val="1"/>
        </w:numPr>
        <w:ind w:left="720" w:hanging="360"/>
        <w:rPr>
          <w:u w:val="none"/>
        </w:rPr>
      </w:pPr>
      <w:r w:rsidDel="00000000" w:rsidR="00000000" w:rsidRPr="00000000">
        <w:rPr>
          <w:rtl w:val="0"/>
        </w:rPr>
        <w:t xml:space="preserve">Oakeshott, Michael, </w:t>
      </w:r>
      <w:r w:rsidDel="00000000" w:rsidR="00000000" w:rsidRPr="00000000">
        <w:rPr>
          <w:i w:val="1"/>
          <w:rtl w:val="0"/>
        </w:rPr>
        <w:t xml:space="preserve">Experience and its modes </w:t>
      </w:r>
      <w:r w:rsidDel="00000000" w:rsidR="00000000" w:rsidRPr="00000000">
        <w:rPr>
          <w:rtl w:val="0"/>
        </w:rPr>
        <w:t xml:space="preserve">(Cambridge: Cambridge University Press 1933)</w:t>
      </w:r>
    </w:p>
    <w:p w:rsidR="00000000" w:rsidDel="00000000" w:rsidP="00000000" w:rsidRDefault="00000000" w:rsidRPr="00000000" w14:paraId="0000003A">
      <w:pPr>
        <w:numPr>
          <w:ilvl w:val="0"/>
          <w:numId w:val="1"/>
        </w:numPr>
        <w:ind w:left="720" w:hanging="360"/>
      </w:pPr>
      <w:r w:rsidDel="00000000" w:rsidR="00000000" w:rsidRPr="00000000">
        <w:rPr>
          <w:rtl w:val="0"/>
        </w:rPr>
        <w:t xml:space="preserve">Wang, Lu, ‘Rethinking the significance of creative writing: a neglected art form behind the language learning curriculum’, </w:t>
      </w:r>
      <w:r w:rsidDel="00000000" w:rsidR="00000000" w:rsidRPr="00000000">
        <w:rPr>
          <w:i w:val="1"/>
          <w:rtl w:val="0"/>
        </w:rPr>
        <w:t xml:space="preserve">Cambridge Open-Review Educational Research e-Journal, </w:t>
      </w:r>
      <w:r w:rsidDel="00000000" w:rsidR="00000000" w:rsidRPr="00000000">
        <w:rPr>
          <w:rtl w:val="0"/>
        </w:rPr>
        <w:t xml:space="preserve">Vol. 6 (2019), pp. 110-122.</w:t>
      </w:r>
    </w:p>
    <w:p w:rsidR="00000000" w:rsidDel="00000000" w:rsidP="00000000" w:rsidRDefault="00000000" w:rsidRPr="00000000" w14:paraId="0000003B">
      <w:pPr>
        <w:numPr>
          <w:ilvl w:val="0"/>
          <w:numId w:val="1"/>
        </w:numPr>
        <w:ind w:left="720" w:hanging="360"/>
        <w:rPr>
          <w:u w:val="none"/>
        </w:rPr>
      </w:pPr>
      <w:r w:rsidDel="00000000" w:rsidR="00000000" w:rsidRPr="00000000">
        <w:rPr>
          <w:rtl w:val="0"/>
        </w:rPr>
        <w:t xml:space="preserve">Warburton, Nigel, </w:t>
      </w:r>
      <w:r w:rsidDel="00000000" w:rsidR="00000000" w:rsidRPr="00000000">
        <w:rPr>
          <w:i w:val="1"/>
          <w:rtl w:val="0"/>
        </w:rPr>
        <w:t xml:space="preserve">The Art Question</w:t>
      </w:r>
      <w:r w:rsidDel="00000000" w:rsidR="00000000" w:rsidRPr="00000000">
        <w:rPr>
          <w:rtl w:val="0"/>
        </w:rPr>
        <w:t xml:space="preserve"> (Oxford: Routledge, 2003).</w:t>
      </w:r>
      <w:r w:rsidDel="00000000" w:rsidR="00000000" w:rsidRPr="00000000">
        <w:rPr>
          <w:rtl w:val="0"/>
        </w:rPr>
      </w:r>
    </w:p>
    <w:p w:rsidR="00000000" w:rsidDel="00000000" w:rsidP="00000000" w:rsidRDefault="00000000" w:rsidRPr="00000000" w14:paraId="0000003C">
      <w:pPr>
        <w:numPr>
          <w:ilvl w:val="0"/>
          <w:numId w:val="1"/>
        </w:numPr>
        <w:ind w:left="720" w:hanging="360"/>
        <w:rPr>
          <w:u w:val="none"/>
        </w:rPr>
      </w:pPr>
      <w:r w:rsidDel="00000000" w:rsidR="00000000" w:rsidRPr="00000000">
        <w:rPr>
          <w:rtl w:val="0"/>
        </w:rPr>
        <w:t xml:space="preserve">Winston, Joe, </w:t>
      </w:r>
      <w:r w:rsidDel="00000000" w:rsidR="00000000" w:rsidRPr="00000000">
        <w:rPr>
          <w:i w:val="1"/>
          <w:rtl w:val="0"/>
        </w:rPr>
        <w:t xml:space="preserve">Beauty and Education</w:t>
      </w:r>
      <w:r w:rsidDel="00000000" w:rsidR="00000000" w:rsidRPr="00000000">
        <w:rPr>
          <w:rtl w:val="0"/>
        </w:rPr>
        <w:t xml:space="preserve"> (London: Routledge 2011)</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Nigel Warburton, </w:t>
      </w:r>
      <w:r w:rsidDel="00000000" w:rsidR="00000000" w:rsidRPr="00000000">
        <w:rPr>
          <w:i w:val="1"/>
          <w:sz w:val="20"/>
          <w:szCs w:val="20"/>
          <w:rtl w:val="0"/>
        </w:rPr>
        <w:t xml:space="preserve">The art question </w:t>
      </w:r>
      <w:r w:rsidDel="00000000" w:rsidR="00000000" w:rsidRPr="00000000">
        <w:rPr>
          <w:sz w:val="20"/>
          <w:szCs w:val="20"/>
          <w:rtl w:val="0"/>
        </w:rPr>
        <w:t xml:space="preserve">(London: Routledge 2003)</w:t>
      </w:r>
      <w:r w:rsidDel="00000000" w:rsidR="00000000" w:rsidRPr="00000000">
        <w:rPr>
          <w:rtl w:val="0"/>
        </w:rPr>
      </w:r>
    </w:p>
  </w:footnote>
  <w:footnote w:id="1">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Lu Wang, ‘Rethinking the significance of creative writing: a neglected art form behind the language learning curriculum’, </w:t>
      </w:r>
      <w:r w:rsidDel="00000000" w:rsidR="00000000" w:rsidRPr="00000000">
        <w:rPr>
          <w:i w:val="1"/>
          <w:sz w:val="20"/>
          <w:szCs w:val="20"/>
          <w:rtl w:val="0"/>
        </w:rPr>
        <w:t xml:space="preserve">Cambridge Open-Review Educational Research e-Journal</w:t>
      </w:r>
      <w:r w:rsidDel="00000000" w:rsidR="00000000" w:rsidRPr="00000000">
        <w:rPr>
          <w:sz w:val="20"/>
          <w:szCs w:val="20"/>
          <w:rtl w:val="0"/>
        </w:rPr>
        <w:t xml:space="preserve">, 6. (2019) 110-122 (pp. 112)</w:t>
      </w:r>
    </w:p>
  </w:footnote>
  <w:footnote w:id="2">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Clive Bell, </w:t>
      </w:r>
      <w:r w:rsidDel="00000000" w:rsidR="00000000" w:rsidRPr="00000000">
        <w:rPr>
          <w:i w:val="1"/>
          <w:sz w:val="20"/>
          <w:szCs w:val="20"/>
          <w:rtl w:val="0"/>
        </w:rPr>
        <w:t xml:space="preserve">Art.</w:t>
      </w:r>
      <w:r w:rsidDel="00000000" w:rsidR="00000000" w:rsidRPr="00000000">
        <w:rPr>
          <w:sz w:val="20"/>
          <w:szCs w:val="20"/>
          <w:rtl w:val="0"/>
        </w:rPr>
        <w:t xml:space="preserve"> (London: Chatto and Windus 1915)</w:t>
      </w:r>
    </w:p>
  </w:footnote>
  <w:footnote w:id="3">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 G. Collingwood, </w:t>
      </w:r>
      <w:r w:rsidDel="00000000" w:rsidR="00000000" w:rsidRPr="00000000">
        <w:rPr>
          <w:i w:val="1"/>
          <w:sz w:val="20"/>
          <w:szCs w:val="20"/>
          <w:rtl w:val="0"/>
        </w:rPr>
        <w:t xml:space="preserve">The principles of art. </w:t>
      </w:r>
      <w:r w:rsidDel="00000000" w:rsidR="00000000" w:rsidRPr="00000000">
        <w:rPr>
          <w:sz w:val="20"/>
          <w:szCs w:val="20"/>
          <w:rtl w:val="0"/>
        </w:rPr>
        <w:t xml:space="preserve">(London: Oxford University Press 1958)</w:t>
      </w:r>
    </w:p>
  </w:footnote>
  <w:footnote w:id="4">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112</w:t>
      </w:r>
    </w:p>
  </w:footnote>
  <w:footnote w:id="5">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112</w:t>
      </w:r>
    </w:p>
  </w:footnote>
  <w:footnote w:id="6">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113</w:t>
      </w:r>
    </w:p>
  </w:footnote>
  <w:footnote w:id="7">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113</w:t>
      </w:r>
    </w:p>
  </w:footnote>
  <w:footnote w:id="8">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113</w:t>
      </w:r>
    </w:p>
  </w:footnote>
  <w:footnote w:id="9">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Paul Dawson, </w:t>
      </w:r>
      <w:r w:rsidDel="00000000" w:rsidR="00000000" w:rsidRPr="00000000">
        <w:rPr>
          <w:i w:val="1"/>
          <w:sz w:val="20"/>
          <w:szCs w:val="20"/>
          <w:rtl w:val="0"/>
        </w:rPr>
        <w:t xml:space="preserve">Creative Writing and the new humanities</w:t>
      </w:r>
      <w:r w:rsidDel="00000000" w:rsidR="00000000" w:rsidRPr="00000000">
        <w:rPr>
          <w:sz w:val="20"/>
          <w:szCs w:val="20"/>
          <w:rtl w:val="0"/>
        </w:rPr>
        <w:t xml:space="preserve"> (London: Routledge 2005)</w:t>
      </w:r>
    </w:p>
  </w:footnote>
  <w:footnote w:id="10">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Sybil Marshall, </w:t>
      </w:r>
      <w:r w:rsidDel="00000000" w:rsidR="00000000" w:rsidRPr="00000000">
        <w:rPr>
          <w:i w:val="1"/>
          <w:sz w:val="20"/>
          <w:szCs w:val="20"/>
          <w:rtl w:val="0"/>
        </w:rPr>
        <w:t xml:space="preserve">Creative Writing</w:t>
      </w:r>
      <w:r w:rsidDel="00000000" w:rsidR="00000000" w:rsidRPr="00000000">
        <w:rPr>
          <w:sz w:val="20"/>
          <w:szCs w:val="20"/>
          <w:rtl w:val="0"/>
        </w:rPr>
        <w:t xml:space="preserve"> (London: Macmillan 1974)</w:t>
      </w:r>
    </w:p>
  </w:footnote>
  <w:footnote w:id="11">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113</w:t>
      </w:r>
    </w:p>
  </w:footnote>
  <w:footnote w:id="12">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114</w:t>
      </w:r>
    </w:p>
  </w:footnote>
  <w:footnote w:id="13">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114</w:t>
      </w:r>
    </w:p>
  </w:footnote>
  <w:footnote w:id="14">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114</w:t>
      </w:r>
    </w:p>
  </w:footnote>
  <w:footnote w:id="15">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115</w:t>
      </w:r>
    </w:p>
  </w:footnote>
  <w:footnote w:id="16">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116</w:t>
      </w:r>
    </w:p>
  </w:footnote>
  <w:footnote w:id="17">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116</w:t>
      </w:r>
    </w:p>
  </w:footnote>
  <w:footnote w:id="18">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116</w:t>
      </w:r>
    </w:p>
  </w:footnote>
  <w:footnote w:id="19">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Joe Winston, </w:t>
      </w:r>
      <w:r w:rsidDel="00000000" w:rsidR="00000000" w:rsidRPr="00000000">
        <w:rPr>
          <w:i w:val="1"/>
          <w:sz w:val="20"/>
          <w:szCs w:val="20"/>
          <w:rtl w:val="0"/>
        </w:rPr>
        <w:t xml:space="preserve">Beauty and education </w:t>
      </w:r>
      <w:r w:rsidDel="00000000" w:rsidR="00000000" w:rsidRPr="00000000">
        <w:rPr>
          <w:sz w:val="20"/>
          <w:szCs w:val="20"/>
          <w:rtl w:val="0"/>
        </w:rPr>
        <w:t xml:space="preserve">(London: Routledge 2011)</w:t>
      </w:r>
    </w:p>
  </w:footnote>
  <w:footnote w:id="20">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Michael Oakeshott, </w:t>
      </w:r>
      <w:r w:rsidDel="00000000" w:rsidR="00000000" w:rsidRPr="00000000">
        <w:rPr>
          <w:i w:val="1"/>
          <w:sz w:val="20"/>
          <w:szCs w:val="20"/>
          <w:rtl w:val="0"/>
        </w:rPr>
        <w:t xml:space="preserve">Experience and its modes</w:t>
      </w:r>
      <w:r w:rsidDel="00000000" w:rsidR="00000000" w:rsidRPr="00000000">
        <w:rPr>
          <w:sz w:val="20"/>
          <w:szCs w:val="20"/>
          <w:rtl w:val="0"/>
        </w:rPr>
        <w:t xml:space="preserve"> (Cambridge: Cambridge University Press 1933)</w:t>
      </w:r>
    </w:p>
  </w:footnote>
  <w:footnote w:id="21">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117</w:t>
      </w:r>
    </w:p>
  </w:footnote>
  <w:footnote w:id="22">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118</w:t>
      </w:r>
    </w:p>
  </w:footnote>
  <w:footnote w:id="23">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Hilton, ‘Writing process and progress: Where do we go from here?, </w:t>
      </w:r>
      <w:r w:rsidDel="00000000" w:rsidR="00000000" w:rsidRPr="00000000">
        <w:rPr>
          <w:i w:val="1"/>
          <w:sz w:val="20"/>
          <w:szCs w:val="20"/>
          <w:rtl w:val="0"/>
        </w:rPr>
        <w:t xml:space="preserve">English in Education, </w:t>
      </w:r>
      <w:r w:rsidDel="00000000" w:rsidR="00000000" w:rsidRPr="00000000">
        <w:rPr>
          <w:sz w:val="20"/>
          <w:szCs w:val="20"/>
          <w:rtl w:val="0"/>
        </w:rPr>
        <w:t xml:space="preserve">35. (2001) 4-12.</w:t>
      </w:r>
    </w:p>
  </w:footnote>
  <w:footnote w:id="24">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Grainger, Goouch and Lambirth, </w:t>
      </w:r>
      <w:r w:rsidDel="00000000" w:rsidR="00000000" w:rsidRPr="00000000">
        <w:rPr>
          <w:i w:val="1"/>
          <w:sz w:val="20"/>
          <w:szCs w:val="20"/>
          <w:rtl w:val="0"/>
        </w:rPr>
        <w:t xml:space="preserve">Creativity and writing: Developing voice and verve in the classroom </w:t>
      </w:r>
      <w:r w:rsidDel="00000000" w:rsidR="00000000" w:rsidRPr="00000000">
        <w:rPr>
          <w:sz w:val="20"/>
          <w:szCs w:val="20"/>
          <w:rtl w:val="0"/>
        </w:rPr>
        <w:t xml:space="preserve">(London: Routledge 2005)</w:t>
      </w:r>
    </w:p>
  </w:footnote>
  <w:footnote w:id="25">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.Wang, Ibid., pp. 120</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