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44A2" w:rsidRPr="000B4301" w:rsidRDefault="00C444A2" w:rsidP="00C444A2">
      <w:pPr>
        <w:rPr>
          <w:rFonts w:ascii="Century" w:hAnsi="Century"/>
          <w:sz w:val="24"/>
          <w:szCs w:val="24"/>
        </w:rPr>
      </w:pPr>
      <w:r w:rsidRPr="000B4301">
        <w:rPr>
          <w:rFonts w:ascii="Century" w:hAnsi="Century"/>
          <w:sz w:val="24"/>
          <w:szCs w:val="24"/>
          <w:u w:val="single"/>
        </w:rPr>
        <w:t xml:space="preserve">In what ways can </w:t>
      </w:r>
      <w:proofErr w:type="gramStart"/>
      <w:r w:rsidRPr="000B4301">
        <w:rPr>
          <w:rFonts w:ascii="Century" w:hAnsi="Century"/>
          <w:sz w:val="24"/>
          <w:szCs w:val="24"/>
          <w:u w:val="single"/>
        </w:rPr>
        <w:t>touring</w:t>
      </w:r>
      <w:proofErr w:type="gramEnd"/>
      <w:r w:rsidRPr="000B4301">
        <w:rPr>
          <w:rFonts w:ascii="Century" w:hAnsi="Century"/>
          <w:sz w:val="24"/>
          <w:szCs w:val="24"/>
          <w:u w:val="single"/>
        </w:rPr>
        <w:t xml:space="preserve"> </w:t>
      </w:r>
      <w:r w:rsidR="008A5A8C" w:rsidRPr="000B4301">
        <w:rPr>
          <w:rFonts w:ascii="Century" w:hAnsi="Century"/>
          <w:sz w:val="24"/>
          <w:szCs w:val="24"/>
          <w:u w:val="single"/>
        </w:rPr>
        <w:t>theat</w:t>
      </w:r>
      <w:r w:rsidR="00FC06F8" w:rsidRPr="000B4301">
        <w:rPr>
          <w:rFonts w:ascii="Century" w:hAnsi="Century"/>
          <w:sz w:val="24"/>
          <w:szCs w:val="24"/>
          <w:u w:val="single"/>
        </w:rPr>
        <w:t>re affect</w:t>
      </w:r>
      <w:r w:rsidRPr="000B4301">
        <w:rPr>
          <w:rFonts w:ascii="Century" w:hAnsi="Century"/>
          <w:sz w:val="24"/>
          <w:szCs w:val="24"/>
          <w:u w:val="single"/>
        </w:rPr>
        <w:t xml:space="preserve"> its audience in terms of addressing social, political and cultural issues? Base your response on your specific piece of theatre you are creating</w:t>
      </w:r>
      <w:r w:rsidR="00664400" w:rsidRPr="000B4301">
        <w:rPr>
          <w:rFonts w:ascii="Century" w:hAnsi="Century"/>
          <w:sz w:val="24"/>
          <w:szCs w:val="24"/>
        </w:rPr>
        <w:t>.</w:t>
      </w:r>
    </w:p>
    <w:p w:rsidR="001237CD" w:rsidRDefault="00BB4FFC">
      <w:pPr>
        <w:rPr>
          <w:rFonts w:ascii="Century" w:hAnsi="Century"/>
        </w:rPr>
      </w:pPr>
      <w:r>
        <w:rPr>
          <w:rFonts w:ascii="Century" w:hAnsi="Century"/>
        </w:rPr>
        <w:t xml:space="preserve">In this essay I will </w:t>
      </w:r>
      <w:r w:rsidR="000D30B3">
        <w:rPr>
          <w:rFonts w:ascii="Century" w:hAnsi="Century"/>
        </w:rPr>
        <w:t>draw upon the different</w:t>
      </w:r>
      <w:r>
        <w:rPr>
          <w:rFonts w:ascii="Century" w:hAnsi="Century"/>
        </w:rPr>
        <w:t xml:space="preserve"> issues that </w:t>
      </w:r>
      <w:r w:rsidR="00C444A2">
        <w:rPr>
          <w:rFonts w:ascii="Century" w:hAnsi="Century"/>
        </w:rPr>
        <w:t>t</w:t>
      </w:r>
      <w:r>
        <w:rPr>
          <w:rFonts w:ascii="Century" w:hAnsi="Century"/>
        </w:rPr>
        <w:t>ouring theatre companies</w:t>
      </w:r>
      <w:r w:rsidR="00C444A2">
        <w:rPr>
          <w:rFonts w:ascii="Century" w:hAnsi="Century"/>
        </w:rPr>
        <w:t xml:space="preserve"> can address</w:t>
      </w:r>
      <w:r w:rsidR="00F03A5C">
        <w:rPr>
          <w:rFonts w:ascii="Century" w:hAnsi="Century"/>
        </w:rPr>
        <w:t>. The piece</w:t>
      </w:r>
      <w:r w:rsidR="00C444A2">
        <w:rPr>
          <w:rFonts w:ascii="Century" w:hAnsi="Century"/>
        </w:rPr>
        <w:t xml:space="preserve"> we are creating </w:t>
      </w:r>
      <w:r>
        <w:rPr>
          <w:rFonts w:ascii="Century" w:hAnsi="Century"/>
        </w:rPr>
        <w:t>looks into i</w:t>
      </w:r>
      <w:r w:rsidR="00C5138A">
        <w:rPr>
          <w:rFonts w:ascii="Century" w:hAnsi="Century"/>
        </w:rPr>
        <w:t>dentity,</w:t>
      </w:r>
      <w:r w:rsidR="00C444A2">
        <w:rPr>
          <w:rFonts w:ascii="Century" w:hAnsi="Century"/>
        </w:rPr>
        <w:t xml:space="preserve"> </w:t>
      </w:r>
      <w:r>
        <w:rPr>
          <w:rFonts w:ascii="Century" w:hAnsi="Century"/>
        </w:rPr>
        <w:t>reminisce</w:t>
      </w:r>
      <w:r w:rsidR="001835DC">
        <w:rPr>
          <w:rFonts w:ascii="Century" w:hAnsi="Century"/>
        </w:rPr>
        <w:t>nce a</w:t>
      </w:r>
      <w:r w:rsidR="00C5138A">
        <w:rPr>
          <w:rFonts w:ascii="Century" w:hAnsi="Century"/>
        </w:rPr>
        <w:t>nd imagination</w:t>
      </w:r>
      <w:r w:rsidR="001835DC">
        <w:rPr>
          <w:rFonts w:ascii="Century" w:hAnsi="Century"/>
        </w:rPr>
        <w:t>. I shall begin by exploring</w:t>
      </w:r>
      <w:r w:rsidR="00C444A2">
        <w:rPr>
          <w:rFonts w:ascii="Century" w:hAnsi="Century"/>
        </w:rPr>
        <w:t xml:space="preserve"> the social issues and how we </w:t>
      </w:r>
      <w:r w:rsidR="001835DC">
        <w:rPr>
          <w:rFonts w:ascii="Century" w:hAnsi="Century"/>
        </w:rPr>
        <w:t xml:space="preserve">will incorporate them into </w:t>
      </w:r>
      <w:r w:rsidR="00C444A2">
        <w:rPr>
          <w:rFonts w:ascii="Century" w:hAnsi="Century"/>
        </w:rPr>
        <w:t>our piece.</w:t>
      </w:r>
    </w:p>
    <w:p w:rsidR="00794471" w:rsidRDefault="00C5138A">
      <w:pPr>
        <w:rPr>
          <w:rFonts w:ascii="Century" w:hAnsi="Century"/>
          <w:b/>
          <w:i/>
        </w:rPr>
      </w:pPr>
      <w:r w:rsidRPr="00B97AF5">
        <w:rPr>
          <w:rFonts w:ascii="Century" w:hAnsi="Century"/>
          <w:b/>
          <w:i/>
        </w:rPr>
        <w:t>“The</w:t>
      </w:r>
      <w:r w:rsidRPr="00971C66">
        <w:rPr>
          <w:rFonts w:ascii="Century" w:hAnsi="Century"/>
          <w:b/>
          <w:i/>
        </w:rPr>
        <w:t xml:space="preserve"> research findings suggest that youth theatre has a number of important functions for young people, positively contributing to their </w:t>
      </w:r>
      <w:r w:rsidR="002B130A">
        <w:rPr>
          <w:rFonts w:ascii="Century" w:hAnsi="Century"/>
          <w:b/>
          <w:i/>
        </w:rPr>
        <w:t xml:space="preserve">personal and social </w:t>
      </w:r>
      <w:r w:rsidR="00FF4520">
        <w:rPr>
          <w:rFonts w:ascii="Century" w:hAnsi="Century"/>
          <w:b/>
          <w:i/>
        </w:rPr>
        <w:t>development</w:t>
      </w:r>
      <w:r w:rsidR="007F13C1">
        <w:rPr>
          <w:rStyle w:val="FootnoteReference"/>
          <w:rFonts w:ascii="Century" w:hAnsi="Century"/>
          <w:b/>
          <w:i/>
        </w:rPr>
        <w:footnoteReference w:id="1"/>
      </w:r>
      <w:r w:rsidR="00971C66" w:rsidRPr="00971C66">
        <w:rPr>
          <w:rFonts w:ascii="Century" w:hAnsi="Century"/>
          <w:b/>
          <w:i/>
        </w:rPr>
        <w:t>”</w:t>
      </w:r>
      <w:r w:rsidR="002B130A">
        <w:rPr>
          <w:rFonts w:ascii="Century" w:hAnsi="Century"/>
          <w:b/>
          <w:i/>
        </w:rPr>
        <w:t>.</w:t>
      </w:r>
      <w:r w:rsidR="00971C66">
        <w:rPr>
          <w:rFonts w:ascii="Century" w:hAnsi="Century"/>
          <w:i/>
        </w:rPr>
        <w:t xml:space="preserve"> </w:t>
      </w:r>
      <w:r w:rsidR="00971C66">
        <w:rPr>
          <w:rFonts w:ascii="Century" w:hAnsi="Century"/>
        </w:rPr>
        <w:t>In our specific</w:t>
      </w:r>
      <w:r w:rsidR="00F03A5C">
        <w:rPr>
          <w:rFonts w:ascii="Century" w:hAnsi="Century"/>
        </w:rPr>
        <w:t xml:space="preserve"> piece </w:t>
      </w:r>
      <w:r w:rsidR="00E613D8">
        <w:rPr>
          <w:rFonts w:ascii="Century" w:hAnsi="Century"/>
        </w:rPr>
        <w:t>of theatre,</w:t>
      </w:r>
      <w:r w:rsidR="00F03A5C">
        <w:rPr>
          <w:rFonts w:ascii="Century" w:hAnsi="Century"/>
        </w:rPr>
        <w:t xml:space="preserve"> we </w:t>
      </w:r>
      <w:r w:rsidR="001835DC">
        <w:rPr>
          <w:rFonts w:ascii="Century" w:hAnsi="Century"/>
        </w:rPr>
        <w:t xml:space="preserve">explore the </w:t>
      </w:r>
      <w:r w:rsidR="00971C66">
        <w:rPr>
          <w:rFonts w:ascii="Century" w:hAnsi="Century"/>
        </w:rPr>
        <w:t>social development of our younger self</w:t>
      </w:r>
      <w:r w:rsidR="00E613D8">
        <w:rPr>
          <w:rFonts w:ascii="Century" w:hAnsi="Century"/>
        </w:rPr>
        <w:t xml:space="preserve">. </w:t>
      </w:r>
      <w:r w:rsidR="001835DC">
        <w:rPr>
          <w:rFonts w:ascii="Century" w:hAnsi="Century"/>
        </w:rPr>
        <w:t xml:space="preserve">An example of such social </w:t>
      </w:r>
      <w:r w:rsidR="00F03A5C">
        <w:rPr>
          <w:rFonts w:ascii="Century" w:hAnsi="Century"/>
        </w:rPr>
        <w:t>development can</w:t>
      </w:r>
      <w:r w:rsidR="001835DC">
        <w:rPr>
          <w:rFonts w:ascii="Century" w:hAnsi="Century"/>
        </w:rPr>
        <w:t xml:space="preserve"> be observed through the example of </w:t>
      </w:r>
      <w:r w:rsidR="00664400">
        <w:rPr>
          <w:rFonts w:ascii="Century" w:hAnsi="Century"/>
        </w:rPr>
        <w:t>Thom talking</w:t>
      </w:r>
      <w:r w:rsidR="00971C66">
        <w:rPr>
          <w:rFonts w:ascii="Century" w:hAnsi="Century"/>
        </w:rPr>
        <w:t xml:space="preserve"> about his first teddy</w:t>
      </w:r>
      <w:r w:rsidR="00664400">
        <w:rPr>
          <w:rFonts w:ascii="Century" w:hAnsi="Century"/>
        </w:rPr>
        <w:t>, detailing</w:t>
      </w:r>
      <w:r w:rsidR="00971C66">
        <w:rPr>
          <w:rFonts w:ascii="Century" w:hAnsi="Century"/>
        </w:rPr>
        <w:t xml:space="preserve"> how he locked him away for a year </w:t>
      </w:r>
      <w:r w:rsidR="00CA10ED">
        <w:rPr>
          <w:rFonts w:ascii="Century" w:hAnsi="Century"/>
        </w:rPr>
        <w:t xml:space="preserve">believing </w:t>
      </w:r>
      <w:r w:rsidR="00664400">
        <w:rPr>
          <w:rFonts w:ascii="Century" w:hAnsi="Century"/>
        </w:rPr>
        <w:t>he was too old</w:t>
      </w:r>
      <w:r w:rsidR="0031380A">
        <w:rPr>
          <w:rFonts w:ascii="Century" w:hAnsi="Century"/>
        </w:rPr>
        <w:t>, too masculine to have a teddy</w:t>
      </w:r>
      <w:r w:rsidR="005B1C8D">
        <w:rPr>
          <w:rFonts w:ascii="Century" w:hAnsi="Century"/>
        </w:rPr>
        <w:t xml:space="preserve">. This highlights </w:t>
      </w:r>
      <w:r w:rsidR="00664400">
        <w:rPr>
          <w:rFonts w:ascii="Century" w:hAnsi="Century"/>
        </w:rPr>
        <w:t>the personal and social development of his younger self</w:t>
      </w:r>
      <w:r w:rsidR="001835DC">
        <w:rPr>
          <w:rFonts w:ascii="Century" w:hAnsi="Century"/>
        </w:rPr>
        <w:t xml:space="preserve">, affected </w:t>
      </w:r>
      <w:r w:rsidR="00E613D8">
        <w:rPr>
          <w:rFonts w:ascii="Century" w:hAnsi="Century"/>
        </w:rPr>
        <w:t xml:space="preserve">by the </w:t>
      </w:r>
      <w:r w:rsidR="001835DC">
        <w:rPr>
          <w:rFonts w:ascii="Century" w:hAnsi="Century"/>
        </w:rPr>
        <w:t>social constraints of gender expectations</w:t>
      </w:r>
      <w:r w:rsidR="00664400">
        <w:rPr>
          <w:rFonts w:ascii="Century" w:hAnsi="Century"/>
        </w:rPr>
        <w:t>. Through employing stories such as th</w:t>
      </w:r>
      <w:r w:rsidR="005B1C8D">
        <w:rPr>
          <w:rFonts w:ascii="Century" w:hAnsi="Century"/>
        </w:rPr>
        <w:t xml:space="preserve">e example given, it enables </w:t>
      </w:r>
      <w:r w:rsidR="00664400">
        <w:rPr>
          <w:rFonts w:ascii="Century" w:hAnsi="Century"/>
        </w:rPr>
        <w:t>performers to communicate with the audience how one experience changes throughout the</w:t>
      </w:r>
      <w:r w:rsidR="0031380A">
        <w:rPr>
          <w:rFonts w:ascii="Century" w:hAnsi="Century"/>
        </w:rPr>
        <w:t>ir life</w:t>
      </w:r>
      <w:r w:rsidR="00D73687">
        <w:rPr>
          <w:rFonts w:ascii="Century" w:hAnsi="Century"/>
          <w:b/>
          <w:i/>
        </w:rPr>
        <w:t>. “</w:t>
      </w:r>
      <w:r w:rsidR="00743728" w:rsidRPr="00743728">
        <w:rPr>
          <w:rFonts w:ascii="Century" w:hAnsi="Century"/>
          <w:b/>
          <w:i/>
        </w:rPr>
        <w:t>Children start facing norms that define “masculine” and “feminine” from an early ag</w:t>
      </w:r>
      <w:r w:rsidR="001835DC">
        <w:rPr>
          <w:rFonts w:ascii="Century" w:hAnsi="Century"/>
          <w:b/>
          <w:i/>
        </w:rPr>
        <w:t>e. </w:t>
      </w:r>
      <w:r w:rsidR="00743728" w:rsidRPr="00743728">
        <w:rPr>
          <w:rFonts w:ascii="Century" w:hAnsi="Century"/>
          <w:b/>
          <w:i/>
        </w:rPr>
        <w:t>Boys are told not to cry, not to fear, not to be forgiving and inst</w:t>
      </w:r>
      <w:r w:rsidR="002B130A">
        <w:rPr>
          <w:rFonts w:ascii="Century" w:hAnsi="Century"/>
          <w:b/>
          <w:i/>
        </w:rPr>
        <w:t>ead to be assertive, and strong</w:t>
      </w:r>
      <w:r w:rsidR="007F13C1">
        <w:rPr>
          <w:rStyle w:val="FootnoteReference"/>
          <w:rFonts w:ascii="Century" w:hAnsi="Century"/>
          <w:b/>
          <w:i/>
        </w:rPr>
        <w:footnoteReference w:id="2"/>
      </w:r>
      <w:r w:rsidR="00E613D8">
        <w:rPr>
          <w:rFonts w:ascii="Century" w:hAnsi="Century"/>
          <w:b/>
          <w:i/>
        </w:rPr>
        <w:t>”</w:t>
      </w:r>
      <w:r w:rsidR="00E613D8" w:rsidRPr="00743728">
        <w:rPr>
          <w:rFonts w:ascii="Century" w:hAnsi="Century"/>
          <w:b/>
          <w:i/>
        </w:rPr>
        <w:t xml:space="preserve">. </w:t>
      </w:r>
      <w:r w:rsidR="000D4AF6">
        <w:rPr>
          <w:rFonts w:ascii="Century" w:hAnsi="Century" w:cstheme="minorHAnsi"/>
        </w:rPr>
        <w:t>Young Thom</w:t>
      </w:r>
      <w:r w:rsidR="005B1C8D">
        <w:rPr>
          <w:rFonts w:ascii="Century" w:hAnsi="Century" w:cstheme="minorHAnsi"/>
        </w:rPr>
        <w:t xml:space="preserve"> </w:t>
      </w:r>
      <w:r w:rsidR="00743728">
        <w:rPr>
          <w:rFonts w:ascii="Century" w:hAnsi="Century" w:cstheme="minorHAnsi"/>
        </w:rPr>
        <w:t>felt he was too old for teddies</w:t>
      </w:r>
      <w:r w:rsidR="001835DC">
        <w:rPr>
          <w:rFonts w:ascii="Century" w:hAnsi="Century" w:cstheme="minorHAnsi"/>
        </w:rPr>
        <w:t>,</w:t>
      </w:r>
      <w:r w:rsidR="005B1C8D">
        <w:rPr>
          <w:rFonts w:ascii="Century" w:hAnsi="Century" w:cstheme="minorHAnsi"/>
        </w:rPr>
        <w:t xml:space="preserve"> that </w:t>
      </w:r>
      <w:r w:rsidR="00E613D8">
        <w:rPr>
          <w:rFonts w:ascii="Century" w:hAnsi="Century" w:cstheme="minorHAnsi"/>
        </w:rPr>
        <w:t xml:space="preserve">he </w:t>
      </w:r>
      <w:r w:rsidR="00743728">
        <w:rPr>
          <w:rFonts w:ascii="Century" w:hAnsi="Century" w:cstheme="minorHAnsi"/>
        </w:rPr>
        <w:t>wouldn’t be ‘cool</w:t>
      </w:r>
      <w:r w:rsidR="005B1C8D">
        <w:rPr>
          <w:rFonts w:ascii="Century" w:hAnsi="Century" w:cstheme="minorHAnsi"/>
        </w:rPr>
        <w:t>’ if he had one</w:t>
      </w:r>
      <w:r w:rsidR="00F03A5C">
        <w:rPr>
          <w:rFonts w:ascii="Century" w:hAnsi="Century" w:cstheme="minorHAnsi"/>
        </w:rPr>
        <w:t>.</w:t>
      </w:r>
      <w:r w:rsidR="00743728">
        <w:rPr>
          <w:rFonts w:ascii="Century" w:hAnsi="Century" w:cstheme="minorHAnsi"/>
        </w:rPr>
        <w:t xml:space="preserve"> However</w:t>
      </w:r>
      <w:r w:rsidR="001835DC">
        <w:rPr>
          <w:rFonts w:ascii="Century" w:hAnsi="Century" w:cstheme="minorHAnsi"/>
        </w:rPr>
        <w:t>,</w:t>
      </w:r>
      <w:r w:rsidR="005B1C8D">
        <w:rPr>
          <w:rFonts w:ascii="Century" w:hAnsi="Century" w:cstheme="minorHAnsi"/>
        </w:rPr>
        <w:t xml:space="preserve"> I have had mine</w:t>
      </w:r>
      <w:r w:rsidR="00F03A5C">
        <w:rPr>
          <w:rFonts w:ascii="Century" w:hAnsi="Century" w:cstheme="minorHAnsi"/>
        </w:rPr>
        <w:t xml:space="preserve"> my whole life</w:t>
      </w:r>
      <w:r w:rsidR="00D73687">
        <w:rPr>
          <w:rFonts w:ascii="Century" w:hAnsi="Century" w:cstheme="minorHAnsi"/>
        </w:rPr>
        <w:t>.</w:t>
      </w:r>
      <w:r w:rsidR="00D73687" w:rsidRPr="006817EE">
        <w:rPr>
          <w:rFonts w:ascii="Century" w:hAnsi="Century"/>
          <w:b/>
          <w:i/>
          <w:sz w:val="17"/>
          <w:szCs w:val="17"/>
        </w:rPr>
        <w:t xml:space="preserve"> “</w:t>
      </w:r>
      <w:r w:rsidR="00743728" w:rsidRPr="006817EE">
        <w:rPr>
          <w:rFonts w:ascii="Century" w:hAnsi="Century"/>
          <w:b/>
          <w:i/>
        </w:rPr>
        <w:t>Girls</w:t>
      </w:r>
      <w:r w:rsidR="00743728" w:rsidRPr="00743728">
        <w:rPr>
          <w:rFonts w:ascii="Century" w:hAnsi="Century"/>
          <w:b/>
          <w:i/>
        </w:rPr>
        <w:t xml:space="preserve"> are asked not to be demanding, to be forgiving</w:t>
      </w:r>
      <w:r w:rsidR="002B130A">
        <w:rPr>
          <w:rFonts w:ascii="Century" w:hAnsi="Century"/>
          <w:b/>
          <w:i/>
        </w:rPr>
        <w:t xml:space="preserve"> and accommodating and ‘ladylike’ </w:t>
      </w:r>
      <w:r w:rsidR="007F13C1">
        <w:rPr>
          <w:rStyle w:val="FootnoteReference"/>
          <w:rFonts w:ascii="Century" w:hAnsi="Century"/>
          <w:b/>
          <w:i/>
        </w:rPr>
        <w:footnoteReference w:id="3"/>
      </w:r>
      <w:r w:rsidR="00743728" w:rsidRPr="00743728">
        <w:rPr>
          <w:rFonts w:ascii="Century" w:hAnsi="Century"/>
          <w:b/>
          <w:i/>
        </w:rPr>
        <w:t>”.</w:t>
      </w:r>
      <w:r w:rsidR="00E613D8">
        <w:rPr>
          <w:rFonts w:ascii="Verdana" w:hAnsi="Verdana"/>
          <w:sz w:val="17"/>
          <w:szCs w:val="17"/>
        </w:rPr>
        <w:t xml:space="preserve"> </w:t>
      </w:r>
      <w:r w:rsidR="00664400">
        <w:rPr>
          <w:rFonts w:ascii="Century" w:hAnsi="Century"/>
        </w:rPr>
        <w:t>22 year old Thom’s teddy</w:t>
      </w:r>
      <w:r w:rsidR="001835DC">
        <w:rPr>
          <w:rFonts w:ascii="Century" w:hAnsi="Century"/>
        </w:rPr>
        <w:t xml:space="preserve"> now</w:t>
      </w:r>
      <w:r w:rsidR="00664400">
        <w:rPr>
          <w:rFonts w:ascii="Century" w:hAnsi="Century"/>
        </w:rPr>
        <w:t xml:space="preserve"> lives on his bed with him, once again providing a personal development of acceptance</w:t>
      </w:r>
      <w:r w:rsidR="001835DC">
        <w:rPr>
          <w:rFonts w:ascii="Century" w:hAnsi="Century"/>
        </w:rPr>
        <w:t xml:space="preserve"> of one’s identity,</w:t>
      </w:r>
      <w:r w:rsidR="0031380A">
        <w:rPr>
          <w:rFonts w:ascii="Century" w:hAnsi="Century"/>
        </w:rPr>
        <w:t xml:space="preserve"> th</w:t>
      </w:r>
      <w:r w:rsidR="001835DC">
        <w:rPr>
          <w:rFonts w:ascii="Century" w:hAnsi="Century"/>
        </w:rPr>
        <w:t>at a teddy does not</w:t>
      </w:r>
      <w:r w:rsidR="0031380A">
        <w:rPr>
          <w:rFonts w:ascii="Century" w:hAnsi="Century"/>
        </w:rPr>
        <w:t xml:space="preserve"> make you</w:t>
      </w:r>
      <w:r w:rsidR="001835DC">
        <w:rPr>
          <w:rFonts w:ascii="Century" w:hAnsi="Century"/>
        </w:rPr>
        <w:t xml:space="preserve"> any </w:t>
      </w:r>
      <w:r w:rsidR="0031380A">
        <w:rPr>
          <w:rFonts w:ascii="Century" w:hAnsi="Century"/>
        </w:rPr>
        <w:t>less masculine</w:t>
      </w:r>
      <w:r w:rsidR="00743728">
        <w:rPr>
          <w:rFonts w:ascii="Century" w:hAnsi="Century"/>
        </w:rPr>
        <w:t>.</w:t>
      </w:r>
      <w:r w:rsidR="00CC13FC">
        <w:rPr>
          <w:rFonts w:ascii="Century" w:hAnsi="Century"/>
        </w:rPr>
        <w:t xml:space="preserve"> Touring a piece that </w:t>
      </w:r>
      <w:r w:rsidR="008A5A8C">
        <w:rPr>
          <w:rFonts w:ascii="Century" w:hAnsi="Century"/>
        </w:rPr>
        <w:t xml:space="preserve">explores </w:t>
      </w:r>
      <w:r w:rsidR="001835DC">
        <w:rPr>
          <w:rFonts w:ascii="Century" w:hAnsi="Century"/>
        </w:rPr>
        <w:t xml:space="preserve">gender roles that are socially enforced enables us to educate </w:t>
      </w:r>
      <w:r w:rsidR="00CC13FC">
        <w:rPr>
          <w:rFonts w:ascii="Century" w:hAnsi="Century"/>
        </w:rPr>
        <w:t>youths from different backgrounds, cities and places</w:t>
      </w:r>
      <w:r w:rsidR="00B11D82">
        <w:rPr>
          <w:rFonts w:ascii="Century" w:hAnsi="Century"/>
        </w:rPr>
        <w:t xml:space="preserve">, that you can be yourself, </w:t>
      </w:r>
      <w:r w:rsidR="00794471">
        <w:rPr>
          <w:rFonts w:ascii="Century" w:hAnsi="Century"/>
        </w:rPr>
        <w:t>not restrict</w:t>
      </w:r>
      <w:r w:rsidR="00B11D82">
        <w:rPr>
          <w:rFonts w:ascii="Century" w:hAnsi="Century"/>
        </w:rPr>
        <w:t xml:space="preserve">ing  your natural behaviour </w:t>
      </w:r>
      <w:r w:rsidR="00794471">
        <w:rPr>
          <w:rFonts w:ascii="Century" w:hAnsi="Century"/>
        </w:rPr>
        <w:t>to fit a socially constructed gender category.</w:t>
      </w:r>
      <w:r w:rsidR="00794471">
        <w:rPr>
          <w:rFonts w:ascii="Century" w:hAnsi="Century"/>
          <w:b/>
          <w:i/>
        </w:rPr>
        <w:t>“T</w:t>
      </w:r>
      <w:r w:rsidR="00EE1F03" w:rsidRPr="00EE1F03">
        <w:rPr>
          <w:rFonts w:ascii="Century" w:hAnsi="Century"/>
          <w:b/>
          <w:i/>
        </w:rPr>
        <w:t xml:space="preserve">ouring theatre </w:t>
      </w:r>
      <w:r w:rsidR="00794471">
        <w:rPr>
          <w:rFonts w:ascii="Century" w:hAnsi="Century"/>
          <w:b/>
          <w:i/>
        </w:rPr>
        <w:t xml:space="preserve">possesses </w:t>
      </w:r>
      <w:r w:rsidR="00EE1F03" w:rsidRPr="00EE1F03">
        <w:rPr>
          <w:rFonts w:ascii="Century" w:hAnsi="Century"/>
          <w:b/>
          <w:i/>
        </w:rPr>
        <w:t>the unique responsibility</w:t>
      </w:r>
      <w:r w:rsidR="00F03A5C">
        <w:rPr>
          <w:rFonts w:ascii="Century" w:hAnsi="Century"/>
          <w:b/>
          <w:i/>
        </w:rPr>
        <w:t xml:space="preserve"> t</w:t>
      </w:r>
      <w:r w:rsidR="00794471">
        <w:rPr>
          <w:rFonts w:ascii="Century" w:hAnsi="Century"/>
          <w:b/>
          <w:i/>
        </w:rPr>
        <w:t>o provide accessibility to narratives and concepts from a va</w:t>
      </w:r>
      <w:r w:rsidR="002B130A">
        <w:rPr>
          <w:rFonts w:ascii="Century" w:hAnsi="Century"/>
          <w:b/>
          <w:i/>
        </w:rPr>
        <w:t xml:space="preserve">riation of different </w:t>
      </w:r>
      <w:r w:rsidR="001434B9">
        <w:rPr>
          <w:rFonts w:ascii="Century" w:hAnsi="Century"/>
          <w:b/>
          <w:i/>
        </w:rPr>
        <w:t>viewpoints</w:t>
      </w:r>
      <w:r w:rsidR="007F13C1">
        <w:rPr>
          <w:rStyle w:val="FootnoteReference"/>
          <w:rFonts w:ascii="Century" w:hAnsi="Century"/>
          <w:b/>
          <w:i/>
        </w:rPr>
        <w:footnoteReference w:id="4"/>
      </w:r>
      <w:r w:rsidR="002B130A">
        <w:rPr>
          <w:rFonts w:ascii="Century" w:hAnsi="Century"/>
          <w:b/>
          <w:i/>
        </w:rPr>
        <w:t xml:space="preserve">”. </w:t>
      </w:r>
    </w:p>
    <w:p w:rsidR="000B4301" w:rsidRPr="00FA6111" w:rsidRDefault="001558E7" w:rsidP="00DC4562">
      <w:pPr>
        <w:rPr>
          <w:rFonts w:ascii="Century" w:hAnsi="Century"/>
        </w:rPr>
      </w:pPr>
      <w:r>
        <w:rPr>
          <w:rFonts w:ascii="Century" w:hAnsi="Century"/>
        </w:rPr>
        <w:t xml:space="preserve">Touring theatre </w:t>
      </w:r>
      <w:r w:rsidR="00794471">
        <w:rPr>
          <w:rFonts w:ascii="Century" w:hAnsi="Century"/>
        </w:rPr>
        <w:t>can have a vast</w:t>
      </w:r>
      <w:r w:rsidR="00572861">
        <w:rPr>
          <w:rFonts w:ascii="Century" w:hAnsi="Century"/>
        </w:rPr>
        <w:t xml:space="preserve"> effect on Cultural and Political issues. </w:t>
      </w:r>
      <w:r w:rsidR="000B5B6C">
        <w:rPr>
          <w:rFonts w:ascii="Century" w:hAnsi="Century"/>
        </w:rPr>
        <w:t>In our piece we explore</w:t>
      </w:r>
      <w:r w:rsidR="000D30B3">
        <w:rPr>
          <w:rFonts w:ascii="Century" w:hAnsi="Century"/>
        </w:rPr>
        <w:t xml:space="preserve"> </w:t>
      </w:r>
      <w:r w:rsidR="000B5B6C">
        <w:rPr>
          <w:rFonts w:ascii="Century" w:hAnsi="Century"/>
        </w:rPr>
        <w:t xml:space="preserve">‘cross-cultural </w:t>
      </w:r>
      <w:r w:rsidR="006817EE">
        <w:rPr>
          <w:rFonts w:ascii="Century" w:hAnsi="Century"/>
        </w:rPr>
        <w:t>theatre’</w:t>
      </w:r>
      <w:r w:rsidR="00D73687">
        <w:rPr>
          <w:rFonts w:ascii="Century" w:hAnsi="Century"/>
        </w:rPr>
        <w:t>.</w:t>
      </w:r>
      <w:r w:rsidR="00D73687" w:rsidRPr="000D30B3">
        <w:rPr>
          <w:rFonts w:ascii="Century" w:hAnsi="Century"/>
          <w:b/>
          <w:i/>
        </w:rPr>
        <w:t xml:space="preserve"> “</w:t>
      </w:r>
      <w:r w:rsidR="001434B9" w:rsidRPr="000D30B3">
        <w:rPr>
          <w:rFonts w:ascii="Century" w:hAnsi="Century"/>
          <w:b/>
          <w:i/>
        </w:rPr>
        <w:t>Cross-cultural</w:t>
      </w:r>
      <w:r w:rsidR="000D30B3" w:rsidRPr="000D30B3">
        <w:rPr>
          <w:rFonts w:ascii="Century" w:hAnsi="Century"/>
          <w:b/>
          <w:i/>
        </w:rPr>
        <w:t xml:space="preserve"> theatre is an attempt to fuse various </w:t>
      </w:r>
      <w:r w:rsidR="000D30B3" w:rsidRPr="000D30B3">
        <w:rPr>
          <w:rFonts w:ascii="Century" w:hAnsi="Century"/>
          <w:b/>
          <w:i/>
        </w:rPr>
        <w:lastRenderedPageBreak/>
        <w:t>cultures in order to find parrells between cultures</w:t>
      </w:r>
      <w:r w:rsidR="007F13C1">
        <w:rPr>
          <w:rStyle w:val="FootnoteReference"/>
          <w:rFonts w:ascii="Century" w:hAnsi="Century"/>
          <w:b/>
          <w:i/>
        </w:rPr>
        <w:footnoteReference w:id="5"/>
      </w:r>
      <w:r w:rsidR="001434B9">
        <w:rPr>
          <w:rFonts w:ascii="Century" w:hAnsi="Century"/>
          <w:b/>
          <w:i/>
        </w:rPr>
        <w:t xml:space="preserve">”. </w:t>
      </w:r>
      <w:r w:rsidR="000B5B6C">
        <w:rPr>
          <w:rFonts w:ascii="Century" w:hAnsi="Century"/>
        </w:rPr>
        <w:t>We all have different cultural backg</w:t>
      </w:r>
      <w:r w:rsidR="00B34B6A">
        <w:rPr>
          <w:rFonts w:ascii="Century" w:hAnsi="Century"/>
        </w:rPr>
        <w:t>rounds that define ou</w:t>
      </w:r>
      <w:r w:rsidR="00E613D8">
        <w:rPr>
          <w:rFonts w:ascii="Century" w:hAnsi="Century"/>
        </w:rPr>
        <w:t>r i</w:t>
      </w:r>
      <w:r w:rsidR="00B34B6A">
        <w:rPr>
          <w:rFonts w:ascii="Century" w:hAnsi="Century"/>
        </w:rPr>
        <w:t>dentity. For example</w:t>
      </w:r>
      <w:r w:rsidR="00E613D8">
        <w:rPr>
          <w:rFonts w:ascii="Century" w:hAnsi="Century"/>
        </w:rPr>
        <w:t>,</w:t>
      </w:r>
      <w:r w:rsidR="00B34B6A">
        <w:rPr>
          <w:rFonts w:ascii="Century" w:hAnsi="Century"/>
        </w:rPr>
        <w:t xml:space="preserve"> one of the </w:t>
      </w:r>
      <w:proofErr w:type="gramStart"/>
      <w:r w:rsidR="00B34B6A">
        <w:rPr>
          <w:rFonts w:ascii="Century" w:hAnsi="Century"/>
        </w:rPr>
        <w:t>cast</w:t>
      </w:r>
      <w:proofErr w:type="gramEnd"/>
      <w:r w:rsidR="00B34B6A">
        <w:rPr>
          <w:rFonts w:ascii="Century" w:hAnsi="Century"/>
        </w:rPr>
        <w:t xml:space="preserve"> is British</w:t>
      </w:r>
      <w:r w:rsidR="00E613D8">
        <w:rPr>
          <w:rFonts w:ascii="Century" w:hAnsi="Century"/>
        </w:rPr>
        <w:t>,</w:t>
      </w:r>
      <w:r w:rsidR="00B34B6A">
        <w:rPr>
          <w:rFonts w:ascii="Century" w:hAnsi="Century"/>
        </w:rPr>
        <w:t xml:space="preserve"> but her family are Zimbabwean.</w:t>
      </w:r>
      <w:r w:rsidR="0098072A" w:rsidRPr="0098072A">
        <w:rPr>
          <w:rFonts w:ascii="Century" w:hAnsi="Century"/>
        </w:rPr>
        <w:t xml:space="preserve"> </w:t>
      </w:r>
      <w:r w:rsidR="0098072A">
        <w:rPr>
          <w:rFonts w:ascii="Century" w:hAnsi="Century"/>
        </w:rPr>
        <w:t>Through the process of creating the piece, we told stories about a significant point in our life. T</w:t>
      </w:r>
      <w:r w:rsidR="00D80DC3">
        <w:rPr>
          <w:rFonts w:ascii="Century" w:hAnsi="Century"/>
        </w:rPr>
        <w:t>his particular person</w:t>
      </w:r>
      <w:r w:rsidR="00B34B6A">
        <w:rPr>
          <w:rFonts w:ascii="Century" w:hAnsi="Century"/>
        </w:rPr>
        <w:t>’</w:t>
      </w:r>
      <w:r w:rsidR="00D80DC3">
        <w:rPr>
          <w:rFonts w:ascii="Century" w:hAnsi="Century"/>
        </w:rPr>
        <w:t>s wa</w:t>
      </w:r>
      <w:r w:rsidR="00FA6111">
        <w:rPr>
          <w:rFonts w:ascii="Century" w:hAnsi="Century"/>
        </w:rPr>
        <w:t xml:space="preserve">s when she visited her country. </w:t>
      </w:r>
      <w:r w:rsidR="008664AA">
        <w:rPr>
          <w:rFonts w:ascii="Century" w:hAnsi="Century"/>
          <w:b/>
          <w:i/>
        </w:rPr>
        <w:t xml:space="preserve">“The performers use this and </w:t>
      </w:r>
      <w:r w:rsidR="00890A61" w:rsidRPr="000D30B3">
        <w:rPr>
          <w:rFonts w:ascii="Century" w:hAnsi="Century"/>
          <w:b/>
          <w:i/>
        </w:rPr>
        <w:t>put them in a performance that celebrates our diversities and similarities and promotes culture pluralism</w:t>
      </w:r>
      <w:r w:rsidR="007F13C1">
        <w:rPr>
          <w:rStyle w:val="FootnoteReference"/>
          <w:rFonts w:ascii="Century" w:hAnsi="Century"/>
          <w:b/>
          <w:i/>
        </w:rPr>
        <w:footnoteReference w:id="6"/>
      </w:r>
      <w:r w:rsidR="00890A61" w:rsidRPr="000D30B3">
        <w:rPr>
          <w:rFonts w:ascii="Century" w:hAnsi="Century"/>
          <w:b/>
          <w:i/>
        </w:rPr>
        <w:t>”</w:t>
      </w:r>
      <w:r w:rsidR="002B130A">
        <w:rPr>
          <w:rFonts w:ascii="Century" w:hAnsi="Century"/>
          <w:b/>
          <w:i/>
        </w:rPr>
        <w:t>.</w:t>
      </w:r>
      <w:r w:rsidR="00E613D8">
        <w:rPr>
          <w:rFonts w:ascii="Century" w:hAnsi="Century"/>
          <w:b/>
          <w:i/>
        </w:rPr>
        <w:t xml:space="preserve"> </w:t>
      </w:r>
      <w:r w:rsidR="00890A61">
        <w:rPr>
          <w:rFonts w:ascii="Century" w:hAnsi="Century"/>
        </w:rPr>
        <w:t>We have a sequence where we say where we are from, we have differences such as being from all different places around the UK</w:t>
      </w:r>
      <w:r w:rsidR="00E613D8">
        <w:rPr>
          <w:rFonts w:ascii="Century" w:hAnsi="Century"/>
        </w:rPr>
        <w:t xml:space="preserve">, but we have </w:t>
      </w:r>
      <w:r w:rsidR="00890A61">
        <w:rPr>
          <w:rFonts w:ascii="Century" w:hAnsi="Century"/>
        </w:rPr>
        <w:t>simila</w:t>
      </w:r>
      <w:r w:rsidR="00E613D8">
        <w:rPr>
          <w:rFonts w:ascii="Century" w:hAnsi="Century"/>
        </w:rPr>
        <w:t xml:space="preserve">rities as </w:t>
      </w:r>
      <w:r w:rsidR="00890A61">
        <w:rPr>
          <w:rFonts w:ascii="Century" w:hAnsi="Century"/>
        </w:rPr>
        <w:t>we are all British.</w:t>
      </w:r>
      <w:r w:rsidR="006817EE">
        <w:rPr>
          <w:rFonts w:ascii="Century" w:hAnsi="Century"/>
        </w:rPr>
        <w:t xml:space="preserve"> </w:t>
      </w:r>
      <w:r w:rsidR="00FA6111">
        <w:rPr>
          <w:rFonts w:ascii="Century" w:hAnsi="Century"/>
        </w:rPr>
        <w:t>We want the youth audience to contemplate how many individual aspects combine to create our identity, yet at the same time understand that we are also all part of the human race.</w:t>
      </w:r>
      <w:r w:rsidR="00FA6111" w:rsidRPr="000D30B3">
        <w:rPr>
          <w:rFonts w:ascii="Century" w:hAnsi="Century"/>
          <w:b/>
          <w:i/>
          <w:color w:val="FF0000"/>
        </w:rPr>
        <w:t xml:space="preserve"> </w:t>
      </w:r>
      <w:r w:rsidR="00142E2C">
        <w:rPr>
          <w:rFonts w:ascii="Century" w:hAnsi="Century"/>
        </w:rPr>
        <w:t xml:space="preserve">I recently watched a touring piece of theatre called </w:t>
      </w:r>
      <w:r w:rsidR="00915C48">
        <w:rPr>
          <w:rFonts w:ascii="Century" w:hAnsi="Century"/>
        </w:rPr>
        <w:t xml:space="preserve">‘Mountain Top’ </w:t>
      </w:r>
      <w:r w:rsidR="00FA6111">
        <w:rPr>
          <w:rFonts w:ascii="Century" w:hAnsi="Century"/>
        </w:rPr>
        <w:t xml:space="preserve">that was based </w:t>
      </w:r>
      <w:r w:rsidR="0010641A">
        <w:rPr>
          <w:rFonts w:ascii="Century" w:hAnsi="Century"/>
        </w:rPr>
        <w:t xml:space="preserve">around </w:t>
      </w:r>
      <w:r w:rsidR="00142E2C">
        <w:rPr>
          <w:rFonts w:ascii="Century" w:hAnsi="Century"/>
        </w:rPr>
        <w:t xml:space="preserve">Martin Luther </w:t>
      </w:r>
      <w:r w:rsidR="0010641A">
        <w:rPr>
          <w:rFonts w:ascii="Century" w:hAnsi="Century"/>
        </w:rPr>
        <w:t>King</w:t>
      </w:r>
      <w:r w:rsidR="00FA6111">
        <w:rPr>
          <w:rFonts w:ascii="Century" w:hAnsi="Century"/>
        </w:rPr>
        <w:t xml:space="preserve">. </w:t>
      </w:r>
      <w:r w:rsidR="00142E2C">
        <w:rPr>
          <w:rFonts w:ascii="Century" w:hAnsi="Century"/>
        </w:rPr>
        <w:t xml:space="preserve">I </w:t>
      </w:r>
      <w:r w:rsidR="00FA6111">
        <w:rPr>
          <w:rFonts w:ascii="Century" w:hAnsi="Century"/>
        </w:rPr>
        <w:t xml:space="preserve">found it incredibly </w:t>
      </w:r>
      <w:r w:rsidR="00142E2C">
        <w:rPr>
          <w:rFonts w:ascii="Century" w:hAnsi="Century"/>
        </w:rPr>
        <w:t>moving</w:t>
      </w:r>
      <w:r w:rsidR="0010641A">
        <w:rPr>
          <w:rFonts w:ascii="Century" w:hAnsi="Century"/>
        </w:rPr>
        <w:t>,</w:t>
      </w:r>
      <w:r w:rsidR="00142E2C">
        <w:rPr>
          <w:rFonts w:ascii="Century" w:hAnsi="Century"/>
        </w:rPr>
        <w:t xml:space="preserve"> </w:t>
      </w:r>
      <w:r w:rsidR="00FA6111">
        <w:rPr>
          <w:rFonts w:ascii="Century" w:hAnsi="Century"/>
        </w:rPr>
        <w:t>an experience I wouldn’t have otherwise felt from reading an article online. T</w:t>
      </w:r>
      <w:r w:rsidR="00142E2C">
        <w:rPr>
          <w:rFonts w:ascii="Century" w:hAnsi="Century"/>
        </w:rPr>
        <w:t>his tackled multiple cultural and social i</w:t>
      </w:r>
      <w:r w:rsidR="0010641A">
        <w:rPr>
          <w:rFonts w:ascii="Century" w:hAnsi="Century"/>
        </w:rPr>
        <w:t>ssue</w:t>
      </w:r>
      <w:r w:rsidR="006817EE">
        <w:rPr>
          <w:rFonts w:ascii="Century" w:hAnsi="Century"/>
        </w:rPr>
        <w:t>s but also political issues.</w:t>
      </w:r>
      <w:r w:rsidR="00B11D82">
        <w:rPr>
          <w:rFonts w:ascii="Century" w:hAnsi="Century"/>
        </w:rPr>
        <w:t xml:space="preserve"> </w:t>
      </w:r>
      <w:r w:rsidR="00FA6111" w:rsidRPr="00E613D8">
        <w:rPr>
          <w:rFonts w:ascii="Century" w:hAnsi="Century"/>
          <w:b/>
        </w:rPr>
        <w:t>“</w:t>
      </w:r>
      <w:r w:rsidR="00142E2C" w:rsidRPr="00E613D8">
        <w:rPr>
          <w:rFonts w:ascii="Century" w:hAnsi="Century"/>
          <w:b/>
          <w:i/>
        </w:rPr>
        <w:t>P</w:t>
      </w:r>
      <w:r w:rsidR="00142E2C" w:rsidRPr="00142E2C">
        <w:rPr>
          <w:rFonts w:ascii="Century" w:hAnsi="Century"/>
          <w:b/>
          <w:i/>
        </w:rPr>
        <w:t>olitical artists take risks, tell stories people aren’t always ready to hear, and hold up a mirror to reflect the realities – b</w:t>
      </w:r>
      <w:r w:rsidR="002B130A">
        <w:rPr>
          <w:rFonts w:ascii="Century" w:hAnsi="Century"/>
          <w:b/>
          <w:i/>
        </w:rPr>
        <w:t>oth good and bad—of our society</w:t>
      </w:r>
      <w:r w:rsidR="00FF4520">
        <w:rPr>
          <w:rStyle w:val="FootnoteReference"/>
          <w:rFonts w:ascii="Century" w:hAnsi="Century"/>
          <w:b/>
          <w:i/>
        </w:rPr>
        <w:footnoteReference w:id="7"/>
      </w:r>
      <w:r w:rsidR="00142E2C">
        <w:rPr>
          <w:rFonts w:ascii="Century" w:hAnsi="Century"/>
          <w:b/>
          <w:i/>
        </w:rPr>
        <w:t>”</w:t>
      </w:r>
      <w:r w:rsidR="002B130A">
        <w:rPr>
          <w:rFonts w:ascii="Century" w:hAnsi="Century"/>
          <w:b/>
          <w:i/>
        </w:rPr>
        <w:t>.</w:t>
      </w:r>
      <w:r w:rsidR="00142E2C">
        <w:rPr>
          <w:rFonts w:ascii="Century" w:hAnsi="Century"/>
          <w:b/>
          <w:i/>
        </w:rPr>
        <w:t xml:space="preserve"> </w:t>
      </w:r>
      <w:r w:rsidR="00FA6111">
        <w:rPr>
          <w:rFonts w:ascii="Century" w:hAnsi="Century"/>
        </w:rPr>
        <w:t>One limitation of our piece, i</w:t>
      </w:r>
      <w:r w:rsidR="0010641A">
        <w:rPr>
          <w:rFonts w:ascii="Century" w:hAnsi="Century"/>
        </w:rPr>
        <w:t xml:space="preserve">s the </w:t>
      </w:r>
      <w:r w:rsidR="00FA6111">
        <w:rPr>
          <w:rFonts w:ascii="Century" w:hAnsi="Century"/>
        </w:rPr>
        <w:t xml:space="preserve">target audience; children. Therefore it is not as politically engaging as it may have been with a different </w:t>
      </w:r>
      <w:r w:rsidR="00FA6111" w:rsidRPr="0010641A">
        <w:rPr>
          <w:rFonts w:ascii="Century" w:hAnsi="Century"/>
        </w:rPr>
        <w:t>audience.</w:t>
      </w:r>
      <w:r w:rsidR="00BB73D7">
        <w:rPr>
          <w:rFonts w:ascii="Century" w:hAnsi="Century"/>
          <w:b/>
        </w:rPr>
        <w:t xml:space="preserve"> </w:t>
      </w:r>
      <w:r w:rsidR="00142E2C">
        <w:rPr>
          <w:rFonts w:ascii="Century" w:hAnsi="Century"/>
        </w:rPr>
        <w:t>However in</w:t>
      </w:r>
      <w:r w:rsidR="00FA6111">
        <w:rPr>
          <w:rFonts w:ascii="Century" w:hAnsi="Century"/>
        </w:rPr>
        <w:t xml:space="preserve"> the process of making our piece, we explored iconic</w:t>
      </w:r>
      <w:r w:rsidR="00142E2C">
        <w:rPr>
          <w:rFonts w:ascii="Century" w:hAnsi="Century"/>
        </w:rPr>
        <w:t xml:space="preserve"> news reports from our childho</w:t>
      </w:r>
      <w:r w:rsidR="00FA6111">
        <w:rPr>
          <w:rFonts w:ascii="Century" w:hAnsi="Century"/>
        </w:rPr>
        <w:t>od, many of them being ‘911’. T</w:t>
      </w:r>
      <w:r w:rsidR="00142E2C">
        <w:rPr>
          <w:rFonts w:ascii="Century" w:hAnsi="Century"/>
        </w:rPr>
        <w:t>he discussions we had f</w:t>
      </w:r>
      <w:r w:rsidR="00FA6111">
        <w:rPr>
          <w:rFonts w:ascii="Century" w:hAnsi="Century"/>
        </w:rPr>
        <w:t xml:space="preserve">rom that were very powerful, showing us that politics has </w:t>
      </w:r>
      <w:r w:rsidR="00142E2C">
        <w:rPr>
          <w:rFonts w:ascii="Century" w:hAnsi="Century"/>
        </w:rPr>
        <w:t xml:space="preserve">always been a part of our </w:t>
      </w:r>
      <w:r w:rsidR="00B97AF5">
        <w:rPr>
          <w:rFonts w:ascii="Century" w:hAnsi="Century"/>
        </w:rPr>
        <w:t>life’s</w:t>
      </w:r>
      <w:r w:rsidR="00142E2C">
        <w:rPr>
          <w:rFonts w:ascii="Century" w:hAnsi="Century"/>
        </w:rPr>
        <w:t xml:space="preserve"> whatever our age.</w:t>
      </w:r>
      <w:r w:rsidR="002B130A">
        <w:rPr>
          <w:rFonts w:ascii="Century" w:hAnsi="Century"/>
        </w:rPr>
        <w:t xml:space="preserve"> </w:t>
      </w:r>
      <w:r w:rsidR="00142E2C">
        <w:rPr>
          <w:rFonts w:ascii="Century" w:hAnsi="Century"/>
        </w:rPr>
        <w:t xml:space="preserve"> </w:t>
      </w:r>
    </w:p>
    <w:p w:rsidR="002B130A" w:rsidRDefault="00212906" w:rsidP="00DC4562">
      <w:pPr>
        <w:rPr>
          <w:rFonts w:ascii="Century" w:hAnsi="Century"/>
        </w:rPr>
      </w:pPr>
      <w:r>
        <w:rPr>
          <w:rFonts w:ascii="Century" w:hAnsi="Century"/>
        </w:rPr>
        <w:t>To conclude, t</w:t>
      </w:r>
      <w:r w:rsidR="00B11D82">
        <w:rPr>
          <w:rFonts w:ascii="Century" w:hAnsi="Century"/>
        </w:rPr>
        <w:t>ouring theatre is a</w:t>
      </w:r>
      <w:r w:rsidR="00D73687">
        <w:rPr>
          <w:rFonts w:ascii="Century" w:hAnsi="Century"/>
        </w:rPr>
        <w:t>n</w:t>
      </w:r>
      <w:r w:rsidR="00B11D82">
        <w:rPr>
          <w:rFonts w:ascii="Century" w:hAnsi="Century"/>
        </w:rPr>
        <w:t xml:space="preserve"> efficient </w:t>
      </w:r>
      <w:r>
        <w:rPr>
          <w:rFonts w:ascii="Century" w:hAnsi="Century"/>
        </w:rPr>
        <w:t>way to communicate these issues to different people, different pl</w:t>
      </w:r>
      <w:r w:rsidR="008B76BF">
        <w:rPr>
          <w:rFonts w:ascii="Century" w:hAnsi="Century"/>
        </w:rPr>
        <w:t>aces and different ways of living</w:t>
      </w:r>
      <w:r>
        <w:rPr>
          <w:rFonts w:ascii="Century" w:hAnsi="Century"/>
        </w:rPr>
        <w:t xml:space="preserve">. </w:t>
      </w:r>
      <w:r w:rsidR="00DA6C6A">
        <w:rPr>
          <w:rFonts w:ascii="Century" w:hAnsi="Century"/>
        </w:rPr>
        <w:t>O</w:t>
      </w:r>
      <w:r>
        <w:rPr>
          <w:rFonts w:ascii="Century" w:hAnsi="Century"/>
        </w:rPr>
        <w:t>ur piece</w:t>
      </w:r>
      <w:r w:rsidR="00DA6C6A">
        <w:rPr>
          <w:rFonts w:ascii="Century" w:hAnsi="Century"/>
        </w:rPr>
        <w:t xml:space="preserve"> therefore </w:t>
      </w:r>
      <w:r>
        <w:rPr>
          <w:rFonts w:ascii="Century" w:hAnsi="Century"/>
        </w:rPr>
        <w:t>enables us to teach the youth</w:t>
      </w:r>
      <w:r w:rsidR="00DA6C6A">
        <w:rPr>
          <w:rFonts w:ascii="Century" w:hAnsi="Century"/>
        </w:rPr>
        <w:t xml:space="preserve"> that there are many factors that make us individual, and that we do differ from one another, yet the thing that unites us is that we are all human. </w:t>
      </w:r>
    </w:p>
    <w:p w:rsidR="00142E2C" w:rsidRDefault="00DA6C6A" w:rsidP="00DC4562">
      <w:pPr>
        <w:rPr>
          <w:rFonts w:ascii="Century" w:hAnsi="Century"/>
        </w:rPr>
      </w:pPr>
      <w:r>
        <w:rPr>
          <w:rFonts w:ascii="Century" w:hAnsi="Century"/>
        </w:rPr>
        <w:t xml:space="preserve"> </w:t>
      </w:r>
      <w:r w:rsidR="00B11D82">
        <w:rPr>
          <w:rFonts w:ascii="Century" w:hAnsi="Century"/>
        </w:rPr>
        <w:t>(548</w:t>
      </w:r>
      <w:r w:rsidR="00142E2C">
        <w:rPr>
          <w:rFonts w:ascii="Century" w:hAnsi="Century"/>
        </w:rPr>
        <w:t xml:space="preserve"> words)</w:t>
      </w:r>
    </w:p>
    <w:p w:rsidR="00142E2C" w:rsidRDefault="00142E2C" w:rsidP="00DC4562">
      <w:pPr>
        <w:rPr>
          <w:rFonts w:ascii="Century" w:hAnsi="Century"/>
        </w:rPr>
      </w:pPr>
    </w:p>
    <w:p w:rsidR="00186A32" w:rsidRDefault="00186A32" w:rsidP="00DC4562">
      <w:pPr>
        <w:rPr>
          <w:rFonts w:ascii="Century" w:hAnsi="Century"/>
        </w:rPr>
      </w:pPr>
    </w:p>
    <w:p w:rsidR="00186A32" w:rsidRDefault="00186A32" w:rsidP="00DC4562">
      <w:pPr>
        <w:rPr>
          <w:rFonts w:ascii="Century" w:hAnsi="Century"/>
        </w:rPr>
      </w:pPr>
      <w:r>
        <w:rPr>
          <w:rFonts w:ascii="Century" w:hAnsi="Century"/>
        </w:rPr>
        <w:lastRenderedPageBreak/>
        <w:t xml:space="preserve">Bibliography: </w:t>
      </w:r>
    </w:p>
    <w:p w:rsidR="00773166" w:rsidRDefault="00773166" w:rsidP="00186A32">
      <w:pPr>
        <w:pStyle w:val="ListParagraph"/>
        <w:numPr>
          <w:ilvl w:val="0"/>
          <w:numId w:val="1"/>
        </w:numPr>
        <w:rPr>
          <w:rFonts w:ascii="Century" w:hAnsi="Century"/>
        </w:rPr>
      </w:pPr>
      <w:r w:rsidRPr="00773166">
        <w:rPr>
          <w:rFonts w:ascii="Century" w:hAnsi="Century"/>
        </w:rPr>
        <w:t>Jenny Hughes &amp; Karen Wilson (2004) Playing a part: the impact of youth theatre on young people's personal and social development, Research in Drama Education: The Journal of Applied Theatre and Performance, 9:1, 57-72, DOI: 10.1080/1356978042000185911</w:t>
      </w:r>
      <w:r>
        <w:rPr>
          <w:rFonts w:ascii="Century" w:hAnsi="Century"/>
        </w:rPr>
        <w:t xml:space="preserve"> Page:57</w:t>
      </w:r>
    </w:p>
    <w:p w:rsidR="00186A32" w:rsidRDefault="00773166" w:rsidP="00186A32">
      <w:pPr>
        <w:pStyle w:val="ListParagraph"/>
        <w:numPr>
          <w:ilvl w:val="0"/>
          <w:numId w:val="1"/>
        </w:numPr>
        <w:rPr>
          <w:rFonts w:ascii="Century" w:hAnsi="Century"/>
        </w:rPr>
      </w:pPr>
      <w:r>
        <w:rPr>
          <w:rFonts w:ascii="Century" w:hAnsi="Century"/>
        </w:rPr>
        <w:t xml:space="preserve">UNICEF (2017) UNICEF- Early Childhood Socialization. [online] Available at: </w:t>
      </w:r>
      <w:hyperlink r:id="rId8" w:history="1">
        <w:r w:rsidR="00186A32" w:rsidRPr="006A3C2D">
          <w:rPr>
            <w:rStyle w:val="Hyperlink"/>
            <w:rFonts w:ascii="Century" w:hAnsi="Century"/>
          </w:rPr>
          <w:t>https://www.unicef.org/earlychildhood/index_40749.html</w:t>
        </w:r>
      </w:hyperlink>
    </w:p>
    <w:p w:rsidR="00186A32" w:rsidRDefault="00773166" w:rsidP="00186A32">
      <w:pPr>
        <w:pStyle w:val="ListParagraph"/>
        <w:numPr>
          <w:ilvl w:val="0"/>
          <w:numId w:val="1"/>
        </w:numPr>
        <w:rPr>
          <w:rFonts w:ascii="Century" w:hAnsi="Century"/>
        </w:rPr>
      </w:pPr>
      <w:r>
        <w:rPr>
          <w:rFonts w:ascii="Century" w:hAnsi="Century"/>
        </w:rPr>
        <w:t xml:space="preserve">UNICEF (2017) UNICEF- Early Childhood Socialization. [online] Available at: </w:t>
      </w:r>
      <w:hyperlink r:id="rId9" w:history="1">
        <w:r w:rsidR="00186A32" w:rsidRPr="006A3C2D">
          <w:rPr>
            <w:rStyle w:val="Hyperlink"/>
            <w:rFonts w:ascii="Century" w:hAnsi="Century"/>
          </w:rPr>
          <w:t>https://www.unicef.org/earlychildhood/index_40749.html</w:t>
        </w:r>
      </w:hyperlink>
    </w:p>
    <w:p w:rsidR="00186A32" w:rsidRDefault="00AC2170" w:rsidP="00186A32">
      <w:pPr>
        <w:pStyle w:val="ListParagraph"/>
        <w:numPr>
          <w:ilvl w:val="0"/>
          <w:numId w:val="1"/>
        </w:numPr>
        <w:rPr>
          <w:rFonts w:ascii="Century" w:hAnsi="Century"/>
        </w:rPr>
      </w:pPr>
      <w:r>
        <w:rPr>
          <w:rFonts w:ascii="Century" w:hAnsi="Century"/>
        </w:rPr>
        <w:t xml:space="preserve">Whatley, A. (2016) </w:t>
      </w:r>
      <w:proofErr w:type="gramStart"/>
      <w:r>
        <w:rPr>
          <w:rFonts w:ascii="Century" w:hAnsi="Century"/>
        </w:rPr>
        <w:t>A</w:t>
      </w:r>
      <w:proofErr w:type="gramEnd"/>
      <w:r>
        <w:rPr>
          <w:rFonts w:ascii="Century" w:hAnsi="Century"/>
        </w:rPr>
        <w:t xml:space="preserve"> vision for UK touring theatre </w:t>
      </w:r>
      <w:r w:rsidR="003C09A1">
        <w:rPr>
          <w:rFonts w:ascii="Century" w:hAnsi="Century"/>
        </w:rPr>
        <w:t xml:space="preserve">PDF was published, p3. Available at: </w:t>
      </w:r>
      <w:hyperlink r:id="rId10" w:history="1">
        <w:r w:rsidR="003C09A1" w:rsidRPr="006A3C2D">
          <w:rPr>
            <w:rStyle w:val="Hyperlink"/>
            <w:rFonts w:ascii="Century" w:hAnsi="Century"/>
          </w:rPr>
          <w:t>http://www.originaltheatre.com/wpcontent/uploads/2015/11/OTC_A4_LZ.pdf</w:t>
        </w:r>
      </w:hyperlink>
    </w:p>
    <w:p w:rsidR="006817EE" w:rsidRPr="006817EE" w:rsidRDefault="008A066C" w:rsidP="006817EE">
      <w:pPr>
        <w:pStyle w:val="ListParagraph"/>
        <w:numPr>
          <w:ilvl w:val="0"/>
          <w:numId w:val="1"/>
        </w:numPr>
        <w:rPr>
          <w:rFonts w:ascii="Century" w:hAnsi="Century"/>
        </w:rPr>
      </w:pPr>
      <w:r>
        <w:rPr>
          <w:rFonts w:ascii="Century" w:hAnsi="Century"/>
        </w:rPr>
        <w:t xml:space="preserve">Downs, W. Wright, L. and Ramsey, E. (2017) </w:t>
      </w:r>
      <w:proofErr w:type="gramStart"/>
      <w:r>
        <w:rPr>
          <w:rFonts w:ascii="Century" w:hAnsi="Century"/>
        </w:rPr>
        <w:t>The</w:t>
      </w:r>
      <w:proofErr w:type="gramEnd"/>
      <w:r>
        <w:rPr>
          <w:rFonts w:ascii="Century" w:hAnsi="Century"/>
        </w:rPr>
        <w:t xml:space="preserve"> art of theatre a concise introduction. </w:t>
      </w:r>
      <w:proofErr w:type="gramStart"/>
      <w:r>
        <w:rPr>
          <w:rFonts w:ascii="Century" w:hAnsi="Century"/>
        </w:rPr>
        <w:t>edition</w:t>
      </w:r>
      <w:proofErr w:type="gramEnd"/>
      <w:r>
        <w:rPr>
          <w:rFonts w:ascii="Century" w:hAnsi="Century"/>
        </w:rPr>
        <w:t xml:space="preserve"> 3. [</w:t>
      </w:r>
      <w:proofErr w:type="spellStart"/>
      <w:proofErr w:type="gramStart"/>
      <w:r>
        <w:rPr>
          <w:rFonts w:ascii="Century" w:hAnsi="Century"/>
        </w:rPr>
        <w:t>ebook</w:t>
      </w:r>
      <w:proofErr w:type="spellEnd"/>
      <w:proofErr w:type="gramEnd"/>
      <w:r>
        <w:rPr>
          <w:rFonts w:ascii="Century" w:hAnsi="Century"/>
        </w:rPr>
        <w:t xml:space="preserve">] p.64. Available at: </w:t>
      </w:r>
      <w:hyperlink r:id="rId11" w:anchor="v=onepage&amp;q=Denver%20Center%20for%20Michal%20Daniel%2FProofsheet%20the%20Performing%20Arts&amp;f=false" w:history="1">
        <w:r w:rsidR="006817EE" w:rsidRPr="006817EE">
          <w:rPr>
            <w:rStyle w:val="Hyperlink"/>
            <w:rFonts w:ascii="Century" w:hAnsi="Century"/>
          </w:rPr>
          <w:t>https://books.google.co.uk/books?id=uRoKAAAAQBAJ&amp;pg=PA65&amp;lpg=PA65&amp;dq=Denver+Center+for+Michal+Daniel/Proofsheet+the+Performing+Arts&amp;source=bl&amp;ots=01zm1bbPmw&amp;sig=AGUT7kWWzKSEk2Z0Tk6oS72TEHw&amp;hl=en&amp;sa=X&amp;ved=0ahUKEwiW19Wf-4nXAhUDfRoKHUzgAt0Q6AEIKjAA#v=onepage&amp;q=Denver%20Center%20for%20Michal%20Daniel%2FProofsheet%20the%20Performing%20Arts&amp;f=false</w:t>
        </w:r>
      </w:hyperlink>
    </w:p>
    <w:p w:rsidR="006817EE" w:rsidRPr="006817EE" w:rsidRDefault="008A066C" w:rsidP="006817EE">
      <w:pPr>
        <w:pStyle w:val="ListParagraph"/>
        <w:numPr>
          <w:ilvl w:val="0"/>
          <w:numId w:val="1"/>
        </w:numPr>
        <w:rPr>
          <w:rFonts w:ascii="Century" w:hAnsi="Century"/>
        </w:rPr>
      </w:pPr>
      <w:r>
        <w:rPr>
          <w:rFonts w:ascii="Century" w:hAnsi="Century"/>
        </w:rPr>
        <w:t xml:space="preserve">Downs, W. Wright, L. and Ramsey, E. (2017) </w:t>
      </w:r>
      <w:proofErr w:type="gramStart"/>
      <w:r>
        <w:rPr>
          <w:rFonts w:ascii="Century" w:hAnsi="Century"/>
        </w:rPr>
        <w:t>The</w:t>
      </w:r>
      <w:proofErr w:type="gramEnd"/>
      <w:r>
        <w:rPr>
          <w:rFonts w:ascii="Century" w:hAnsi="Century"/>
        </w:rPr>
        <w:t xml:space="preserve"> art of theatre a concise introduction. </w:t>
      </w:r>
      <w:proofErr w:type="gramStart"/>
      <w:r>
        <w:rPr>
          <w:rFonts w:ascii="Century" w:hAnsi="Century"/>
        </w:rPr>
        <w:t>edition</w:t>
      </w:r>
      <w:proofErr w:type="gramEnd"/>
      <w:r>
        <w:rPr>
          <w:rFonts w:ascii="Century" w:hAnsi="Century"/>
        </w:rPr>
        <w:t xml:space="preserve"> 3. [</w:t>
      </w:r>
      <w:proofErr w:type="spellStart"/>
      <w:proofErr w:type="gramStart"/>
      <w:r>
        <w:rPr>
          <w:rFonts w:ascii="Century" w:hAnsi="Century"/>
        </w:rPr>
        <w:t>ebook</w:t>
      </w:r>
      <w:proofErr w:type="spellEnd"/>
      <w:proofErr w:type="gramEnd"/>
      <w:r>
        <w:rPr>
          <w:rFonts w:ascii="Century" w:hAnsi="Century"/>
        </w:rPr>
        <w:t xml:space="preserve">] p.64. Available at: </w:t>
      </w:r>
      <w:hyperlink r:id="rId12" w:anchor="v=onepage&amp;q=Denver%20Center%20for%20Michal%20Daniel%2FProofsheet%20the%20Performing%20Arts&amp;f=false" w:history="1">
        <w:r w:rsidR="006817EE" w:rsidRPr="006817EE">
          <w:rPr>
            <w:rStyle w:val="Hyperlink"/>
            <w:rFonts w:ascii="Century" w:hAnsi="Century"/>
          </w:rPr>
          <w:t>https://books.google.co.uk/books?id=uRoKAAAAQBAJ&amp;pg=PA65&amp;lpg=PA65&amp;dq=Denver+Center+for+Michal+Daniel/Proofsheet+the+Performing+Arts&amp;source=bl&amp;ots=01zm1bbPmw&amp;sig=AGUT7kWWzKSEk2Z0Tk6oS72TEHw&amp;hl=en&amp;sa=X&amp;ved=0ahUKEwiW19Wf-4nXAhUDfRoKHUzgAt0Q6AEIKjAA#v=onepage&amp;q=Denver%20Center%20for%20Michal%20Daniel%2FProofsheet%20the%20Performing%20Arts&amp;f=false</w:t>
        </w:r>
      </w:hyperlink>
    </w:p>
    <w:p w:rsidR="00186A32" w:rsidRDefault="008A066C" w:rsidP="008A066C">
      <w:pPr>
        <w:pStyle w:val="ListParagraph"/>
        <w:numPr>
          <w:ilvl w:val="0"/>
          <w:numId w:val="1"/>
        </w:numPr>
        <w:rPr>
          <w:rFonts w:ascii="Century" w:hAnsi="Century"/>
        </w:rPr>
      </w:pPr>
      <w:proofErr w:type="spellStart"/>
      <w:r>
        <w:rPr>
          <w:rFonts w:ascii="Century" w:hAnsi="Century"/>
        </w:rPr>
        <w:t>Theater</w:t>
      </w:r>
      <w:proofErr w:type="spellEnd"/>
      <w:r>
        <w:rPr>
          <w:rFonts w:ascii="Century" w:hAnsi="Century"/>
        </w:rPr>
        <w:t xml:space="preserve">, T. (2017). The power of Political </w:t>
      </w:r>
      <w:proofErr w:type="spellStart"/>
      <w:r>
        <w:rPr>
          <w:rFonts w:ascii="Century" w:hAnsi="Century"/>
        </w:rPr>
        <w:t>Theater</w:t>
      </w:r>
      <w:proofErr w:type="spellEnd"/>
      <w:r>
        <w:rPr>
          <w:rFonts w:ascii="Century" w:hAnsi="Century"/>
        </w:rPr>
        <w:t xml:space="preserve">. [online] Brooklynrail.org. Available at: </w:t>
      </w:r>
      <w:hyperlink r:id="rId13" w:history="1">
        <w:r w:rsidR="00186A32" w:rsidRPr="008A066C">
          <w:rPr>
            <w:rStyle w:val="Hyperlink"/>
            <w:rFonts w:ascii="Century" w:hAnsi="Century"/>
          </w:rPr>
          <w:t>http://brooklynrail.org/2008/09/theater/the-power-of-political-theater</w:t>
        </w:r>
      </w:hyperlink>
    </w:p>
    <w:p w:rsidR="00B6059C" w:rsidRDefault="00B6059C" w:rsidP="008A066C">
      <w:pPr>
        <w:pStyle w:val="ListParagraph"/>
        <w:numPr>
          <w:ilvl w:val="0"/>
          <w:numId w:val="1"/>
        </w:numPr>
        <w:rPr>
          <w:rFonts w:ascii="Century" w:hAnsi="Century"/>
        </w:rPr>
      </w:pPr>
      <w:r>
        <w:rPr>
          <w:rFonts w:ascii="Century" w:hAnsi="Century"/>
        </w:rPr>
        <w:t xml:space="preserve">Kershaw, B. (2005).The Politics of performance. London. </w:t>
      </w:r>
      <w:proofErr w:type="spellStart"/>
      <w:r>
        <w:rPr>
          <w:rFonts w:ascii="Century" w:hAnsi="Century"/>
        </w:rPr>
        <w:t>Routledge</w:t>
      </w:r>
      <w:proofErr w:type="spellEnd"/>
      <w:r>
        <w:rPr>
          <w:rFonts w:ascii="Century" w:hAnsi="Century"/>
        </w:rPr>
        <w:t xml:space="preserve"> (Used for research)</w:t>
      </w:r>
    </w:p>
    <w:p w:rsidR="00B6059C" w:rsidRPr="008A066C" w:rsidRDefault="00B6059C" w:rsidP="008A066C">
      <w:pPr>
        <w:pStyle w:val="ListParagraph"/>
        <w:numPr>
          <w:ilvl w:val="0"/>
          <w:numId w:val="1"/>
        </w:numPr>
        <w:rPr>
          <w:rFonts w:ascii="Century" w:hAnsi="Century"/>
        </w:rPr>
      </w:pPr>
      <w:r>
        <w:rPr>
          <w:rFonts w:ascii="Century" w:hAnsi="Century"/>
        </w:rPr>
        <w:t>Schweitzer, P. (2007). Reminiscence theatre. London: Jessica Kingsley Publishers. (Used for research)</w:t>
      </w:r>
    </w:p>
    <w:p w:rsidR="006475FA" w:rsidRPr="006475FA" w:rsidRDefault="006475FA" w:rsidP="006475FA">
      <w:pPr>
        <w:rPr>
          <w:rFonts w:ascii="Century" w:hAnsi="Century"/>
        </w:rPr>
      </w:pPr>
    </w:p>
    <w:p w:rsidR="00186A32" w:rsidRPr="00186A32" w:rsidRDefault="00186A32" w:rsidP="00186A32">
      <w:pPr>
        <w:ind w:left="360"/>
        <w:rPr>
          <w:rFonts w:ascii="Century" w:hAnsi="Century"/>
        </w:rPr>
      </w:pPr>
    </w:p>
    <w:p w:rsidR="00142E2C" w:rsidRDefault="00142E2C" w:rsidP="00DC4562">
      <w:pPr>
        <w:rPr>
          <w:rFonts w:ascii="Century" w:hAnsi="Century"/>
        </w:rPr>
      </w:pPr>
    </w:p>
    <w:p w:rsidR="00971C66" w:rsidRDefault="00971C66">
      <w:pPr>
        <w:rPr>
          <w:rFonts w:ascii="Century" w:hAnsi="Century"/>
        </w:rPr>
      </w:pPr>
    </w:p>
    <w:p w:rsidR="00FA6111" w:rsidRPr="00C444A2" w:rsidRDefault="00FA6111">
      <w:pPr>
        <w:rPr>
          <w:rFonts w:ascii="Century" w:hAnsi="Century"/>
        </w:rPr>
      </w:pPr>
      <w:r>
        <w:rPr>
          <w:rFonts w:ascii="Century" w:hAnsi="Century"/>
        </w:rPr>
        <w:t xml:space="preserve"> </w:t>
      </w:r>
    </w:p>
    <w:sectPr w:rsidR="00FA6111" w:rsidRPr="00C444A2" w:rsidSect="001237CD">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628C" w:rsidRDefault="0020628C" w:rsidP="005B0864">
      <w:pPr>
        <w:spacing w:after="0" w:line="240" w:lineRule="auto"/>
      </w:pPr>
      <w:r>
        <w:separator/>
      </w:r>
    </w:p>
  </w:endnote>
  <w:endnote w:type="continuationSeparator" w:id="0">
    <w:p w:rsidR="0020628C" w:rsidRDefault="0020628C" w:rsidP="005B08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entury">
    <w:panose1 w:val="0204060405050502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628C" w:rsidRDefault="0020628C" w:rsidP="005B0864">
      <w:pPr>
        <w:spacing w:after="0" w:line="240" w:lineRule="auto"/>
      </w:pPr>
      <w:r>
        <w:separator/>
      </w:r>
    </w:p>
  </w:footnote>
  <w:footnote w:type="continuationSeparator" w:id="0">
    <w:p w:rsidR="0020628C" w:rsidRDefault="0020628C" w:rsidP="005B0864">
      <w:pPr>
        <w:spacing w:after="0" w:line="240" w:lineRule="auto"/>
      </w:pPr>
      <w:r>
        <w:continuationSeparator/>
      </w:r>
    </w:p>
  </w:footnote>
  <w:footnote w:id="1">
    <w:p w:rsidR="007F13C1" w:rsidRPr="003C1E39" w:rsidRDefault="007F13C1" w:rsidP="007F13C1">
      <w:pPr>
        <w:rPr>
          <w:rFonts w:ascii="Century" w:hAnsi="Century"/>
          <w:sz w:val="20"/>
          <w:szCs w:val="20"/>
        </w:rPr>
      </w:pPr>
      <w:r w:rsidRPr="003C1E39">
        <w:rPr>
          <w:rStyle w:val="FootnoteReference"/>
          <w:rFonts w:ascii="Century" w:hAnsi="Century"/>
          <w:sz w:val="20"/>
          <w:szCs w:val="20"/>
        </w:rPr>
        <w:footnoteRef/>
      </w:r>
      <w:r w:rsidRPr="003C1E39">
        <w:rPr>
          <w:rFonts w:ascii="Century" w:hAnsi="Century"/>
          <w:sz w:val="20"/>
          <w:szCs w:val="20"/>
        </w:rPr>
        <w:t xml:space="preserve"> Jenny Hughes &amp; Karen Wilson (2004) Playing a part: the impact of youth theatre on young people's personal and social development, Research in Drama Education: The Journal of Applied Theatre and Performance, 9:1, 57-72, DOI: 10.1080/1356978042000185911 Page:57</w:t>
      </w:r>
    </w:p>
    <w:p w:rsidR="007F13C1" w:rsidRPr="003C1E39" w:rsidRDefault="007F13C1">
      <w:pPr>
        <w:pStyle w:val="FootnoteText"/>
        <w:rPr>
          <w:rFonts w:ascii="Century" w:hAnsi="Century"/>
        </w:rPr>
      </w:pPr>
    </w:p>
  </w:footnote>
  <w:footnote w:id="2">
    <w:p w:rsidR="007F13C1" w:rsidRPr="003C1E39" w:rsidRDefault="007F13C1" w:rsidP="007F13C1">
      <w:pPr>
        <w:rPr>
          <w:rFonts w:ascii="Century" w:hAnsi="Century"/>
          <w:sz w:val="20"/>
          <w:szCs w:val="20"/>
        </w:rPr>
      </w:pPr>
      <w:r w:rsidRPr="003C1E39">
        <w:rPr>
          <w:rStyle w:val="FootnoteReference"/>
          <w:rFonts w:ascii="Century" w:hAnsi="Century"/>
          <w:sz w:val="20"/>
          <w:szCs w:val="20"/>
        </w:rPr>
        <w:footnoteRef/>
      </w:r>
      <w:r w:rsidRPr="003C1E39">
        <w:rPr>
          <w:rFonts w:ascii="Century" w:hAnsi="Century"/>
          <w:sz w:val="20"/>
          <w:szCs w:val="20"/>
        </w:rPr>
        <w:t xml:space="preserve"> </w:t>
      </w:r>
      <w:proofErr w:type="gramStart"/>
      <w:r w:rsidRPr="003C1E39">
        <w:rPr>
          <w:rFonts w:ascii="Century" w:hAnsi="Century"/>
          <w:sz w:val="20"/>
          <w:szCs w:val="20"/>
        </w:rPr>
        <w:t>UNICEF (2017) UNICEF- Early Childhood Socialization.</w:t>
      </w:r>
      <w:proofErr w:type="gramEnd"/>
      <w:r w:rsidRPr="003C1E39">
        <w:rPr>
          <w:rFonts w:ascii="Century" w:hAnsi="Century"/>
          <w:sz w:val="20"/>
          <w:szCs w:val="20"/>
        </w:rPr>
        <w:t xml:space="preserve"> [online] Available at: </w:t>
      </w:r>
      <w:hyperlink r:id="rId1" w:history="1">
        <w:r w:rsidRPr="003C1E39">
          <w:rPr>
            <w:rStyle w:val="Hyperlink"/>
            <w:rFonts w:ascii="Century" w:hAnsi="Century"/>
            <w:sz w:val="20"/>
            <w:szCs w:val="20"/>
          </w:rPr>
          <w:t>https://www.unicef.org/earlychildhood/index_40749.html</w:t>
        </w:r>
      </w:hyperlink>
    </w:p>
    <w:p w:rsidR="007F13C1" w:rsidRPr="003C1E39" w:rsidRDefault="007F13C1">
      <w:pPr>
        <w:pStyle w:val="FootnoteText"/>
        <w:rPr>
          <w:rFonts w:ascii="Century" w:hAnsi="Century"/>
        </w:rPr>
      </w:pPr>
    </w:p>
  </w:footnote>
  <w:footnote w:id="3">
    <w:p w:rsidR="007F13C1" w:rsidRPr="003C1E39" w:rsidRDefault="007F13C1" w:rsidP="007F13C1">
      <w:pPr>
        <w:rPr>
          <w:rFonts w:ascii="Century" w:hAnsi="Century"/>
          <w:sz w:val="20"/>
          <w:szCs w:val="20"/>
        </w:rPr>
      </w:pPr>
      <w:r w:rsidRPr="003C1E39">
        <w:rPr>
          <w:rStyle w:val="FootnoteReference"/>
          <w:rFonts w:ascii="Century" w:hAnsi="Century"/>
          <w:sz w:val="20"/>
          <w:szCs w:val="20"/>
        </w:rPr>
        <w:footnoteRef/>
      </w:r>
      <w:r w:rsidRPr="003C1E39">
        <w:rPr>
          <w:rFonts w:ascii="Century" w:hAnsi="Century"/>
          <w:sz w:val="20"/>
          <w:szCs w:val="20"/>
        </w:rPr>
        <w:t xml:space="preserve"> </w:t>
      </w:r>
      <w:proofErr w:type="gramStart"/>
      <w:r w:rsidRPr="003C1E39">
        <w:rPr>
          <w:rFonts w:ascii="Century" w:hAnsi="Century"/>
          <w:sz w:val="20"/>
          <w:szCs w:val="20"/>
        </w:rPr>
        <w:t>UNICEF (2017) UNICEF- Early Childhood Socialization.</w:t>
      </w:r>
      <w:proofErr w:type="gramEnd"/>
      <w:r w:rsidRPr="003C1E39">
        <w:rPr>
          <w:rFonts w:ascii="Century" w:hAnsi="Century"/>
          <w:sz w:val="20"/>
          <w:szCs w:val="20"/>
        </w:rPr>
        <w:t xml:space="preserve"> [online] Available at: </w:t>
      </w:r>
      <w:hyperlink r:id="rId2" w:history="1">
        <w:r w:rsidRPr="003C1E39">
          <w:rPr>
            <w:rStyle w:val="Hyperlink"/>
            <w:rFonts w:ascii="Century" w:hAnsi="Century"/>
            <w:sz w:val="20"/>
            <w:szCs w:val="20"/>
          </w:rPr>
          <w:t>https://www.unicef.org/earlychildhood/index_40749.html</w:t>
        </w:r>
      </w:hyperlink>
    </w:p>
    <w:p w:rsidR="007F13C1" w:rsidRPr="003C1E39" w:rsidRDefault="007F13C1">
      <w:pPr>
        <w:pStyle w:val="FootnoteText"/>
        <w:rPr>
          <w:rFonts w:ascii="Century" w:hAnsi="Century"/>
        </w:rPr>
      </w:pPr>
    </w:p>
  </w:footnote>
  <w:footnote w:id="4">
    <w:p w:rsidR="007F13C1" w:rsidRPr="003C1E39" w:rsidRDefault="007F13C1" w:rsidP="007F13C1">
      <w:pPr>
        <w:rPr>
          <w:rFonts w:ascii="Century" w:hAnsi="Century"/>
          <w:sz w:val="20"/>
          <w:szCs w:val="20"/>
        </w:rPr>
      </w:pPr>
      <w:r w:rsidRPr="003C1E39">
        <w:rPr>
          <w:rStyle w:val="FootnoteReference"/>
          <w:rFonts w:ascii="Century" w:hAnsi="Century"/>
          <w:sz w:val="20"/>
          <w:szCs w:val="20"/>
        </w:rPr>
        <w:footnoteRef/>
      </w:r>
      <w:r w:rsidRPr="003C1E39">
        <w:rPr>
          <w:rFonts w:ascii="Century" w:hAnsi="Century"/>
          <w:sz w:val="20"/>
          <w:szCs w:val="20"/>
        </w:rPr>
        <w:t xml:space="preserve"> Whatley, A. (2016) </w:t>
      </w:r>
      <w:proofErr w:type="gramStart"/>
      <w:r w:rsidRPr="003C1E39">
        <w:rPr>
          <w:rFonts w:ascii="Century" w:hAnsi="Century"/>
          <w:sz w:val="20"/>
          <w:szCs w:val="20"/>
        </w:rPr>
        <w:t>A</w:t>
      </w:r>
      <w:proofErr w:type="gramEnd"/>
      <w:r w:rsidRPr="003C1E39">
        <w:rPr>
          <w:rFonts w:ascii="Century" w:hAnsi="Century"/>
          <w:sz w:val="20"/>
          <w:szCs w:val="20"/>
        </w:rPr>
        <w:t xml:space="preserve"> vision for UK touring theatre PDF was published, p3. Available at: </w:t>
      </w:r>
      <w:hyperlink r:id="rId3" w:history="1">
        <w:r w:rsidRPr="003C1E39">
          <w:rPr>
            <w:rStyle w:val="Hyperlink"/>
            <w:rFonts w:ascii="Century" w:hAnsi="Century"/>
            <w:sz w:val="20"/>
            <w:szCs w:val="20"/>
          </w:rPr>
          <w:t>http://www.originaltheatre.com/wpcontent/uploads/2015/11/OTC_A4_LZ.pdf</w:t>
        </w:r>
      </w:hyperlink>
    </w:p>
    <w:p w:rsidR="007F13C1" w:rsidRDefault="007F13C1">
      <w:pPr>
        <w:pStyle w:val="FootnoteText"/>
      </w:pPr>
    </w:p>
  </w:footnote>
  <w:footnote w:id="5">
    <w:p w:rsidR="007F13C1" w:rsidRPr="003C1E39" w:rsidRDefault="007F13C1" w:rsidP="007F13C1">
      <w:pPr>
        <w:rPr>
          <w:rFonts w:ascii="Century" w:hAnsi="Century"/>
          <w:sz w:val="20"/>
          <w:szCs w:val="20"/>
        </w:rPr>
      </w:pPr>
      <w:r w:rsidRPr="003C1E39">
        <w:rPr>
          <w:rStyle w:val="FootnoteReference"/>
          <w:rFonts w:ascii="Century" w:hAnsi="Century"/>
          <w:sz w:val="20"/>
          <w:szCs w:val="20"/>
        </w:rPr>
        <w:footnoteRef/>
      </w:r>
      <w:r w:rsidRPr="003C1E39">
        <w:rPr>
          <w:rFonts w:ascii="Century" w:hAnsi="Century"/>
          <w:sz w:val="20"/>
          <w:szCs w:val="20"/>
        </w:rPr>
        <w:t xml:space="preserve"> Downs, W. Wright, L. and Ramsey, E. (2017) </w:t>
      </w:r>
      <w:proofErr w:type="gramStart"/>
      <w:r w:rsidRPr="003C1E39">
        <w:rPr>
          <w:rFonts w:ascii="Century" w:hAnsi="Century"/>
          <w:sz w:val="20"/>
          <w:szCs w:val="20"/>
        </w:rPr>
        <w:t>The</w:t>
      </w:r>
      <w:proofErr w:type="gramEnd"/>
      <w:r w:rsidRPr="003C1E39">
        <w:rPr>
          <w:rFonts w:ascii="Century" w:hAnsi="Century"/>
          <w:sz w:val="20"/>
          <w:szCs w:val="20"/>
        </w:rPr>
        <w:t xml:space="preserve"> art of theatre a concise introduction. </w:t>
      </w:r>
      <w:proofErr w:type="gramStart"/>
      <w:r w:rsidRPr="003C1E39">
        <w:rPr>
          <w:rFonts w:ascii="Century" w:hAnsi="Century"/>
          <w:sz w:val="20"/>
          <w:szCs w:val="20"/>
        </w:rPr>
        <w:t>edition</w:t>
      </w:r>
      <w:proofErr w:type="gramEnd"/>
      <w:r w:rsidRPr="003C1E39">
        <w:rPr>
          <w:rFonts w:ascii="Century" w:hAnsi="Century"/>
          <w:sz w:val="20"/>
          <w:szCs w:val="20"/>
        </w:rPr>
        <w:t xml:space="preserve"> 3. [</w:t>
      </w:r>
      <w:proofErr w:type="spellStart"/>
      <w:proofErr w:type="gramStart"/>
      <w:r w:rsidRPr="003C1E39">
        <w:rPr>
          <w:rFonts w:ascii="Century" w:hAnsi="Century"/>
          <w:sz w:val="20"/>
          <w:szCs w:val="20"/>
        </w:rPr>
        <w:t>ebook</w:t>
      </w:r>
      <w:proofErr w:type="spellEnd"/>
      <w:proofErr w:type="gramEnd"/>
      <w:r w:rsidRPr="003C1E39">
        <w:rPr>
          <w:rFonts w:ascii="Century" w:hAnsi="Century"/>
          <w:sz w:val="20"/>
          <w:szCs w:val="20"/>
        </w:rPr>
        <w:t xml:space="preserve">] p.64. Available at: </w:t>
      </w:r>
      <w:hyperlink r:id="rId4" w:anchor="v=onepage&amp;q=Denver%20Center%20for%20Michal%20Daniel%2FProofsheet%20the%20Performing%20Arts&amp;f=false" w:history="1">
        <w:r w:rsidRPr="003C1E39">
          <w:rPr>
            <w:rStyle w:val="Hyperlink"/>
            <w:rFonts w:ascii="Century" w:hAnsi="Century"/>
            <w:sz w:val="20"/>
            <w:szCs w:val="20"/>
          </w:rPr>
          <w:t>https://books.google.co.uk/books?id=uRoKAAAAQBAJ&amp;pg=PA65&amp;lpg=PA65&amp;dq=Denver+Center+for+Michal+Daniel/Proofsheet+the+Performing+Arts&amp;source=bl&amp;ots=01zm1bbPmw&amp;sig=AGUT7kWWzKSEk2Z0Tk6oS72TEHw&amp;hl=en&amp;sa=X&amp;ved=0ahUKEwiW19Wf-4nXAhUDfRoKHUzgAt0Q6AEIKjAA#v=onepage&amp;q=Denver%20Center%20for%20Michal%20Daniel%2FProofsheet%20the%20Performing%20Arts&amp;f=false</w:t>
        </w:r>
      </w:hyperlink>
    </w:p>
    <w:p w:rsidR="007F13C1" w:rsidRPr="003C1E39" w:rsidRDefault="007F13C1" w:rsidP="007F13C1">
      <w:pPr>
        <w:pStyle w:val="FootnoteText"/>
        <w:rPr>
          <w:rFonts w:ascii="Century" w:hAnsi="Century"/>
        </w:rPr>
      </w:pPr>
    </w:p>
  </w:footnote>
  <w:footnote w:id="6">
    <w:p w:rsidR="007F13C1" w:rsidRPr="003C1E39" w:rsidRDefault="007F13C1" w:rsidP="007F13C1">
      <w:pPr>
        <w:rPr>
          <w:rFonts w:ascii="Century" w:hAnsi="Century"/>
          <w:sz w:val="20"/>
          <w:szCs w:val="20"/>
        </w:rPr>
      </w:pPr>
      <w:r w:rsidRPr="003C1E39">
        <w:rPr>
          <w:rStyle w:val="FootnoteReference"/>
          <w:rFonts w:ascii="Century" w:hAnsi="Century"/>
          <w:sz w:val="20"/>
          <w:szCs w:val="20"/>
        </w:rPr>
        <w:footnoteRef/>
      </w:r>
      <w:r w:rsidRPr="003C1E39">
        <w:rPr>
          <w:rFonts w:ascii="Century" w:hAnsi="Century"/>
          <w:sz w:val="20"/>
          <w:szCs w:val="20"/>
        </w:rPr>
        <w:t xml:space="preserve"> Downs, W. Wright, L. and Ramsey, E. (2017) </w:t>
      </w:r>
      <w:proofErr w:type="gramStart"/>
      <w:r w:rsidRPr="003C1E39">
        <w:rPr>
          <w:rFonts w:ascii="Century" w:hAnsi="Century"/>
          <w:sz w:val="20"/>
          <w:szCs w:val="20"/>
        </w:rPr>
        <w:t>The</w:t>
      </w:r>
      <w:proofErr w:type="gramEnd"/>
      <w:r w:rsidRPr="003C1E39">
        <w:rPr>
          <w:rFonts w:ascii="Century" w:hAnsi="Century"/>
          <w:sz w:val="20"/>
          <w:szCs w:val="20"/>
        </w:rPr>
        <w:t xml:space="preserve"> art of theatre a concise introduction. </w:t>
      </w:r>
      <w:proofErr w:type="gramStart"/>
      <w:r w:rsidRPr="003C1E39">
        <w:rPr>
          <w:rFonts w:ascii="Century" w:hAnsi="Century"/>
          <w:sz w:val="20"/>
          <w:szCs w:val="20"/>
        </w:rPr>
        <w:t>edition</w:t>
      </w:r>
      <w:proofErr w:type="gramEnd"/>
      <w:r w:rsidRPr="003C1E39">
        <w:rPr>
          <w:rFonts w:ascii="Century" w:hAnsi="Century"/>
          <w:sz w:val="20"/>
          <w:szCs w:val="20"/>
        </w:rPr>
        <w:t xml:space="preserve"> 3. [</w:t>
      </w:r>
      <w:proofErr w:type="spellStart"/>
      <w:proofErr w:type="gramStart"/>
      <w:r w:rsidRPr="003C1E39">
        <w:rPr>
          <w:rFonts w:ascii="Century" w:hAnsi="Century"/>
          <w:sz w:val="20"/>
          <w:szCs w:val="20"/>
        </w:rPr>
        <w:t>ebook</w:t>
      </w:r>
      <w:proofErr w:type="spellEnd"/>
      <w:proofErr w:type="gramEnd"/>
      <w:r w:rsidRPr="003C1E39">
        <w:rPr>
          <w:rFonts w:ascii="Century" w:hAnsi="Century"/>
          <w:sz w:val="20"/>
          <w:szCs w:val="20"/>
        </w:rPr>
        <w:t xml:space="preserve">] p.64. Available at: </w:t>
      </w:r>
      <w:hyperlink r:id="rId5" w:anchor="v=onepage&amp;q=Denver%20Center%20for%20Michal%20Daniel%2FProofsheet%20the%20Performing%20Arts&amp;f=false" w:history="1">
        <w:r w:rsidRPr="003C1E39">
          <w:rPr>
            <w:rStyle w:val="Hyperlink"/>
            <w:rFonts w:ascii="Century" w:hAnsi="Century"/>
            <w:sz w:val="20"/>
            <w:szCs w:val="20"/>
          </w:rPr>
          <w:t>https://books.google.co.uk/books?id=uRoKAAAAQBAJ&amp;pg=PA65&amp;lpg=PA65&amp;dq=Denver+Center+for+Michal+Daniel/Proofsheet+the+Performing+Arts&amp;source=bl&amp;ots=01zm1bbPmw&amp;sig=AGUT7kWWzKSEk2Z0Tk6oS72TEHw&amp;hl=en&amp;sa=X&amp;ved=0ahUKEwiW19Wf-4nXAhUDfRoKHUzgAt0Q6AEIKjAA#v=onepage&amp;q=Denver%20Center%20for%20Michal%20Daniel%2FProofsheet%20the%20Performing%20Arts&amp;f=false</w:t>
        </w:r>
      </w:hyperlink>
    </w:p>
    <w:p w:rsidR="007F13C1" w:rsidRPr="003C1E39" w:rsidRDefault="007F13C1">
      <w:pPr>
        <w:pStyle w:val="FootnoteText"/>
        <w:rPr>
          <w:rFonts w:ascii="Century" w:hAnsi="Century"/>
        </w:rPr>
      </w:pPr>
    </w:p>
  </w:footnote>
  <w:footnote w:id="7">
    <w:p w:rsidR="00FF4520" w:rsidRPr="003C1E39" w:rsidRDefault="00FF4520" w:rsidP="00FF4520">
      <w:pPr>
        <w:rPr>
          <w:rFonts w:ascii="Century" w:hAnsi="Century"/>
          <w:sz w:val="20"/>
          <w:szCs w:val="20"/>
        </w:rPr>
      </w:pPr>
      <w:r w:rsidRPr="003C1E39">
        <w:rPr>
          <w:rStyle w:val="FootnoteReference"/>
          <w:rFonts w:ascii="Century" w:hAnsi="Century"/>
          <w:sz w:val="20"/>
          <w:szCs w:val="20"/>
        </w:rPr>
        <w:footnoteRef/>
      </w:r>
      <w:r w:rsidRPr="003C1E39">
        <w:rPr>
          <w:rFonts w:ascii="Century" w:hAnsi="Century"/>
          <w:sz w:val="20"/>
          <w:szCs w:val="20"/>
        </w:rPr>
        <w:t xml:space="preserve"> </w:t>
      </w:r>
      <w:proofErr w:type="spellStart"/>
      <w:proofErr w:type="gramStart"/>
      <w:r w:rsidRPr="003C1E39">
        <w:rPr>
          <w:rFonts w:ascii="Century" w:hAnsi="Century"/>
          <w:sz w:val="20"/>
          <w:szCs w:val="20"/>
        </w:rPr>
        <w:t>Theater</w:t>
      </w:r>
      <w:proofErr w:type="spellEnd"/>
      <w:r w:rsidRPr="003C1E39">
        <w:rPr>
          <w:rFonts w:ascii="Century" w:hAnsi="Century"/>
          <w:sz w:val="20"/>
          <w:szCs w:val="20"/>
        </w:rPr>
        <w:t>, T. (2017).</w:t>
      </w:r>
      <w:proofErr w:type="gramEnd"/>
      <w:r w:rsidRPr="003C1E39">
        <w:rPr>
          <w:rFonts w:ascii="Century" w:hAnsi="Century"/>
          <w:sz w:val="20"/>
          <w:szCs w:val="20"/>
        </w:rPr>
        <w:t xml:space="preserve"> </w:t>
      </w:r>
      <w:proofErr w:type="gramStart"/>
      <w:r w:rsidRPr="003C1E39">
        <w:rPr>
          <w:rFonts w:ascii="Century" w:hAnsi="Century"/>
          <w:sz w:val="20"/>
          <w:szCs w:val="20"/>
        </w:rPr>
        <w:t xml:space="preserve">The power of Political </w:t>
      </w:r>
      <w:proofErr w:type="spellStart"/>
      <w:r w:rsidRPr="003C1E39">
        <w:rPr>
          <w:rFonts w:ascii="Century" w:hAnsi="Century"/>
          <w:sz w:val="20"/>
          <w:szCs w:val="20"/>
        </w:rPr>
        <w:t>Theater</w:t>
      </w:r>
      <w:proofErr w:type="spellEnd"/>
      <w:r w:rsidRPr="003C1E39">
        <w:rPr>
          <w:rFonts w:ascii="Century" w:hAnsi="Century"/>
          <w:sz w:val="20"/>
          <w:szCs w:val="20"/>
        </w:rPr>
        <w:t>.</w:t>
      </w:r>
      <w:proofErr w:type="gramEnd"/>
      <w:r w:rsidRPr="003C1E39">
        <w:rPr>
          <w:rFonts w:ascii="Century" w:hAnsi="Century"/>
          <w:sz w:val="20"/>
          <w:szCs w:val="20"/>
        </w:rPr>
        <w:t xml:space="preserve"> [online] Brooklynrail.org. Available at: </w:t>
      </w:r>
      <w:hyperlink r:id="rId6" w:history="1">
        <w:r w:rsidRPr="003C1E39">
          <w:rPr>
            <w:rStyle w:val="Hyperlink"/>
            <w:rFonts w:ascii="Century" w:hAnsi="Century"/>
            <w:sz w:val="20"/>
            <w:szCs w:val="20"/>
          </w:rPr>
          <w:t>http://brooklynrail.org/2008/09/theater/the-power-of-political-theater</w:t>
        </w:r>
      </w:hyperlink>
    </w:p>
    <w:p w:rsidR="00FF4520" w:rsidRDefault="00FF4520">
      <w:pPr>
        <w:pStyle w:val="FootnoteText"/>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E21338"/>
    <w:multiLevelType w:val="hybridMultilevel"/>
    <w:tmpl w:val="44E2219E"/>
    <w:lvl w:ilvl="0" w:tplc="BC5A7B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20"/>
  <w:characterSpacingControl w:val="doNotCompress"/>
  <w:footnotePr>
    <w:footnote w:id="-1"/>
    <w:footnote w:id="0"/>
  </w:footnotePr>
  <w:endnotePr>
    <w:endnote w:id="-1"/>
    <w:endnote w:id="0"/>
  </w:endnotePr>
  <w:compat/>
  <w:rsids>
    <w:rsidRoot w:val="00C444A2"/>
    <w:rsid w:val="000B4301"/>
    <w:rsid w:val="000B5B6C"/>
    <w:rsid w:val="000D30B3"/>
    <w:rsid w:val="000D4AF6"/>
    <w:rsid w:val="0010641A"/>
    <w:rsid w:val="001237CD"/>
    <w:rsid w:val="00142E2C"/>
    <w:rsid w:val="001434B9"/>
    <w:rsid w:val="001558E7"/>
    <w:rsid w:val="001835DC"/>
    <w:rsid w:val="00186A32"/>
    <w:rsid w:val="001A4D5B"/>
    <w:rsid w:val="001C0AB6"/>
    <w:rsid w:val="002031FD"/>
    <w:rsid w:val="0020628C"/>
    <w:rsid w:val="00212906"/>
    <w:rsid w:val="002B130A"/>
    <w:rsid w:val="0031380A"/>
    <w:rsid w:val="003659D3"/>
    <w:rsid w:val="00371F85"/>
    <w:rsid w:val="00384C23"/>
    <w:rsid w:val="003C09A1"/>
    <w:rsid w:val="003C1E39"/>
    <w:rsid w:val="00434E36"/>
    <w:rsid w:val="00485CDF"/>
    <w:rsid w:val="004A6764"/>
    <w:rsid w:val="004D2FA6"/>
    <w:rsid w:val="00572861"/>
    <w:rsid w:val="00582569"/>
    <w:rsid w:val="005B0864"/>
    <w:rsid w:val="005B1C8D"/>
    <w:rsid w:val="005F1402"/>
    <w:rsid w:val="006475FA"/>
    <w:rsid w:val="00664400"/>
    <w:rsid w:val="00672FF0"/>
    <w:rsid w:val="006817EE"/>
    <w:rsid w:val="0073395B"/>
    <w:rsid w:val="00743728"/>
    <w:rsid w:val="00773166"/>
    <w:rsid w:val="00794471"/>
    <w:rsid w:val="007F13C1"/>
    <w:rsid w:val="008664AA"/>
    <w:rsid w:val="00873311"/>
    <w:rsid w:val="00890A61"/>
    <w:rsid w:val="008920C4"/>
    <w:rsid w:val="008A066C"/>
    <w:rsid w:val="008A5A8C"/>
    <w:rsid w:val="008B76BF"/>
    <w:rsid w:val="00915C48"/>
    <w:rsid w:val="00971C66"/>
    <w:rsid w:val="0098072A"/>
    <w:rsid w:val="00A707D7"/>
    <w:rsid w:val="00AA352D"/>
    <w:rsid w:val="00AC2170"/>
    <w:rsid w:val="00B11D82"/>
    <w:rsid w:val="00B34B6A"/>
    <w:rsid w:val="00B6059C"/>
    <w:rsid w:val="00B97AF5"/>
    <w:rsid w:val="00BA3DAC"/>
    <w:rsid w:val="00BB4FFC"/>
    <w:rsid w:val="00BB73D7"/>
    <w:rsid w:val="00C444A2"/>
    <w:rsid w:val="00C5138A"/>
    <w:rsid w:val="00C66D78"/>
    <w:rsid w:val="00C87A1F"/>
    <w:rsid w:val="00CA10ED"/>
    <w:rsid w:val="00CC13FC"/>
    <w:rsid w:val="00D01C8C"/>
    <w:rsid w:val="00D23048"/>
    <w:rsid w:val="00D73687"/>
    <w:rsid w:val="00D80DC3"/>
    <w:rsid w:val="00DA6C6A"/>
    <w:rsid w:val="00DB58CA"/>
    <w:rsid w:val="00DC4562"/>
    <w:rsid w:val="00E31BF0"/>
    <w:rsid w:val="00E613D8"/>
    <w:rsid w:val="00E83867"/>
    <w:rsid w:val="00EE1F03"/>
    <w:rsid w:val="00F03A5C"/>
    <w:rsid w:val="00FA6111"/>
    <w:rsid w:val="00FC06F8"/>
    <w:rsid w:val="00FD729A"/>
    <w:rsid w:val="00FF452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44A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6A32"/>
    <w:pPr>
      <w:ind w:left="720"/>
      <w:contextualSpacing/>
    </w:pPr>
  </w:style>
  <w:style w:type="character" w:styleId="Hyperlink">
    <w:name w:val="Hyperlink"/>
    <w:basedOn w:val="DefaultParagraphFont"/>
    <w:uiPriority w:val="99"/>
    <w:unhideWhenUsed/>
    <w:rsid w:val="00186A32"/>
    <w:rPr>
      <w:color w:val="0563C1" w:themeColor="hyperlink"/>
      <w:u w:val="single"/>
    </w:rPr>
  </w:style>
  <w:style w:type="paragraph" w:styleId="EndnoteText">
    <w:name w:val="endnote text"/>
    <w:basedOn w:val="Normal"/>
    <w:link w:val="EndnoteTextChar"/>
    <w:uiPriority w:val="99"/>
    <w:semiHidden/>
    <w:unhideWhenUsed/>
    <w:rsid w:val="005B086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B0864"/>
    <w:rPr>
      <w:sz w:val="20"/>
      <w:szCs w:val="20"/>
    </w:rPr>
  </w:style>
  <w:style w:type="character" w:styleId="EndnoteReference">
    <w:name w:val="endnote reference"/>
    <w:basedOn w:val="DefaultParagraphFont"/>
    <w:uiPriority w:val="99"/>
    <w:semiHidden/>
    <w:unhideWhenUsed/>
    <w:rsid w:val="005B0864"/>
    <w:rPr>
      <w:vertAlign w:val="superscript"/>
    </w:rPr>
  </w:style>
  <w:style w:type="paragraph" w:styleId="FootnoteText">
    <w:name w:val="footnote text"/>
    <w:basedOn w:val="Normal"/>
    <w:link w:val="FootnoteTextChar"/>
    <w:uiPriority w:val="99"/>
    <w:semiHidden/>
    <w:unhideWhenUsed/>
    <w:rsid w:val="007F13C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F13C1"/>
    <w:rPr>
      <w:sz w:val="20"/>
      <w:szCs w:val="20"/>
    </w:rPr>
  </w:style>
  <w:style w:type="character" w:styleId="FootnoteReference">
    <w:name w:val="footnote reference"/>
    <w:basedOn w:val="DefaultParagraphFont"/>
    <w:uiPriority w:val="99"/>
    <w:semiHidden/>
    <w:unhideWhenUsed/>
    <w:rsid w:val="007F13C1"/>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earlychildhood/index_40749.html" TargetMode="External"/><Relationship Id="rId13" Type="http://schemas.openxmlformats.org/officeDocument/2006/relationships/hyperlink" Target="http://brooklynrail.org/2008/09/theater/the-power-of-political-theat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ooks.google.co.uk/books?id=uRoKAAAAQBAJ&amp;pg=PA65&amp;lpg=PA65&amp;dq=Denver+Center+for+Michal+Daniel/Proofsheet+the+Performing+Arts&amp;source=bl&amp;ots=01zm1bbPmw&amp;sig=AGUT7kWWzKSEk2Z0Tk6oS72TEHw&amp;hl=en&amp;sa=X&amp;ved=0ahUKEwiW19Wf-4nXAhUDfRoKHUzgAt0Q6AEIKjA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uk/books?id=uRoKAAAAQBAJ&amp;pg=PA65&amp;lpg=PA65&amp;dq=Denver+Center+for+Michal+Daniel/Proofsheet+the+Performing+Arts&amp;source=bl&amp;ots=01zm1bbPmw&amp;sig=AGUT7kWWzKSEk2Z0Tk6oS72TEHw&amp;hl=en&amp;sa=X&amp;ved=0ahUKEwiW19Wf-4nXAhUDfRoKHUzgAt0Q6AEIKjA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originaltheatre.com/wpcontent/uploads/2015/11/OTC_A4_LZ.pdf" TargetMode="External"/><Relationship Id="rId4" Type="http://schemas.openxmlformats.org/officeDocument/2006/relationships/settings" Target="settings.xml"/><Relationship Id="rId9" Type="http://schemas.openxmlformats.org/officeDocument/2006/relationships/hyperlink" Target="https://www.unicef.org/earlychildhood/index_40749.html"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originaltheatre.com/wpcontent/uploads/2015/11/OTC_A4_LZ.pdf" TargetMode="External"/><Relationship Id="rId2" Type="http://schemas.openxmlformats.org/officeDocument/2006/relationships/hyperlink" Target="https://www.unicef.org/earlychildhood/index_40749.html" TargetMode="External"/><Relationship Id="rId1" Type="http://schemas.openxmlformats.org/officeDocument/2006/relationships/hyperlink" Target="https://www.unicef.org/earlychildhood/index_40749.html" TargetMode="External"/><Relationship Id="rId6" Type="http://schemas.openxmlformats.org/officeDocument/2006/relationships/hyperlink" Target="http://brooklynrail.org/2008/09/theater/the-power-of-political-theater" TargetMode="External"/><Relationship Id="rId5" Type="http://schemas.openxmlformats.org/officeDocument/2006/relationships/hyperlink" Target="https://books.google.co.uk/books?id=uRoKAAAAQBAJ&amp;pg=PA65&amp;lpg=PA65&amp;dq=Denver+Center+for+Michal+Daniel/Proofsheet+the+Performing+Arts&amp;source=bl&amp;ots=01zm1bbPmw&amp;sig=AGUT7kWWzKSEk2Z0Tk6oS72TEHw&amp;hl=en&amp;sa=X&amp;ved=0ahUKEwiW19Wf-4nXAhUDfRoKHUzgAt0Q6AEIKjAA" TargetMode="External"/><Relationship Id="rId4" Type="http://schemas.openxmlformats.org/officeDocument/2006/relationships/hyperlink" Target="https://books.google.co.uk/books?id=uRoKAAAAQBAJ&amp;pg=PA65&amp;lpg=PA65&amp;dq=Denver+Center+for+Michal+Daniel/Proofsheet+the+Performing+Arts&amp;source=bl&amp;ots=01zm1bbPmw&amp;sig=AGUT7kWWzKSEk2Z0Tk6oS72TEHw&amp;hl=en&amp;sa=X&amp;ved=0ahUKEwiW19Wf-4nXAhUDfRoKHUzgAt0Q6AEIKjA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DC2CC0-9474-4DDB-94F1-0A284CBFD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1118</Words>
  <Characters>6376</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Whalley</dc:creator>
  <cp:lastModifiedBy>Hannah Whalley</cp:lastModifiedBy>
  <cp:revision>2</cp:revision>
  <dcterms:created xsi:type="dcterms:W3CDTF">2017-10-27T11:57:00Z</dcterms:created>
  <dcterms:modified xsi:type="dcterms:W3CDTF">2017-10-27T11:57:00Z</dcterms:modified>
</cp:coreProperties>
</file>